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diagrams/data5.xml" ContentType="application/vnd.openxmlformats-officedocument.drawingml.diagramData+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diagrams/data6.xml" ContentType="application/vnd.openxmlformats-officedocument.drawingml.diagramData+xml"/>
  <Override PartName="/word/diagrams/layout6.xml" ContentType="application/vnd.openxmlformats-officedocument.drawingml.diagramLayout+xml"/>
  <Override PartName="/word/diagrams/quickStyle6.xml" ContentType="application/vnd.openxmlformats-officedocument.drawingml.diagramStyle+xml"/>
  <Override PartName="/word/diagrams/colors6.xml" ContentType="application/vnd.openxmlformats-officedocument.drawingml.diagramColors+xml"/>
  <Override PartName="/word/diagrams/drawing6.xml" ContentType="application/vnd.ms-office.drawingml.diagramDrawing+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3F3E" w:rsidRPr="000E0F90" w:rsidRDefault="005E3F3E" w:rsidP="00504BD9">
      <w:pPr>
        <w:pStyle w:val="Ttulo1"/>
        <w:rPr>
          <w:lang w:eastAsia="es-ES"/>
        </w:rPr>
      </w:pPr>
    </w:p>
    <w:tbl>
      <w:tblPr>
        <w:tblW w:w="0" w:type="auto"/>
        <w:tblInd w:w="534" w:type="dxa"/>
        <w:tblLayout w:type="fixed"/>
        <w:tblLook w:val="04A0" w:firstRow="1" w:lastRow="0" w:firstColumn="1" w:lastColumn="0" w:noHBand="0" w:noVBand="1"/>
      </w:tblPr>
      <w:tblGrid>
        <w:gridCol w:w="2010"/>
        <w:gridCol w:w="6636"/>
      </w:tblGrid>
      <w:tr w:rsidR="005E3F3E" w:rsidRPr="000E0F90" w:rsidTr="005E3F3E">
        <w:trPr>
          <w:cantSplit/>
          <w:trHeight w:val="1985"/>
        </w:trPr>
        <w:tc>
          <w:tcPr>
            <w:tcW w:w="2010" w:type="dxa"/>
            <w:hideMark/>
          </w:tcPr>
          <w:p w:rsidR="005E3F3E" w:rsidRPr="000E0F90" w:rsidRDefault="005E3F3E" w:rsidP="005E3F3E">
            <w:pPr>
              <w:spacing w:after="0" w:line="240" w:lineRule="auto"/>
              <w:jc w:val="left"/>
              <w:rPr>
                <w:rFonts w:ascii="Arial" w:eastAsia="Times New Roman" w:hAnsi="Arial" w:cs="Arial"/>
                <w:color w:val="000000" w:themeColor="text1"/>
                <w:sz w:val="20"/>
                <w:szCs w:val="20"/>
                <w:lang w:eastAsia="es-ES"/>
              </w:rPr>
            </w:pPr>
            <w:r w:rsidRPr="000E0F90">
              <w:rPr>
                <w:rFonts w:ascii="Arial" w:eastAsia="Times New Roman" w:hAnsi="Arial" w:cs="Arial"/>
                <w:noProof/>
                <w:color w:val="000000" w:themeColor="text1"/>
                <w:sz w:val="20"/>
                <w:szCs w:val="20"/>
                <w:lang w:eastAsia="es-CL"/>
              </w:rPr>
              <w:drawing>
                <wp:inline distT="0" distB="0" distL="0" distR="0" wp14:anchorId="301902BB" wp14:editId="4A8A84B8">
                  <wp:extent cx="1143000" cy="1400175"/>
                  <wp:effectExtent l="0" t="0" r="0" b="9525"/>
                  <wp:docPr id="6" name="Imagen 3" descr="B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n"/>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43000" cy="1400175"/>
                          </a:xfrm>
                          <a:prstGeom prst="rect">
                            <a:avLst/>
                          </a:prstGeom>
                          <a:noFill/>
                          <a:ln>
                            <a:noFill/>
                          </a:ln>
                        </pic:spPr>
                      </pic:pic>
                    </a:graphicData>
                  </a:graphic>
                </wp:inline>
              </w:drawing>
            </w:r>
          </w:p>
        </w:tc>
        <w:tc>
          <w:tcPr>
            <w:tcW w:w="6636" w:type="dxa"/>
          </w:tcPr>
          <w:p w:rsidR="005E3F3E" w:rsidRPr="000E0F90" w:rsidRDefault="005E3F3E" w:rsidP="005E3F3E">
            <w:pPr>
              <w:spacing w:after="0" w:line="240" w:lineRule="auto"/>
              <w:jc w:val="left"/>
              <w:rPr>
                <w:rFonts w:ascii="Arial" w:eastAsia="Times New Roman" w:hAnsi="Arial" w:cs="Arial"/>
                <w:color w:val="000000" w:themeColor="text1"/>
                <w:sz w:val="20"/>
                <w:szCs w:val="20"/>
                <w:lang w:eastAsia="es-ES"/>
              </w:rPr>
            </w:pPr>
          </w:p>
          <w:p w:rsidR="005E3F3E" w:rsidRPr="000E0F90" w:rsidRDefault="005E3F3E" w:rsidP="005E3F3E">
            <w:pPr>
              <w:spacing w:after="0" w:line="240" w:lineRule="auto"/>
              <w:jc w:val="center"/>
              <w:rPr>
                <w:rFonts w:ascii="Arial" w:eastAsia="Times New Roman" w:hAnsi="Arial" w:cs="Arial"/>
                <w:color w:val="000000" w:themeColor="text1"/>
                <w:sz w:val="20"/>
                <w:szCs w:val="20"/>
                <w:lang w:eastAsia="es-ES"/>
              </w:rPr>
            </w:pPr>
          </w:p>
          <w:p w:rsidR="005E3F3E" w:rsidRPr="000E0F90" w:rsidRDefault="005E3F3E" w:rsidP="005E3F3E">
            <w:pPr>
              <w:spacing w:after="0" w:line="240" w:lineRule="auto"/>
              <w:jc w:val="center"/>
              <w:rPr>
                <w:rFonts w:ascii="Arial" w:eastAsia="Times New Roman" w:hAnsi="Arial" w:cs="Arial"/>
                <w:color w:val="000000" w:themeColor="text1"/>
                <w:sz w:val="20"/>
                <w:szCs w:val="20"/>
                <w:lang w:eastAsia="es-ES"/>
              </w:rPr>
            </w:pPr>
            <w:r w:rsidRPr="000E0F90">
              <w:rPr>
                <w:rFonts w:ascii="Arial" w:eastAsia="Times New Roman" w:hAnsi="Arial" w:cs="Arial"/>
                <w:color w:val="000000" w:themeColor="text1"/>
                <w:sz w:val="20"/>
                <w:szCs w:val="20"/>
                <w:lang w:eastAsia="es-ES"/>
              </w:rPr>
              <w:t>PONTIFICIA UNIVERSIDAD CATOLICA DE CHILE</w:t>
            </w:r>
          </w:p>
          <w:p w:rsidR="005E3F3E" w:rsidRPr="000E0F90" w:rsidRDefault="005E3F3E" w:rsidP="005E3F3E">
            <w:pPr>
              <w:spacing w:after="0" w:line="240" w:lineRule="auto"/>
              <w:jc w:val="center"/>
              <w:rPr>
                <w:rFonts w:ascii="Arial" w:eastAsia="Times New Roman" w:hAnsi="Arial" w:cs="Arial"/>
                <w:color w:val="000000" w:themeColor="text1"/>
                <w:sz w:val="20"/>
                <w:szCs w:val="20"/>
                <w:lang w:eastAsia="es-ES"/>
              </w:rPr>
            </w:pPr>
            <w:r w:rsidRPr="000E0F90">
              <w:rPr>
                <w:rFonts w:ascii="Arial" w:eastAsia="Times New Roman" w:hAnsi="Arial" w:cs="Arial"/>
                <w:color w:val="000000" w:themeColor="text1"/>
                <w:sz w:val="20"/>
                <w:szCs w:val="20"/>
                <w:lang w:eastAsia="es-ES"/>
              </w:rPr>
              <w:t>FACULTAD DE AGRONOMIA E INGENIERIA FORESTAL</w:t>
            </w:r>
          </w:p>
          <w:p w:rsidR="005E3F3E" w:rsidRPr="000E0F90" w:rsidRDefault="005E3F3E" w:rsidP="005E3F3E">
            <w:pPr>
              <w:spacing w:after="0" w:line="240" w:lineRule="auto"/>
              <w:jc w:val="center"/>
              <w:rPr>
                <w:rFonts w:ascii="Arial" w:eastAsia="Times New Roman" w:hAnsi="Arial" w:cs="Arial"/>
                <w:color w:val="000000" w:themeColor="text1"/>
                <w:sz w:val="20"/>
                <w:szCs w:val="20"/>
                <w:lang w:eastAsia="es-ES"/>
              </w:rPr>
            </w:pPr>
            <w:r w:rsidRPr="000E0F90">
              <w:rPr>
                <w:rFonts w:ascii="Arial" w:eastAsia="Times New Roman" w:hAnsi="Arial" w:cs="Arial"/>
                <w:color w:val="000000" w:themeColor="text1"/>
                <w:sz w:val="20"/>
                <w:szCs w:val="20"/>
                <w:lang w:eastAsia="es-ES"/>
              </w:rPr>
              <w:t>DIRECCION DE INVESTIGACION Y POSTGRADO</w:t>
            </w:r>
          </w:p>
          <w:p w:rsidR="005E3F3E" w:rsidRPr="000E0F90" w:rsidRDefault="005E3F3E" w:rsidP="005E3F3E">
            <w:pPr>
              <w:keepNext/>
              <w:spacing w:after="0" w:line="240" w:lineRule="auto"/>
              <w:jc w:val="center"/>
              <w:outlineLvl w:val="5"/>
              <w:rPr>
                <w:rFonts w:ascii="Arial" w:eastAsia="Times New Roman" w:hAnsi="Arial" w:cs="Arial"/>
                <w:color w:val="000000" w:themeColor="text1"/>
                <w:sz w:val="20"/>
                <w:szCs w:val="20"/>
                <w:lang w:eastAsia="es-ES"/>
              </w:rPr>
            </w:pPr>
            <w:r w:rsidRPr="000E0F90">
              <w:rPr>
                <w:rFonts w:ascii="Arial" w:eastAsia="Times New Roman" w:hAnsi="Arial" w:cs="Arial"/>
                <w:color w:val="000000" w:themeColor="text1"/>
                <w:sz w:val="20"/>
                <w:szCs w:val="20"/>
                <w:lang w:eastAsia="es-ES"/>
              </w:rPr>
              <w:t>MAGISTER EN RECURSOS NATURALES</w:t>
            </w:r>
          </w:p>
        </w:tc>
      </w:tr>
    </w:tbl>
    <w:p w:rsidR="005E3F3E" w:rsidRPr="000E0F90" w:rsidRDefault="005E3F3E" w:rsidP="005E3F3E">
      <w:pPr>
        <w:spacing w:after="0" w:line="240" w:lineRule="auto"/>
        <w:rPr>
          <w:rFonts w:ascii="Arial" w:eastAsia="Times New Roman" w:hAnsi="Arial" w:cs="Arial"/>
          <w:color w:val="000000" w:themeColor="text1"/>
          <w:sz w:val="20"/>
          <w:szCs w:val="20"/>
          <w:lang w:eastAsia="es-ES"/>
        </w:rPr>
      </w:pPr>
      <w:r w:rsidRPr="000E0F90">
        <w:rPr>
          <w:rFonts w:ascii="Arial" w:eastAsia="Times New Roman" w:hAnsi="Arial" w:cs="Arial"/>
          <w:color w:val="000000" w:themeColor="text1"/>
          <w:sz w:val="20"/>
          <w:szCs w:val="20"/>
          <w:lang w:eastAsia="es-ES"/>
        </w:rPr>
        <w:tab/>
      </w:r>
      <w:r w:rsidRPr="000E0F90">
        <w:rPr>
          <w:rFonts w:ascii="Arial" w:eastAsia="Times New Roman" w:hAnsi="Arial" w:cs="Arial"/>
          <w:color w:val="000000" w:themeColor="text1"/>
          <w:sz w:val="20"/>
          <w:szCs w:val="20"/>
          <w:lang w:eastAsia="es-ES"/>
        </w:rPr>
        <w:tab/>
      </w:r>
      <w:r w:rsidRPr="000E0F90">
        <w:rPr>
          <w:rFonts w:ascii="Arial" w:eastAsia="Times New Roman" w:hAnsi="Arial" w:cs="Arial"/>
          <w:color w:val="000000" w:themeColor="text1"/>
          <w:sz w:val="20"/>
          <w:szCs w:val="20"/>
          <w:lang w:eastAsia="es-ES"/>
        </w:rPr>
        <w:tab/>
      </w:r>
      <w:r w:rsidRPr="000E0F90">
        <w:rPr>
          <w:rFonts w:ascii="Arial" w:eastAsia="Times New Roman" w:hAnsi="Arial" w:cs="Arial"/>
          <w:color w:val="000000" w:themeColor="text1"/>
          <w:sz w:val="20"/>
          <w:szCs w:val="20"/>
          <w:lang w:eastAsia="es-ES"/>
        </w:rPr>
        <w:tab/>
      </w:r>
      <w:r w:rsidRPr="000E0F90">
        <w:rPr>
          <w:rFonts w:ascii="Arial" w:eastAsia="Times New Roman" w:hAnsi="Arial" w:cs="Arial"/>
          <w:color w:val="000000" w:themeColor="text1"/>
          <w:sz w:val="20"/>
          <w:szCs w:val="20"/>
          <w:lang w:eastAsia="es-ES"/>
        </w:rPr>
        <w:tab/>
      </w:r>
      <w:r w:rsidRPr="000E0F90">
        <w:rPr>
          <w:rFonts w:ascii="Arial" w:eastAsia="Times New Roman" w:hAnsi="Arial" w:cs="Arial"/>
          <w:color w:val="000000" w:themeColor="text1"/>
          <w:sz w:val="20"/>
          <w:szCs w:val="20"/>
          <w:lang w:eastAsia="es-ES"/>
        </w:rPr>
        <w:tab/>
      </w:r>
      <w:r w:rsidRPr="000E0F90">
        <w:rPr>
          <w:rFonts w:ascii="Arial" w:eastAsia="Times New Roman" w:hAnsi="Arial" w:cs="Arial"/>
          <w:color w:val="000000" w:themeColor="text1"/>
          <w:sz w:val="20"/>
          <w:szCs w:val="20"/>
          <w:lang w:eastAsia="es-ES"/>
        </w:rPr>
        <w:tab/>
      </w:r>
    </w:p>
    <w:p w:rsidR="005E3F3E" w:rsidRPr="000E0F90" w:rsidRDefault="005E3F3E" w:rsidP="005E3F3E">
      <w:pPr>
        <w:spacing w:after="0" w:line="240" w:lineRule="auto"/>
        <w:rPr>
          <w:rFonts w:ascii="Arial" w:eastAsia="Times New Roman" w:hAnsi="Arial" w:cs="Arial"/>
          <w:color w:val="000000" w:themeColor="text1"/>
          <w:sz w:val="20"/>
          <w:szCs w:val="20"/>
          <w:lang w:eastAsia="es-ES"/>
        </w:rPr>
      </w:pPr>
    </w:p>
    <w:p w:rsidR="005E3F3E" w:rsidRPr="000E0F90" w:rsidRDefault="005E3F3E" w:rsidP="005E3F3E">
      <w:pPr>
        <w:spacing w:after="0" w:line="240" w:lineRule="auto"/>
        <w:rPr>
          <w:rFonts w:ascii="Arial" w:eastAsia="Times New Roman" w:hAnsi="Arial" w:cs="Arial"/>
          <w:color w:val="000000" w:themeColor="text1"/>
          <w:sz w:val="20"/>
          <w:szCs w:val="20"/>
          <w:lang w:eastAsia="es-ES"/>
        </w:rPr>
      </w:pPr>
    </w:p>
    <w:p w:rsidR="005E3F3E" w:rsidRPr="000E0F90" w:rsidRDefault="005E3F3E" w:rsidP="005E3F3E">
      <w:pPr>
        <w:spacing w:after="0" w:line="240" w:lineRule="auto"/>
        <w:rPr>
          <w:rFonts w:ascii="Arial" w:eastAsia="Times New Roman" w:hAnsi="Arial" w:cs="Arial"/>
          <w:color w:val="000000" w:themeColor="text1"/>
          <w:sz w:val="20"/>
          <w:szCs w:val="20"/>
          <w:lang w:eastAsia="es-ES"/>
        </w:rPr>
      </w:pPr>
    </w:p>
    <w:p w:rsidR="005E3F3E" w:rsidRPr="000E0F90" w:rsidRDefault="005E3F3E" w:rsidP="005E3F3E">
      <w:pPr>
        <w:spacing w:after="0" w:line="240" w:lineRule="auto"/>
        <w:rPr>
          <w:rFonts w:ascii="Arial" w:eastAsia="Times New Roman" w:hAnsi="Arial" w:cs="Arial"/>
          <w:color w:val="000000" w:themeColor="text1"/>
          <w:sz w:val="20"/>
          <w:szCs w:val="20"/>
          <w:lang w:eastAsia="es-ES"/>
        </w:rPr>
      </w:pPr>
    </w:p>
    <w:p w:rsidR="005E3F3E" w:rsidRPr="000E0F90" w:rsidRDefault="005E3F3E" w:rsidP="005E3F3E">
      <w:pPr>
        <w:spacing w:after="0" w:line="240" w:lineRule="auto"/>
        <w:rPr>
          <w:rFonts w:ascii="Arial" w:eastAsia="Times New Roman" w:hAnsi="Arial" w:cs="Arial"/>
          <w:color w:val="000000" w:themeColor="text1"/>
          <w:sz w:val="24"/>
          <w:szCs w:val="20"/>
          <w:lang w:eastAsia="es-ES"/>
        </w:rPr>
      </w:pPr>
    </w:p>
    <w:p w:rsidR="00477716" w:rsidRPr="00CB251B" w:rsidRDefault="005E3F3E" w:rsidP="005E3F3E">
      <w:pPr>
        <w:spacing w:after="0" w:line="240" w:lineRule="auto"/>
        <w:jc w:val="center"/>
        <w:rPr>
          <w:rFonts w:ascii="Arial" w:eastAsia="Times New Roman" w:hAnsi="Arial" w:cs="Arial"/>
          <w:color w:val="000000" w:themeColor="text1"/>
          <w:sz w:val="28"/>
          <w:szCs w:val="20"/>
          <w:lang w:eastAsia="es-ES"/>
        </w:rPr>
      </w:pPr>
      <w:r w:rsidRPr="00CB251B">
        <w:rPr>
          <w:rFonts w:ascii="Arial" w:eastAsia="Times New Roman" w:hAnsi="Arial" w:cs="Arial"/>
          <w:color w:val="000000" w:themeColor="text1"/>
          <w:sz w:val="28"/>
          <w:szCs w:val="20"/>
          <w:lang w:eastAsia="es-ES"/>
        </w:rPr>
        <w:t xml:space="preserve">PRINCIPIOS DE SOSTENIBILIDAD PARA </w:t>
      </w:r>
      <w:r w:rsidR="004B71B9" w:rsidRPr="00CB251B">
        <w:rPr>
          <w:rFonts w:ascii="Arial" w:eastAsia="Times New Roman" w:hAnsi="Arial" w:cs="Arial"/>
          <w:color w:val="000000" w:themeColor="text1"/>
          <w:sz w:val="28"/>
          <w:szCs w:val="20"/>
          <w:lang w:eastAsia="es-ES"/>
        </w:rPr>
        <w:t xml:space="preserve">LA CONSTRUCCIÓN DE </w:t>
      </w:r>
      <w:r w:rsidRPr="00CB251B">
        <w:rPr>
          <w:rFonts w:ascii="Arial" w:eastAsia="Times New Roman" w:hAnsi="Arial" w:cs="Arial"/>
          <w:color w:val="000000" w:themeColor="text1"/>
          <w:sz w:val="28"/>
          <w:szCs w:val="20"/>
          <w:lang w:eastAsia="es-ES"/>
        </w:rPr>
        <w:t xml:space="preserve">TERRITORIOS MINEROS </w:t>
      </w:r>
      <w:r w:rsidR="00D53D51" w:rsidRPr="00CB251B">
        <w:rPr>
          <w:rFonts w:ascii="Arial" w:eastAsia="Times New Roman" w:hAnsi="Arial" w:cs="Arial"/>
          <w:color w:val="000000" w:themeColor="text1"/>
          <w:sz w:val="28"/>
          <w:szCs w:val="20"/>
          <w:lang w:eastAsia="es-ES"/>
        </w:rPr>
        <w:t>DEL NORTE CHICO</w:t>
      </w:r>
      <w:r w:rsidRPr="00CB251B">
        <w:rPr>
          <w:rFonts w:ascii="Arial" w:eastAsia="Times New Roman" w:hAnsi="Arial" w:cs="Arial"/>
          <w:color w:val="000000" w:themeColor="text1"/>
          <w:sz w:val="28"/>
          <w:szCs w:val="20"/>
          <w:lang w:eastAsia="es-ES"/>
        </w:rPr>
        <w:t xml:space="preserve">: </w:t>
      </w:r>
    </w:p>
    <w:p w:rsidR="005E3F3E" w:rsidRPr="00CB251B" w:rsidRDefault="006A4C5F" w:rsidP="005E3F3E">
      <w:pPr>
        <w:spacing w:after="0" w:line="240" w:lineRule="auto"/>
        <w:jc w:val="center"/>
        <w:rPr>
          <w:rFonts w:ascii="Arial" w:eastAsia="Times New Roman" w:hAnsi="Arial" w:cs="Arial"/>
          <w:color w:val="000000" w:themeColor="text1"/>
          <w:sz w:val="28"/>
          <w:szCs w:val="20"/>
          <w:lang w:eastAsia="es-ES"/>
        </w:rPr>
      </w:pPr>
      <w:r w:rsidRPr="00CB251B">
        <w:rPr>
          <w:rFonts w:ascii="Arial" w:eastAsia="Times New Roman" w:hAnsi="Arial" w:cs="Arial"/>
          <w:color w:val="000000" w:themeColor="text1"/>
          <w:sz w:val="28"/>
          <w:szCs w:val="20"/>
          <w:lang w:eastAsia="es-ES"/>
        </w:rPr>
        <w:t>E</w:t>
      </w:r>
      <w:r w:rsidR="006F3F37" w:rsidRPr="00CB251B">
        <w:rPr>
          <w:rFonts w:ascii="Arial" w:eastAsia="Times New Roman" w:hAnsi="Arial" w:cs="Arial"/>
          <w:color w:val="000000" w:themeColor="text1"/>
          <w:sz w:val="28"/>
          <w:szCs w:val="20"/>
          <w:lang w:eastAsia="es-ES"/>
        </w:rPr>
        <w:t>studio</w:t>
      </w:r>
      <w:r w:rsidR="00A654C2" w:rsidRPr="00CB251B">
        <w:rPr>
          <w:rFonts w:ascii="Arial" w:eastAsia="Times New Roman" w:hAnsi="Arial" w:cs="Arial"/>
          <w:color w:val="000000" w:themeColor="text1"/>
          <w:sz w:val="28"/>
          <w:szCs w:val="20"/>
          <w:lang w:eastAsia="es-ES"/>
        </w:rPr>
        <w:t>s</w:t>
      </w:r>
      <w:r w:rsidR="006F3F37" w:rsidRPr="00CB251B">
        <w:rPr>
          <w:rFonts w:ascii="Arial" w:eastAsia="Times New Roman" w:hAnsi="Arial" w:cs="Arial"/>
          <w:color w:val="000000" w:themeColor="text1"/>
          <w:sz w:val="28"/>
          <w:szCs w:val="20"/>
          <w:lang w:eastAsia="es-ES"/>
        </w:rPr>
        <w:t xml:space="preserve"> de caso de territorios del </w:t>
      </w:r>
      <w:r w:rsidR="00EE0080" w:rsidRPr="00CB251B">
        <w:rPr>
          <w:rFonts w:ascii="Arial" w:eastAsia="Times New Roman" w:hAnsi="Arial" w:cs="Arial"/>
          <w:color w:val="000000" w:themeColor="text1"/>
          <w:sz w:val="28"/>
          <w:szCs w:val="20"/>
          <w:lang w:eastAsia="es-ES"/>
        </w:rPr>
        <w:t>N</w:t>
      </w:r>
      <w:r w:rsidR="006F3F37" w:rsidRPr="00CB251B">
        <w:rPr>
          <w:rFonts w:ascii="Arial" w:eastAsia="Times New Roman" w:hAnsi="Arial" w:cs="Arial"/>
          <w:color w:val="000000" w:themeColor="text1"/>
          <w:sz w:val="28"/>
          <w:szCs w:val="20"/>
          <w:lang w:eastAsia="es-ES"/>
        </w:rPr>
        <w:t xml:space="preserve">orte </w:t>
      </w:r>
      <w:r w:rsidR="00EE0080" w:rsidRPr="00CB251B">
        <w:rPr>
          <w:rFonts w:ascii="Arial" w:eastAsia="Times New Roman" w:hAnsi="Arial" w:cs="Arial"/>
          <w:color w:val="000000" w:themeColor="text1"/>
          <w:sz w:val="28"/>
          <w:szCs w:val="20"/>
          <w:lang w:eastAsia="es-ES"/>
        </w:rPr>
        <w:t>C</w:t>
      </w:r>
      <w:r w:rsidR="006F3F37" w:rsidRPr="00CB251B">
        <w:rPr>
          <w:rFonts w:ascii="Arial" w:eastAsia="Times New Roman" w:hAnsi="Arial" w:cs="Arial"/>
          <w:color w:val="000000" w:themeColor="text1"/>
          <w:sz w:val="28"/>
          <w:szCs w:val="20"/>
          <w:lang w:eastAsia="es-ES"/>
        </w:rPr>
        <w:t xml:space="preserve">hico </w:t>
      </w:r>
    </w:p>
    <w:p w:rsidR="005E3F3E" w:rsidRPr="000E0F90" w:rsidRDefault="005E3F3E" w:rsidP="005E3F3E">
      <w:pPr>
        <w:spacing w:after="0" w:line="240" w:lineRule="auto"/>
        <w:jc w:val="center"/>
        <w:rPr>
          <w:rFonts w:ascii="Arial" w:eastAsia="Times New Roman" w:hAnsi="Arial" w:cs="Arial"/>
          <w:color w:val="000000" w:themeColor="text1"/>
          <w:sz w:val="20"/>
          <w:szCs w:val="20"/>
          <w:lang w:eastAsia="es-ES"/>
        </w:rPr>
      </w:pPr>
    </w:p>
    <w:p w:rsidR="005E3F3E" w:rsidRPr="000E0F90" w:rsidRDefault="005E3F3E" w:rsidP="005E3F3E">
      <w:pPr>
        <w:spacing w:after="0" w:line="240" w:lineRule="auto"/>
        <w:jc w:val="center"/>
        <w:rPr>
          <w:rFonts w:ascii="Arial" w:eastAsia="Times New Roman" w:hAnsi="Arial" w:cs="Arial"/>
          <w:color w:val="000000" w:themeColor="text1"/>
          <w:sz w:val="20"/>
          <w:szCs w:val="20"/>
          <w:lang w:eastAsia="es-ES"/>
        </w:rPr>
      </w:pPr>
    </w:p>
    <w:p w:rsidR="005E3F3E" w:rsidRPr="000E0F90" w:rsidRDefault="005E3F3E" w:rsidP="005E3F3E">
      <w:pPr>
        <w:spacing w:after="0" w:line="240" w:lineRule="auto"/>
        <w:jc w:val="center"/>
        <w:rPr>
          <w:rFonts w:ascii="Arial" w:eastAsia="Times New Roman" w:hAnsi="Arial" w:cs="Arial"/>
          <w:color w:val="000000" w:themeColor="text1"/>
          <w:sz w:val="20"/>
          <w:szCs w:val="20"/>
          <w:lang w:eastAsia="es-ES"/>
        </w:rPr>
      </w:pPr>
    </w:p>
    <w:p w:rsidR="005E3F3E" w:rsidRPr="000E0F90" w:rsidRDefault="005E3F3E" w:rsidP="005E3F3E">
      <w:pPr>
        <w:spacing w:after="0" w:line="240" w:lineRule="auto"/>
        <w:jc w:val="center"/>
        <w:rPr>
          <w:rFonts w:ascii="Arial" w:eastAsia="Times New Roman" w:hAnsi="Arial" w:cs="Arial"/>
          <w:color w:val="000000" w:themeColor="text1"/>
          <w:sz w:val="20"/>
          <w:szCs w:val="20"/>
          <w:lang w:eastAsia="es-ES"/>
        </w:rPr>
      </w:pPr>
    </w:p>
    <w:p w:rsidR="005E3F3E" w:rsidRPr="000E0F90" w:rsidRDefault="005E3F3E" w:rsidP="005E3F3E">
      <w:pPr>
        <w:spacing w:after="0" w:line="240" w:lineRule="auto"/>
        <w:jc w:val="center"/>
        <w:rPr>
          <w:rFonts w:ascii="Arial" w:eastAsia="Times New Roman" w:hAnsi="Arial" w:cs="Arial"/>
          <w:color w:val="000000" w:themeColor="text1"/>
          <w:sz w:val="20"/>
          <w:szCs w:val="20"/>
          <w:lang w:eastAsia="es-ES"/>
        </w:rPr>
      </w:pPr>
    </w:p>
    <w:p w:rsidR="005E3F3E" w:rsidRPr="000E0F90" w:rsidRDefault="005E3F3E" w:rsidP="005E3F3E">
      <w:pPr>
        <w:spacing w:after="0" w:line="240" w:lineRule="auto"/>
        <w:jc w:val="center"/>
        <w:rPr>
          <w:rFonts w:ascii="Arial" w:eastAsia="Times New Roman" w:hAnsi="Arial" w:cs="Arial"/>
          <w:color w:val="000000" w:themeColor="text1"/>
          <w:sz w:val="20"/>
          <w:szCs w:val="20"/>
          <w:lang w:eastAsia="es-ES"/>
        </w:rPr>
      </w:pPr>
    </w:p>
    <w:p w:rsidR="005E3F3E" w:rsidRPr="000E0F90" w:rsidRDefault="005E3F3E" w:rsidP="005E3F3E">
      <w:pPr>
        <w:spacing w:after="0" w:line="240" w:lineRule="auto"/>
        <w:jc w:val="center"/>
        <w:rPr>
          <w:rFonts w:ascii="Arial" w:eastAsia="Times New Roman" w:hAnsi="Arial" w:cs="Arial"/>
          <w:color w:val="000000" w:themeColor="text1"/>
          <w:sz w:val="20"/>
          <w:szCs w:val="20"/>
          <w:lang w:eastAsia="es-ES"/>
        </w:rPr>
      </w:pPr>
    </w:p>
    <w:p w:rsidR="005E3F3E" w:rsidRPr="000E0F90" w:rsidRDefault="005E3F3E" w:rsidP="005E3F3E">
      <w:pPr>
        <w:spacing w:after="0" w:line="240" w:lineRule="auto"/>
        <w:jc w:val="center"/>
        <w:rPr>
          <w:rFonts w:ascii="Arial" w:eastAsia="Times New Roman" w:hAnsi="Arial" w:cs="Arial"/>
          <w:color w:val="000000" w:themeColor="text1"/>
          <w:sz w:val="24"/>
          <w:szCs w:val="20"/>
          <w:lang w:eastAsia="es-ES"/>
        </w:rPr>
      </w:pPr>
      <w:r w:rsidRPr="000E0F90">
        <w:rPr>
          <w:rFonts w:ascii="Arial" w:eastAsia="Times New Roman" w:hAnsi="Arial" w:cs="Arial"/>
          <w:color w:val="000000" w:themeColor="text1"/>
          <w:sz w:val="24"/>
          <w:szCs w:val="20"/>
          <w:lang w:eastAsia="es-ES"/>
        </w:rPr>
        <w:t xml:space="preserve">Tesis presentada como requisito para optar al grado de </w:t>
      </w:r>
    </w:p>
    <w:p w:rsidR="005E3F3E" w:rsidRPr="000E0F90" w:rsidRDefault="005E3F3E" w:rsidP="005E3F3E">
      <w:pPr>
        <w:spacing w:after="0" w:line="240" w:lineRule="auto"/>
        <w:jc w:val="center"/>
        <w:rPr>
          <w:rFonts w:ascii="Arial" w:eastAsia="Times New Roman" w:hAnsi="Arial" w:cs="Arial"/>
          <w:i/>
          <w:color w:val="000000" w:themeColor="text1"/>
          <w:sz w:val="24"/>
          <w:szCs w:val="20"/>
          <w:lang w:eastAsia="es-ES"/>
        </w:rPr>
      </w:pPr>
    </w:p>
    <w:p w:rsidR="005E3F3E" w:rsidRPr="000E0F90" w:rsidRDefault="005E3F3E" w:rsidP="005E3F3E">
      <w:pPr>
        <w:spacing w:after="0" w:line="240" w:lineRule="auto"/>
        <w:jc w:val="center"/>
        <w:rPr>
          <w:rFonts w:ascii="Arial" w:eastAsia="Times New Roman" w:hAnsi="Arial" w:cs="Arial"/>
          <w:color w:val="000000" w:themeColor="text1"/>
          <w:sz w:val="26"/>
          <w:szCs w:val="20"/>
          <w:lang w:eastAsia="es-ES"/>
        </w:rPr>
      </w:pPr>
      <w:r w:rsidRPr="000E0F90">
        <w:rPr>
          <w:rFonts w:ascii="Arial" w:eastAsia="Times New Roman" w:hAnsi="Arial" w:cs="Arial"/>
          <w:i/>
          <w:color w:val="000000" w:themeColor="text1"/>
          <w:sz w:val="26"/>
          <w:szCs w:val="20"/>
          <w:lang w:eastAsia="es-ES"/>
        </w:rPr>
        <w:t>Magister</w:t>
      </w:r>
      <w:r w:rsidRPr="000E0F90">
        <w:rPr>
          <w:rFonts w:ascii="Arial" w:eastAsia="Times New Roman" w:hAnsi="Arial" w:cs="Arial"/>
          <w:color w:val="000000" w:themeColor="text1"/>
          <w:sz w:val="26"/>
          <w:szCs w:val="20"/>
          <w:lang w:eastAsia="es-ES"/>
        </w:rPr>
        <w:t xml:space="preserve"> en Recursos Naturales </w:t>
      </w:r>
    </w:p>
    <w:p w:rsidR="005E3F3E" w:rsidRPr="000E0F90" w:rsidRDefault="005E3F3E" w:rsidP="005E3F3E">
      <w:pPr>
        <w:spacing w:after="0" w:line="240" w:lineRule="auto"/>
        <w:jc w:val="center"/>
        <w:rPr>
          <w:rFonts w:ascii="Arial" w:eastAsia="Times New Roman" w:hAnsi="Arial" w:cs="Arial"/>
          <w:color w:val="000000" w:themeColor="text1"/>
          <w:sz w:val="24"/>
          <w:szCs w:val="20"/>
          <w:lang w:eastAsia="es-ES"/>
        </w:rPr>
      </w:pPr>
    </w:p>
    <w:p w:rsidR="005E3F3E" w:rsidRPr="000E0F90" w:rsidRDefault="005E3F3E" w:rsidP="005E3F3E">
      <w:pPr>
        <w:spacing w:after="0" w:line="240" w:lineRule="auto"/>
        <w:jc w:val="center"/>
        <w:rPr>
          <w:rFonts w:ascii="Arial" w:eastAsia="Times New Roman" w:hAnsi="Arial" w:cs="Arial"/>
          <w:color w:val="000000" w:themeColor="text1"/>
          <w:sz w:val="24"/>
          <w:szCs w:val="20"/>
          <w:lang w:eastAsia="es-ES"/>
        </w:rPr>
      </w:pPr>
      <w:proofErr w:type="gramStart"/>
      <w:r w:rsidRPr="000E0F90">
        <w:rPr>
          <w:rFonts w:ascii="Arial" w:eastAsia="Times New Roman" w:hAnsi="Arial" w:cs="Arial"/>
          <w:color w:val="000000" w:themeColor="text1"/>
          <w:sz w:val="24"/>
          <w:szCs w:val="20"/>
          <w:lang w:eastAsia="es-ES"/>
        </w:rPr>
        <w:t>por</w:t>
      </w:r>
      <w:proofErr w:type="gramEnd"/>
      <w:r w:rsidRPr="000E0F90">
        <w:rPr>
          <w:rFonts w:ascii="Arial" w:eastAsia="Times New Roman" w:hAnsi="Arial" w:cs="Arial"/>
          <w:color w:val="000000" w:themeColor="text1"/>
          <w:sz w:val="24"/>
          <w:szCs w:val="20"/>
          <w:lang w:eastAsia="es-ES"/>
        </w:rPr>
        <w:t>:</w:t>
      </w:r>
    </w:p>
    <w:p w:rsidR="005E3F3E" w:rsidRPr="000E0F90" w:rsidRDefault="005E3F3E" w:rsidP="005E3F3E">
      <w:pPr>
        <w:spacing w:after="0" w:line="240" w:lineRule="auto"/>
        <w:jc w:val="center"/>
        <w:rPr>
          <w:rFonts w:ascii="Arial" w:eastAsia="Times New Roman" w:hAnsi="Arial" w:cs="Arial"/>
          <w:color w:val="000000" w:themeColor="text1"/>
          <w:sz w:val="20"/>
          <w:szCs w:val="20"/>
          <w:lang w:eastAsia="es-ES"/>
        </w:rPr>
      </w:pPr>
    </w:p>
    <w:p w:rsidR="005E3F3E" w:rsidRPr="000E0F90" w:rsidRDefault="005E3F3E" w:rsidP="0030432D">
      <w:pPr>
        <w:jc w:val="center"/>
        <w:rPr>
          <w:rFonts w:ascii="Arial" w:hAnsi="Arial" w:cs="Arial"/>
          <w:color w:val="000000" w:themeColor="text1"/>
          <w:sz w:val="28"/>
          <w:lang w:eastAsia="es-ES"/>
        </w:rPr>
      </w:pPr>
      <w:r w:rsidRPr="000E0F90">
        <w:rPr>
          <w:rFonts w:ascii="Arial" w:hAnsi="Arial" w:cs="Arial"/>
          <w:color w:val="000000" w:themeColor="text1"/>
          <w:sz w:val="28"/>
          <w:lang w:eastAsia="es-ES"/>
        </w:rPr>
        <w:t>Ana Paris Yon</w:t>
      </w:r>
    </w:p>
    <w:p w:rsidR="005E3F3E" w:rsidRPr="000E0F90" w:rsidRDefault="005E3F3E" w:rsidP="005E3F3E">
      <w:pPr>
        <w:spacing w:after="0" w:line="240" w:lineRule="auto"/>
        <w:jc w:val="center"/>
        <w:rPr>
          <w:rFonts w:ascii="Arial" w:eastAsia="Times New Roman" w:hAnsi="Arial" w:cs="Arial"/>
          <w:color w:val="000000" w:themeColor="text1"/>
          <w:sz w:val="20"/>
          <w:szCs w:val="20"/>
          <w:lang w:eastAsia="es-ES"/>
        </w:rPr>
      </w:pPr>
    </w:p>
    <w:p w:rsidR="005E3F3E" w:rsidRPr="000E0F90" w:rsidRDefault="005E3F3E" w:rsidP="005E3F3E">
      <w:pPr>
        <w:spacing w:after="0" w:line="240" w:lineRule="auto"/>
        <w:jc w:val="center"/>
        <w:rPr>
          <w:rFonts w:ascii="Arial" w:eastAsia="Times New Roman" w:hAnsi="Arial" w:cs="Arial"/>
          <w:color w:val="000000" w:themeColor="text1"/>
          <w:sz w:val="20"/>
          <w:szCs w:val="20"/>
          <w:lang w:eastAsia="es-ES"/>
        </w:rPr>
      </w:pPr>
    </w:p>
    <w:p w:rsidR="005E3F3E" w:rsidRPr="000E0F90" w:rsidRDefault="005E3F3E" w:rsidP="005E3F3E">
      <w:pPr>
        <w:spacing w:after="0" w:line="240" w:lineRule="auto"/>
        <w:jc w:val="center"/>
        <w:rPr>
          <w:rFonts w:ascii="Arial" w:eastAsia="Times New Roman" w:hAnsi="Arial" w:cs="Arial"/>
          <w:color w:val="000000" w:themeColor="text1"/>
          <w:sz w:val="20"/>
          <w:szCs w:val="20"/>
          <w:lang w:eastAsia="es-ES"/>
        </w:rPr>
      </w:pPr>
    </w:p>
    <w:p w:rsidR="005E3F3E" w:rsidRPr="000E0F90" w:rsidRDefault="005E3F3E" w:rsidP="005E3F3E">
      <w:pPr>
        <w:tabs>
          <w:tab w:val="left" w:pos="5245"/>
        </w:tabs>
        <w:spacing w:after="0" w:line="240" w:lineRule="auto"/>
        <w:jc w:val="center"/>
        <w:rPr>
          <w:rFonts w:ascii="Arial" w:eastAsia="Times New Roman" w:hAnsi="Arial" w:cs="Arial"/>
          <w:color w:val="000000" w:themeColor="text1"/>
          <w:sz w:val="24"/>
          <w:szCs w:val="20"/>
          <w:lang w:eastAsia="es-ES"/>
        </w:rPr>
      </w:pPr>
      <w:r w:rsidRPr="000E0F90">
        <w:rPr>
          <w:rFonts w:ascii="Arial" w:eastAsia="Times New Roman" w:hAnsi="Arial" w:cs="Arial"/>
          <w:color w:val="000000" w:themeColor="text1"/>
          <w:sz w:val="24"/>
          <w:szCs w:val="20"/>
          <w:lang w:eastAsia="es-ES"/>
        </w:rPr>
        <w:t>Comité de Tesis</w:t>
      </w:r>
    </w:p>
    <w:p w:rsidR="005E3F3E" w:rsidRPr="000E0F90" w:rsidRDefault="005E3F3E" w:rsidP="005E3F3E">
      <w:pPr>
        <w:spacing w:after="0" w:line="240" w:lineRule="auto"/>
        <w:jc w:val="center"/>
        <w:rPr>
          <w:rFonts w:ascii="Arial" w:eastAsia="Times New Roman" w:hAnsi="Arial" w:cs="Arial"/>
          <w:color w:val="000000" w:themeColor="text1"/>
          <w:szCs w:val="20"/>
          <w:lang w:eastAsia="es-ES"/>
        </w:rPr>
      </w:pPr>
      <w:r w:rsidRPr="000E0F90">
        <w:rPr>
          <w:rFonts w:ascii="Arial" w:eastAsia="Times New Roman" w:hAnsi="Arial" w:cs="Arial"/>
          <w:color w:val="000000" w:themeColor="text1"/>
          <w:szCs w:val="20"/>
          <w:lang w:eastAsia="es-ES"/>
        </w:rPr>
        <w:t>Profesor Guía: Eduardo Arellano (Ph. D., M. Sc., Ing</w:t>
      </w:r>
      <w:r w:rsidR="006A4C5F" w:rsidRPr="000E0F90">
        <w:rPr>
          <w:rFonts w:ascii="Arial" w:eastAsia="Times New Roman" w:hAnsi="Arial" w:cs="Arial"/>
          <w:color w:val="000000" w:themeColor="text1"/>
          <w:szCs w:val="20"/>
          <w:lang w:eastAsia="es-ES"/>
        </w:rPr>
        <w:t>.</w:t>
      </w:r>
      <w:r w:rsidRPr="000E0F90">
        <w:rPr>
          <w:rFonts w:ascii="Arial" w:eastAsia="Times New Roman" w:hAnsi="Arial" w:cs="Arial"/>
          <w:color w:val="000000" w:themeColor="text1"/>
          <w:szCs w:val="20"/>
          <w:lang w:eastAsia="es-ES"/>
        </w:rPr>
        <w:t xml:space="preserve"> For)</w:t>
      </w:r>
    </w:p>
    <w:p w:rsidR="005E3F3E" w:rsidRPr="000E0F90" w:rsidRDefault="005E3F3E" w:rsidP="005E3F3E">
      <w:pPr>
        <w:spacing w:after="0" w:line="240" w:lineRule="auto"/>
        <w:jc w:val="center"/>
        <w:rPr>
          <w:rFonts w:ascii="Arial" w:eastAsia="Times New Roman" w:hAnsi="Arial" w:cs="Arial"/>
          <w:color w:val="000000" w:themeColor="text1"/>
          <w:szCs w:val="20"/>
          <w:lang w:eastAsia="es-ES"/>
        </w:rPr>
      </w:pPr>
      <w:r w:rsidRPr="000E0F90">
        <w:rPr>
          <w:rFonts w:ascii="Arial" w:eastAsia="Times New Roman" w:hAnsi="Arial" w:cs="Arial"/>
          <w:color w:val="000000" w:themeColor="text1"/>
          <w:szCs w:val="20"/>
          <w:lang w:eastAsia="es-ES"/>
        </w:rPr>
        <w:t>Profesores Informantes:</w:t>
      </w:r>
    </w:p>
    <w:p w:rsidR="005E3F3E" w:rsidRPr="000E0F90" w:rsidRDefault="005E3F3E" w:rsidP="005E3F3E">
      <w:pPr>
        <w:spacing w:after="0" w:line="240" w:lineRule="auto"/>
        <w:jc w:val="center"/>
        <w:rPr>
          <w:rFonts w:ascii="Arial" w:eastAsia="Times New Roman" w:hAnsi="Arial" w:cs="Arial"/>
          <w:color w:val="000000" w:themeColor="text1"/>
          <w:szCs w:val="20"/>
          <w:lang w:eastAsia="es-ES"/>
        </w:rPr>
      </w:pPr>
      <w:r w:rsidRPr="000E0F90">
        <w:rPr>
          <w:rFonts w:ascii="Arial" w:eastAsia="Times New Roman" w:hAnsi="Arial" w:cs="Arial"/>
          <w:color w:val="000000" w:themeColor="text1"/>
          <w:szCs w:val="20"/>
          <w:lang w:eastAsia="es-ES"/>
        </w:rPr>
        <w:t>Rosanna Ginocchio (</w:t>
      </w:r>
      <w:r w:rsidR="006A4C5F" w:rsidRPr="000E0F90">
        <w:rPr>
          <w:rFonts w:ascii="Arial" w:eastAsia="Times New Roman" w:hAnsi="Arial" w:cs="Arial"/>
          <w:color w:val="000000" w:themeColor="text1"/>
          <w:szCs w:val="20"/>
          <w:lang w:eastAsia="es-ES"/>
        </w:rPr>
        <w:t>Dra.</w:t>
      </w:r>
      <w:r w:rsidRPr="000E0F90">
        <w:rPr>
          <w:rFonts w:ascii="Arial" w:eastAsia="Times New Roman" w:hAnsi="Arial" w:cs="Arial"/>
          <w:color w:val="000000" w:themeColor="text1"/>
          <w:szCs w:val="20"/>
          <w:lang w:eastAsia="es-ES"/>
        </w:rPr>
        <w:t xml:space="preserve">, </w:t>
      </w:r>
      <w:r w:rsidR="006A4C5F" w:rsidRPr="000E0F90">
        <w:rPr>
          <w:rFonts w:ascii="Arial" w:eastAsia="Times New Roman" w:hAnsi="Arial" w:cs="Arial"/>
          <w:color w:val="000000" w:themeColor="text1"/>
          <w:szCs w:val="20"/>
          <w:lang w:eastAsia="es-ES"/>
        </w:rPr>
        <w:t>Lic. Biolog.</w:t>
      </w:r>
      <w:r w:rsidRPr="000E0F90">
        <w:rPr>
          <w:rFonts w:ascii="Arial" w:eastAsia="Times New Roman" w:hAnsi="Arial" w:cs="Arial"/>
          <w:color w:val="000000" w:themeColor="text1"/>
          <w:szCs w:val="20"/>
          <w:lang w:eastAsia="es-ES"/>
        </w:rPr>
        <w:t>)</w:t>
      </w:r>
    </w:p>
    <w:p w:rsidR="005E3F3E" w:rsidRPr="000E0F90" w:rsidRDefault="005E3F3E" w:rsidP="005E3F3E">
      <w:pPr>
        <w:spacing w:after="0" w:line="240" w:lineRule="auto"/>
        <w:jc w:val="center"/>
        <w:rPr>
          <w:rFonts w:ascii="Arial" w:eastAsia="Times New Roman" w:hAnsi="Arial" w:cs="Arial"/>
          <w:color w:val="000000" w:themeColor="text1"/>
          <w:szCs w:val="20"/>
          <w:lang w:eastAsia="es-ES"/>
        </w:rPr>
      </w:pPr>
      <w:r w:rsidRPr="000E0F90">
        <w:rPr>
          <w:rFonts w:ascii="Arial" w:eastAsia="Times New Roman" w:hAnsi="Arial" w:cs="Arial"/>
          <w:color w:val="000000" w:themeColor="text1"/>
          <w:szCs w:val="20"/>
          <w:lang w:eastAsia="es-ES"/>
        </w:rPr>
        <w:t xml:space="preserve">Juan Gastó (Ph. D., M. Sc., Ing </w:t>
      </w:r>
      <w:r w:rsidR="006A4C5F" w:rsidRPr="000E0F90">
        <w:rPr>
          <w:rFonts w:ascii="Arial" w:eastAsia="Times New Roman" w:hAnsi="Arial" w:cs="Arial"/>
          <w:color w:val="000000" w:themeColor="text1"/>
          <w:szCs w:val="20"/>
          <w:lang w:eastAsia="es-ES"/>
        </w:rPr>
        <w:t>Agr.</w:t>
      </w:r>
      <w:r w:rsidRPr="000E0F90">
        <w:rPr>
          <w:rFonts w:ascii="Arial" w:eastAsia="Times New Roman" w:hAnsi="Arial" w:cs="Arial"/>
          <w:color w:val="000000" w:themeColor="text1"/>
          <w:szCs w:val="20"/>
          <w:lang w:eastAsia="es-ES"/>
        </w:rPr>
        <w:t>)</w:t>
      </w:r>
    </w:p>
    <w:p w:rsidR="005E3F3E" w:rsidRPr="000E0F90" w:rsidRDefault="005E3F3E" w:rsidP="005E3F3E">
      <w:pPr>
        <w:spacing w:after="0" w:line="240" w:lineRule="auto"/>
        <w:jc w:val="left"/>
        <w:rPr>
          <w:rFonts w:ascii="Arial" w:eastAsia="Times New Roman" w:hAnsi="Arial" w:cs="Arial"/>
          <w:color w:val="000000" w:themeColor="text1"/>
          <w:sz w:val="24"/>
          <w:szCs w:val="20"/>
          <w:lang w:eastAsia="es-ES"/>
        </w:rPr>
      </w:pPr>
    </w:p>
    <w:p w:rsidR="005E3F3E" w:rsidRPr="000E0F90" w:rsidRDefault="00991B56" w:rsidP="005E3F3E">
      <w:pPr>
        <w:spacing w:after="0" w:line="240" w:lineRule="auto"/>
        <w:jc w:val="center"/>
        <w:rPr>
          <w:rFonts w:ascii="Arial" w:eastAsia="Times New Roman" w:hAnsi="Arial" w:cs="Arial"/>
          <w:color w:val="000000" w:themeColor="text1"/>
          <w:szCs w:val="20"/>
          <w:lang w:eastAsia="es-ES"/>
        </w:rPr>
      </w:pPr>
      <w:r w:rsidRPr="000E0F90">
        <w:rPr>
          <w:rFonts w:ascii="Arial" w:eastAsia="Times New Roman" w:hAnsi="Arial" w:cs="Arial"/>
          <w:color w:val="000000" w:themeColor="text1"/>
          <w:szCs w:val="20"/>
          <w:lang w:eastAsia="es-ES"/>
        </w:rPr>
        <w:t>Ju</w:t>
      </w:r>
      <w:r w:rsidR="00A07D58">
        <w:rPr>
          <w:rFonts w:ascii="Arial" w:eastAsia="Times New Roman" w:hAnsi="Arial" w:cs="Arial"/>
          <w:color w:val="000000" w:themeColor="text1"/>
          <w:szCs w:val="20"/>
          <w:lang w:eastAsia="es-ES"/>
        </w:rPr>
        <w:t>l</w:t>
      </w:r>
      <w:r w:rsidRPr="000E0F90">
        <w:rPr>
          <w:rFonts w:ascii="Arial" w:eastAsia="Times New Roman" w:hAnsi="Arial" w:cs="Arial"/>
          <w:color w:val="000000" w:themeColor="text1"/>
          <w:szCs w:val="20"/>
          <w:lang w:eastAsia="es-ES"/>
        </w:rPr>
        <w:t>io</w:t>
      </w:r>
      <w:r w:rsidR="005E3F3E" w:rsidRPr="000E0F90">
        <w:rPr>
          <w:rFonts w:ascii="Arial" w:eastAsia="Times New Roman" w:hAnsi="Arial" w:cs="Arial"/>
          <w:color w:val="000000" w:themeColor="text1"/>
          <w:szCs w:val="20"/>
          <w:lang w:eastAsia="es-ES"/>
        </w:rPr>
        <w:t xml:space="preserve"> 201</w:t>
      </w:r>
      <w:r w:rsidR="00223311" w:rsidRPr="000E0F90">
        <w:rPr>
          <w:rFonts w:ascii="Arial" w:eastAsia="Times New Roman" w:hAnsi="Arial" w:cs="Arial"/>
          <w:color w:val="000000" w:themeColor="text1"/>
          <w:szCs w:val="20"/>
          <w:lang w:eastAsia="es-ES"/>
        </w:rPr>
        <w:t>7</w:t>
      </w:r>
    </w:p>
    <w:p w:rsidR="005E3F3E" w:rsidRPr="000E0F90" w:rsidRDefault="005E3F3E" w:rsidP="005E3F3E">
      <w:pPr>
        <w:spacing w:after="0" w:line="240" w:lineRule="auto"/>
        <w:jc w:val="center"/>
        <w:rPr>
          <w:rFonts w:ascii="Arial" w:eastAsia="Times New Roman" w:hAnsi="Arial" w:cs="Arial"/>
          <w:color w:val="000000" w:themeColor="text1"/>
          <w:szCs w:val="20"/>
          <w:lang w:eastAsia="es-ES"/>
        </w:rPr>
      </w:pPr>
      <w:r w:rsidRPr="000E0F90">
        <w:rPr>
          <w:rFonts w:ascii="Arial" w:eastAsia="Times New Roman" w:hAnsi="Arial" w:cs="Arial"/>
          <w:color w:val="000000" w:themeColor="text1"/>
          <w:szCs w:val="20"/>
          <w:lang w:eastAsia="es-ES"/>
        </w:rPr>
        <w:t>Santiago-Chile</w:t>
      </w:r>
    </w:p>
    <w:p w:rsidR="00991B56" w:rsidRPr="000E0F90" w:rsidRDefault="00991B56" w:rsidP="005E3F3E">
      <w:pPr>
        <w:spacing w:after="0" w:line="240" w:lineRule="auto"/>
        <w:jc w:val="center"/>
        <w:rPr>
          <w:rFonts w:ascii="Arial" w:eastAsia="Times New Roman" w:hAnsi="Arial" w:cs="Arial"/>
          <w:color w:val="000000" w:themeColor="text1"/>
          <w:szCs w:val="20"/>
          <w:lang w:eastAsia="es-ES"/>
        </w:rPr>
      </w:pPr>
    </w:p>
    <w:p w:rsidR="00991B56" w:rsidRPr="000E0F90" w:rsidRDefault="00991B56" w:rsidP="005E3F3E">
      <w:pPr>
        <w:spacing w:after="0" w:line="240" w:lineRule="auto"/>
        <w:jc w:val="center"/>
        <w:rPr>
          <w:rFonts w:ascii="Arial" w:eastAsia="Times New Roman" w:hAnsi="Arial" w:cs="Arial"/>
          <w:color w:val="000000" w:themeColor="text1"/>
          <w:szCs w:val="20"/>
          <w:lang w:eastAsia="es-ES"/>
        </w:rPr>
      </w:pPr>
    </w:p>
    <w:p w:rsidR="00991B56" w:rsidRPr="000E0F90" w:rsidRDefault="00991B56" w:rsidP="005E3F3E">
      <w:pPr>
        <w:spacing w:after="0" w:line="240" w:lineRule="auto"/>
        <w:jc w:val="center"/>
        <w:rPr>
          <w:rFonts w:ascii="Arial" w:eastAsia="Times New Roman" w:hAnsi="Arial" w:cs="Arial"/>
          <w:color w:val="000000" w:themeColor="text1"/>
          <w:szCs w:val="20"/>
          <w:lang w:eastAsia="es-ES"/>
        </w:rPr>
      </w:pPr>
    </w:p>
    <w:p w:rsidR="00991B56" w:rsidRPr="000E0F90" w:rsidRDefault="00991B56" w:rsidP="005E3F3E">
      <w:pPr>
        <w:spacing w:after="0" w:line="240" w:lineRule="auto"/>
        <w:jc w:val="center"/>
        <w:rPr>
          <w:rFonts w:ascii="Arial" w:eastAsia="Times New Roman" w:hAnsi="Arial" w:cs="Arial"/>
          <w:color w:val="000000" w:themeColor="text1"/>
          <w:szCs w:val="20"/>
          <w:lang w:eastAsia="es-ES"/>
        </w:rPr>
      </w:pPr>
    </w:p>
    <w:p w:rsidR="005E3F3E" w:rsidRPr="000E0F90" w:rsidRDefault="005E3F3E" w:rsidP="005E3F3E">
      <w:pPr>
        <w:spacing w:after="0" w:line="240" w:lineRule="auto"/>
        <w:jc w:val="right"/>
        <w:rPr>
          <w:rFonts w:ascii="Arial" w:eastAsia="Times New Roman" w:hAnsi="Arial" w:cs="Arial"/>
          <w:color w:val="000000" w:themeColor="text1"/>
          <w:sz w:val="24"/>
          <w:szCs w:val="20"/>
          <w:lang w:eastAsia="es-ES"/>
        </w:rPr>
      </w:pPr>
    </w:p>
    <w:p w:rsidR="00991B56" w:rsidRPr="000E0F90" w:rsidRDefault="00991B56" w:rsidP="00BE72FD">
      <w:pPr>
        <w:spacing w:line="360" w:lineRule="auto"/>
        <w:jc w:val="center"/>
        <w:rPr>
          <w:rFonts w:ascii="Arial" w:eastAsia="Times New Roman" w:hAnsi="Arial" w:cs="Arial"/>
          <w:color w:val="000000" w:themeColor="text1"/>
          <w:sz w:val="20"/>
          <w:szCs w:val="20"/>
          <w:lang w:eastAsia="es-ES"/>
        </w:rPr>
      </w:pPr>
      <w:r w:rsidRPr="000E0F90">
        <w:rPr>
          <w:rFonts w:ascii="Arial" w:hAnsi="Arial" w:cs="Arial"/>
          <w:b/>
          <w:color w:val="000000" w:themeColor="text1"/>
          <w:lang w:eastAsia="es-ES"/>
        </w:rPr>
        <w:t>Agradecimientos</w:t>
      </w:r>
    </w:p>
    <w:p w:rsidR="00C432CA" w:rsidRPr="000E0F90" w:rsidRDefault="00991B56" w:rsidP="00A17ADC">
      <w:pPr>
        <w:spacing w:before="360" w:after="0" w:line="360" w:lineRule="auto"/>
        <w:rPr>
          <w:rFonts w:ascii="Arial" w:eastAsia="Times New Roman" w:hAnsi="Arial" w:cs="Arial"/>
          <w:color w:val="000000" w:themeColor="text1"/>
          <w:szCs w:val="20"/>
          <w:lang w:eastAsia="es-ES"/>
        </w:rPr>
      </w:pPr>
      <w:r w:rsidRPr="000E0F90">
        <w:rPr>
          <w:rFonts w:ascii="Arial" w:eastAsia="Times New Roman" w:hAnsi="Arial" w:cs="Arial"/>
          <w:color w:val="000000" w:themeColor="text1"/>
          <w:szCs w:val="20"/>
          <w:lang w:eastAsia="es-ES"/>
        </w:rPr>
        <w:t>En primer lugar, quisi</w:t>
      </w:r>
      <w:r w:rsidR="00A020C5" w:rsidRPr="000E0F90">
        <w:rPr>
          <w:rFonts w:ascii="Arial" w:eastAsia="Times New Roman" w:hAnsi="Arial" w:cs="Arial"/>
          <w:color w:val="000000" w:themeColor="text1"/>
          <w:szCs w:val="20"/>
          <w:lang w:eastAsia="es-ES"/>
        </w:rPr>
        <w:t>e</w:t>
      </w:r>
      <w:r w:rsidRPr="000E0F90">
        <w:rPr>
          <w:rFonts w:ascii="Arial" w:eastAsia="Times New Roman" w:hAnsi="Arial" w:cs="Arial"/>
          <w:color w:val="000000" w:themeColor="text1"/>
          <w:szCs w:val="20"/>
          <w:lang w:eastAsia="es-ES"/>
        </w:rPr>
        <w:t>ra agradecer al Departamento de Ecosistemas y Medioambiente por</w:t>
      </w:r>
      <w:r w:rsidR="00C432CA" w:rsidRPr="000E0F90">
        <w:rPr>
          <w:rFonts w:ascii="Arial" w:eastAsia="Times New Roman" w:hAnsi="Arial" w:cs="Arial"/>
          <w:color w:val="000000" w:themeColor="text1"/>
          <w:szCs w:val="20"/>
          <w:lang w:eastAsia="es-ES"/>
        </w:rPr>
        <w:t xml:space="preserve"> apoyar el </w:t>
      </w:r>
      <w:r w:rsidRPr="000E0F90">
        <w:rPr>
          <w:rFonts w:ascii="Arial" w:eastAsia="Times New Roman" w:hAnsi="Arial" w:cs="Arial"/>
          <w:color w:val="000000" w:themeColor="text1"/>
          <w:szCs w:val="20"/>
          <w:lang w:eastAsia="es-ES"/>
        </w:rPr>
        <w:t>desarro</w:t>
      </w:r>
      <w:r w:rsidR="00C432CA" w:rsidRPr="000E0F90">
        <w:rPr>
          <w:rFonts w:ascii="Arial" w:eastAsia="Times New Roman" w:hAnsi="Arial" w:cs="Arial"/>
          <w:color w:val="000000" w:themeColor="text1"/>
          <w:szCs w:val="20"/>
          <w:lang w:eastAsia="es-ES"/>
        </w:rPr>
        <w:t>llo esta tesis, contribuyendo en forma significativa a mi progreso profesional. En particular quisiera agradecer al Proyecto CAPES</w:t>
      </w:r>
      <w:r w:rsidR="00A020C5" w:rsidRPr="000E0F90">
        <w:rPr>
          <w:rFonts w:ascii="Arial" w:eastAsia="Times New Roman" w:hAnsi="Arial" w:cs="Arial"/>
          <w:color w:val="000000" w:themeColor="text1"/>
          <w:szCs w:val="20"/>
          <w:lang w:eastAsia="es-ES"/>
        </w:rPr>
        <w:t xml:space="preserve"> FB 0002-2014</w:t>
      </w:r>
      <w:r w:rsidR="00C432CA" w:rsidRPr="000E0F90">
        <w:rPr>
          <w:rFonts w:ascii="Arial" w:eastAsia="Times New Roman" w:hAnsi="Arial" w:cs="Arial"/>
          <w:color w:val="000000" w:themeColor="text1"/>
          <w:szCs w:val="20"/>
          <w:lang w:eastAsia="es-ES"/>
        </w:rPr>
        <w:t>,</w:t>
      </w:r>
      <w:r w:rsidR="00F3626F" w:rsidRPr="000E0F90">
        <w:rPr>
          <w:rFonts w:ascii="Arial" w:eastAsia="Times New Roman" w:hAnsi="Arial" w:cs="Arial"/>
          <w:color w:val="000000" w:themeColor="text1"/>
          <w:szCs w:val="20"/>
          <w:lang w:eastAsia="es-ES"/>
        </w:rPr>
        <w:t xml:space="preserve"> bajo el cual este trabajo se enmarcó, </w:t>
      </w:r>
      <w:r w:rsidR="00C432CA" w:rsidRPr="000E0F90">
        <w:rPr>
          <w:rFonts w:ascii="Arial" w:eastAsia="Times New Roman" w:hAnsi="Arial" w:cs="Arial"/>
          <w:color w:val="000000" w:themeColor="text1"/>
          <w:szCs w:val="20"/>
          <w:lang w:eastAsia="es-ES"/>
        </w:rPr>
        <w:t>aport</w:t>
      </w:r>
      <w:r w:rsidR="00F3626F" w:rsidRPr="000E0F90">
        <w:rPr>
          <w:rFonts w:ascii="Arial" w:eastAsia="Times New Roman" w:hAnsi="Arial" w:cs="Arial"/>
          <w:color w:val="000000" w:themeColor="text1"/>
          <w:szCs w:val="20"/>
          <w:lang w:eastAsia="es-ES"/>
        </w:rPr>
        <w:t xml:space="preserve">ando material </w:t>
      </w:r>
      <w:r w:rsidR="00BE72FD">
        <w:rPr>
          <w:rFonts w:ascii="Arial" w:eastAsia="Times New Roman" w:hAnsi="Arial" w:cs="Arial"/>
          <w:color w:val="000000" w:themeColor="text1"/>
          <w:szCs w:val="20"/>
          <w:lang w:eastAsia="es-ES"/>
        </w:rPr>
        <w:t xml:space="preserve">necesario para integrar </w:t>
      </w:r>
      <w:r w:rsidR="00C432CA" w:rsidRPr="000E0F90">
        <w:rPr>
          <w:rFonts w:ascii="Arial" w:eastAsia="Times New Roman" w:hAnsi="Arial" w:cs="Arial"/>
          <w:color w:val="000000" w:themeColor="text1"/>
          <w:szCs w:val="20"/>
          <w:lang w:eastAsia="es-ES"/>
        </w:rPr>
        <w:t xml:space="preserve">este </w:t>
      </w:r>
      <w:r w:rsidR="00BE72FD">
        <w:rPr>
          <w:rFonts w:ascii="Arial" w:eastAsia="Times New Roman" w:hAnsi="Arial" w:cs="Arial"/>
          <w:color w:val="000000" w:themeColor="text1"/>
          <w:szCs w:val="20"/>
          <w:lang w:eastAsia="es-ES"/>
        </w:rPr>
        <w:t>estudio</w:t>
      </w:r>
      <w:r w:rsidR="00C432CA" w:rsidRPr="000E0F90">
        <w:rPr>
          <w:rFonts w:ascii="Arial" w:eastAsia="Times New Roman" w:hAnsi="Arial" w:cs="Arial"/>
          <w:color w:val="000000" w:themeColor="text1"/>
          <w:szCs w:val="20"/>
          <w:lang w:eastAsia="es-ES"/>
        </w:rPr>
        <w:t xml:space="preserve">. </w:t>
      </w:r>
    </w:p>
    <w:p w:rsidR="00C432CA" w:rsidRPr="000E0F90" w:rsidRDefault="00C432CA" w:rsidP="002B538F">
      <w:pPr>
        <w:spacing w:after="0" w:line="360" w:lineRule="auto"/>
        <w:rPr>
          <w:rFonts w:ascii="Arial" w:eastAsia="Times New Roman" w:hAnsi="Arial" w:cs="Arial"/>
          <w:color w:val="000000" w:themeColor="text1"/>
          <w:szCs w:val="20"/>
          <w:lang w:eastAsia="es-ES"/>
        </w:rPr>
      </w:pPr>
    </w:p>
    <w:p w:rsidR="0069401D" w:rsidRPr="000E0F90" w:rsidRDefault="00C432CA" w:rsidP="002B538F">
      <w:pPr>
        <w:spacing w:after="0" w:line="360" w:lineRule="auto"/>
        <w:rPr>
          <w:rFonts w:ascii="Arial" w:eastAsia="Times New Roman" w:hAnsi="Arial" w:cs="Arial"/>
          <w:color w:val="000000" w:themeColor="text1"/>
          <w:szCs w:val="20"/>
          <w:lang w:eastAsia="es-ES"/>
        </w:rPr>
      </w:pPr>
      <w:r w:rsidRPr="000E0F90">
        <w:rPr>
          <w:rFonts w:ascii="Arial" w:eastAsia="Times New Roman" w:hAnsi="Arial" w:cs="Arial"/>
          <w:color w:val="000000" w:themeColor="text1"/>
          <w:szCs w:val="20"/>
          <w:lang w:eastAsia="es-ES"/>
        </w:rPr>
        <w:t xml:space="preserve">También agradezco </w:t>
      </w:r>
      <w:r w:rsidR="002E6666" w:rsidRPr="000E0F90">
        <w:rPr>
          <w:rFonts w:ascii="Arial" w:eastAsia="Times New Roman" w:hAnsi="Arial" w:cs="Arial"/>
          <w:color w:val="000000" w:themeColor="text1"/>
          <w:szCs w:val="20"/>
          <w:lang w:eastAsia="es-ES"/>
        </w:rPr>
        <w:t xml:space="preserve">al </w:t>
      </w:r>
      <w:r w:rsidRPr="000E0F90">
        <w:rPr>
          <w:rFonts w:ascii="Arial" w:eastAsia="Times New Roman" w:hAnsi="Arial" w:cs="Arial"/>
          <w:color w:val="000000" w:themeColor="text1"/>
          <w:szCs w:val="20"/>
          <w:lang w:eastAsia="es-ES"/>
        </w:rPr>
        <w:t xml:space="preserve">profesor guía Eduardo Arellano, el cual </w:t>
      </w:r>
      <w:r w:rsidR="002E6666" w:rsidRPr="000E0F90">
        <w:rPr>
          <w:rFonts w:ascii="Arial" w:eastAsia="Times New Roman" w:hAnsi="Arial" w:cs="Arial"/>
          <w:color w:val="000000" w:themeColor="text1"/>
          <w:szCs w:val="20"/>
          <w:lang w:eastAsia="es-ES"/>
        </w:rPr>
        <w:t xml:space="preserve">apoyó en forma consistente y perseverante el extenso proceso de desarrollo de este trabajo. Igualmente doy las gracias </w:t>
      </w:r>
      <w:r w:rsidRPr="000E0F90">
        <w:rPr>
          <w:rFonts w:ascii="Arial" w:eastAsia="Times New Roman" w:hAnsi="Arial" w:cs="Arial"/>
          <w:color w:val="000000" w:themeColor="text1"/>
          <w:szCs w:val="20"/>
          <w:lang w:eastAsia="es-ES"/>
        </w:rPr>
        <w:t>a la profesora informante Rosanna Ginocchio</w:t>
      </w:r>
      <w:r w:rsidR="0069401D" w:rsidRPr="000E0F90">
        <w:rPr>
          <w:rFonts w:ascii="Arial" w:eastAsia="Times New Roman" w:hAnsi="Arial" w:cs="Arial"/>
          <w:color w:val="000000" w:themeColor="text1"/>
          <w:szCs w:val="20"/>
          <w:lang w:eastAsia="es-ES"/>
        </w:rPr>
        <w:t>, qu</w:t>
      </w:r>
      <w:r w:rsidR="002E6666" w:rsidRPr="000E0F90">
        <w:rPr>
          <w:rFonts w:ascii="Arial" w:eastAsia="Times New Roman" w:hAnsi="Arial" w:cs="Arial"/>
          <w:color w:val="000000" w:themeColor="text1"/>
          <w:szCs w:val="20"/>
          <w:lang w:eastAsia="es-ES"/>
        </w:rPr>
        <w:t>ien</w:t>
      </w:r>
      <w:r w:rsidR="0069401D" w:rsidRPr="000E0F90">
        <w:rPr>
          <w:rFonts w:ascii="Arial" w:eastAsia="Times New Roman" w:hAnsi="Arial" w:cs="Arial"/>
          <w:color w:val="000000" w:themeColor="text1"/>
          <w:szCs w:val="20"/>
          <w:lang w:eastAsia="es-ES"/>
        </w:rPr>
        <w:t xml:space="preserve"> </w:t>
      </w:r>
      <w:r w:rsidR="00A020C5" w:rsidRPr="000E0F90">
        <w:rPr>
          <w:rFonts w:ascii="Arial" w:eastAsia="Times New Roman" w:hAnsi="Arial" w:cs="Arial"/>
          <w:color w:val="000000" w:themeColor="text1"/>
          <w:szCs w:val="20"/>
          <w:lang w:eastAsia="es-ES"/>
        </w:rPr>
        <w:t xml:space="preserve">aportó con una mirada objetiva y pragmática al desarrollo del proyecto. </w:t>
      </w:r>
    </w:p>
    <w:p w:rsidR="00A020C5" w:rsidRPr="000E0F90" w:rsidRDefault="00A020C5" w:rsidP="002B538F">
      <w:pPr>
        <w:spacing w:after="0" w:line="360" w:lineRule="auto"/>
        <w:rPr>
          <w:rFonts w:ascii="Arial" w:eastAsia="Times New Roman" w:hAnsi="Arial" w:cs="Arial"/>
          <w:color w:val="000000" w:themeColor="text1"/>
          <w:szCs w:val="20"/>
          <w:lang w:eastAsia="es-ES"/>
        </w:rPr>
      </w:pPr>
    </w:p>
    <w:p w:rsidR="00C432CA" w:rsidRPr="000E0F90" w:rsidRDefault="002E6666" w:rsidP="002B538F">
      <w:pPr>
        <w:spacing w:after="0" w:line="360" w:lineRule="auto"/>
        <w:rPr>
          <w:rFonts w:ascii="Arial" w:eastAsia="Times New Roman" w:hAnsi="Arial" w:cs="Arial"/>
          <w:color w:val="000000" w:themeColor="text1"/>
          <w:szCs w:val="20"/>
          <w:lang w:eastAsia="es-ES"/>
        </w:rPr>
      </w:pPr>
      <w:r w:rsidRPr="000E0F90">
        <w:rPr>
          <w:rFonts w:ascii="Arial" w:eastAsia="Times New Roman" w:hAnsi="Arial" w:cs="Arial"/>
          <w:color w:val="000000" w:themeColor="text1"/>
          <w:szCs w:val="20"/>
          <w:lang w:eastAsia="es-ES"/>
        </w:rPr>
        <w:t>E</w:t>
      </w:r>
      <w:r w:rsidR="00C432CA" w:rsidRPr="000E0F90">
        <w:rPr>
          <w:rFonts w:ascii="Arial" w:eastAsia="Times New Roman" w:hAnsi="Arial" w:cs="Arial"/>
          <w:color w:val="000000" w:themeColor="text1"/>
          <w:szCs w:val="20"/>
          <w:lang w:eastAsia="es-ES"/>
        </w:rPr>
        <w:t xml:space="preserve">n particular </w:t>
      </w:r>
      <w:r w:rsidRPr="000E0F90">
        <w:rPr>
          <w:rFonts w:ascii="Arial" w:eastAsia="Times New Roman" w:hAnsi="Arial" w:cs="Arial"/>
          <w:color w:val="000000" w:themeColor="text1"/>
          <w:szCs w:val="20"/>
          <w:lang w:eastAsia="es-ES"/>
        </w:rPr>
        <w:t xml:space="preserve">quiero agradecer enormemente al profesor Juan Gasto, quien contribuyó que </w:t>
      </w:r>
      <w:r w:rsidR="0069401D" w:rsidRPr="000E0F90">
        <w:rPr>
          <w:rFonts w:ascii="Arial" w:eastAsia="Times New Roman" w:hAnsi="Arial" w:cs="Arial"/>
          <w:color w:val="000000" w:themeColor="text1"/>
          <w:szCs w:val="20"/>
          <w:lang w:eastAsia="es-ES"/>
        </w:rPr>
        <w:t>desarrolla</w:t>
      </w:r>
      <w:r w:rsidRPr="000E0F90">
        <w:rPr>
          <w:rFonts w:ascii="Arial" w:eastAsia="Times New Roman" w:hAnsi="Arial" w:cs="Arial"/>
          <w:color w:val="000000" w:themeColor="text1"/>
          <w:szCs w:val="20"/>
          <w:lang w:eastAsia="es-ES"/>
        </w:rPr>
        <w:t>se la</w:t>
      </w:r>
      <w:r w:rsidR="0069401D" w:rsidRPr="000E0F90">
        <w:rPr>
          <w:rFonts w:ascii="Arial" w:eastAsia="Times New Roman" w:hAnsi="Arial" w:cs="Arial"/>
          <w:color w:val="000000" w:themeColor="text1"/>
          <w:szCs w:val="20"/>
          <w:lang w:eastAsia="es-ES"/>
        </w:rPr>
        <w:t xml:space="preserve"> visión </w:t>
      </w:r>
      <w:r w:rsidR="00C432CA" w:rsidRPr="000E0F90">
        <w:rPr>
          <w:rFonts w:ascii="Arial" w:eastAsia="Times New Roman" w:hAnsi="Arial" w:cs="Arial"/>
          <w:color w:val="000000" w:themeColor="text1"/>
          <w:szCs w:val="20"/>
          <w:lang w:eastAsia="es-ES"/>
        </w:rPr>
        <w:t xml:space="preserve">territorial, </w:t>
      </w:r>
      <w:r w:rsidR="0069401D" w:rsidRPr="000E0F90">
        <w:rPr>
          <w:rFonts w:ascii="Arial" w:eastAsia="Times New Roman" w:hAnsi="Arial" w:cs="Arial"/>
          <w:color w:val="000000" w:themeColor="text1"/>
          <w:szCs w:val="20"/>
          <w:lang w:eastAsia="es-ES"/>
        </w:rPr>
        <w:t>aborda</w:t>
      </w:r>
      <w:r w:rsidRPr="000E0F90">
        <w:rPr>
          <w:rFonts w:ascii="Arial" w:eastAsia="Times New Roman" w:hAnsi="Arial" w:cs="Arial"/>
          <w:color w:val="000000" w:themeColor="text1"/>
          <w:szCs w:val="20"/>
          <w:lang w:eastAsia="es-ES"/>
        </w:rPr>
        <w:t>ndo</w:t>
      </w:r>
      <w:r w:rsidR="0069401D" w:rsidRPr="000E0F90">
        <w:rPr>
          <w:rFonts w:ascii="Arial" w:eastAsia="Times New Roman" w:hAnsi="Arial" w:cs="Arial"/>
          <w:color w:val="000000" w:themeColor="text1"/>
          <w:szCs w:val="20"/>
          <w:lang w:eastAsia="es-ES"/>
        </w:rPr>
        <w:t xml:space="preserve"> las problemáticas de forma holística, manteniendo la rigurosidad en todo momento. </w:t>
      </w:r>
      <w:r w:rsidRPr="000E0F90">
        <w:rPr>
          <w:rFonts w:ascii="Arial" w:eastAsia="Times New Roman" w:hAnsi="Arial" w:cs="Arial"/>
          <w:color w:val="000000" w:themeColor="text1"/>
          <w:szCs w:val="20"/>
          <w:lang w:eastAsia="es-ES"/>
        </w:rPr>
        <w:t xml:space="preserve">Agradezco su apoyo incondicional e interés al desarrollo de este trabajo, así como sus consejos. </w:t>
      </w:r>
    </w:p>
    <w:p w:rsidR="0069401D" w:rsidRPr="000E0F90" w:rsidRDefault="0069401D" w:rsidP="002B538F">
      <w:pPr>
        <w:spacing w:after="0" w:line="360" w:lineRule="auto"/>
        <w:rPr>
          <w:rFonts w:ascii="Arial" w:eastAsia="Times New Roman" w:hAnsi="Arial" w:cs="Arial"/>
          <w:color w:val="000000" w:themeColor="text1"/>
          <w:szCs w:val="20"/>
          <w:lang w:eastAsia="es-ES"/>
        </w:rPr>
      </w:pPr>
    </w:p>
    <w:p w:rsidR="0069401D" w:rsidRPr="000E0F90" w:rsidRDefault="00A020C5" w:rsidP="002B538F">
      <w:pPr>
        <w:spacing w:after="0" w:line="360" w:lineRule="auto"/>
        <w:rPr>
          <w:rFonts w:ascii="Arial" w:eastAsia="Times New Roman" w:hAnsi="Arial" w:cs="Arial"/>
          <w:color w:val="000000" w:themeColor="text1"/>
          <w:szCs w:val="20"/>
          <w:lang w:eastAsia="es-ES"/>
        </w:rPr>
      </w:pPr>
      <w:r w:rsidRPr="000E0F90">
        <w:rPr>
          <w:rFonts w:ascii="Arial" w:eastAsia="Times New Roman" w:hAnsi="Arial" w:cs="Arial"/>
          <w:color w:val="000000" w:themeColor="text1"/>
          <w:szCs w:val="20"/>
          <w:lang w:eastAsia="es-ES"/>
        </w:rPr>
        <w:t xml:space="preserve">De </w:t>
      </w:r>
      <w:r w:rsidR="0069401D" w:rsidRPr="000E0F90">
        <w:rPr>
          <w:rFonts w:ascii="Arial" w:eastAsia="Times New Roman" w:hAnsi="Arial" w:cs="Arial"/>
          <w:color w:val="000000" w:themeColor="text1"/>
          <w:szCs w:val="20"/>
          <w:lang w:eastAsia="es-ES"/>
        </w:rPr>
        <w:t>igual forma agradezco a la investigadora del proyecto C</w:t>
      </w:r>
      <w:r w:rsidRPr="000E0F90">
        <w:rPr>
          <w:rFonts w:ascii="Arial" w:eastAsia="Times New Roman" w:hAnsi="Arial" w:cs="Arial"/>
          <w:color w:val="000000" w:themeColor="text1"/>
          <w:szCs w:val="20"/>
          <w:lang w:eastAsia="es-ES"/>
        </w:rPr>
        <w:t xml:space="preserve">APES, Daniela Serra, quien me apoyo en temáticas </w:t>
      </w:r>
      <w:r w:rsidR="0069401D" w:rsidRPr="000E0F90">
        <w:rPr>
          <w:rFonts w:ascii="Arial" w:eastAsia="Times New Roman" w:hAnsi="Arial" w:cs="Arial"/>
          <w:color w:val="000000" w:themeColor="text1"/>
          <w:szCs w:val="20"/>
          <w:lang w:eastAsia="es-ES"/>
        </w:rPr>
        <w:t>antropológicas de esta investigación, que contrib</w:t>
      </w:r>
      <w:r w:rsidR="002E6666" w:rsidRPr="000E0F90">
        <w:rPr>
          <w:rFonts w:ascii="Arial" w:eastAsia="Times New Roman" w:hAnsi="Arial" w:cs="Arial"/>
          <w:color w:val="000000" w:themeColor="text1"/>
          <w:szCs w:val="20"/>
          <w:lang w:eastAsia="es-ES"/>
        </w:rPr>
        <w:t xml:space="preserve">uyeron en forma significativa a alcanzar los </w:t>
      </w:r>
      <w:r w:rsidR="00BE72FD">
        <w:rPr>
          <w:rFonts w:ascii="Arial" w:eastAsia="Times New Roman" w:hAnsi="Arial" w:cs="Arial"/>
          <w:color w:val="000000" w:themeColor="text1"/>
          <w:szCs w:val="20"/>
          <w:lang w:eastAsia="es-ES"/>
        </w:rPr>
        <w:t>objetivos</w:t>
      </w:r>
      <w:r w:rsidR="002E6666" w:rsidRPr="000E0F90">
        <w:rPr>
          <w:rFonts w:ascii="Arial" w:eastAsia="Times New Roman" w:hAnsi="Arial" w:cs="Arial"/>
          <w:color w:val="000000" w:themeColor="text1"/>
          <w:szCs w:val="20"/>
          <w:lang w:eastAsia="es-ES"/>
        </w:rPr>
        <w:t>.</w:t>
      </w:r>
    </w:p>
    <w:p w:rsidR="003B1F4E" w:rsidRPr="000E0F90" w:rsidRDefault="003B1F4E" w:rsidP="002B538F">
      <w:pPr>
        <w:spacing w:after="0" w:line="360" w:lineRule="auto"/>
        <w:rPr>
          <w:rFonts w:ascii="Arial" w:eastAsia="Times New Roman" w:hAnsi="Arial" w:cs="Arial"/>
          <w:color w:val="000000" w:themeColor="text1"/>
          <w:szCs w:val="20"/>
          <w:lang w:eastAsia="es-ES"/>
        </w:rPr>
      </w:pPr>
    </w:p>
    <w:p w:rsidR="003B1F4E" w:rsidRPr="000E0F90" w:rsidRDefault="003B1F4E" w:rsidP="002B538F">
      <w:pPr>
        <w:spacing w:after="0" w:line="360" w:lineRule="auto"/>
        <w:rPr>
          <w:rFonts w:ascii="Arial" w:eastAsia="Times New Roman" w:hAnsi="Arial" w:cs="Arial"/>
          <w:color w:val="000000" w:themeColor="text1"/>
          <w:szCs w:val="20"/>
          <w:lang w:eastAsia="es-ES"/>
        </w:rPr>
      </w:pPr>
      <w:r w:rsidRPr="000E0F90">
        <w:rPr>
          <w:rFonts w:ascii="Arial" w:eastAsia="Times New Roman" w:hAnsi="Arial" w:cs="Arial"/>
          <w:color w:val="000000" w:themeColor="text1"/>
          <w:szCs w:val="20"/>
          <w:lang w:eastAsia="es-ES"/>
        </w:rPr>
        <w:t>Finalmente agradezco a mi</w:t>
      </w:r>
      <w:r w:rsidR="00047152" w:rsidRPr="000E0F90">
        <w:rPr>
          <w:rFonts w:ascii="Arial" w:eastAsia="Times New Roman" w:hAnsi="Arial" w:cs="Arial"/>
          <w:color w:val="000000" w:themeColor="text1"/>
          <w:szCs w:val="20"/>
          <w:lang w:eastAsia="es-ES"/>
        </w:rPr>
        <w:t>s padres y hermano</w:t>
      </w:r>
      <w:r w:rsidRPr="000E0F90">
        <w:rPr>
          <w:rFonts w:ascii="Arial" w:eastAsia="Times New Roman" w:hAnsi="Arial" w:cs="Arial"/>
          <w:color w:val="000000" w:themeColor="text1"/>
          <w:szCs w:val="20"/>
          <w:lang w:eastAsia="es-ES"/>
        </w:rPr>
        <w:t xml:space="preserve"> por el apoyo que me han dado en todo momento, para desarrollar y terminar este proyecto. Especialmente a Herman por la paciencia y apoyo incondicional. Y a mis amigos Carol, María José y Eduardo, quienes siempre estuvieron alentando a terminar.</w:t>
      </w:r>
    </w:p>
    <w:p w:rsidR="00991B56" w:rsidRPr="000E0F90" w:rsidRDefault="00991B56" w:rsidP="002B538F">
      <w:pPr>
        <w:spacing w:line="360" w:lineRule="auto"/>
        <w:jc w:val="left"/>
        <w:rPr>
          <w:rFonts w:ascii="Arial" w:eastAsia="Times New Roman" w:hAnsi="Arial" w:cs="Arial"/>
          <w:color w:val="000000" w:themeColor="text1"/>
          <w:szCs w:val="20"/>
          <w:lang w:eastAsia="es-ES"/>
        </w:rPr>
      </w:pPr>
      <w:r w:rsidRPr="000E0F90">
        <w:rPr>
          <w:rFonts w:ascii="Arial" w:eastAsia="Times New Roman" w:hAnsi="Arial" w:cs="Arial"/>
          <w:color w:val="000000" w:themeColor="text1"/>
          <w:szCs w:val="20"/>
          <w:lang w:eastAsia="es-ES"/>
        </w:rPr>
        <w:br w:type="page"/>
      </w:r>
    </w:p>
    <w:p w:rsidR="00F3626F" w:rsidRPr="000E0F90" w:rsidRDefault="00F3626F" w:rsidP="00F3626F">
      <w:pPr>
        <w:jc w:val="right"/>
        <w:rPr>
          <w:rFonts w:ascii="Arial" w:eastAsia="Times New Roman" w:hAnsi="Arial" w:cs="Arial"/>
          <w:i/>
          <w:color w:val="000000" w:themeColor="text1"/>
          <w:sz w:val="24"/>
          <w:szCs w:val="20"/>
          <w:lang w:eastAsia="es-ES"/>
        </w:rPr>
      </w:pPr>
      <w:r w:rsidRPr="000E0F90">
        <w:rPr>
          <w:rFonts w:ascii="Arial" w:eastAsia="Times New Roman" w:hAnsi="Arial" w:cs="Arial"/>
          <w:i/>
          <w:color w:val="000000" w:themeColor="text1"/>
          <w:sz w:val="24"/>
          <w:szCs w:val="20"/>
          <w:lang w:eastAsia="es-ES"/>
        </w:rPr>
        <w:lastRenderedPageBreak/>
        <w:t>Dedicatoria</w:t>
      </w:r>
    </w:p>
    <w:p w:rsidR="00EA436F" w:rsidRPr="000E0F90" w:rsidRDefault="00F3626F" w:rsidP="00C11998">
      <w:pPr>
        <w:jc w:val="left"/>
        <w:rPr>
          <w:rFonts w:ascii="Arial" w:hAnsi="Arial" w:cs="Arial"/>
          <w:b/>
          <w:bCs/>
          <w:color w:val="000000" w:themeColor="text1"/>
        </w:rPr>
        <w:sectPr w:rsidR="00EA436F" w:rsidRPr="000E0F90" w:rsidSect="00EA436F">
          <w:footerReference w:type="default" r:id="rId10"/>
          <w:footerReference w:type="first" r:id="rId11"/>
          <w:pgSz w:w="12240" w:h="15840"/>
          <w:pgMar w:top="1701" w:right="1701" w:bottom="1418" w:left="1985" w:header="709" w:footer="709" w:gutter="0"/>
          <w:pgNumType w:start="1"/>
          <w:cols w:space="708"/>
          <w:docGrid w:linePitch="360"/>
        </w:sectPr>
      </w:pPr>
      <w:r w:rsidRPr="000E0F90">
        <w:rPr>
          <w:rFonts w:ascii="Arial" w:eastAsia="Times New Roman" w:hAnsi="Arial" w:cs="Arial"/>
          <w:color w:val="000000" w:themeColor="text1"/>
          <w:sz w:val="24"/>
          <w:szCs w:val="20"/>
          <w:lang w:eastAsia="es-ES"/>
        </w:rPr>
        <w:br w:type="page"/>
      </w:r>
    </w:p>
    <w:sdt>
      <w:sdtPr>
        <w:rPr>
          <w:rFonts w:ascii="Arial" w:eastAsiaTheme="minorHAnsi" w:hAnsi="Arial" w:cs="Arial"/>
          <w:b w:val="0"/>
          <w:bCs w:val="0"/>
          <w:color w:val="000000" w:themeColor="text1"/>
          <w:sz w:val="22"/>
          <w:szCs w:val="22"/>
          <w:lang w:eastAsia="en-US"/>
        </w:rPr>
        <w:id w:val="-315039048"/>
        <w:docPartObj>
          <w:docPartGallery w:val="Table of Contents"/>
          <w:docPartUnique/>
        </w:docPartObj>
      </w:sdtPr>
      <w:sdtEndPr/>
      <w:sdtContent>
        <w:p w:rsidR="0037228E" w:rsidRPr="00E0505F" w:rsidRDefault="00A07D58" w:rsidP="002B538F">
          <w:pPr>
            <w:pStyle w:val="TtulodeTDC"/>
            <w:spacing w:before="0" w:after="240" w:line="360" w:lineRule="auto"/>
            <w:rPr>
              <w:rFonts w:ascii="Arial" w:hAnsi="Arial" w:cs="Arial"/>
              <w:color w:val="000000" w:themeColor="text1"/>
              <w:sz w:val="22"/>
              <w:szCs w:val="22"/>
            </w:rPr>
          </w:pPr>
          <w:r w:rsidRPr="00E0505F">
            <w:rPr>
              <w:rFonts w:ascii="Arial" w:hAnsi="Arial" w:cs="Arial"/>
              <w:color w:val="000000" w:themeColor="text1"/>
              <w:sz w:val="22"/>
              <w:szCs w:val="22"/>
            </w:rPr>
            <w:t>ÍNDICE</w:t>
          </w:r>
        </w:p>
        <w:p w:rsidR="00E0505F" w:rsidRPr="00E0505F" w:rsidRDefault="00CB550E" w:rsidP="002B538F">
          <w:pPr>
            <w:pStyle w:val="TDC1"/>
            <w:tabs>
              <w:tab w:val="right" w:leader="dot" w:pos="8544"/>
            </w:tabs>
            <w:spacing w:line="360" w:lineRule="auto"/>
            <w:rPr>
              <w:rFonts w:ascii="Arial" w:eastAsiaTheme="minorEastAsia" w:hAnsi="Arial" w:cs="Arial"/>
              <w:noProof/>
              <w:lang w:eastAsia="es-CL"/>
            </w:rPr>
          </w:pPr>
          <w:r w:rsidRPr="00E0505F">
            <w:rPr>
              <w:rFonts w:ascii="Arial" w:hAnsi="Arial" w:cs="Arial"/>
              <w:color w:val="000000" w:themeColor="text1"/>
            </w:rPr>
            <w:fldChar w:fldCharType="begin"/>
          </w:r>
          <w:r w:rsidRPr="00E0505F">
            <w:rPr>
              <w:rFonts w:ascii="Arial" w:hAnsi="Arial" w:cs="Arial"/>
              <w:color w:val="000000" w:themeColor="text1"/>
            </w:rPr>
            <w:instrText xml:space="preserve"> TOC \o "1-2" \h \z \u </w:instrText>
          </w:r>
          <w:r w:rsidRPr="00E0505F">
            <w:rPr>
              <w:rFonts w:ascii="Arial" w:hAnsi="Arial" w:cs="Arial"/>
              <w:color w:val="000000" w:themeColor="text1"/>
            </w:rPr>
            <w:fldChar w:fldCharType="separate"/>
          </w:r>
          <w:hyperlink w:anchor="_Toc488774904" w:history="1">
            <w:r w:rsidR="00E0505F" w:rsidRPr="00E0505F">
              <w:rPr>
                <w:rStyle w:val="Hipervnculo"/>
                <w:rFonts w:ascii="Arial" w:hAnsi="Arial" w:cs="Arial"/>
                <w:noProof/>
              </w:rPr>
              <w:t>ABSTRACT</w:t>
            </w:r>
            <w:r w:rsidR="00E0505F" w:rsidRPr="00E0505F">
              <w:rPr>
                <w:rFonts w:ascii="Arial" w:hAnsi="Arial" w:cs="Arial"/>
                <w:noProof/>
                <w:webHidden/>
              </w:rPr>
              <w:tab/>
            </w:r>
            <w:r w:rsidR="00E0505F" w:rsidRPr="00E0505F">
              <w:rPr>
                <w:rFonts w:ascii="Arial" w:hAnsi="Arial" w:cs="Arial"/>
                <w:noProof/>
                <w:webHidden/>
              </w:rPr>
              <w:fldChar w:fldCharType="begin"/>
            </w:r>
            <w:r w:rsidR="00E0505F" w:rsidRPr="00E0505F">
              <w:rPr>
                <w:rFonts w:ascii="Arial" w:hAnsi="Arial" w:cs="Arial"/>
                <w:noProof/>
                <w:webHidden/>
              </w:rPr>
              <w:instrText xml:space="preserve"> PAGEREF _Toc488774904 \h </w:instrText>
            </w:r>
            <w:r w:rsidR="00E0505F" w:rsidRPr="00E0505F">
              <w:rPr>
                <w:rFonts w:ascii="Arial" w:hAnsi="Arial" w:cs="Arial"/>
                <w:noProof/>
                <w:webHidden/>
              </w:rPr>
            </w:r>
            <w:r w:rsidR="00E0505F" w:rsidRPr="00E0505F">
              <w:rPr>
                <w:rFonts w:ascii="Arial" w:hAnsi="Arial" w:cs="Arial"/>
                <w:noProof/>
                <w:webHidden/>
              </w:rPr>
              <w:fldChar w:fldCharType="separate"/>
            </w:r>
            <w:r w:rsidR="00225844">
              <w:rPr>
                <w:rFonts w:ascii="Arial" w:hAnsi="Arial" w:cs="Arial"/>
                <w:noProof/>
                <w:webHidden/>
              </w:rPr>
              <w:t>2</w:t>
            </w:r>
            <w:r w:rsidR="00E0505F" w:rsidRPr="00E0505F">
              <w:rPr>
                <w:rFonts w:ascii="Arial" w:hAnsi="Arial" w:cs="Arial"/>
                <w:noProof/>
                <w:webHidden/>
              </w:rPr>
              <w:fldChar w:fldCharType="end"/>
            </w:r>
          </w:hyperlink>
        </w:p>
        <w:p w:rsidR="00E0505F" w:rsidRPr="00E0505F" w:rsidRDefault="00CD5926" w:rsidP="002B538F">
          <w:pPr>
            <w:pStyle w:val="TDC1"/>
            <w:tabs>
              <w:tab w:val="right" w:leader="dot" w:pos="8544"/>
            </w:tabs>
            <w:spacing w:line="360" w:lineRule="auto"/>
            <w:rPr>
              <w:rFonts w:ascii="Arial" w:eastAsiaTheme="minorEastAsia" w:hAnsi="Arial" w:cs="Arial"/>
              <w:noProof/>
              <w:lang w:eastAsia="es-CL"/>
            </w:rPr>
          </w:pPr>
          <w:hyperlink w:anchor="_Toc488774905" w:history="1">
            <w:r w:rsidR="00E0505F" w:rsidRPr="00E0505F">
              <w:rPr>
                <w:rStyle w:val="Hipervnculo"/>
                <w:rFonts w:ascii="Arial" w:hAnsi="Arial" w:cs="Arial"/>
                <w:noProof/>
              </w:rPr>
              <w:t>RESUMEN</w:t>
            </w:r>
            <w:r w:rsidR="00E0505F" w:rsidRPr="00E0505F">
              <w:rPr>
                <w:rFonts w:ascii="Arial" w:hAnsi="Arial" w:cs="Arial"/>
                <w:noProof/>
                <w:webHidden/>
              </w:rPr>
              <w:tab/>
            </w:r>
            <w:r w:rsidR="00E0505F" w:rsidRPr="00E0505F">
              <w:rPr>
                <w:rFonts w:ascii="Arial" w:hAnsi="Arial" w:cs="Arial"/>
                <w:noProof/>
                <w:webHidden/>
              </w:rPr>
              <w:fldChar w:fldCharType="begin"/>
            </w:r>
            <w:r w:rsidR="00E0505F" w:rsidRPr="00E0505F">
              <w:rPr>
                <w:rFonts w:ascii="Arial" w:hAnsi="Arial" w:cs="Arial"/>
                <w:noProof/>
                <w:webHidden/>
              </w:rPr>
              <w:instrText xml:space="preserve"> PAGEREF _Toc488774905 \h </w:instrText>
            </w:r>
            <w:r w:rsidR="00E0505F" w:rsidRPr="00E0505F">
              <w:rPr>
                <w:rFonts w:ascii="Arial" w:hAnsi="Arial" w:cs="Arial"/>
                <w:noProof/>
                <w:webHidden/>
              </w:rPr>
            </w:r>
            <w:r w:rsidR="00E0505F" w:rsidRPr="00E0505F">
              <w:rPr>
                <w:rFonts w:ascii="Arial" w:hAnsi="Arial" w:cs="Arial"/>
                <w:noProof/>
                <w:webHidden/>
              </w:rPr>
              <w:fldChar w:fldCharType="separate"/>
            </w:r>
            <w:r w:rsidR="00225844">
              <w:rPr>
                <w:rFonts w:ascii="Arial" w:hAnsi="Arial" w:cs="Arial"/>
                <w:noProof/>
                <w:webHidden/>
              </w:rPr>
              <w:t>3</w:t>
            </w:r>
            <w:r w:rsidR="00E0505F" w:rsidRPr="00E0505F">
              <w:rPr>
                <w:rFonts w:ascii="Arial" w:hAnsi="Arial" w:cs="Arial"/>
                <w:noProof/>
                <w:webHidden/>
              </w:rPr>
              <w:fldChar w:fldCharType="end"/>
            </w:r>
          </w:hyperlink>
        </w:p>
        <w:p w:rsidR="00E0505F" w:rsidRPr="00E0505F" w:rsidRDefault="00CD5926" w:rsidP="002B538F">
          <w:pPr>
            <w:pStyle w:val="TDC1"/>
            <w:tabs>
              <w:tab w:val="right" w:leader="dot" w:pos="8544"/>
            </w:tabs>
            <w:spacing w:line="360" w:lineRule="auto"/>
            <w:rPr>
              <w:rFonts w:ascii="Arial" w:eastAsiaTheme="minorEastAsia" w:hAnsi="Arial" w:cs="Arial"/>
              <w:noProof/>
              <w:lang w:eastAsia="es-CL"/>
            </w:rPr>
          </w:pPr>
          <w:hyperlink w:anchor="_Toc488774906" w:history="1">
            <w:r w:rsidR="00E0505F" w:rsidRPr="00E0505F">
              <w:rPr>
                <w:rStyle w:val="Hipervnculo"/>
                <w:rFonts w:ascii="Arial" w:hAnsi="Arial" w:cs="Arial"/>
                <w:noProof/>
              </w:rPr>
              <w:t>INTRODUCCIÓN</w:t>
            </w:r>
            <w:r w:rsidR="00E0505F" w:rsidRPr="00E0505F">
              <w:rPr>
                <w:rFonts w:ascii="Arial" w:hAnsi="Arial" w:cs="Arial"/>
                <w:noProof/>
                <w:webHidden/>
              </w:rPr>
              <w:tab/>
            </w:r>
            <w:r w:rsidR="00E0505F" w:rsidRPr="00E0505F">
              <w:rPr>
                <w:rFonts w:ascii="Arial" w:hAnsi="Arial" w:cs="Arial"/>
                <w:noProof/>
                <w:webHidden/>
              </w:rPr>
              <w:fldChar w:fldCharType="begin"/>
            </w:r>
            <w:r w:rsidR="00E0505F" w:rsidRPr="00E0505F">
              <w:rPr>
                <w:rFonts w:ascii="Arial" w:hAnsi="Arial" w:cs="Arial"/>
                <w:noProof/>
                <w:webHidden/>
              </w:rPr>
              <w:instrText xml:space="preserve"> PAGEREF _Toc488774906 \h </w:instrText>
            </w:r>
            <w:r w:rsidR="00E0505F" w:rsidRPr="00E0505F">
              <w:rPr>
                <w:rFonts w:ascii="Arial" w:hAnsi="Arial" w:cs="Arial"/>
                <w:noProof/>
                <w:webHidden/>
              </w:rPr>
            </w:r>
            <w:r w:rsidR="00E0505F" w:rsidRPr="00E0505F">
              <w:rPr>
                <w:rFonts w:ascii="Arial" w:hAnsi="Arial" w:cs="Arial"/>
                <w:noProof/>
                <w:webHidden/>
              </w:rPr>
              <w:fldChar w:fldCharType="separate"/>
            </w:r>
            <w:r w:rsidR="00225844">
              <w:rPr>
                <w:rFonts w:ascii="Arial" w:hAnsi="Arial" w:cs="Arial"/>
                <w:noProof/>
                <w:webHidden/>
              </w:rPr>
              <w:t>4</w:t>
            </w:r>
            <w:r w:rsidR="00E0505F" w:rsidRPr="00E0505F">
              <w:rPr>
                <w:rFonts w:ascii="Arial" w:hAnsi="Arial" w:cs="Arial"/>
                <w:noProof/>
                <w:webHidden/>
              </w:rPr>
              <w:fldChar w:fldCharType="end"/>
            </w:r>
          </w:hyperlink>
        </w:p>
        <w:p w:rsidR="00E0505F" w:rsidRPr="00E0505F" w:rsidRDefault="00CD5926" w:rsidP="002B538F">
          <w:pPr>
            <w:pStyle w:val="TDC1"/>
            <w:tabs>
              <w:tab w:val="right" w:leader="dot" w:pos="8544"/>
            </w:tabs>
            <w:spacing w:line="360" w:lineRule="auto"/>
            <w:rPr>
              <w:rFonts w:ascii="Arial" w:eastAsiaTheme="minorEastAsia" w:hAnsi="Arial" w:cs="Arial"/>
              <w:noProof/>
              <w:lang w:eastAsia="es-CL"/>
            </w:rPr>
          </w:pPr>
          <w:hyperlink w:anchor="_Toc488774907" w:history="1">
            <w:r w:rsidR="00E0505F" w:rsidRPr="00E0505F">
              <w:rPr>
                <w:rStyle w:val="Hipervnculo"/>
                <w:rFonts w:ascii="Arial" w:hAnsi="Arial" w:cs="Arial"/>
                <w:noProof/>
              </w:rPr>
              <w:t>MARCO TEORICO</w:t>
            </w:r>
            <w:r w:rsidR="00E0505F" w:rsidRPr="00E0505F">
              <w:rPr>
                <w:rFonts w:ascii="Arial" w:hAnsi="Arial" w:cs="Arial"/>
                <w:noProof/>
                <w:webHidden/>
              </w:rPr>
              <w:tab/>
            </w:r>
            <w:r w:rsidR="00E0505F" w:rsidRPr="00E0505F">
              <w:rPr>
                <w:rFonts w:ascii="Arial" w:hAnsi="Arial" w:cs="Arial"/>
                <w:noProof/>
                <w:webHidden/>
              </w:rPr>
              <w:fldChar w:fldCharType="begin"/>
            </w:r>
            <w:r w:rsidR="00E0505F" w:rsidRPr="00E0505F">
              <w:rPr>
                <w:rFonts w:ascii="Arial" w:hAnsi="Arial" w:cs="Arial"/>
                <w:noProof/>
                <w:webHidden/>
              </w:rPr>
              <w:instrText xml:space="preserve"> PAGEREF _Toc488774907 \h </w:instrText>
            </w:r>
            <w:r w:rsidR="00E0505F" w:rsidRPr="00E0505F">
              <w:rPr>
                <w:rFonts w:ascii="Arial" w:hAnsi="Arial" w:cs="Arial"/>
                <w:noProof/>
                <w:webHidden/>
              </w:rPr>
            </w:r>
            <w:r w:rsidR="00E0505F" w:rsidRPr="00E0505F">
              <w:rPr>
                <w:rFonts w:ascii="Arial" w:hAnsi="Arial" w:cs="Arial"/>
                <w:noProof/>
                <w:webHidden/>
              </w:rPr>
              <w:fldChar w:fldCharType="separate"/>
            </w:r>
            <w:r w:rsidR="00225844">
              <w:rPr>
                <w:rFonts w:ascii="Arial" w:hAnsi="Arial" w:cs="Arial"/>
                <w:noProof/>
                <w:webHidden/>
              </w:rPr>
              <w:t>10</w:t>
            </w:r>
            <w:r w:rsidR="00E0505F" w:rsidRPr="00E0505F">
              <w:rPr>
                <w:rFonts w:ascii="Arial" w:hAnsi="Arial" w:cs="Arial"/>
                <w:noProof/>
                <w:webHidden/>
              </w:rPr>
              <w:fldChar w:fldCharType="end"/>
            </w:r>
          </w:hyperlink>
        </w:p>
        <w:p w:rsidR="00E0505F" w:rsidRPr="00E0505F" w:rsidRDefault="00CD5926" w:rsidP="002B538F">
          <w:pPr>
            <w:pStyle w:val="TDC2"/>
            <w:tabs>
              <w:tab w:val="right" w:leader="dot" w:pos="8544"/>
            </w:tabs>
            <w:spacing w:line="360" w:lineRule="auto"/>
            <w:rPr>
              <w:rFonts w:ascii="Arial" w:eastAsiaTheme="minorEastAsia" w:hAnsi="Arial" w:cs="Arial"/>
              <w:noProof/>
              <w:lang w:eastAsia="es-CL"/>
            </w:rPr>
          </w:pPr>
          <w:hyperlink w:anchor="_Toc488774908" w:history="1">
            <w:r w:rsidR="00E0505F" w:rsidRPr="00E0505F">
              <w:rPr>
                <w:rStyle w:val="Hipervnculo"/>
                <w:rFonts w:ascii="Arial" w:hAnsi="Arial" w:cs="Arial"/>
                <w:noProof/>
              </w:rPr>
              <w:t>Sostenibilidad y Desarrollo Sostenible</w:t>
            </w:r>
            <w:r w:rsidR="00E0505F" w:rsidRPr="00E0505F">
              <w:rPr>
                <w:rFonts w:ascii="Arial" w:hAnsi="Arial" w:cs="Arial"/>
                <w:noProof/>
                <w:webHidden/>
              </w:rPr>
              <w:tab/>
            </w:r>
            <w:r w:rsidR="00E0505F" w:rsidRPr="00E0505F">
              <w:rPr>
                <w:rFonts w:ascii="Arial" w:hAnsi="Arial" w:cs="Arial"/>
                <w:noProof/>
                <w:webHidden/>
              </w:rPr>
              <w:fldChar w:fldCharType="begin"/>
            </w:r>
            <w:r w:rsidR="00E0505F" w:rsidRPr="00E0505F">
              <w:rPr>
                <w:rFonts w:ascii="Arial" w:hAnsi="Arial" w:cs="Arial"/>
                <w:noProof/>
                <w:webHidden/>
              </w:rPr>
              <w:instrText xml:space="preserve"> PAGEREF _Toc488774908 \h </w:instrText>
            </w:r>
            <w:r w:rsidR="00E0505F" w:rsidRPr="00E0505F">
              <w:rPr>
                <w:rFonts w:ascii="Arial" w:hAnsi="Arial" w:cs="Arial"/>
                <w:noProof/>
                <w:webHidden/>
              </w:rPr>
            </w:r>
            <w:r w:rsidR="00E0505F" w:rsidRPr="00E0505F">
              <w:rPr>
                <w:rFonts w:ascii="Arial" w:hAnsi="Arial" w:cs="Arial"/>
                <w:noProof/>
                <w:webHidden/>
              </w:rPr>
              <w:fldChar w:fldCharType="separate"/>
            </w:r>
            <w:r w:rsidR="00225844">
              <w:rPr>
                <w:rFonts w:ascii="Arial" w:hAnsi="Arial" w:cs="Arial"/>
                <w:noProof/>
                <w:webHidden/>
              </w:rPr>
              <w:t>10</w:t>
            </w:r>
            <w:r w:rsidR="00E0505F" w:rsidRPr="00E0505F">
              <w:rPr>
                <w:rFonts w:ascii="Arial" w:hAnsi="Arial" w:cs="Arial"/>
                <w:noProof/>
                <w:webHidden/>
              </w:rPr>
              <w:fldChar w:fldCharType="end"/>
            </w:r>
          </w:hyperlink>
        </w:p>
        <w:p w:rsidR="00E0505F" w:rsidRPr="00E0505F" w:rsidRDefault="00CD5926" w:rsidP="002B538F">
          <w:pPr>
            <w:pStyle w:val="TDC2"/>
            <w:tabs>
              <w:tab w:val="right" w:leader="dot" w:pos="8544"/>
            </w:tabs>
            <w:spacing w:line="360" w:lineRule="auto"/>
            <w:rPr>
              <w:rFonts w:ascii="Arial" w:eastAsiaTheme="minorEastAsia" w:hAnsi="Arial" w:cs="Arial"/>
              <w:noProof/>
              <w:lang w:eastAsia="es-CL"/>
            </w:rPr>
          </w:pPr>
          <w:hyperlink w:anchor="_Toc488774909" w:history="1">
            <w:r w:rsidR="00E0505F" w:rsidRPr="00E0505F">
              <w:rPr>
                <w:rStyle w:val="Hipervnculo"/>
                <w:rFonts w:ascii="Arial" w:hAnsi="Arial" w:cs="Arial"/>
                <w:noProof/>
              </w:rPr>
              <w:t>Territorio y su progresión hacia la sostenibilidad</w:t>
            </w:r>
            <w:r w:rsidR="00E0505F" w:rsidRPr="00E0505F">
              <w:rPr>
                <w:rFonts w:ascii="Arial" w:hAnsi="Arial" w:cs="Arial"/>
                <w:noProof/>
                <w:webHidden/>
              </w:rPr>
              <w:tab/>
            </w:r>
            <w:r w:rsidR="00E0505F" w:rsidRPr="00E0505F">
              <w:rPr>
                <w:rFonts w:ascii="Arial" w:hAnsi="Arial" w:cs="Arial"/>
                <w:noProof/>
                <w:webHidden/>
              </w:rPr>
              <w:fldChar w:fldCharType="begin"/>
            </w:r>
            <w:r w:rsidR="00E0505F" w:rsidRPr="00E0505F">
              <w:rPr>
                <w:rFonts w:ascii="Arial" w:hAnsi="Arial" w:cs="Arial"/>
                <w:noProof/>
                <w:webHidden/>
              </w:rPr>
              <w:instrText xml:space="preserve"> PAGEREF _Toc488774909 \h </w:instrText>
            </w:r>
            <w:r w:rsidR="00E0505F" w:rsidRPr="00E0505F">
              <w:rPr>
                <w:rFonts w:ascii="Arial" w:hAnsi="Arial" w:cs="Arial"/>
                <w:noProof/>
                <w:webHidden/>
              </w:rPr>
            </w:r>
            <w:r w:rsidR="00E0505F" w:rsidRPr="00E0505F">
              <w:rPr>
                <w:rFonts w:ascii="Arial" w:hAnsi="Arial" w:cs="Arial"/>
                <w:noProof/>
                <w:webHidden/>
              </w:rPr>
              <w:fldChar w:fldCharType="separate"/>
            </w:r>
            <w:r w:rsidR="00225844">
              <w:rPr>
                <w:rFonts w:ascii="Arial" w:hAnsi="Arial" w:cs="Arial"/>
                <w:noProof/>
                <w:webHidden/>
              </w:rPr>
              <w:t>12</w:t>
            </w:r>
            <w:r w:rsidR="00E0505F" w:rsidRPr="00E0505F">
              <w:rPr>
                <w:rFonts w:ascii="Arial" w:hAnsi="Arial" w:cs="Arial"/>
                <w:noProof/>
                <w:webHidden/>
              </w:rPr>
              <w:fldChar w:fldCharType="end"/>
            </w:r>
          </w:hyperlink>
        </w:p>
        <w:p w:rsidR="00E0505F" w:rsidRPr="00E0505F" w:rsidRDefault="00CD5926" w:rsidP="002B538F">
          <w:pPr>
            <w:pStyle w:val="TDC2"/>
            <w:tabs>
              <w:tab w:val="right" w:leader="dot" w:pos="8544"/>
            </w:tabs>
            <w:spacing w:line="360" w:lineRule="auto"/>
            <w:rPr>
              <w:rFonts w:ascii="Arial" w:eastAsiaTheme="minorEastAsia" w:hAnsi="Arial" w:cs="Arial"/>
              <w:noProof/>
              <w:lang w:eastAsia="es-CL"/>
            </w:rPr>
          </w:pPr>
          <w:hyperlink w:anchor="_Toc488774910" w:history="1">
            <w:r w:rsidR="00E0505F" w:rsidRPr="00E0505F">
              <w:rPr>
                <w:rStyle w:val="Hipervnculo"/>
                <w:rFonts w:ascii="Arial" w:hAnsi="Arial" w:cs="Arial"/>
                <w:noProof/>
              </w:rPr>
              <w:t>Sostenibilidad en la minería</w:t>
            </w:r>
            <w:r w:rsidR="00E0505F" w:rsidRPr="00E0505F">
              <w:rPr>
                <w:rFonts w:ascii="Arial" w:hAnsi="Arial" w:cs="Arial"/>
                <w:noProof/>
                <w:webHidden/>
              </w:rPr>
              <w:tab/>
            </w:r>
            <w:r w:rsidR="00E0505F" w:rsidRPr="00E0505F">
              <w:rPr>
                <w:rFonts w:ascii="Arial" w:hAnsi="Arial" w:cs="Arial"/>
                <w:noProof/>
                <w:webHidden/>
              </w:rPr>
              <w:fldChar w:fldCharType="begin"/>
            </w:r>
            <w:r w:rsidR="00E0505F" w:rsidRPr="00E0505F">
              <w:rPr>
                <w:rFonts w:ascii="Arial" w:hAnsi="Arial" w:cs="Arial"/>
                <w:noProof/>
                <w:webHidden/>
              </w:rPr>
              <w:instrText xml:space="preserve"> PAGEREF _Toc488774910 \h </w:instrText>
            </w:r>
            <w:r w:rsidR="00E0505F" w:rsidRPr="00E0505F">
              <w:rPr>
                <w:rFonts w:ascii="Arial" w:hAnsi="Arial" w:cs="Arial"/>
                <w:noProof/>
                <w:webHidden/>
              </w:rPr>
            </w:r>
            <w:r w:rsidR="00E0505F" w:rsidRPr="00E0505F">
              <w:rPr>
                <w:rFonts w:ascii="Arial" w:hAnsi="Arial" w:cs="Arial"/>
                <w:noProof/>
                <w:webHidden/>
              </w:rPr>
              <w:fldChar w:fldCharType="separate"/>
            </w:r>
            <w:r w:rsidR="00225844">
              <w:rPr>
                <w:rFonts w:ascii="Arial" w:hAnsi="Arial" w:cs="Arial"/>
                <w:noProof/>
                <w:webHidden/>
              </w:rPr>
              <w:t>32</w:t>
            </w:r>
            <w:r w:rsidR="00E0505F" w:rsidRPr="00E0505F">
              <w:rPr>
                <w:rFonts w:ascii="Arial" w:hAnsi="Arial" w:cs="Arial"/>
                <w:noProof/>
                <w:webHidden/>
              </w:rPr>
              <w:fldChar w:fldCharType="end"/>
            </w:r>
          </w:hyperlink>
        </w:p>
        <w:p w:rsidR="00E0505F" w:rsidRPr="00E0505F" w:rsidRDefault="00CD5926" w:rsidP="002B538F">
          <w:pPr>
            <w:pStyle w:val="TDC1"/>
            <w:tabs>
              <w:tab w:val="right" w:leader="dot" w:pos="8544"/>
            </w:tabs>
            <w:spacing w:line="360" w:lineRule="auto"/>
            <w:rPr>
              <w:rFonts w:ascii="Arial" w:eastAsiaTheme="minorEastAsia" w:hAnsi="Arial" w:cs="Arial"/>
              <w:noProof/>
              <w:lang w:eastAsia="es-CL"/>
            </w:rPr>
          </w:pPr>
          <w:hyperlink w:anchor="_Toc488774911" w:history="1">
            <w:r w:rsidR="00E0505F" w:rsidRPr="00E0505F">
              <w:rPr>
                <w:rStyle w:val="Hipervnculo"/>
                <w:rFonts w:ascii="Arial" w:hAnsi="Arial" w:cs="Arial"/>
                <w:noProof/>
              </w:rPr>
              <w:t>MATERIALES Y MÉTODOS</w:t>
            </w:r>
            <w:r w:rsidR="00E0505F" w:rsidRPr="00E0505F">
              <w:rPr>
                <w:rFonts w:ascii="Arial" w:hAnsi="Arial" w:cs="Arial"/>
                <w:noProof/>
                <w:webHidden/>
              </w:rPr>
              <w:tab/>
            </w:r>
            <w:r w:rsidR="00E0505F" w:rsidRPr="00E0505F">
              <w:rPr>
                <w:rFonts w:ascii="Arial" w:hAnsi="Arial" w:cs="Arial"/>
                <w:noProof/>
                <w:webHidden/>
              </w:rPr>
              <w:fldChar w:fldCharType="begin"/>
            </w:r>
            <w:r w:rsidR="00E0505F" w:rsidRPr="00E0505F">
              <w:rPr>
                <w:rFonts w:ascii="Arial" w:hAnsi="Arial" w:cs="Arial"/>
                <w:noProof/>
                <w:webHidden/>
              </w:rPr>
              <w:instrText xml:space="preserve"> PAGEREF _Toc488774911 \h </w:instrText>
            </w:r>
            <w:r w:rsidR="00E0505F" w:rsidRPr="00E0505F">
              <w:rPr>
                <w:rFonts w:ascii="Arial" w:hAnsi="Arial" w:cs="Arial"/>
                <w:noProof/>
                <w:webHidden/>
              </w:rPr>
            </w:r>
            <w:r w:rsidR="00E0505F" w:rsidRPr="00E0505F">
              <w:rPr>
                <w:rFonts w:ascii="Arial" w:hAnsi="Arial" w:cs="Arial"/>
                <w:noProof/>
                <w:webHidden/>
              </w:rPr>
              <w:fldChar w:fldCharType="separate"/>
            </w:r>
            <w:r w:rsidR="00225844">
              <w:rPr>
                <w:rFonts w:ascii="Arial" w:hAnsi="Arial" w:cs="Arial"/>
                <w:noProof/>
                <w:webHidden/>
              </w:rPr>
              <w:t>43</w:t>
            </w:r>
            <w:r w:rsidR="00E0505F" w:rsidRPr="00E0505F">
              <w:rPr>
                <w:rFonts w:ascii="Arial" w:hAnsi="Arial" w:cs="Arial"/>
                <w:noProof/>
                <w:webHidden/>
              </w:rPr>
              <w:fldChar w:fldCharType="end"/>
            </w:r>
          </w:hyperlink>
        </w:p>
        <w:p w:rsidR="00E0505F" w:rsidRPr="00E0505F" w:rsidRDefault="00CD5926" w:rsidP="002B538F">
          <w:pPr>
            <w:pStyle w:val="TDC2"/>
            <w:tabs>
              <w:tab w:val="right" w:leader="dot" w:pos="8544"/>
            </w:tabs>
            <w:spacing w:line="360" w:lineRule="auto"/>
            <w:rPr>
              <w:rFonts w:ascii="Arial" w:eastAsiaTheme="minorEastAsia" w:hAnsi="Arial" w:cs="Arial"/>
              <w:noProof/>
              <w:lang w:eastAsia="es-CL"/>
            </w:rPr>
          </w:pPr>
          <w:hyperlink w:anchor="_Toc488774912" w:history="1">
            <w:r w:rsidR="00E0505F" w:rsidRPr="00E0505F">
              <w:rPr>
                <w:rStyle w:val="Hipervnculo"/>
                <w:rFonts w:ascii="Arial" w:hAnsi="Arial" w:cs="Arial"/>
                <w:noProof/>
              </w:rPr>
              <w:t>AREA DE ESTUDIO</w:t>
            </w:r>
            <w:r w:rsidR="00E0505F" w:rsidRPr="00E0505F">
              <w:rPr>
                <w:rFonts w:ascii="Arial" w:hAnsi="Arial" w:cs="Arial"/>
                <w:noProof/>
                <w:webHidden/>
              </w:rPr>
              <w:tab/>
            </w:r>
            <w:r w:rsidR="00E0505F" w:rsidRPr="00E0505F">
              <w:rPr>
                <w:rFonts w:ascii="Arial" w:hAnsi="Arial" w:cs="Arial"/>
                <w:noProof/>
                <w:webHidden/>
              </w:rPr>
              <w:fldChar w:fldCharType="begin"/>
            </w:r>
            <w:r w:rsidR="00E0505F" w:rsidRPr="00E0505F">
              <w:rPr>
                <w:rFonts w:ascii="Arial" w:hAnsi="Arial" w:cs="Arial"/>
                <w:noProof/>
                <w:webHidden/>
              </w:rPr>
              <w:instrText xml:space="preserve"> PAGEREF _Toc488774912 \h </w:instrText>
            </w:r>
            <w:r w:rsidR="00E0505F" w:rsidRPr="00E0505F">
              <w:rPr>
                <w:rFonts w:ascii="Arial" w:hAnsi="Arial" w:cs="Arial"/>
                <w:noProof/>
                <w:webHidden/>
              </w:rPr>
            </w:r>
            <w:r w:rsidR="00E0505F" w:rsidRPr="00E0505F">
              <w:rPr>
                <w:rFonts w:ascii="Arial" w:hAnsi="Arial" w:cs="Arial"/>
                <w:noProof/>
                <w:webHidden/>
              </w:rPr>
              <w:fldChar w:fldCharType="separate"/>
            </w:r>
            <w:r w:rsidR="00225844">
              <w:rPr>
                <w:rFonts w:ascii="Arial" w:hAnsi="Arial" w:cs="Arial"/>
                <w:noProof/>
                <w:webHidden/>
              </w:rPr>
              <w:t>50</w:t>
            </w:r>
            <w:r w:rsidR="00E0505F" w:rsidRPr="00E0505F">
              <w:rPr>
                <w:rFonts w:ascii="Arial" w:hAnsi="Arial" w:cs="Arial"/>
                <w:noProof/>
                <w:webHidden/>
              </w:rPr>
              <w:fldChar w:fldCharType="end"/>
            </w:r>
          </w:hyperlink>
        </w:p>
        <w:p w:rsidR="00E0505F" w:rsidRPr="00E0505F" w:rsidRDefault="00CD5926" w:rsidP="002B538F">
          <w:pPr>
            <w:pStyle w:val="TDC1"/>
            <w:tabs>
              <w:tab w:val="right" w:leader="dot" w:pos="8544"/>
            </w:tabs>
            <w:spacing w:line="360" w:lineRule="auto"/>
            <w:rPr>
              <w:rFonts w:ascii="Arial" w:eastAsiaTheme="minorEastAsia" w:hAnsi="Arial" w:cs="Arial"/>
              <w:noProof/>
              <w:lang w:eastAsia="es-CL"/>
            </w:rPr>
          </w:pPr>
          <w:hyperlink w:anchor="_Toc488774913" w:history="1">
            <w:r w:rsidR="00E0505F" w:rsidRPr="00E0505F">
              <w:rPr>
                <w:rStyle w:val="Hipervnculo"/>
                <w:rFonts w:ascii="Arial" w:hAnsi="Arial" w:cs="Arial"/>
                <w:noProof/>
              </w:rPr>
              <w:t>RESULTADOS</w:t>
            </w:r>
            <w:r w:rsidR="00E0505F" w:rsidRPr="00E0505F">
              <w:rPr>
                <w:rFonts w:ascii="Arial" w:hAnsi="Arial" w:cs="Arial"/>
                <w:noProof/>
                <w:webHidden/>
              </w:rPr>
              <w:tab/>
            </w:r>
            <w:r w:rsidR="00E0505F" w:rsidRPr="00E0505F">
              <w:rPr>
                <w:rFonts w:ascii="Arial" w:hAnsi="Arial" w:cs="Arial"/>
                <w:noProof/>
                <w:webHidden/>
              </w:rPr>
              <w:fldChar w:fldCharType="begin"/>
            </w:r>
            <w:r w:rsidR="00E0505F" w:rsidRPr="00E0505F">
              <w:rPr>
                <w:rFonts w:ascii="Arial" w:hAnsi="Arial" w:cs="Arial"/>
                <w:noProof/>
                <w:webHidden/>
              </w:rPr>
              <w:instrText xml:space="preserve"> PAGEREF _Toc488774913 \h </w:instrText>
            </w:r>
            <w:r w:rsidR="00E0505F" w:rsidRPr="00E0505F">
              <w:rPr>
                <w:rFonts w:ascii="Arial" w:hAnsi="Arial" w:cs="Arial"/>
                <w:noProof/>
                <w:webHidden/>
              </w:rPr>
            </w:r>
            <w:r w:rsidR="00E0505F" w:rsidRPr="00E0505F">
              <w:rPr>
                <w:rFonts w:ascii="Arial" w:hAnsi="Arial" w:cs="Arial"/>
                <w:noProof/>
                <w:webHidden/>
              </w:rPr>
              <w:fldChar w:fldCharType="separate"/>
            </w:r>
            <w:r w:rsidR="00225844">
              <w:rPr>
                <w:rFonts w:ascii="Arial" w:hAnsi="Arial" w:cs="Arial"/>
                <w:noProof/>
                <w:webHidden/>
              </w:rPr>
              <w:t>54</w:t>
            </w:r>
            <w:r w:rsidR="00E0505F" w:rsidRPr="00E0505F">
              <w:rPr>
                <w:rFonts w:ascii="Arial" w:hAnsi="Arial" w:cs="Arial"/>
                <w:noProof/>
                <w:webHidden/>
              </w:rPr>
              <w:fldChar w:fldCharType="end"/>
            </w:r>
          </w:hyperlink>
        </w:p>
        <w:p w:rsidR="00E0505F" w:rsidRPr="00E0505F" w:rsidRDefault="00CD5926" w:rsidP="002B538F">
          <w:pPr>
            <w:pStyle w:val="TDC2"/>
            <w:tabs>
              <w:tab w:val="right" w:leader="dot" w:pos="8544"/>
            </w:tabs>
            <w:spacing w:line="360" w:lineRule="auto"/>
            <w:rPr>
              <w:rFonts w:ascii="Arial" w:eastAsiaTheme="minorEastAsia" w:hAnsi="Arial" w:cs="Arial"/>
              <w:noProof/>
              <w:lang w:eastAsia="es-CL"/>
            </w:rPr>
          </w:pPr>
          <w:hyperlink w:anchor="_Toc488774914" w:history="1">
            <w:r w:rsidR="00E0505F" w:rsidRPr="00E0505F">
              <w:rPr>
                <w:rStyle w:val="Hipervnculo"/>
                <w:rFonts w:ascii="Arial" w:hAnsi="Arial" w:cs="Arial"/>
                <w:noProof/>
              </w:rPr>
              <w:t>Desarrollo de Marco conceptual de principios de sostenibilidad</w:t>
            </w:r>
            <w:r w:rsidR="00E0505F" w:rsidRPr="00E0505F">
              <w:rPr>
                <w:rFonts w:ascii="Arial" w:hAnsi="Arial" w:cs="Arial"/>
                <w:noProof/>
                <w:webHidden/>
              </w:rPr>
              <w:tab/>
            </w:r>
            <w:r w:rsidR="00E0505F" w:rsidRPr="00E0505F">
              <w:rPr>
                <w:rFonts w:ascii="Arial" w:hAnsi="Arial" w:cs="Arial"/>
                <w:noProof/>
                <w:webHidden/>
              </w:rPr>
              <w:fldChar w:fldCharType="begin"/>
            </w:r>
            <w:r w:rsidR="00E0505F" w:rsidRPr="00E0505F">
              <w:rPr>
                <w:rFonts w:ascii="Arial" w:hAnsi="Arial" w:cs="Arial"/>
                <w:noProof/>
                <w:webHidden/>
              </w:rPr>
              <w:instrText xml:space="preserve"> PAGEREF _Toc488774914 \h </w:instrText>
            </w:r>
            <w:r w:rsidR="00E0505F" w:rsidRPr="00E0505F">
              <w:rPr>
                <w:rFonts w:ascii="Arial" w:hAnsi="Arial" w:cs="Arial"/>
                <w:noProof/>
                <w:webHidden/>
              </w:rPr>
            </w:r>
            <w:r w:rsidR="00E0505F" w:rsidRPr="00E0505F">
              <w:rPr>
                <w:rFonts w:ascii="Arial" w:hAnsi="Arial" w:cs="Arial"/>
                <w:noProof/>
                <w:webHidden/>
              </w:rPr>
              <w:fldChar w:fldCharType="separate"/>
            </w:r>
            <w:r w:rsidR="00225844">
              <w:rPr>
                <w:rFonts w:ascii="Arial" w:hAnsi="Arial" w:cs="Arial"/>
                <w:noProof/>
                <w:webHidden/>
              </w:rPr>
              <w:t>54</w:t>
            </w:r>
            <w:r w:rsidR="00E0505F" w:rsidRPr="00E0505F">
              <w:rPr>
                <w:rFonts w:ascii="Arial" w:hAnsi="Arial" w:cs="Arial"/>
                <w:noProof/>
                <w:webHidden/>
              </w:rPr>
              <w:fldChar w:fldCharType="end"/>
            </w:r>
          </w:hyperlink>
        </w:p>
        <w:p w:rsidR="00E0505F" w:rsidRPr="00E0505F" w:rsidRDefault="00CD5926" w:rsidP="002B538F">
          <w:pPr>
            <w:pStyle w:val="TDC2"/>
            <w:tabs>
              <w:tab w:val="right" w:leader="dot" w:pos="8544"/>
            </w:tabs>
            <w:spacing w:line="360" w:lineRule="auto"/>
            <w:rPr>
              <w:rFonts w:ascii="Arial" w:eastAsiaTheme="minorEastAsia" w:hAnsi="Arial" w:cs="Arial"/>
              <w:noProof/>
              <w:lang w:eastAsia="es-CL"/>
            </w:rPr>
          </w:pPr>
          <w:hyperlink w:anchor="_Toc488774915" w:history="1">
            <w:r w:rsidR="00E0505F" w:rsidRPr="00E0505F">
              <w:rPr>
                <w:rStyle w:val="Hipervnculo"/>
                <w:rFonts w:ascii="Arial" w:hAnsi="Arial" w:cs="Arial"/>
                <w:noProof/>
              </w:rPr>
              <w:t>Estudios de Caso de Territorios bajo estudio</w:t>
            </w:r>
            <w:r w:rsidR="00E0505F" w:rsidRPr="00E0505F">
              <w:rPr>
                <w:rFonts w:ascii="Arial" w:hAnsi="Arial" w:cs="Arial"/>
                <w:noProof/>
                <w:webHidden/>
              </w:rPr>
              <w:tab/>
            </w:r>
            <w:r w:rsidR="00E0505F" w:rsidRPr="00E0505F">
              <w:rPr>
                <w:rFonts w:ascii="Arial" w:hAnsi="Arial" w:cs="Arial"/>
                <w:noProof/>
                <w:webHidden/>
              </w:rPr>
              <w:fldChar w:fldCharType="begin"/>
            </w:r>
            <w:r w:rsidR="00E0505F" w:rsidRPr="00E0505F">
              <w:rPr>
                <w:rFonts w:ascii="Arial" w:hAnsi="Arial" w:cs="Arial"/>
                <w:noProof/>
                <w:webHidden/>
              </w:rPr>
              <w:instrText xml:space="preserve"> PAGEREF _Toc488774915 \h </w:instrText>
            </w:r>
            <w:r w:rsidR="00E0505F" w:rsidRPr="00E0505F">
              <w:rPr>
                <w:rFonts w:ascii="Arial" w:hAnsi="Arial" w:cs="Arial"/>
                <w:noProof/>
                <w:webHidden/>
              </w:rPr>
            </w:r>
            <w:r w:rsidR="00E0505F" w:rsidRPr="00E0505F">
              <w:rPr>
                <w:rFonts w:ascii="Arial" w:hAnsi="Arial" w:cs="Arial"/>
                <w:noProof/>
                <w:webHidden/>
              </w:rPr>
              <w:fldChar w:fldCharType="separate"/>
            </w:r>
            <w:r w:rsidR="00225844">
              <w:rPr>
                <w:rFonts w:ascii="Arial" w:hAnsi="Arial" w:cs="Arial"/>
                <w:noProof/>
                <w:webHidden/>
              </w:rPr>
              <w:t>64</w:t>
            </w:r>
            <w:r w:rsidR="00E0505F" w:rsidRPr="00E0505F">
              <w:rPr>
                <w:rFonts w:ascii="Arial" w:hAnsi="Arial" w:cs="Arial"/>
                <w:noProof/>
                <w:webHidden/>
              </w:rPr>
              <w:fldChar w:fldCharType="end"/>
            </w:r>
          </w:hyperlink>
        </w:p>
        <w:p w:rsidR="00E0505F" w:rsidRPr="00E0505F" w:rsidRDefault="00CD5926" w:rsidP="002B538F">
          <w:pPr>
            <w:pStyle w:val="TDC2"/>
            <w:tabs>
              <w:tab w:val="right" w:leader="dot" w:pos="8544"/>
            </w:tabs>
            <w:spacing w:line="360" w:lineRule="auto"/>
            <w:rPr>
              <w:rFonts w:ascii="Arial" w:eastAsiaTheme="minorEastAsia" w:hAnsi="Arial" w:cs="Arial"/>
              <w:noProof/>
              <w:lang w:eastAsia="es-CL"/>
            </w:rPr>
          </w:pPr>
          <w:hyperlink w:anchor="_Toc488774916" w:history="1">
            <w:r w:rsidR="00E0505F" w:rsidRPr="00E0505F">
              <w:rPr>
                <w:rStyle w:val="Hipervnculo"/>
                <w:rFonts w:ascii="Arial" w:hAnsi="Arial" w:cs="Arial"/>
                <w:noProof/>
              </w:rPr>
              <w:t>Propuesta de principios y criterios de sostenibilidad para territorios mineros</w:t>
            </w:r>
            <w:r w:rsidR="00E0505F" w:rsidRPr="00E0505F">
              <w:rPr>
                <w:rFonts w:ascii="Arial" w:hAnsi="Arial" w:cs="Arial"/>
                <w:noProof/>
                <w:webHidden/>
              </w:rPr>
              <w:tab/>
            </w:r>
            <w:r w:rsidR="00E0505F" w:rsidRPr="00E0505F">
              <w:rPr>
                <w:rFonts w:ascii="Arial" w:hAnsi="Arial" w:cs="Arial"/>
                <w:noProof/>
                <w:webHidden/>
              </w:rPr>
              <w:fldChar w:fldCharType="begin"/>
            </w:r>
            <w:r w:rsidR="00E0505F" w:rsidRPr="00E0505F">
              <w:rPr>
                <w:rFonts w:ascii="Arial" w:hAnsi="Arial" w:cs="Arial"/>
                <w:noProof/>
                <w:webHidden/>
              </w:rPr>
              <w:instrText xml:space="preserve"> PAGEREF _Toc488774916 \h </w:instrText>
            </w:r>
            <w:r w:rsidR="00E0505F" w:rsidRPr="00E0505F">
              <w:rPr>
                <w:rFonts w:ascii="Arial" w:hAnsi="Arial" w:cs="Arial"/>
                <w:noProof/>
                <w:webHidden/>
              </w:rPr>
            </w:r>
            <w:r w:rsidR="00E0505F" w:rsidRPr="00E0505F">
              <w:rPr>
                <w:rFonts w:ascii="Arial" w:hAnsi="Arial" w:cs="Arial"/>
                <w:noProof/>
                <w:webHidden/>
              </w:rPr>
              <w:fldChar w:fldCharType="separate"/>
            </w:r>
            <w:r w:rsidR="00225844">
              <w:rPr>
                <w:rFonts w:ascii="Arial" w:hAnsi="Arial" w:cs="Arial"/>
                <w:noProof/>
                <w:webHidden/>
              </w:rPr>
              <w:t>140</w:t>
            </w:r>
            <w:r w:rsidR="00E0505F" w:rsidRPr="00E0505F">
              <w:rPr>
                <w:rFonts w:ascii="Arial" w:hAnsi="Arial" w:cs="Arial"/>
                <w:noProof/>
                <w:webHidden/>
              </w:rPr>
              <w:fldChar w:fldCharType="end"/>
            </w:r>
          </w:hyperlink>
        </w:p>
        <w:p w:rsidR="00E0505F" w:rsidRPr="00E0505F" w:rsidRDefault="00CD5926" w:rsidP="002B538F">
          <w:pPr>
            <w:pStyle w:val="TDC2"/>
            <w:tabs>
              <w:tab w:val="right" w:leader="dot" w:pos="8544"/>
            </w:tabs>
            <w:spacing w:line="360" w:lineRule="auto"/>
            <w:rPr>
              <w:rFonts w:ascii="Arial" w:eastAsiaTheme="minorEastAsia" w:hAnsi="Arial" w:cs="Arial"/>
              <w:noProof/>
              <w:lang w:eastAsia="es-CL"/>
            </w:rPr>
          </w:pPr>
          <w:hyperlink w:anchor="_Toc488774917" w:history="1">
            <w:r w:rsidR="00E0505F" w:rsidRPr="00E0505F">
              <w:rPr>
                <w:rStyle w:val="Hipervnculo"/>
                <w:rFonts w:ascii="Arial" w:hAnsi="Arial" w:cs="Arial"/>
                <w:noProof/>
              </w:rPr>
              <w:t>Evaluación de sostenibilidad de territorios mineros del Norte Chico</w:t>
            </w:r>
            <w:r w:rsidR="00E0505F" w:rsidRPr="00E0505F">
              <w:rPr>
                <w:rFonts w:ascii="Arial" w:hAnsi="Arial" w:cs="Arial"/>
                <w:noProof/>
                <w:webHidden/>
              </w:rPr>
              <w:tab/>
            </w:r>
            <w:r w:rsidR="00E0505F" w:rsidRPr="00E0505F">
              <w:rPr>
                <w:rFonts w:ascii="Arial" w:hAnsi="Arial" w:cs="Arial"/>
                <w:noProof/>
                <w:webHidden/>
              </w:rPr>
              <w:fldChar w:fldCharType="begin"/>
            </w:r>
            <w:r w:rsidR="00E0505F" w:rsidRPr="00E0505F">
              <w:rPr>
                <w:rFonts w:ascii="Arial" w:hAnsi="Arial" w:cs="Arial"/>
                <w:noProof/>
                <w:webHidden/>
              </w:rPr>
              <w:instrText xml:space="preserve"> PAGEREF _Toc488774917 \h </w:instrText>
            </w:r>
            <w:r w:rsidR="00E0505F" w:rsidRPr="00E0505F">
              <w:rPr>
                <w:rFonts w:ascii="Arial" w:hAnsi="Arial" w:cs="Arial"/>
                <w:noProof/>
                <w:webHidden/>
              </w:rPr>
            </w:r>
            <w:r w:rsidR="00E0505F" w:rsidRPr="00E0505F">
              <w:rPr>
                <w:rFonts w:ascii="Arial" w:hAnsi="Arial" w:cs="Arial"/>
                <w:noProof/>
                <w:webHidden/>
              </w:rPr>
              <w:fldChar w:fldCharType="separate"/>
            </w:r>
            <w:r w:rsidR="00225844">
              <w:rPr>
                <w:rFonts w:ascii="Arial" w:hAnsi="Arial" w:cs="Arial"/>
                <w:noProof/>
                <w:webHidden/>
              </w:rPr>
              <w:t>148</w:t>
            </w:r>
            <w:r w:rsidR="00E0505F" w:rsidRPr="00E0505F">
              <w:rPr>
                <w:rFonts w:ascii="Arial" w:hAnsi="Arial" w:cs="Arial"/>
                <w:noProof/>
                <w:webHidden/>
              </w:rPr>
              <w:fldChar w:fldCharType="end"/>
            </w:r>
          </w:hyperlink>
        </w:p>
        <w:p w:rsidR="00E0505F" w:rsidRPr="00E0505F" w:rsidRDefault="00CD5926" w:rsidP="002B538F">
          <w:pPr>
            <w:pStyle w:val="TDC1"/>
            <w:tabs>
              <w:tab w:val="right" w:leader="dot" w:pos="8544"/>
            </w:tabs>
            <w:spacing w:line="360" w:lineRule="auto"/>
            <w:rPr>
              <w:rFonts w:ascii="Arial" w:eastAsiaTheme="minorEastAsia" w:hAnsi="Arial" w:cs="Arial"/>
              <w:noProof/>
              <w:lang w:eastAsia="es-CL"/>
            </w:rPr>
          </w:pPr>
          <w:hyperlink w:anchor="_Toc488774918" w:history="1">
            <w:r w:rsidR="00E0505F" w:rsidRPr="00E0505F">
              <w:rPr>
                <w:rStyle w:val="Hipervnculo"/>
                <w:rFonts w:ascii="Arial" w:hAnsi="Arial" w:cs="Arial"/>
                <w:noProof/>
              </w:rPr>
              <w:t>DISCUSIÓN</w:t>
            </w:r>
            <w:r w:rsidR="00E0505F" w:rsidRPr="00E0505F">
              <w:rPr>
                <w:rFonts w:ascii="Arial" w:hAnsi="Arial" w:cs="Arial"/>
                <w:noProof/>
                <w:webHidden/>
              </w:rPr>
              <w:tab/>
            </w:r>
            <w:r w:rsidR="00E0505F" w:rsidRPr="00E0505F">
              <w:rPr>
                <w:rFonts w:ascii="Arial" w:hAnsi="Arial" w:cs="Arial"/>
                <w:noProof/>
                <w:webHidden/>
              </w:rPr>
              <w:fldChar w:fldCharType="begin"/>
            </w:r>
            <w:r w:rsidR="00E0505F" w:rsidRPr="00E0505F">
              <w:rPr>
                <w:rFonts w:ascii="Arial" w:hAnsi="Arial" w:cs="Arial"/>
                <w:noProof/>
                <w:webHidden/>
              </w:rPr>
              <w:instrText xml:space="preserve"> PAGEREF _Toc488774918 \h </w:instrText>
            </w:r>
            <w:r w:rsidR="00E0505F" w:rsidRPr="00E0505F">
              <w:rPr>
                <w:rFonts w:ascii="Arial" w:hAnsi="Arial" w:cs="Arial"/>
                <w:noProof/>
                <w:webHidden/>
              </w:rPr>
            </w:r>
            <w:r w:rsidR="00E0505F" w:rsidRPr="00E0505F">
              <w:rPr>
                <w:rFonts w:ascii="Arial" w:hAnsi="Arial" w:cs="Arial"/>
                <w:noProof/>
                <w:webHidden/>
              </w:rPr>
              <w:fldChar w:fldCharType="separate"/>
            </w:r>
            <w:r w:rsidR="00225844">
              <w:rPr>
                <w:rFonts w:ascii="Arial" w:hAnsi="Arial" w:cs="Arial"/>
                <w:noProof/>
                <w:webHidden/>
              </w:rPr>
              <w:t>155</w:t>
            </w:r>
            <w:r w:rsidR="00E0505F" w:rsidRPr="00E0505F">
              <w:rPr>
                <w:rFonts w:ascii="Arial" w:hAnsi="Arial" w:cs="Arial"/>
                <w:noProof/>
                <w:webHidden/>
              </w:rPr>
              <w:fldChar w:fldCharType="end"/>
            </w:r>
          </w:hyperlink>
        </w:p>
        <w:p w:rsidR="00E0505F" w:rsidRPr="00E0505F" w:rsidRDefault="00CD5926" w:rsidP="002B538F">
          <w:pPr>
            <w:pStyle w:val="TDC2"/>
            <w:tabs>
              <w:tab w:val="right" w:leader="dot" w:pos="8544"/>
            </w:tabs>
            <w:spacing w:line="360" w:lineRule="auto"/>
            <w:rPr>
              <w:rFonts w:ascii="Arial" w:eastAsiaTheme="minorEastAsia" w:hAnsi="Arial" w:cs="Arial"/>
              <w:noProof/>
              <w:lang w:eastAsia="es-CL"/>
            </w:rPr>
          </w:pPr>
          <w:hyperlink w:anchor="_Toc488774919" w:history="1">
            <w:r w:rsidR="00E0505F" w:rsidRPr="00E0505F">
              <w:rPr>
                <w:rStyle w:val="Hipervnculo"/>
                <w:rFonts w:ascii="Arial" w:hAnsi="Arial" w:cs="Arial"/>
                <w:noProof/>
              </w:rPr>
              <w:t>Desarrollo de marco conceptual</w:t>
            </w:r>
            <w:r w:rsidR="00E0505F" w:rsidRPr="00E0505F">
              <w:rPr>
                <w:rFonts w:ascii="Arial" w:hAnsi="Arial" w:cs="Arial"/>
                <w:noProof/>
                <w:webHidden/>
              </w:rPr>
              <w:tab/>
            </w:r>
            <w:r w:rsidR="00E0505F" w:rsidRPr="00E0505F">
              <w:rPr>
                <w:rFonts w:ascii="Arial" w:hAnsi="Arial" w:cs="Arial"/>
                <w:noProof/>
                <w:webHidden/>
              </w:rPr>
              <w:fldChar w:fldCharType="begin"/>
            </w:r>
            <w:r w:rsidR="00E0505F" w:rsidRPr="00E0505F">
              <w:rPr>
                <w:rFonts w:ascii="Arial" w:hAnsi="Arial" w:cs="Arial"/>
                <w:noProof/>
                <w:webHidden/>
              </w:rPr>
              <w:instrText xml:space="preserve"> PAGEREF _Toc488774919 \h </w:instrText>
            </w:r>
            <w:r w:rsidR="00E0505F" w:rsidRPr="00E0505F">
              <w:rPr>
                <w:rFonts w:ascii="Arial" w:hAnsi="Arial" w:cs="Arial"/>
                <w:noProof/>
                <w:webHidden/>
              </w:rPr>
            </w:r>
            <w:r w:rsidR="00E0505F" w:rsidRPr="00E0505F">
              <w:rPr>
                <w:rFonts w:ascii="Arial" w:hAnsi="Arial" w:cs="Arial"/>
                <w:noProof/>
                <w:webHidden/>
              </w:rPr>
              <w:fldChar w:fldCharType="separate"/>
            </w:r>
            <w:r w:rsidR="00225844">
              <w:rPr>
                <w:rFonts w:ascii="Arial" w:hAnsi="Arial" w:cs="Arial"/>
                <w:noProof/>
                <w:webHidden/>
              </w:rPr>
              <w:t>155</w:t>
            </w:r>
            <w:r w:rsidR="00E0505F" w:rsidRPr="00E0505F">
              <w:rPr>
                <w:rFonts w:ascii="Arial" w:hAnsi="Arial" w:cs="Arial"/>
                <w:noProof/>
                <w:webHidden/>
              </w:rPr>
              <w:fldChar w:fldCharType="end"/>
            </w:r>
          </w:hyperlink>
        </w:p>
        <w:p w:rsidR="00E0505F" w:rsidRPr="00E0505F" w:rsidRDefault="00CD5926" w:rsidP="002B538F">
          <w:pPr>
            <w:pStyle w:val="TDC2"/>
            <w:tabs>
              <w:tab w:val="right" w:leader="dot" w:pos="8544"/>
            </w:tabs>
            <w:spacing w:line="360" w:lineRule="auto"/>
            <w:rPr>
              <w:rFonts w:ascii="Arial" w:eastAsiaTheme="minorEastAsia" w:hAnsi="Arial" w:cs="Arial"/>
              <w:noProof/>
              <w:lang w:eastAsia="es-CL"/>
            </w:rPr>
          </w:pPr>
          <w:hyperlink w:anchor="_Toc488774920" w:history="1">
            <w:r w:rsidR="00E0505F" w:rsidRPr="00E0505F">
              <w:rPr>
                <w:rStyle w:val="Hipervnculo"/>
                <w:rFonts w:ascii="Arial" w:hAnsi="Arial" w:cs="Arial"/>
                <w:noProof/>
              </w:rPr>
              <w:t>Estudios de caso</w:t>
            </w:r>
            <w:r w:rsidR="00E0505F" w:rsidRPr="00E0505F">
              <w:rPr>
                <w:rFonts w:ascii="Arial" w:hAnsi="Arial" w:cs="Arial"/>
                <w:noProof/>
                <w:webHidden/>
              </w:rPr>
              <w:tab/>
            </w:r>
            <w:r w:rsidR="00E0505F" w:rsidRPr="00E0505F">
              <w:rPr>
                <w:rFonts w:ascii="Arial" w:hAnsi="Arial" w:cs="Arial"/>
                <w:noProof/>
                <w:webHidden/>
              </w:rPr>
              <w:fldChar w:fldCharType="begin"/>
            </w:r>
            <w:r w:rsidR="00E0505F" w:rsidRPr="00E0505F">
              <w:rPr>
                <w:rFonts w:ascii="Arial" w:hAnsi="Arial" w:cs="Arial"/>
                <w:noProof/>
                <w:webHidden/>
              </w:rPr>
              <w:instrText xml:space="preserve"> PAGEREF _Toc488774920 \h </w:instrText>
            </w:r>
            <w:r w:rsidR="00E0505F" w:rsidRPr="00E0505F">
              <w:rPr>
                <w:rFonts w:ascii="Arial" w:hAnsi="Arial" w:cs="Arial"/>
                <w:noProof/>
                <w:webHidden/>
              </w:rPr>
            </w:r>
            <w:r w:rsidR="00E0505F" w:rsidRPr="00E0505F">
              <w:rPr>
                <w:rFonts w:ascii="Arial" w:hAnsi="Arial" w:cs="Arial"/>
                <w:noProof/>
                <w:webHidden/>
              </w:rPr>
              <w:fldChar w:fldCharType="separate"/>
            </w:r>
            <w:r w:rsidR="00225844">
              <w:rPr>
                <w:rFonts w:ascii="Arial" w:hAnsi="Arial" w:cs="Arial"/>
                <w:noProof/>
                <w:webHidden/>
              </w:rPr>
              <w:t>157</w:t>
            </w:r>
            <w:r w:rsidR="00E0505F" w:rsidRPr="00E0505F">
              <w:rPr>
                <w:rFonts w:ascii="Arial" w:hAnsi="Arial" w:cs="Arial"/>
                <w:noProof/>
                <w:webHidden/>
              </w:rPr>
              <w:fldChar w:fldCharType="end"/>
            </w:r>
          </w:hyperlink>
        </w:p>
        <w:p w:rsidR="00E0505F" w:rsidRPr="00E0505F" w:rsidRDefault="00CD5926" w:rsidP="002B538F">
          <w:pPr>
            <w:pStyle w:val="TDC2"/>
            <w:tabs>
              <w:tab w:val="right" w:leader="dot" w:pos="8544"/>
            </w:tabs>
            <w:spacing w:line="360" w:lineRule="auto"/>
            <w:rPr>
              <w:rFonts w:ascii="Arial" w:eastAsiaTheme="minorEastAsia" w:hAnsi="Arial" w:cs="Arial"/>
              <w:noProof/>
              <w:lang w:eastAsia="es-CL"/>
            </w:rPr>
          </w:pPr>
          <w:hyperlink w:anchor="_Toc488774921" w:history="1">
            <w:r w:rsidR="00E0505F" w:rsidRPr="00E0505F">
              <w:rPr>
                <w:rStyle w:val="Hipervnculo"/>
                <w:rFonts w:ascii="Arial" w:hAnsi="Arial" w:cs="Arial"/>
                <w:noProof/>
              </w:rPr>
              <w:t>Evaluación sostenibilidad de territorios mineros</w:t>
            </w:r>
            <w:r w:rsidR="00E0505F" w:rsidRPr="00E0505F">
              <w:rPr>
                <w:rFonts w:ascii="Arial" w:hAnsi="Arial" w:cs="Arial"/>
                <w:noProof/>
                <w:webHidden/>
              </w:rPr>
              <w:tab/>
            </w:r>
            <w:r w:rsidR="00E0505F" w:rsidRPr="00E0505F">
              <w:rPr>
                <w:rFonts w:ascii="Arial" w:hAnsi="Arial" w:cs="Arial"/>
                <w:noProof/>
                <w:webHidden/>
              </w:rPr>
              <w:fldChar w:fldCharType="begin"/>
            </w:r>
            <w:r w:rsidR="00E0505F" w:rsidRPr="00E0505F">
              <w:rPr>
                <w:rFonts w:ascii="Arial" w:hAnsi="Arial" w:cs="Arial"/>
                <w:noProof/>
                <w:webHidden/>
              </w:rPr>
              <w:instrText xml:space="preserve"> PAGEREF _Toc488774921 \h </w:instrText>
            </w:r>
            <w:r w:rsidR="00E0505F" w:rsidRPr="00E0505F">
              <w:rPr>
                <w:rFonts w:ascii="Arial" w:hAnsi="Arial" w:cs="Arial"/>
                <w:noProof/>
                <w:webHidden/>
              </w:rPr>
            </w:r>
            <w:r w:rsidR="00E0505F" w:rsidRPr="00E0505F">
              <w:rPr>
                <w:rFonts w:ascii="Arial" w:hAnsi="Arial" w:cs="Arial"/>
                <w:noProof/>
                <w:webHidden/>
              </w:rPr>
              <w:fldChar w:fldCharType="separate"/>
            </w:r>
            <w:r w:rsidR="00225844">
              <w:rPr>
                <w:rFonts w:ascii="Arial" w:hAnsi="Arial" w:cs="Arial"/>
                <w:noProof/>
                <w:webHidden/>
              </w:rPr>
              <w:t>162</w:t>
            </w:r>
            <w:r w:rsidR="00E0505F" w:rsidRPr="00E0505F">
              <w:rPr>
                <w:rFonts w:ascii="Arial" w:hAnsi="Arial" w:cs="Arial"/>
                <w:noProof/>
                <w:webHidden/>
              </w:rPr>
              <w:fldChar w:fldCharType="end"/>
            </w:r>
          </w:hyperlink>
        </w:p>
        <w:p w:rsidR="00E0505F" w:rsidRPr="00E0505F" w:rsidRDefault="00CD5926" w:rsidP="002B538F">
          <w:pPr>
            <w:pStyle w:val="TDC1"/>
            <w:tabs>
              <w:tab w:val="right" w:leader="dot" w:pos="8544"/>
            </w:tabs>
            <w:spacing w:line="360" w:lineRule="auto"/>
            <w:rPr>
              <w:rFonts w:ascii="Arial" w:eastAsiaTheme="minorEastAsia" w:hAnsi="Arial" w:cs="Arial"/>
              <w:noProof/>
              <w:lang w:eastAsia="es-CL"/>
            </w:rPr>
          </w:pPr>
          <w:hyperlink w:anchor="_Toc488774922" w:history="1">
            <w:r w:rsidR="00E0505F" w:rsidRPr="00E0505F">
              <w:rPr>
                <w:rStyle w:val="Hipervnculo"/>
                <w:rFonts w:ascii="Arial" w:hAnsi="Arial" w:cs="Arial"/>
                <w:noProof/>
              </w:rPr>
              <w:t>CONCLUSIONES</w:t>
            </w:r>
            <w:r w:rsidR="00E0505F" w:rsidRPr="00E0505F">
              <w:rPr>
                <w:rFonts w:ascii="Arial" w:hAnsi="Arial" w:cs="Arial"/>
                <w:noProof/>
                <w:webHidden/>
              </w:rPr>
              <w:tab/>
            </w:r>
            <w:r w:rsidR="00E0505F" w:rsidRPr="00E0505F">
              <w:rPr>
                <w:rFonts w:ascii="Arial" w:hAnsi="Arial" w:cs="Arial"/>
                <w:noProof/>
                <w:webHidden/>
              </w:rPr>
              <w:fldChar w:fldCharType="begin"/>
            </w:r>
            <w:r w:rsidR="00E0505F" w:rsidRPr="00E0505F">
              <w:rPr>
                <w:rFonts w:ascii="Arial" w:hAnsi="Arial" w:cs="Arial"/>
                <w:noProof/>
                <w:webHidden/>
              </w:rPr>
              <w:instrText xml:space="preserve"> PAGEREF _Toc488774922 \h </w:instrText>
            </w:r>
            <w:r w:rsidR="00E0505F" w:rsidRPr="00E0505F">
              <w:rPr>
                <w:rFonts w:ascii="Arial" w:hAnsi="Arial" w:cs="Arial"/>
                <w:noProof/>
                <w:webHidden/>
              </w:rPr>
            </w:r>
            <w:r w:rsidR="00E0505F" w:rsidRPr="00E0505F">
              <w:rPr>
                <w:rFonts w:ascii="Arial" w:hAnsi="Arial" w:cs="Arial"/>
                <w:noProof/>
                <w:webHidden/>
              </w:rPr>
              <w:fldChar w:fldCharType="separate"/>
            </w:r>
            <w:r w:rsidR="00225844">
              <w:rPr>
                <w:rFonts w:ascii="Arial" w:hAnsi="Arial" w:cs="Arial"/>
                <w:noProof/>
                <w:webHidden/>
              </w:rPr>
              <w:t>176</w:t>
            </w:r>
            <w:r w:rsidR="00E0505F" w:rsidRPr="00E0505F">
              <w:rPr>
                <w:rFonts w:ascii="Arial" w:hAnsi="Arial" w:cs="Arial"/>
                <w:noProof/>
                <w:webHidden/>
              </w:rPr>
              <w:fldChar w:fldCharType="end"/>
            </w:r>
          </w:hyperlink>
        </w:p>
        <w:p w:rsidR="00E0505F" w:rsidRPr="00E0505F" w:rsidRDefault="00CD5926" w:rsidP="002B538F">
          <w:pPr>
            <w:pStyle w:val="TDC1"/>
            <w:tabs>
              <w:tab w:val="right" w:leader="dot" w:pos="8544"/>
            </w:tabs>
            <w:spacing w:line="360" w:lineRule="auto"/>
            <w:rPr>
              <w:rFonts w:ascii="Arial" w:eastAsiaTheme="minorEastAsia" w:hAnsi="Arial" w:cs="Arial"/>
              <w:noProof/>
              <w:lang w:eastAsia="es-CL"/>
            </w:rPr>
          </w:pPr>
          <w:hyperlink w:anchor="_Toc488774923" w:history="1">
            <w:r w:rsidR="00E0505F" w:rsidRPr="00E0505F">
              <w:rPr>
                <w:rStyle w:val="Hipervnculo"/>
                <w:rFonts w:ascii="Arial" w:hAnsi="Arial" w:cs="Arial"/>
                <w:noProof/>
              </w:rPr>
              <w:t>REFLEXIONES FINALES</w:t>
            </w:r>
            <w:r w:rsidR="00E0505F" w:rsidRPr="00E0505F">
              <w:rPr>
                <w:rFonts w:ascii="Arial" w:hAnsi="Arial" w:cs="Arial"/>
                <w:noProof/>
                <w:webHidden/>
              </w:rPr>
              <w:tab/>
            </w:r>
            <w:r w:rsidR="00E0505F" w:rsidRPr="00E0505F">
              <w:rPr>
                <w:rFonts w:ascii="Arial" w:hAnsi="Arial" w:cs="Arial"/>
                <w:noProof/>
                <w:webHidden/>
              </w:rPr>
              <w:fldChar w:fldCharType="begin"/>
            </w:r>
            <w:r w:rsidR="00E0505F" w:rsidRPr="00E0505F">
              <w:rPr>
                <w:rFonts w:ascii="Arial" w:hAnsi="Arial" w:cs="Arial"/>
                <w:noProof/>
                <w:webHidden/>
              </w:rPr>
              <w:instrText xml:space="preserve"> PAGEREF _Toc488774923 \h </w:instrText>
            </w:r>
            <w:r w:rsidR="00E0505F" w:rsidRPr="00E0505F">
              <w:rPr>
                <w:rFonts w:ascii="Arial" w:hAnsi="Arial" w:cs="Arial"/>
                <w:noProof/>
                <w:webHidden/>
              </w:rPr>
            </w:r>
            <w:r w:rsidR="00E0505F" w:rsidRPr="00E0505F">
              <w:rPr>
                <w:rFonts w:ascii="Arial" w:hAnsi="Arial" w:cs="Arial"/>
                <w:noProof/>
                <w:webHidden/>
              </w:rPr>
              <w:fldChar w:fldCharType="separate"/>
            </w:r>
            <w:r w:rsidR="00225844">
              <w:rPr>
                <w:rFonts w:ascii="Arial" w:hAnsi="Arial" w:cs="Arial"/>
                <w:noProof/>
                <w:webHidden/>
              </w:rPr>
              <w:t>179</w:t>
            </w:r>
            <w:r w:rsidR="00E0505F" w:rsidRPr="00E0505F">
              <w:rPr>
                <w:rFonts w:ascii="Arial" w:hAnsi="Arial" w:cs="Arial"/>
                <w:noProof/>
                <w:webHidden/>
              </w:rPr>
              <w:fldChar w:fldCharType="end"/>
            </w:r>
          </w:hyperlink>
        </w:p>
        <w:p w:rsidR="00E0505F" w:rsidRPr="00E0505F" w:rsidRDefault="00CD5926" w:rsidP="002B538F">
          <w:pPr>
            <w:pStyle w:val="TDC1"/>
            <w:tabs>
              <w:tab w:val="right" w:leader="dot" w:pos="8544"/>
            </w:tabs>
            <w:spacing w:line="360" w:lineRule="auto"/>
            <w:rPr>
              <w:rFonts w:ascii="Arial" w:eastAsiaTheme="minorEastAsia" w:hAnsi="Arial" w:cs="Arial"/>
              <w:noProof/>
              <w:lang w:eastAsia="es-CL"/>
            </w:rPr>
          </w:pPr>
          <w:hyperlink w:anchor="_Toc488774924" w:history="1">
            <w:r w:rsidR="00E0505F" w:rsidRPr="00E0505F">
              <w:rPr>
                <w:rStyle w:val="Hipervnculo"/>
                <w:rFonts w:ascii="Arial" w:hAnsi="Arial" w:cs="Arial"/>
                <w:noProof/>
                <w:lang w:val="en-US"/>
              </w:rPr>
              <w:t>BIBLIOGRAFÍA</w:t>
            </w:r>
            <w:r w:rsidR="00E0505F" w:rsidRPr="00E0505F">
              <w:rPr>
                <w:rFonts w:ascii="Arial" w:hAnsi="Arial" w:cs="Arial"/>
                <w:noProof/>
                <w:webHidden/>
              </w:rPr>
              <w:tab/>
            </w:r>
            <w:r w:rsidR="00E0505F" w:rsidRPr="00E0505F">
              <w:rPr>
                <w:rFonts w:ascii="Arial" w:hAnsi="Arial" w:cs="Arial"/>
                <w:noProof/>
                <w:webHidden/>
              </w:rPr>
              <w:fldChar w:fldCharType="begin"/>
            </w:r>
            <w:r w:rsidR="00E0505F" w:rsidRPr="00E0505F">
              <w:rPr>
                <w:rFonts w:ascii="Arial" w:hAnsi="Arial" w:cs="Arial"/>
                <w:noProof/>
                <w:webHidden/>
              </w:rPr>
              <w:instrText xml:space="preserve"> PAGEREF _Toc488774924 \h </w:instrText>
            </w:r>
            <w:r w:rsidR="00E0505F" w:rsidRPr="00E0505F">
              <w:rPr>
                <w:rFonts w:ascii="Arial" w:hAnsi="Arial" w:cs="Arial"/>
                <w:noProof/>
                <w:webHidden/>
              </w:rPr>
            </w:r>
            <w:r w:rsidR="00E0505F" w:rsidRPr="00E0505F">
              <w:rPr>
                <w:rFonts w:ascii="Arial" w:hAnsi="Arial" w:cs="Arial"/>
                <w:noProof/>
                <w:webHidden/>
              </w:rPr>
              <w:fldChar w:fldCharType="separate"/>
            </w:r>
            <w:r w:rsidR="00225844">
              <w:rPr>
                <w:rFonts w:ascii="Arial" w:hAnsi="Arial" w:cs="Arial"/>
                <w:noProof/>
                <w:webHidden/>
              </w:rPr>
              <w:t>184</w:t>
            </w:r>
            <w:r w:rsidR="00E0505F" w:rsidRPr="00E0505F">
              <w:rPr>
                <w:rFonts w:ascii="Arial" w:hAnsi="Arial" w:cs="Arial"/>
                <w:noProof/>
                <w:webHidden/>
              </w:rPr>
              <w:fldChar w:fldCharType="end"/>
            </w:r>
          </w:hyperlink>
        </w:p>
        <w:p w:rsidR="0037228E" w:rsidRPr="000E0F90" w:rsidRDefault="00CB550E" w:rsidP="002B538F">
          <w:pPr>
            <w:spacing w:line="360" w:lineRule="auto"/>
            <w:rPr>
              <w:rFonts w:ascii="Arial" w:hAnsi="Arial" w:cs="Arial"/>
              <w:color w:val="000000" w:themeColor="text1"/>
            </w:rPr>
          </w:pPr>
          <w:r w:rsidRPr="00E0505F">
            <w:rPr>
              <w:rFonts w:ascii="Arial" w:hAnsi="Arial" w:cs="Arial"/>
              <w:color w:val="000000" w:themeColor="text1"/>
            </w:rPr>
            <w:fldChar w:fldCharType="end"/>
          </w:r>
        </w:p>
      </w:sdtContent>
    </w:sdt>
    <w:p w:rsidR="00EA436F" w:rsidRPr="000E0F90" w:rsidRDefault="00716030" w:rsidP="002B538F">
      <w:pPr>
        <w:spacing w:line="360" w:lineRule="auto"/>
        <w:jc w:val="left"/>
        <w:rPr>
          <w:rFonts w:ascii="Arial" w:hAnsi="Arial" w:cs="Arial"/>
          <w:color w:val="000000" w:themeColor="text1"/>
        </w:rPr>
        <w:sectPr w:rsidR="00EA436F" w:rsidRPr="000E0F90" w:rsidSect="00EA436F">
          <w:pgSz w:w="12240" w:h="15840"/>
          <w:pgMar w:top="1701" w:right="1701" w:bottom="1418" w:left="1985" w:header="709" w:footer="709" w:gutter="0"/>
          <w:pgNumType w:start="1"/>
          <w:cols w:space="708"/>
          <w:titlePg/>
          <w:docGrid w:linePitch="360"/>
        </w:sectPr>
      </w:pPr>
      <w:r w:rsidRPr="000E0F90">
        <w:rPr>
          <w:rFonts w:ascii="Arial" w:hAnsi="Arial" w:cs="Arial"/>
          <w:color w:val="000000" w:themeColor="text1"/>
        </w:rPr>
        <w:br w:type="page"/>
      </w:r>
    </w:p>
    <w:p w:rsidR="00991B56" w:rsidRPr="00301AE2" w:rsidRDefault="00991B56" w:rsidP="00A17ADC">
      <w:pPr>
        <w:pStyle w:val="Ttulo1"/>
        <w:spacing w:before="0" w:after="240" w:line="360" w:lineRule="auto"/>
        <w:rPr>
          <w:rFonts w:cs="Arial"/>
          <w:color w:val="000000" w:themeColor="text1"/>
          <w:lang w:val="en-US"/>
        </w:rPr>
      </w:pPr>
      <w:bookmarkStart w:id="0" w:name="_Toc488774904"/>
      <w:r w:rsidRPr="00301AE2">
        <w:rPr>
          <w:rFonts w:cs="Arial"/>
          <w:color w:val="000000" w:themeColor="text1"/>
          <w:lang w:val="en-US"/>
        </w:rPr>
        <w:lastRenderedPageBreak/>
        <w:t>ABSTRACT</w:t>
      </w:r>
      <w:bookmarkEnd w:id="0"/>
    </w:p>
    <w:p w:rsidR="00813808" w:rsidRPr="00301AE2" w:rsidRDefault="00813808" w:rsidP="002B538F">
      <w:pPr>
        <w:spacing w:after="0" w:line="360" w:lineRule="auto"/>
        <w:rPr>
          <w:rFonts w:ascii="Arial" w:eastAsia="Times New Roman" w:hAnsi="Arial" w:cs="Arial"/>
          <w:color w:val="000000" w:themeColor="text1"/>
          <w:szCs w:val="20"/>
          <w:lang w:val="en-US" w:eastAsia="es-ES"/>
        </w:rPr>
      </w:pPr>
      <w:proofErr w:type="gramStart"/>
      <w:r w:rsidRPr="00301AE2">
        <w:rPr>
          <w:rFonts w:ascii="Arial" w:eastAsia="Times New Roman" w:hAnsi="Arial" w:cs="Arial"/>
          <w:b/>
          <w:color w:val="000000" w:themeColor="text1"/>
          <w:szCs w:val="20"/>
          <w:lang w:val="en-US" w:eastAsia="es-ES"/>
        </w:rPr>
        <w:t>Ana Paris Yon.</w:t>
      </w:r>
      <w:proofErr w:type="gramEnd"/>
      <w:r w:rsidRPr="00301AE2">
        <w:rPr>
          <w:rFonts w:ascii="Arial" w:eastAsia="Times New Roman" w:hAnsi="Arial" w:cs="Arial"/>
          <w:b/>
          <w:color w:val="000000" w:themeColor="text1"/>
          <w:szCs w:val="20"/>
          <w:lang w:val="en-US" w:eastAsia="es-ES"/>
        </w:rPr>
        <w:t xml:space="preserve"> </w:t>
      </w:r>
      <w:r w:rsidR="000E0F90" w:rsidRPr="000E0F90">
        <w:rPr>
          <w:rFonts w:ascii="Arial" w:eastAsia="Times New Roman" w:hAnsi="Arial" w:cs="Arial"/>
          <w:b/>
          <w:color w:val="000000" w:themeColor="text1"/>
          <w:szCs w:val="20"/>
          <w:lang w:val="en-US" w:eastAsia="es-ES"/>
        </w:rPr>
        <w:t xml:space="preserve">Sustainability principles for mining territories in Chile: Case study of semiarid northern territories. </w:t>
      </w:r>
      <w:r w:rsidRPr="000E0F90">
        <w:rPr>
          <w:rFonts w:ascii="Arial" w:eastAsia="Times New Roman" w:hAnsi="Arial" w:cs="Arial"/>
          <w:color w:val="000000" w:themeColor="text1"/>
          <w:szCs w:val="20"/>
          <w:lang w:eastAsia="es-ES"/>
        </w:rPr>
        <w:t xml:space="preserve">Tesis, </w:t>
      </w:r>
      <w:r w:rsidRPr="000E0F90">
        <w:rPr>
          <w:rFonts w:ascii="Arial" w:eastAsia="Times New Roman" w:hAnsi="Arial" w:cs="Arial"/>
          <w:i/>
          <w:color w:val="000000" w:themeColor="text1"/>
          <w:szCs w:val="20"/>
          <w:lang w:eastAsia="es-ES"/>
        </w:rPr>
        <w:t>Magister</w:t>
      </w:r>
      <w:r w:rsidRPr="000E0F90">
        <w:rPr>
          <w:rFonts w:ascii="Arial" w:eastAsia="Times New Roman" w:hAnsi="Arial" w:cs="Arial"/>
          <w:color w:val="000000" w:themeColor="text1"/>
          <w:szCs w:val="20"/>
          <w:lang w:eastAsia="es-ES"/>
        </w:rPr>
        <w:t xml:space="preserve"> en Recursos Naturales, Departamento de Ecosistemas y Medioambiente, Facultad de Agronomía e Ingeniería Forestal, Pontificia Universidad Católica de Chile. </w:t>
      </w:r>
      <w:r w:rsidRPr="00301AE2">
        <w:rPr>
          <w:rFonts w:ascii="Arial" w:eastAsia="Times New Roman" w:hAnsi="Arial" w:cs="Arial"/>
          <w:color w:val="000000" w:themeColor="text1"/>
          <w:szCs w:val="20"/>
          <w:lang w:val="en-US" w:eastAsia="es-ES"/>
        </w:rPr>
        <w:t xml:space="preserve">Santiago, Chile </w:t>
      </w:r>
      <w:r w:rsidR="00833579" w:rsidRPr="00696765">
        <w:rPr>
          <w:rFonts w:ascii="Arial" w:eastAsia="Times New Roman" w:hAnsi="Arial" w:cs="Arial"/>
          <w:color w:val="000000" w:themeColor="text1"/>
          <w:szCs w:val="20"/>
          <w:lang w:val="en-US" w:eastAsia="es-ES"/>
        </w:rPr>
        <w:t>2</w:t>
      </w:r>
      <w:r w:rsidR="00696765" w:rsidRPr="00696765">
        <w:rPr>
          <w:rFonts w:ascii="Arial" w:eastAsia="Times New Roman" w:hAnsi="Arial" w:cs="Arial"/>
          <w:color w:val="000000" w:themeColor="text1"/>
          <w:szCs w:val="20"/>
          <w:lang w:val="en-US" w:eastAsia="es-ES"/>
        </w:rPr>
        <w:t>0</w:t>
      </w:r>
      <w:r w:rsidR="00947176">
        <w:rPr>
          <w:rFonts w:ascii="Arial" w:eastAsia="Times New Roman" w:hAnsi="Arial" w:cs="Arial"/>
          <w:color w:val="000000" w:themeColor="text1"/>
          <w:szCs w:val="20"/>
          <w:lang w:val="en-US" w:eastAsia="es-ES"/>
        </w:rPr>
        <w:t>4</w:t>
      </w:r>
      <w:r w:rsidRPr="00696765">
        <w:rPr>
          <w:rFonts w:ascii="Arial" w:eastAsia="Times New Roman" w:hAnsi="Arial" w:cs="Arial"/>
          <w:color w:val="000000" w:themeColor="text1"/>
          <w:szCs w:val="20"/>
          <w:lang w:val="en-US" w:eastAsia="es-ES"/>
        </w:rPr>
        <w:t>p.</w:t>
      </w:r>
      <w:r w:rsidRPr="00301AE2">
        <w:rPr>
          <w:rFonts w:ascii="Arial" w:eastAsia="Times New Roman" w:hAnsi="Arial" w:cs="Arial"/>
          <w:color w:val="000000" w:themeColor="text1"/>
          <w:szCs w:val="20"/>
          <w:lang w:val="en-US" w:eastAsia="es-ES"/>
        </w:rPr>
        <w:t xml:space="preserve"> </w:t>
      </w:r>
    </w:p>
    <w:p w:rsidR="00D1570A" w:rsidRPr="000E0F90" w:rsidRDefault="00D1570A" w:rsidP="002B538F">
      <w:pPr>
        <w:spacing w:before="240" w:line="360" w:lineRule="auto"/>
        <w:rPr>
          <w:rFonts w:ascii="Arial" w:hAnsi="Arial" w:cs="Arial"/>
          <w:color w:val="000000" w:themeColor="text1"/>
          <w:lang w:val="en-US"/>
        </w:rPr>
      </w:pPr>
      <w:r w:rsidRPr="000E0F90">
        <w:rPr>
          <w:rFonts w:ascii="Arial" w:hAnsi="Arial" w:cs="Arial"/>
          <w:color w:val="000000" w:themeColor="text1"/>
          <w:lang w:val="en-US"/>
        </w:rPr>
        <w:t xml:space="preserve">At the territorial level, mining is considered as an intensive and complex process that inevitably causes changes in the environmental and social media. </w:t>
      </w:r>
      <w:r w:rsidR="00AF122E" w:rsidRPr="000E0F90">
        <w:rPr>
          <w:rFonts w:ascii="Arial" w:hAnsi="Arial" w:cs="Arial"/>
          <w:color w:val="000000" w:themeColor="text1"/>
          <w:lang w:val="en-US"/>
        </w:rPr>
        <w:t>M</w:t>
      </w:r>
      <w:r w:rsidRPr="000E0F90">
        <w:rPr>
          <w:rFonts w:ascii="Arial" w:hAnsi="Arial" w:cs="Arial"/>
          <w:color w:val="000000" w:themeColor="text1"/>
          <w:lang w:val="en-US"/>
        </w:rPr>
        <w:t>aking it necessary to guide the construction of mining territories towards a sustainable state through the elaboration of integrated principles and adapted to the local context.</w:t>
      </w:r>
    </w:p>
    <w:p w:rsidR="00AF122E" w:rsidRPr="000E0F90" w:rsidRDefault="00AF122E" w:rsidP="002B538F">
      <w:pPr>
        <w:spacing w:before="240" w:line="360" w:lineRule="auto"/>
        <w:rPr>
          <w:rFonts w:ascii="Arial" w:hAnsi="Arial" w:cs="Arial"/>
          <w:color w:val="000000" w:themeColor="text1"/>
          <w:lang w:val="en-US"/>
        </w:rPr>
      </w:pPr>
      <w:r w:rsidRPr="000E0F90">
        <w:rPr>
          <w:rFonts w:ascii="Arial" w:hAnsi="Arial" w:cs="Arial"/>
          <w:color w:val="000000" w:themeColor="text1"/>
          <w:lang w:val="en-US"/>
        </w:rPr>
        <w:t>The objective of this study was to develop principles of territorial sustainability, based on information from the scientific literature and information generated from case studies of mining territories located in the semiarid Northern regions of Chile. These were qualitatively evaluated in the territories under study, according to information from local social actors.</w:t>
      </w:r>
    </w:p>
    <w:p w:rsidR="00AF122E" w:rsidRPr="000E0F90" w:rsidRDefault="00AF122E" w:rsidP="002B538F">
      <w:pPr>
        <w:spacing w:line="360" w:lineRule="auto"/>
        <w:rPr>
          <w:rFonts w:ascii="Arial" w:hAnsi="Arial" w:cs="Arial"/>
          <w:color w:val="000000" w:themeColor="text1"/>
          <w:lang w:val="en-US"/>
        </w:rPr>
      </w:pPr>
      <w:r w:rsidRPr="000E0F90">
        <w:rPr>
          <w:rFonts w:ascii="Arial" w:hAnsi="Arial" w:cs="Arial"/>
          <w:color w:val="000000" w:themeColor="text1"/>
          <w:lang w:val="en-US"/>
        </w:rPr>
        <w:t>The development of the principles incorporated foundational elements of the sustainability of territories, as well as specific context elements, necessary for practical and local application. The evaluation revealed the need to address issues related to intergenerational equity and local governance, as well as to improve territorial conditions related to socio-ecological integrity, quality of life and equity, and maintenance of resources and efficiency.</w:t>
      </w:r>
    </w:p>
    <w:p w:rsidR="00AF122E" w:rsidRPr="000E0F90" w:rsidRDefault="00AF122E" w:rsidP="002B538F">
      <w:pPr>
        <w:spacing w:line="360" w:lineRule="auto"/>
        <w:rPr>
          <w:rFonts w:ascii="Arial" w:hAnsi="Arial" w:cs="Arial"/>
          <w:color w:val="000000" w:themeColor="text1"/>
          <w:lang w:val="en-US"/>
        </w:rPr>
      </w:pPr>
      <w:r w:rsidRPr="000E0F90">
        <w:rPr>
          <w:rFonts w:ascii="Arial" w:hAnsi="Arial" w:cs="Arial"/>
          <w:color w:val="000000" w:themeColor="text1"/>
          <w:lang w:val="en-US"/>
        </w:rPr>
        <w:t>It is concluded that to guide the sustainability of the mining territories of the semiarid Northern regions, it is fundamental to develop proposals from the territorial approach that integrate foundational components of the sustainability and adapted to the specific context. On the other hand, at the local level, it is necessary to tackle environmental impacts, strengthen the territorial linkage of mining, address scarc</w:t>
      </w:r>
      <w:r w:rsidR="007B2261" w:rsidRPr="000E0F90">
        <w:rPr>
          <w:rFonts w:ascii="Arial" w:hAnsi="Arial" w:cs="Arial"/>
          <w:color w:val="000000" w:themeColor="text1"/>
          <w:lang w:val="en-US"/>
        </w:rPr>
        <w:t>ity of</w:t>
      </w:r>
      <w:r w:rsidRPr="000E0F90">
        <w:rPr>
          <w:rFonts w:ascii="Arial" w:hAnsi="Arial" w:cs="Arial"/>
          <w:color w:val="000000" w:themeColor="text1"/>
          <w:lang w:val="en-US"/>
        </w:rPr>
        <w:t xml:space="preserve"> resources, develop effective governance structures, and strengthen the role of the state.</w:t>
      </w:r>
    </w:p>
    <w:p w:rsidR="00991B56" w:rsidRPr="000E0F90" w:rsidRDefault="00813808" w:rsidP="002B538F">
      <w:pPr>
        <w:spacing w:line="360" w:lineRule="auto"/>
        <w:jc w:val="left"/>
        <w:rPr>
          <w:rFonts w:ascii="Arial" w:eastAsiaTheme="majorEastAsia" w:hAnsi="Arial" w:cs="Arial"/>
          <w:b/>
          <w:bCs/>
          <w:color w:val="000000" w:themeColor="text1"/>
          <w:sz w:val="28"/>
          <w:szCs w:val="28"/>
          <w:lang w:val="en-US"/>
        </w:rPr>
      </w:pPr>
      <w:r w:rsidRPr="000E0F90">
        <w:rPr>
          <w:rFonts w:ascii="Arial" w:hAnsi="Arial" w:cs="Arial"/>
          <w:b/>
          <w:color w:val="000000" w:themeColor="text1"/>
          <w:lang w:val="en-US"/>
        </w:rPr>
        <w:t>Key words:</w:t>
      </w:r>
      <w:r w:rsidR="00683606" w:rsidRPr="000E0F90">
        <w:rPr>
          <w:rFonts w:ascii="Arial" w:hAnsi="Arial" w:cs="Arial"/>
          <w:b/>
          <w:color w:val="000000" w:themeColor="text1"/>
          <w:lang w:val="en-US"/>
        </w:rPr>
        <w:t xml:space="preserve"> Mining Territory</w:t>
      </w:r>
      <w:r w:rsidR="00026F45" w:rsidRPr="000E0F90">
        <w:rPr>
          <w:rFonts w:ascii="Arial" w:hAnsi="Arial" w:cs="Arial"/>
          <w:b/>
          <w:color w:val="000000" w:themeColor="text1"/>
          <w:lang w:val="en-US"/>
        </w:rPr>
        <w:t xml:space="preserve">, </w:t>
      </w:r>
      <w:r w:rsidR="007B2261" w:rsidRPr="000E0F90">
        <w:rPr>
          <w:rFonts w:ascii="Arial" w:hAnsi="Arial" w:cs="Arial"/>
          <w:b/>
          <w:color w:val="000000" w:themeColor="text1"/>
          <w:lang w:val="en-US"/>
        </w:rPr>
        <w:t xml:space="preserve">Principles, Sustainability, Semiarid North regions </w:t>
      </w:r>
      <w:r w:rsidR="00991B56" w:rsidRPr="000E0F90">
        <w:rPr>
          <w:rFonts w:ascii="Arial" w:hAnsi="Arial" w:cs="Arial"/>
          <w:color w:val="000000" w:themeColor="text1"/>
          <w:lang w:val="en-US"/>
        </w:rPr>
        <w:br w:type="page"/>
      </w:r>
    </w:p>
    <w:p w:rsidR="007B2261" w:rsidRPr="000E0F90" w:rsidRDefault="007B2261" w:rsidP="002B538F">
      <w:pPr>
        <w:pStyle w:val="Ttulo1"/>
        <w:spacing w:line="360" w:lineRule="auto"/>
        <w:rPr>
          <w:color w:val="000000" w:themeColor="text1"/>
        </w:rPr>
      </w:pPr>
      <w:bookmarkStart w:id="1" w:name="_Toc488774905"/>
      <w:r w:rsidRPr="000E0F90">
        <w:rPr>
          <w:color w:val="000000" w:themeColor="text1"/>
        </w:rPr>
        <w:lastRenderedPageBreak/>
        <w:t>RESUMEN</w:t>
      </w:r>
      <w:bookmarkEnd w:id="1"/>
    </w:p>
    <w:p w:rsidR="007B2261" w:rsidRPr="000E0F90" w:rsidRDefault="007B2261" w:rsidP="002B538F">
      <w:pPr>
        <w:spacing w:before="240" w:line="360" w:lineRule="auto"/>
        <w:rPr>
          <w:rFonts w:ascii="Arial" w:hAnsi="Arial" w:cs="Arial"/>
          <w:color w:val="000000" w:themeColor="text1"/>
        </w:rPr>
      </w:pPr>
      <w:r w:rsidRPr="000E0F90">
        <w:rPr>
          <w:rFonts w:ascii="Arial" w:hAnsi="Arial" w:cs="Arial"/>
          <w:color w:val="000000" w:themeColor="text1"/>
        </w:rPr>
        <w:t xml:space="preserve">A nivel territorial, la minería es considerada como un proceso intensivo y complejo que causa ineludiblemente cambios en el medio medioambiental y social. Resultando en un territorio con una nueva configuración, haciendo necesario guiar la construcción de territorios mineros hacia un estado sostenible a través de la elaboración de principios integrados y adaptados al contexto local. </w:t>
      </w:r>
    </w:p>
    <w:p w:rsidR="007B2261" w:rsidRPr="000E0F90" w:rsidRDefault="007B2261" w:rsidP="002B538F">
      <w:pPr>
        <w:spacing w:line="360" w:lineRule="auto"/>
        <w:rPr>
          <w:rFonts w:ascii="Arial" w:hAnsi="Arial" w:cs="Arial"/>
          <w:color w:val="000000" w:themeColor="text1"/>
        </w:rPr>
      </w:pPr>
      <w:r w:rsidRPr="000E0F90">
        <w:rPr>
          <w:rFonts w:ascii="Arial" w:hAnsi="Arial" w:cs="Arial"/>
          <w:color w:val="000000" w:themeColor="text1"/>
        </w:rPr>
        <w:t xml:space="preserve">El objetivo de este estudio fue desarrollar principios de sostenibilidad territorial, basados en información proveniente de la literatura científica e información generada de estudios de caso de territorios mineros ubicados en el Norte Chico. Los cuales fueron evaluados cualitativamente en los territorios bajo estudio, de acuerdo a información proveniente de actores sociales locales. </w:t>
      </w:r>
    </w:p>
    <w:p w:rsidR="007B2261" w:rsidRPr="000E0F90" w:rsidRDefault="007B2261" w:rsidP="002B538F">
      <w:pPr>
        <w:spacing w:line="360" w:lineRule="auto"/>
        <w:rPr>
          <w:rFonts w:ascii="Arial" w:hAnsi="Arial" w:cs="Arial"/>
          <w:color w:val="000000" w:themeColor="text1"/>
        </w:rPr>
      </w:pPr>
      <w:r w:rsidRPr="000E0F90">
        <w:rPr>
          <w:rFonts w:ascii="Arial" w:hAnsi="Arial" w:cs="Arial"/>
          <w:color w:val="000000" w:themeColor="text1"/>
        </w:rPr>
        <w:t>El desarrollo de los principios incorporó elementos fundacionales de la sostenibilidad de territorios mineros, así como elementos contexto específico, necesarios para la aplicación práctica y local. Los resultados de la evaluación revelaron la necesidad de abordar aspectos relacionados con la equidad entre generaciones y gobernanza local, así como también mejorar las condiciones territoriales relacionadas con la integridad socio-ecológica, calidad de vida y equidad, y mantención de recursos y eficiencia.</w:t>
      </w:r>
    </w:p>
    <w:p w:rsidR="007B2261" w:rsidRPr="000E0F90" w:rsidRDefault="007B2261" w:rsidP="002B538F">
      <w:pPr>
        <w:spacing w:line="360" w:lineRule="auto"/>
        <w:rPr>
          <w:rFonts w:ascii="Arial" w:hAnsi="Arial" w:cs="Arial"/>
          <w:color w:val="000000" w:themeColor="text1"/>
        </w:rPr>
      </w:pPr>
      <w:r w:rsidRPr="000E0F90">
        <w:rPr>
          <w:rFonts w:ascii="Arial" w:hAnsi="Arial" w:cs="Arial"/>
          <w:color w:val="000000" w:themeColor="text1"/>
        </w:rPr>
        <w:t>Se concluye que para guiar la sostenibilidad de los territorios mineros del Norte Chico es fundamental desarrollar propuestas desde el enfoque territorial, que integren componentes fundacionales de la sostenibilidad y se adapten al contexto específico. Por otra parte, del ámbito local, se requiere abordar intensidad los impactos medioambientales, fortalecer la vinculación territorial de la minería, abordar la escasez de recursos, desarrollar estructuras de gobernanzas efectivas, fortalecer el rol del estado.</w:t>
      </w:r>
    </w:p>
    <w:p w:rsidR="007B2261" w:rsidRPr="000E0F90" w:rsidRDefault="007B2261" w:rsidP="002B538F">
      <w:pPr>
        <w:spacing w:line="360" w:lineRule="auto"/>
        <w:rPr>
          <w:rFonts w:ascii="Arial" w:eastAsiaTheme="majorEastAsia" w:hAnsi="Arial" w:cs="Arial"/>
          <w:b/>
          <w:bCs/>
          <w:color w:val="000000" w:themeColor="text1"/>
        </w:rPr>
      </w:pPr>
      <w:r w:rsidRPr="000E0F90">
        <w:rPr>
          <w:rFonts w:ascii="Arial" w:eastAsiaTheme="majorEastAsia" w:hAnsi="Arial" w:cs="Arial"/>
          <w:b/>
          <w:bCs/>
          <w:color w:val="000000" w:themeColor="text1"/>
        </w:rPr>
        <w:t>Palabras Clave: Territorios mineros, Principios, Sostenibilidad, Norte Chico</w:t>
      </w:r>
    </w:p>
    <w:p w:rsidR="007B2261" w:rsidRPr="000E0F90" w:rsidRDefault="007B2261" w:rsidP="002B538F">
      <w:pPr>
        <w:spacing w:line="360" w:lineRule="auto"/>
        <w:jc w:val="left"/>
        <w:rPr>
          <w:rFonts w:ascii="Arial" w:eastAsiaTheme="majorEastAsia" w:hAnsi="Arial" w:cs="Arial"/>
          <w:b/>
          <w:bCs/>
          <w:color w:val="000000" w:themeColor="text1"/>
          <w:sz w:val="28"/>
          <w:szCs w:val="28"/>
        </w:rPr>
      </w:pPr>
      <w:r w:rsidRPr="000E0F90">
        <w:rPr>
          <w:rFonts w:ascii="Arial" w:hAnsi="Arial" w:cs="Arial"/>
          <w:color w:val="000000" w:themeColor="text1"/>
        </w:rPr>
        <w:br w:type="page"/>
      </w:r>
    </w:p>
    <w:p w:rsidR="007D0018" w:rsidRPr="000E0F90" w:rsidRDefault="00181300" w:rsidP="002B538F">
      <w:pPr>
        <w:pStyle w:val="Ttulo1"/>
        <w:spacing w:line="360" w:lineRule="auto"/>
        <w:rPr>
          <w:rFonts w:cs="Arial"/>
          <w:color w:val="000000" w:themeColor="text1"/>
        </w:rPr>
      </w:pPr>
      <w:bookmarkStart w:id="2" w:name="_Toc488774906"/>
      <w:r w:rsidRPr="000E0F90">
        <w:rPr>
          <w:rFonts w:cs="Arial"/>
          <w:color w:val="000000" w:themeColor="text1"/>
        </w:rPr>
        <w:lastRenderedPageBreak/>
        <w:t>INTRODUCCIÓN</w:t>
      </w:r>
      <w:bookmarkEnd w:id="2"/>
      <w:r w:rsidR="0037228E" w:rsidRPr="000E0F90">
        <w:rPr>
          <w:rFonts w:cs="Arial"/>
          <w:color w:val="000000" w:themeColor="text1"/>
        </w:rPr>
        <w:t xml:space="preserve"> </w:t>
      </w:r>
    </w:p>
    <w:p w:rsidR="0009190D" w:rsidRPr="000E0F90" w:rsidRDefault="002D4FA3" w:rsidP="002B538F">
      <w:pPr>
        <w:spacing w:before="240" w:line="360" w:lineRule="auto"/>
        <w:rPr>
          <w:rFonts w:ascii="Arial" w:hAnsi="Arial" w:cs="Arial"/>
          <w:color w:val="000000" w:themeColor="text1"/>
        </w:rPr>
      </w:pPr>
      <w:bookmarkStart w:id="3" w:name="_Toc439950830"/>
      <w:r w:rsidRPr="000E0F90">
        <w:rPr>
          <w:rFonts w:ascii="Arial" w:hAnsi="Arial" w:cs="Arial"/>
          <w:color w:val="000000" w:themeColor="text1"/>
        </w:rPr>
        <w:t xml:space="preserve">Los territorios son constructos antrópicos resultantes de la acción </w:t>
      </w:r>
      <w:r w:rsidR="00835DD0" w:rsidRPr="000E0F90">
        <w:rPr>
          <w:rFonts w:ascii="Arial" w:hAnsi="Arial" w:cs="Arial"/>
          <w:color w:val="000000" w:themeColor="text1"/>
        </w:rPr>
        <w:t>del hombre</w:t>
      </w:r>
      <w:r w:rsidRPr="000E0F90">
        <w:rPr>
          <w:rFonts w:ascii="Arial" w:hAnsi="Arial" w:cs="Arial"/>
          <w:color w:val="000000" w:themeColor="text1"/>
        </w:rPr>
        <w:t xml:space="preserve"> sobr</w:t>
      </w:r>
      <w:r w:rsidR="0026411C" w:rsidRPr="000E0F90">
        <w:rPr>
          <w:rFonts w:ascii="Arial" w:hAnsi="Arial" w:cs="Arial"/>
          <w:color w:val="000000" w:themeColor="text1"/>
        </w:rPr>
        <w:t xml:space="preserve">e el medio </w:t>
      </w:r>
      <w:r w:rsidR="007B7233" w:rsidRPr="000E0F90">
        <w:rPr>
          <w:rFonts w:ascii="Arial" w:hAnsi="Arial" w:cs="Arial"/>
          <w:color w:val="000000" w:themeColor="text1"/>
        </w:rPr>
        <w:t>natural y humanizado,</w:t>
      </w:r>
      <w:r w:rsidR="00FD1302" w:rsidRPr="000E0F90">
        <w:rPr>
          <w:rFonts w:ascii="Arial" w:hAnsi="Arial" w:cs="Arial"/>
          <w:color w:val="000000" w:themeColor="text1"/>
        </w:rPr>
        <w:t xml:space="preserve"> </w:t>
      </w:r>
      <w:r w:rsidR="00760DDF" w:rsidRPr="000E0F90">
        <w:rPr>
          <w:rFonts w:ascii="Arial" w:hAnsi="Arial" w:cs="Arial"/>
          <w:color w:val="000000" w:themeColor="text1"/>
        </w:rPr>
        <w:t xml:space="preserve">permitiendo la sobrevida y evolución humana </w:t>
      </w:r>
      <w:r w:rsidR="001C3711">
        <w:rPr>
          <w:rFonts w:ascii="Arial" w:hAnsi="Arial" w:cs="Arial"/>
          <w:color w:val="000000" w:themeColor="text1"/>
        </w:rPr>
        <w:t>(Gastó et al., 2012)</w:t>
      </w:r>
      <w:r w:rsidR="00760DDF" w:rsidRPr="000E0F90">
        <w:rPr>
          <w:rFonts w:ascii="Arial" w:hAnsi="Arial" w:cs="Arial"/>
          <w:color w:val="000000" w:themeColor="text1"/>
        </w:rPr>
        <w:t xml:space="preserve">. </w:t>
      </w:r>
      <w:r w:rsidR="00BE2782" w:rsidRPr="000E0F90">
        <w:rPr>
          <w:rFonts w:ascii="Arial" w:hAnsi="Arial" w:cs="Arial"/>
          <w:color w:val="000000" w:themeColor="text1"/>
        </w:rPr>
        <w:t>C</w:t>
      </w:r>
      <w:r w:rsidR="00EE2FF3" w:rsidRPr="000E0F90">
        <w:rPr>
          <w:rFonts w:ascii="Arial" w:hAnsi="Arial" w:cs="Arial"/>
          <w:color w:val="000000" w:themeColor="text1"/>
        </w:rPr>
        <w:t xml:space="preserve">onstrucción </w:t>
      </w:r>
      <w:r w:rsidR="00BE2782" w:rsidRPr="000E0F90">
        <w:rPr>
          <w:rFonts w:ascii="Arial" w:hAnsi="Arial" w:cs="Arial"/>
          <w:color w:val="000000" w:themeColor="text1"/>
        </w:rPr>
        <w:t xml:space="preserve">que </w:t>
      </w:r>
      <w:r w:rsidR="00EE2FF3" w:rsidRPr="000E0F90">
        <w:rPr>
          <w:rFonts w:ascii="Arial" w:hAnsi="Arial" w:cs="Arial"/>
          <w:color w:val="000000" w:themeColor="text1"/>
        </w:rPr>
        <w:t>es guiada</w:t>
      </w:r>
      <w:r w:rsidRPr="000E0F90">
        <w:rPr>
          <w:rFonts w:ascii="Arial" w:hAnsi="Arial" w:cs="Arial"/>
          <w:color w:val="000000" w:themeColor="text1"/>
        </w:rPr>
        <w:t xml:space="preserve"> por la cultura </w:t>
      </w:r>
      <w:r w:rsidR="00DB135E" w:rsidRPr="000E0F90">
        <w:rPr>
          <w:rFonts w:ascii="Arial" w:hAnsi="Arial" w:cs="Arial"/>
          <w:color w:val="000000" w:themeColor="text1"/>
        </w:rPr>
        <w:t>de época y lugar</w:t>
      </w:r>
      <w:r w:rsidR="00EE2FF3" w:rsidRPr="000E0F90">
        <w:rPr>
          <w:rFonts w:ascii="Arial" w:hAnsi="Arial" w:cs="Arial"/>
          <w:color w:val="000000" w:themeColor="text1"/>
        </w:rPr>
        <w:t>, condicionada</w:t>
      </w:r>
      <w:r w:rsidR="00167D7E" w:rsidRPr="000E0F90">
        <w:rPr>
          <w:rFonts w:ascii="Arial" w:hAnsi="Arial" w:cs="Arial"/>
          <w:color w:val="000000" w:themeColor="text1"/>
        </w:rPr>
        <w:t xml:space="preserve"> por las tecnologías disponibles</w:t>
      </w:r>
      <w:r w:rsidR="00481D85" w:rsidRPr="000E0F90">
        <w:rPr>
          <w:rFonts w:ascii="Arial" w:hAnsi="Arial" w:cs="Arial"/>
          <w:color w:val="000000" w:themeColor="text1"/>
        </w:rPr>
        <w:t>,</w:t>
      </w:r>
      <w:r w:rsidRPr="000E0F90">
        <w:rPr>
          <w:rFonts w:ascii="Arial" w:hAnsi="Arial" w:cs="Arial"/>
          <w:color w:val="000000" w:themeColor="text1"/>
        </w:rPr>
        <w:t xml:space="preserve"> </w:t>
      </w:r>
      <w:r w:rsidR="004456B0" w:rsidRPr="000E0F90">
        <w:rPr>
          <w:rFonts w:ascii="Arial" w:hAnsi="Arial" w:cs="Arial"/>
          <w:color w:val="000000" w:themeColor="text1"/>
        </w:rPr>
        <w:t>bajo el</w:t>
      </w:r>
      <w:r w:rsidR="00EE2FF3" w:rsidRPr="000E0F90">
        <w:rPr>
          <w:rFonts w:ascii="Arial" w:hAnsi="Arial" w:cs="Arial"/>
          <w:color w:val="000000" w:themeColor="text1"/>
        </w:rPr>
        <w:t xml:space="preserve"> cual </w:t>
      </w:r>
      <w:r w:rsidR="00FD1302" w:rsidRPr="000E0F90">
        <w:rPr>
          <w:rFonts w:ascii="Arial" w:hAnsi="Arial" w:cs="Arial"/>
          <w:color w:val="000000" w:themeColor="text1"/>
        </w:rPr>
        <w:t xml:space="preserve">los componentes territoriales son administrados, </w:t>
      </w:r>
      <w:r w:rsidRPr="000E0F90">
        <w:rPr>
          <w:rFonts w:ascii="Arial" w:hAnsi="Arial" w:cs="Arial"/>
          <w:color w:val="000000" w:themeColor="text1"/>
        </w:rPr>
        <w:t>resultando en un territorio con una configuración</w:t>
      </w:r>
      <w:r w:rsidR="007B7233" w:rsidRPr="000E0F90">
        <w:rPr>
          <w:rFonts w:ascii="Arial" w:hAnsi="Arial" w:cs="Arial"/>
          <w:color w:val="000000" w:themeColor="text1"/>
        </w:rPr>
        <w:t xml:space="preserve">, carácter o identidad particular </w:t>
      </w:r>
      <w:r w:rsidR="008836DC" w:rsidRPr="000E0F90">
        <w:rPr>
          <w:rFonts w:ascii="Arial" w:hAnsi="Arial" w:cs="Arial"/>
          <w:color w:val="000000" w:themeColor="text1"/>
        </w:rPr>
        <w:fldChar w:fldCharType="begin" w:fldLock="1"/>
      </w:r>
      <w:r w:rsidR="00935A8F">
        <w:rPr>
          <w:rFonts w:ascii="Arial" w:hAnsi="Arial" w:cs="Arial"/>
          <w:color w:val="000000" w:themeColor="text1"/>
        </w:rPr>
        <w:instrText>ADDIN CSL_CITATION { "citationItems" : [ { "id" : "ITEM-1", "itemData" : { "ISSN" : "02635046", "abstract" : "As an academic working in the field of landscape design and planning, I continually encounter references to the idea of a \u201csustainable landscape.\u201d It is a concept of growing significance. For example, the European Landscape Convention, which has now been widely adopted by governments in Europe, refers twice to the role of landscape in sustainable development and also to the sustainable protection, management, and/or planning of landscapes. The term is routinely used by educators, private practitioners, researchers, consultants, and government officials who tend to assume a common understanding of its meaning. Yet the idea of a \u201csustainable landscape\u201d often remains undefined, or is defined in relation to specific applications and geographical contexts. Conceptions differ significantly between \u201cold world\u201d and \u201cnew world\u201d landscapes. Professionals working in landscape architecture, planning, and engineering prioritize different aspects of sustainability as do researchers and academics depending on whether their emphasis is on landscape science, design, management, planning, or history. I feel passionately about landscape and believe that intelligent decisions about its future are pivotal to sustainable development. This essay does not pretend to be a definitive statement on the nature of \u201csustainable landscape,\u201d but I hope that it will provoke further thought about what the concept might mean both in theory and practice.", "author" : [ { "dropping-particle" : "", "family" : "Selman", "given" : "Paul", "non-dropping-particle" : "", "parse-names" : false, "suffix" : "" } ], "container-title" : "Sustainability: Science, Practice, &amp; Policy", "id" : "ITEM-1", "issue" : "2", "issued" : { "date-parts" : [ [ "2008" ] ] }, "page" : "23-28", "title" : "What do we mean by sustainable landscape?", "type" : "article-journal", "volume" : "4" }, "uris" : [ "http://www.mendeley.com/documents/?uuid=3a568f86-d7c6-4635-b79d-23589d7dadc2" ] }, { "id" : "ITEM-2", "itemData" : { "DOI" : "10.1016/S0167-8809(99)00089-4", "ISBN" : "0167-8809", "ISSN" : "01678809", "abstract" : "Background concepts of the landscape research performed at the Department of Geography of the University of Ghent are described, discussed and illustrated with some examples. The integrated approach is based upon holism, perception and evolution. Holism allows the link between landscape ecology and perception. It explains the interaction between structure and functioning and the importance of the scale. Perception is linked to structure, pattern recognition and learning and, thus, also to behaviour and the practical results of planning processes. Landscape evolution is based on the dynamic interaction between structure and functioning and also on history, which makes each landscape unique. The rate and magnitude of the changes in the landscape are the most important factors relating to the evolution of our landscapes. Pressures upon the landscape and values of our landscapes can be defined according to their traditional characteristics.", "author" : [ { "dropping-particle" : "", "family" : "Antrop", "given" : "Marc", "non-dropping-particle" : "", "parse-names" : false, "suffix" : "" } ], "container-title" : "Agriculture, Ecosystems and Environment", "id" : "ITEM-2", "issue" : "July 1999", "issued" : { "date-parts" : [ [ "2000" ] ] }, "page" : "17-28", "title" : "Background concepts for integrated landscape analysis", "type" : "article-journal", "volume" : "77" }, "uris" : [ "http://www.mendeley.com/documents/?uuid=ed41438d-6551-447a-9dd7-1b064c8bff44" ] }, { "id" : "ITEM-3", "itemData" : { "author" : [ { "dropping-particle" : "", "family" : "Gast\u00f3", "given" : "Juan", "non-dropping-particle" : "", "parse-names" : false, "suffix" : "" }, { "dropping-particle" : "", "family" : "Subercaseaux", "given" : "Diego", "non-dropping-particle" : "", "parse-names" : false, "suffix" : "" }, { "dropping-particle" : "", "family" : "Vera", "given" : "Leonardo", "non-dropping-particle" : "", "parse-names" : false, "suffix" : "" }, { "dropping-particle" : "", "family" : "Tomic", "given" : "Tomic", "non-dropping-particle" : "", "parse-names" : false, "suffix" : "" } ], "container-title" : "Landscape Planning", "id" : "ITEM-3", "issued" : { "date-parts" : [ [ "2012" ] ] }, "page" : "151-178", "title" : "Agriculture and Rurality as Constructor of Sustainable Cultural Landscape", "type" : "article-journal", "volume" : "7" }, "uris" : [ "http://www.mendeley.com/documents/?uuid=1af77292-9cd7-4b30-855c-c125546423ec" ] } ], "mendeley" : { "formattedCitation" : "(Antrop, 2000; Gast\u00f3, Subercaseaux, Vera, &amp; Tomic, 2012; Selman, 2008)", "plainTextFormattedCitation" : "(Antrop, 2000; Gast\u00f3, Subercaseaux, Vera, &amp; Tomic, 2012; Selman, 2008)", "previouslyFormattedCitation" : "(Antrop, 2000; Gast\u00f3, Subercaseaux, Vera, &amp; Tomic, 2012; Selman, 2008)" }, "properties" : { "noteIndex" : 0 }, "schema" : "https://github.com/citation-style-language/schema/raw/master/csl-citation.json" }</w:instrText>
      </w:r>
      <w:r w:rsidR="008836DC" w:rsidRPr="000E0F90">
        <w:rPr>
          <w:rFonts w:ascii="Arial" w:hAnsi="Arial" w:cs="Arial"/>
          <w:color w:val="000000" w:themeColor="text1"/>
        </w:rPr>
        <w:fldChar w:fldCharType="separate"/>
      </w:r>
      <w:r w:rsidR="00935A8F" w:rsidRPr="00935A8F">
        <w:rPr>
          <w:rFonts w:ascii="Arial" w:hAnsi="Arial" w:cs="Arial"/>
          <w:noProof/>
          <w:color w:val="000000" w:themeColor="text1"/>
        </w:rPr>
        <w:t>(Antrop, 2000; Gastó, Subercaseaux, Vera, &amp; Tomic, 2012; Selman, 2008)</w:t>
      </w:r>
      <w:r w:rsidR="008836DC" w:rsidRPr="000E0F90">
        <w:rPr>
          <w:rFonts w:ascii="Arial" w:hAnsi="Arial" w:cs="Arial"/>
          <w:color w:val="000000" w:themeColor="text1"/>
        </w:rPr>
        <w:fldChar w:fldCharType="end"/>
      </w:r>
      <w:r w:rsidR="0026411C" w:rsidRPr="000E0F90">
        <w:rPr>
          <w:rFonts w:ascii="Arial" w:hAnsi="Arial" w:cs="Arial"/>
          <w:color w:val="000000" w:themeColor="text1"/>
        </w:rPr>
        <w:t xml:space="preserve">. </w:t>
      </w:r>
    </w:p>
    <w:p w:rsidR="00653FCB" w:rsidRPr="000E0F90" w:rsidRDefault="0009190D" w:rsidP="002B538F">
      <w:pPr>
        <w:spacing w:line="360" w:lineRule="auto"/>
        <w:rPr>
          <w:rFonts w:ascii="Arial" w:hAnsi="Arial" w:cs="Arial"/>
          <w:color w:val="000000" w:themeColor="text1"/>
        </w:rPr>
      </w:pPr>
      <w:r w:rsidRPr="000E0F90">
        <w:rPr>
          <w:rFonts w:ascii="Arial" w:hAnsi="Arial" w:cs="Arial"/>
          <w:color w:val="000000" w:themeColor="text1"/>
        </w:rPr>
        <w:t>Con e</w:t>
      </w:r>
      <w:r w:rsidR="00380FC7" w:rsidRPr="000E0F90">
        <w:rPr>
          <w:rFonts w:ascii="Arial" w:hAnsi="Arial" w:cs="Arial"/>
          <w:color w:val="000000" w:themeColor="text1"/>
        </w:rPr>
        <w:t>l desarrollo de las sociedades</w:t>
      </w:r>
      <w:r w:rsidR="007251E8" w:rsidRPr="000E0F90">
        <w:rPr>
          <w:rFonts w:ascii="Arial" w:hAnsi="Arial" w:cs="Arial"/>
          <w:color w:val="000000" w:themeColor="text1"/>
        </w:rPr>
        <w:t xml:space="preserve">, </w:t>
      </w:r>
      <w:r w:rsidR="004A7FFD" w:rsidRPr="000E0F90">
        <w:rPr>
          <w:rFonts w:ascii="Arial" w:hAnsi="Arial" w:cs="Arial"/>
          <w:color w:val="000000" w:themeColor="text1"/>
        </w:rPr>
        <w:t xml:space="preserve">se </w:t>
      </w:r>
      <w:r w:rsidR="007251E8" w:rsidRPr="000E0F90">
        <w:rPr>
          <w:rFonts w:ascii="Arial" w:hAnsi="Arial" w:cs="Arial"/>
          <w:color w:val="000000" w:themeColor="text1"/>
        </w:rPr>
        <w:t>ha</w:t>
      </w:r>
      <w:r w:rsidR="004A7FFD" w:rsidRPr="000E0F90">
        <w:rPr>
          <w:rFonts w:ascii="Arial" w:hAnsi="Arial" w:cs="Arial"/>
          <w:color w:val="000000" w:themeColor="text1"/>
        </w:rPr>
        <w:t>n</w:t>
      </w:r>
      <w:r w:rsidR="007251E8" w:rsidRPr="000E0F90">
        <w:rPr>
          <w:rFonts w:ascii="Arial" w:hAnsi="Arial" w:cs="Arial"/>
          <w:color w:val="000000" w:themeColor="text1"/>
        </w:rPr>
        <w:t xml:space="preserve"> incrementado y diversificado las </w:t>
      </w:r>
      <w:r w:rsidR="001C3711">
        <w:rPr>
          <w:rFonts w:ascii="Arial" w:hAnsi="Arial" w:cs="Arial"/>
          <w:color w:val="000000" w:themeColor="text1"/>
        </w:rPr>
        <w:t xml:space="preserve">actividades humanas, reorganizando los componentes territoriales </w:t>
      </w:r>
      <w:r w:rsidR="007251E8" w:rsidRPr="000E0F90">
        <w:rPr>
          <w:rFonts w:ascii="Arial" w:hAnsi="Arial" w:cs="Arial"/>
          <w:color w:val="000000" w:themeColor="text1"/>
        </w:rPr>
        <w:t>para alcanzar los fines propuestos</w:t>
      </w:r>
      <w:r w:rsidR="00BE4334" w:rsidRPr="000E0F90">
        <w:rPr>
          <w:rFonts w:ascii="Arial" w:hAnsi="Arial" w:cs="Arial"/>
          <w:color w:val="000000" w:themeColor="text1"/>
        </w:rPr>
        <w:t xml:space="preserve"> (i.e. agricultura, forestal, minería, pesca)</w:t>
      </w:r>
      <w:r w:rsidR="007251E8" w:rsidRPr="000E0F90">
        <w:rPr>
          <w:rFonts w:ascii="Arial" w:hAnsi="Arial" w:cs="Arial"/>
          <w:color w:val="000000" w:themeColor="text1"/>
        </w:rPr>
        <w:t>. E</w:t>
      </w:r>
      <w:r w:rsidR="007B7233" w:rsidRPr="000E0F90">
        <w:rPr>
          <w:rFonts w:ascii="Arial" w:hAnsi="Arial" w:cs="Arial"/>
          <w:color w:val="000000" w:themeColor="text1"/>
        </w:rPr>
        <w:t xml:space="preserve">ntre éstas, </w:t>
      </w:r>
      <w:r w:rsidR="00653FCB" w:rsidRPr="000E0F90">
        <w:rPr>
          <w:rFonts w:ascii="Arial" w:hAnsi="Arial" w:cs="Arial"/>
          <w:color w:val="000000" w:themeColor="text1"/>
        </w:rPr>
        <w:t xml:space="preserve">la actividad minera ha estado ligada estrechamente al desarrollo de las civilizaciones, desde la prehistoria, pasando por la edad de piedra, bronce, hierro y acero, hasta la era actual </w:t>
      </w:r>
      <w:r w:rsidR="00653FCB" w:rsidRPr="000E0F90">
        <w:rPr>
          <w:rFonts w:ascii="Arial" w:hAnsi="Arial" w:cs="Arial"/>
          <w:color w:val="000000" w:themeColor="text1"/>
        </w:rPr>
        <w:fldChar w:fldCharType="begin" w:fldLock="1"/>
      </w:r>
      <w:r w:rsidR="00653FCB" w:rsidRPr="000E0F90">
        <w:rPr>
          <w:rFonts w:ascii="Arial" w:hAnsi="Arial" w:cs="Arial"/>
          <w:color w:val="000000" w:themeColor="text1"/>
        </w:rPr>
        <w:instrText>ADDIN CSL_CITATION { "citationItems" : [ { "id" : "ITEM-1", "itemData" : { "DOI" : "10.1016/j.mineng.2012.01.006", "ISSN" : "08926875", "author" : [ { "dropping-particle" : "", "family" : "Giurco", "given" : "Damien", "non-dropping-particle" : "", "parse-names" : false, "suffix" : "" }, { "dropping-particle" : "", "family" : "Cooper", "given" : "Carlia", "non-dropping-particle" : "", "parse-names" : false, "suffix" : "" } ], "container-title" : "Minerals Engineering", "id" : "ITEM-1", "issued" : { "date-parts" : [ [ "2012", "3" ] ] }, "page" : "3-12", "publisher" : "Elsevier Ltd", "title" : "Mining and sustainability: asking the right questions", "type" : "article-journal", "volume" : "29" }, "uris" : [ "http://www.mendeley.com/documents/?uuid=63acb2a3-896a-4522-b76e-b45ab835f6c9" ] } ], "mendeley" : { "formattedCitation" : "(Giurco &amp; Cooper, 2012)", "plainTextFormattedCitation" : "(Giurco &amp; Cooper, 2012)", "previouslyFormattedCitation" : "(Giurco &amp; Cooper, 2012)" }, "properties" : { "noteIndex" : 0 }, "schema" : "https://github.com/citation-style-language/schema/raw/master/csl-citation.json" }</w:instrText>
      </w:r>
      <w:r w:rsidR="00653FCB" w:rsidRPr="000E0F90">
        <w:rPr>
          <w:rFonts w:ascii="Arial" w:hAnsi="Arial" w:cs="Arial"/>
          <w:color w:val="000000" w:themeColor="text1"/>
        </w:rPr>
        <w:fldChar w:fldCharType="separate"/>
      </w:r>
      <w:r w:rsidR="00653FCB" w:rsidRPr="000E0F90">
        <w:rPr>
          <w:rFonts w:ascii="Arial" w:hAnsi="Arial" w:cs="Arial"/>
          <w:noProof/>
          <w:color w:val="000000" w:themeColor="text1"/>
        </w:rPr>
        <w:t>(Giurco &amp; Cooper, 2012)</w:t>
      </w:r>
      <w:r w:rsidR="00653FCB" w:rsidRPr="000E0F90">
        <w:rPr>
          <w:rFonts w:ascii="Arial" w:hAnsi="Arial" w:cs="Arial"/>
          <w:color w:val="000000" w:themeColor="text1"/>
        </w:rPr>
        <w:fldChar w:fldCharType="end"/>
      </w:r>
      <w:r w:rsidR="00653FCB" w:rsidRPr="000E0F90">
        <w:rPr>
          <w:rFonts w:ascii="Arial" w:hAnsi="Arial" w:cs="Arial"/>
          <w:color w:val="000000" w:themeColor="text1"/>
        </w:rPr>
        <w:t xml:space="preserve"> </w:t>
      </w:r>
      <w:sdt>
        <w:sdtPr>
          <w:rPr>
            <w:rFonts w:ascii="Arial" w:hAnsi="Arial" w:cs="Arial"/>
            <w:color w:val="000000" w:themeColor="text1"/>
          </w:rPr>
          <w:id w:val="-1729913878"/>
          <w:citation/>
        </w:sdtPr>
        <w:sdtEndPr/>
        <w:sdtContent>
          <w:r w:rsidR="00653FCB" w:rsidRPr="000E0F90">
            <w:rPr>
              <w:rFonts w:ascii="Arial" w:hAnsi="Arial" w:cs="Arial"/>
              <w:color w:val="000000" w:themeColor="text1"/>
            </w:rPr>
            <w:fldChar w:fldCharType="begin"/>
          </w:r>
          <w:r w:rsidR="00653FCB" w:rsidRPr="000E0F90">
            <w:rPr>
              <w:rFonts w:ascii="Arial" w:hAnsi="Arial" w:cs="Arial"/>
              <w:color w:val="000000" w:themeColor="text1"/>
            </w:rPr>
            <w:instrText xml:space="preserve">CITATION MarcadorDePosición3 \t  \l 13322 </w:instrText>
          </w:r>
          <w:r w:rsidR="00653FCB" w:rsidRPr="000E0F90">
            <w:rPr>
              <w:rFonts w:ascii="Arial" w:hAnsi="Arial" w:cs="Arial"/>
              <w:color w:val="000000" w:themeColor="text1"/>
            </w:rPr>
            <w:fldChar w:fldCharType="separate"/>
          </w:r>
          <w:r w:rsidR="008D0261" w:rsidRPr="000E0F90">
            <w:rPr>
              <w:rFonts w:ascii="Arial" w:hAnsi="Arial" w:cs="Arial"/>
              <w:noProof/>
              <w:color w:val="000000" w:themeColor="text1"/>
            </w:rPr>
            <w:t>(Spitz &amp; Trudinge , 2008)</w:t>
          </w:r>
          <w:r w:rsidR="00653FCB" w:rsidRPr="000E0F90">
            <w:rPr>
              <w:rFonts w:ascii="Arial" w:hAnsi="Arial" w:cs="Arial"/>
              <w:color w:val="000000" w:themeColor="text1"/>
            </w:rPr>
            <w:fldChar w:fldCharType="end"/>
          </w:r>
        </w:sdtContent>
      </w:sdt>
      <w:r w:rsidR="00653FCB" w:rsidRPr="000E0F90">
        <w:rPr>
          <w:rFonts w:ascii="Arial" w:hAnsi="Arial" w:cs="Arial"/>
          <w:color w:val="000000" w:themeColor="text1"/>
        </w:rPr>
        <w:t xml:space="preserve">. Contribuyendo, no sólo a la sobrevida de la humanidad, sino que al desarrollo socioeconómico y cultural, así como al establecimiento de asentamientos en diversos países </w:t>
      </w:r>
      <w:sdt>
        <w:sdtPr>
          <w:rPr>
            <w:rFonts w:ascii="Arial" w:hAnsi="Arial" w:cs="Arial"/>
            <w:color w:val="000000" w:themeColor="text1"/>
          </w:rPr>
          <w:id w:val="-1309925307"/>
          <w:citation/>
        </w:sdtPr>
        <w:sdtEndPr/>
        <w:sdtContent>
          <w:r w:rsidR="00653FCB" w:rsidRPr="000E0F90">
            <w:rPr>
              <w:rFonts w:ascii="Arial" w:hAnsi="Arial" w:cs="Arial"/>
              <w:color w:val="000000" w:themeColor="text1"/>
            </w:rPr>
            <w:fldChar w:fldCharType="begin"/>
          </w:r>
          <w:r w:rsidR="001C3711">
            <w:rPr>
              <w:rFonts w:ascii="Arial" w:hAnsi="Arial" w:cs="Arial"/>
              <w:color w:val="000000" w:themeColor="text1"/>
            </w:rPr>
            <w:instrText xml:space="preserve">CITATION Spi \t  \l 13322 </w:instrText>
          </w:r>
          <w:r w:rsidR="00653FCB" w:rsidRPr="000E0F90">
            <w:rPr>
              <w:rFonts w:ascii="Arial" w:hAnsi="Arial" w:cs="Arial"/>
              <w:color w:val="000000" w:themeColor="text1"/>
            </w:rPr>
            <w:fldChar w:fldCharType="separate"/>
          </w:r>
          <w:r w:rsidR="001C3711" w:rsidRPr="001C3711">
            <w:rPr>
              <w:rFonts w:ascii="Arial" w:hAnsi="Arial" w:cs="Arial"/>
              <w:noProof/>
              <w:color w:val="000000" w:themeColor="text1"/>
            </w:rPr>
            <w:t>(Spitz &amp; Trudinge, 2008)</w:t>
          </w:r>
          <w:r w:rsidR="00653FCB" w:rsidRPr="000E0F90">
            <w:rPr>
              <w:rFonts w:ascii="Arial" w:hAnsi="Arial" w:cs="Arial"/>
              <w:color w:val="000000" w:themeColor="text1"/>
            </w:rPr>
            <w:fldChar w:fldCharType="end"/>
          </w:r>
        </w:sdtContent>
      </w:sdt>
      <w:r w:rsidR="00653FCB" w:rsidRPr="000E0F90">
        <w:rPr>
          <w:rFonts w:ascii="Arial" w:hAnsi="Arial" w:cs="Arial"/>
          <w:color w:val="000000" w:themeColor="text1"/>
        </w:rPr>
        <w:t>.</w:t>
      </w:r>
    </w:p>
    <w:p w:rsidR="00EC4715" w:rsidRPr="000E0F90" w:rsidRDefault="00A87C91" w:rsidP="002B538F">
      <w:pPr>
        <w:spacing w:line="360" w:lineRule="auto"/>
        <w:rPr>
          <w:rFonts w:ascii="Arial" w:hAnsi="Arial" w:cs="Arial"/>
          <w:color w:val="000000" w:themeColor="text1"/>
          <w:lang w:val="en-US"/>
        </w:rPr>
      </w:pPr>
      <w:r w:rsidRPr="000E0F90">
        <w:rPr>
          <w:rFonts w:ascii="Arial" w:hAnsi="Arial" w:cs="Arial"/>
          <w:color w:val="000000" w:themeColor="text1"/>
        </w:rPr>
        <w:t>Con la ex</w:t>
      </w:r>
      <w:r w:rsidR="008D6DDA" w:rsidRPr="000E0F90">
        <w:rPr>
          <w:rFonts w:ascii="Arial" w:hAnsi="Arial" w:cs="Arial"/>
          <w:color w:val="000000" w:themeColor="text1"/>
        </w:rPr>
        <w:t>pansión de la población humana,</w:t>
      </w:r>
      <w:r w:rsidRPr="000E0F90">
        <w:rPr>
          <w:rFonts w:ascii="Arial" w:hAnsi="Arial" w:cs="Arial"/>
          <w:color w:val="000000" w:themeColor="text1"/>
        </w:rPr>
        <w:t xml:space="preserve"> la industrialización, y </w:t>
      </w:r>
      <w:r w:rsidR="001C61B7" w:rsidRPr="000E0F90">
        <w:rPr>
          <w:rFonts w:ascii="Arial" w:hAnsi="Arial" w:cs="Arial"/>
          <w:color w:val="000000" w:themeColor="text1"/>
        </w:rPr>
        <w:t>últimamente</w:t>
      </w:r>
      <w:r w:rsidRPr="000E0F90">
        <w:rPr>
          <w:rFonts w:ascii="Arial" w:hAnsi="Arial" w:cs="Arial"/>
          <w:color w:val="000000" w:themeColor="text1"/>
        </w:rPr>
        <w:t xml:space="preserve">, a los altos niveles de consumo de los países </w:t>
      </w:r>
      <w:r w:rsidR="00CF11BB" w:rsidRPr="000E0F90">
        <w:rPr>
          <w:rFonts w:ascii="Arial" w:hAnsi="Arial" w:cs="Arial"/>
          <w:color w:val="000000" w:themeColor="text1"/>
        </w:rPr>
        <w:t>desarrollados</w:t>
      </w:r>
      <w:r w:rsidRPr="000E0F90">
        <w:rPr>
          <w:rFonts w:ascii="Arial" w:hAnsi="Arial" w:cs="Arial"/>
          <w:color w:val="000000" w:themeColor="text1"/>
        </w:rPr>
        <w:t xml:space="preserve"> y requerimientos de material de las economías emergentes, </w:t>
      </w:r>
      <w:r w:rsidR="001B410E" w:rsidRPr="000E0F90">
        <w:rPr>
          <w:rFonts w:ascii="Arial" w:hAnsi="Arial" w:cs="Arial"/>
          <w:color w:val="000000" w:themeColor="text1"/>
        </w:rPr>
        <w:t xml:space="preserve">se </w:t>
      </w:r>
      <w:r w:rsidRPr="000E0F90">
        <w:rPr>
          <w:rFonts w:ascii="Arial" w:hAnsi="Arial" w:cs="Arial"/>
          <w:color w:val="000000" w:themeColor="text1"/>
        </w:rPr>
        <w:t>ha perpetuando el rol de la industria minera en la calidad de vida de la sociedad</w:t>
      </w:r>
      <w:r w:rsidR="001B410E" w:rsidRPr="000E0F90">
        <w:rPr>
          <w:rFonts w:ascii="Arial" w:hAnsi="Arial" w:cs="Arial"/>
          <w:color w:val="000000" w:themeColor="text1"/>
        </w:rPr>
        <w:t>,</w:t>
      </w:r>
      <w:r w:rsidRPr="000E0F90">
        <w:rPr>
          <w:rFonts w:ascii="Arial" w:hAnsi="Arial" w:cs="Arial"/>
          <w:color w:val="000000" w:themeColor="text1"/>
        </w:rPr>
        <w:t xml:space="preserve"> manteniendo el desarrollo de la actividad minera y los servicios asociados </w:t>
      </w:r>
      <w:r w:rsidRPr="000E0F90">
        <w:rPr>
          <w:rFonts w:ascii="Arial" w:hAnsi="Arial" w:cs="Arial"/>
          <w:color w:val="000000" w:themeColor="text1"/>
        </w:rPr>
        <w:fldChar w:fldCharType="begin" w:fldLock="1"/>
      </w:r>
      <w:r w:rsidR="00F22AA6" w:rsidRPr="000E0F90">
        <w:rPr>
          <w:rFonts w:ascii="Arial" w:hAnsi="Arial" w:cs="Arial"/>
          <w:color w:val="000000" w:themeColor="text1"/>
        </w:rPr>
        <w:instrText>ADDIN CSL_CITATION { "citationItems" : [ { "id" : "ITEM-1", "itemData" : { "DOI" : "10.1016/j.ecolecon.2015.12.007", "ISSN" : "09218009", "abstract" : "During the second half of the 20th century, mining expanded globally and must be considered one of the dominant forms of human intervention into the environment. Metals are strategically important resources for industrialized and industrializing societies. In 2010, the five BRICS countries (Brazil, the Russian Federation, India, China, and South Africa) consumed 54% of the metals mined globally. The analysis of material flow data offers a biophysical perspective on mining as a resource frontier and allows for the identification of patterns in global metals extraction and trade. Since 1950, metal extraction has shifted from the early industrializing countries into the emerging economies. In 2010, only 6% of metals mined stemmed from Europe or North America while 76% were extracted in four countries (Australia, China, India, and Brazil). In the countries hosting large-scale mining operations, socio-ecological pressure ensues the so-called extractivist development path is common. High rates of metal deposit depletion mean that today's metal extractors and exporters may depend on imports of metal from anthropogenic deposits (stocks in buildings, infrastructure, and durable products) in the future. The extractivist path and the shifting of metals from natural to anthropogenic deposits are both associated with potential for conflict.", "author" : [ { "dropping-particle" : "", "family" : "Schaffartzik", "given" : "Anke", "non-dropping-particle" : "", "parse-names" : false, "suffix" : "" }, { "dropping-particle" : "", "family" : "Mayer", "given" : "Andreas", "non-dropping-particle" : "", "parse-names" : false, "suffix" : "" }, { "dropping-particle" : "", "family" : "Eisenmenger", "given" : "Nina", "non-dropping-particle" : "", "parse-names" : false, "suffix" : "" }, { "dropping-particle" : "", "family" : "Krausmann", "given" : "Fridolin", "non-dropping-particle" : "", "parse-names" : false, "suffix" : "" } ], "container-title" : "Ecological Economics", "id" : "ITEM-1", "issued" : { "date-parts" : [ [ "2016" ] ] }, "note" : "NULL", "page" : "101-110", "publisher" : "Elsevier B.V.", "title" : "Global patterns of metal extractivism, 1950-2010: Providing the bones for the industrial society's skeleton", "type" : "article-journal", "volume" : "122" }, "uris" : [ "http://www.mendeley.com/documents/?uuid=23bd58d5-570d-433e-9ac6-e85569bd1207" ] } ], "mendeley" : { "formattedCitation" : "(Schaffartzik, Mayer, Eisenmenger, &amp; Krausmann, 2016)", "plainTextFormattedCitation" : "(Schaffartzik, Mayer, Eisenmenger, &amp; Krausmann, 2016)", "previouslyFormattedCitation" : "(Schaffartzik, Mayer, Eisenmenger, &amp; Krausmann, 2016)"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(Schaffartzik, Mayer, Eisenmenger, &amp; Krausmann, 2016)</w:t>
      </w:r>
      <w:r w:rsidRPr="000E0F90">
        <w:rPr>
          <w:rFonts w:ascii="Arial" w:hAnsi="Arial" w:cs="Arial"/>
          <w:color w:val="000000" w:themeColor="text1"/>
        </w:rPr>
        <w:fldChar w:fldCharType="end"/>
      </w:r>
      <w:r w:rsidRPr="000E0F90">
        <w:rPr>
          <w:rFonts w:ascii="Arial" w:hAnsi="Arial" w:cs="Arial"/>
          <w:color w:val="000000" w:themeColor="text1"/>
        </w:rPr>
        <w:t xml:space="preserve"> </w:t>
      </w:r>
      <w:r w:rsidRPr="000E0F90">
        <w:rPr>
          <w:rFonts w:ascii="Arial" w:hAnsi="Arial" w:cs="Arial"/>
          <w:color w:val="000000" w:themeColor="text1"/>
        </w:rPr>
        <w:fldChar w:fldCharType="begin" w:fldLock="1"/>
      </w:r>
      <w:r w:rsidR="004105D9" w:rsidRPr="000E0F90">
        <w:rPr>
          <w:rFonts w:ascii="Arial" w:hAnsi="Arial" w:cs="Arial"/>
          <w:color w:val="000000" w:themeColor="text1"/>
        </w:rPr>
        <w:instrText>ADDIN CSL_CITATION { "citationItems" : [ { "id" : "ITEM-1", "itemData" : { "DOI" : "10.1016/j.jclepro.2014.09.016", "ISBN" : "0959-6526", "ISSN" : "09596526", "PMID" : "99405212", "abstract" : "The supply of minerals and energy is critical to global society. However, this supply is associated with social and environmental impacts, leading to concerns of generational and intergenerational equity. In light of these concerns, a call for papers for a special volume on the mining industry was issued with the view that such academic work could assist in reducing the negative impacts associated with this industry. This paper introduces the Special Volume \"The sustainability agenda of the minerals and energy supply and demand network: An integrative analysis of ecological, ethical, economic, and technological dimensions\". The Special Volume contains 84 articles, divided into several themes; sustainability accounting and reporting, corporate social responsibility, future mining challenges, integrative frameworks for sustainability, management aspects, mining in a developing context and new frontiers in the oil andgas industry. The Special Volume also includes two letters on contemporary issues with commentaries on these from experts in the fields, viz., community conflict and land rehabilitation. Insights obtained across these themes are summarized and recommendations are made of what is needed to build upon the findings of this Special volume. A research agenda is proposed for the future from the gaps and synergies identified. The overall contribution of this Special Volume is that it renews the debate on the sus</w:instrText>
      </w:r>
      <w:r w:rsidR="004105D9" w:rsidRPr="000E0F90">
        <w:rPr>
          <w:rFonts w:ascii="Arial" w:hAnsi="Arial" w:cs="Arial"/>
          <w:color w:val="000000" w:themeColor="text1"/>
          <w:lang w:val="en-US"/>
        </w:rPr>
        <w:instrText>tainability challenges for the mining industry and provides transdisciplinary insights into resolving some of these challenges.", "author" : [ { "dropping-particle" : "", "family" : "Moran", "given" : "C. J.", "non-dropping-particle" : "", "parse-names" : false, "suffix" : "" }, { "dropping-particle" : "", "family" : "Lodhia", "given" : "S.", "non-dropping-particle" : "", "parse-names" : false, "suffix" : "" }, { "dropping-particle" : "", "family" : "Kunz", "given" : "N. C.", "non-dropping-particle" : "", "parse-names" : false, "suffix" : "" }, { "dropping-particle" : "", "family" : "Huisingh", "given" : "D.", "non-dropping-particle" : "", "parse-names" : false, "suffix" : "" } ], "container-title" : "Journal of Cleaner Production", "id" : "ITEM-1", "issued" : { "date-parts" : [ [ "2014" ] ] }, "page" : "1-15", "publisher" : "Elsevier Ltd", "title" : "Sustainability in mining, minerals and energy: New processes, pathways and human interactions for a cautiously optimistic future", "type" : "article-journal", "volume" : "84" }, "uris" : [ "http://www.mendeley.com/documents/?uuid=79ee88e8-8209-49f1-b638-c76cab0d49fe" ] } ], "mendeley" : { "formattedCitation" : "(Moran, Lodhia, Kunz, &amp; Huisingh, 2014)", "plainTextFormattedCitation" : "(Moran, Lodhia, Kunz, &amp; Huisingh, 2014)", "previouslyFormattedCitation" : "(Moran, Lodhia, Kunz, &amp; Huisingh, 2014)" }, "properties" : { "noteIndex" : 0 }, "schema" : "https://github.com/citation-style-language/schema/raw/master/csl-citation.json" }</w:instrText>
      </w:r>
      <w:r w:rsidRPr="000E0F90">
        <w:rPr>
          <w:rFonts w:ascii="Arial" w:hAnsi="Arial" w:cs="Arial"/>
          <w:color w:val="000000" w:themeColor="text1"/>
        </w:rPr>
        <w:fldChar w:fldCharType="separate"/>
      </w:r>
      <w:r w:rsidR="00A21008" w:rsidRPr="000E0F90">
        <w:rPr>
          <w:rFonts w:ascii="Arial" w:hAnsi="Arial" w:cs="Arial"/>
          <w:noProof/>
          <w:color w:val="000000" w:themeColor="text1"/>
          <w:lang w:val="en-US"/>
        </w:rPr>
        <w:t>(Moran, Lodhia, Kunz, &amp; Huisingh, 2014)</w:t>
      </w:r>
      <w:r w:rsidRPr="000E0F90">
        <w:rPr>
          <w:rFonts w:ascii="Arial" w:hAnsi="Arial" w:cs="Arial"/>
          <w:color w:val="000000" w:themeColor="text1"/>
        </w:rPr>
        <w:fldChar w:fldCharType="end"/>
      </w:r>
      <w:r w:rsidRPr="000E0F90">
        <w:rPr>
          <w:rFonts w:ascii="Arial" w:hAnsi="Arial" w:cs="Arial"/>
          <w:color w:val="000000" w:themeColor="text1"/>
          <w:lang w:val="en-US"/>
        </w:rPr>
        <w:t xml:space="preserve"> </w:t>
      </w:r>
      <w:r w:rsidRPr="000E0F90">
        <w:rPr>
          <w:rFonts w:ascii="Arial" w:hAnsi="Arial" w:cs="Arial"/>
          <w:color w:val="000000" w:themeColor="text1"/>
        </w:rPr>
        <w:fldChar w:fldCharType="begin" w:fldLock="1"/>
      </w:r>
      <w:r w:rsidRPr="000E0F90">
        <w:rPr>
          <w:rFonts w:ascii="Arial" w:hAnsi="Arial" w:cs="Arial"/>
          <w:color w:val="000000" w:themeColor="text1"/>
          <w:lang w:val="en-US"/>
        </w:rPr>
        <w:instrText>ADDIN CSL_CITATION { "citationItems" : [ { "id" : "ITEM-1", "itemData" : { "abstract" : "Mining provides the building blocks for human development. The supply of metal and mineral products has underpinned human endeavour through millennia and will continue to play its role in meeting society\u2019s needs. The need will remain strong, so satisfying demand requires finding and developing new mines, even as resource use becomes more efficient and recycling systems ramp up. Fortunately the geological supply of metals within the Earth remains robust and new technologies will help bring new deposits on stream. But these will increasingly be located in more remote regions, raising production and investment costs. In this edition of the Mining\u2019s Contribution series, we discuss the key trends that mark today\u2019s mining and metals industry and, without attempting to predict the future, consider the where, the what, the who and the how of the mining industry today and as it goes forward into the future.", "author" : [ { "dropping-particle" : "", "family" : "ICMM", "given" : "", "non-dropping-particle" : "", "parse-names" : false, "suffix" : "" } ], "container-title" : "Mining\u00b4s Contribution to Sustainable Development", "id" : "ITEM-1", "issue" : "October", "issued" : { "date-parts" : [ [ "2012" ] ] }, "page" : "16", "title" : "Trends in the mining and metals industry", "type" : "article-journal" }, "uris" : [ "http://www.mendeley.com/documents/?uuid=62522b5c-0082-46bc-b2fa-896d8d4505ea" ] } ], "mendeley" : { "formattedCitation" : "(ICMM, 2012)", "plainTextFormattedCitation" : "(ICMM, 2012)", "previouslyFormattedCitation" : "(ICMM, 2012)"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lang w:val="en-US"/>
        </w:rPr>
        <w:t>(ICMM, 2012)</w:t>
      </w:r>
      <w:r w:rsidRPr="000E0F90">
        <w:rPr>
          <w:rFonts w:ascii="Arial" w:hAnsi="Arial" w:cs="Arial"/>
          <w:color w:val="000000" w:themeColor="text1"/>
        </w:rPr>
        <w:fldChar w:fldCharType="end"/>
      </w:r>
      <w:r w:rsidRPr="000E0F90">
        <w:rPr>
          <w:rFonts w:ascii="Arial" w:hAnsi="Arial" w:cs="Arial"/>
          <w:color w:val="000000" w:themeColor="text1"/>
          <w:lang w:val="en-US"/>
        </w:rPr>
        <w:t xml:space="preserve">. </w:t>
      </w:r>
    </w:p>
    <w:p w:rsidR="00A87C91" w:rsidRPr="000E0F90" w:rsidRDefault="00A87C91" w:rsidP="002B538F">
      <w:pPr>
        <w:spacing w:line="360" w:lineRule="auto"/>
        <w:rPr>
          <w:rFonts w:ascii="Arial" w:hAnsi="Arial" w:cs="Arial"/>
          <w:color w:val="000000" w:themeColor="text1"/>
        </w:rPr>
      </w:pPr>
      <w:r w:rsidRPr="00B17364">
        <w:rPr>
          <w:rFonts w:ascii="Arial" w:hAnsi="Arial" w:cs="Arial"/>
          <w:color w:val="000000" w:themeColor="text1"/>
        </w:rPr>
        <w:t xml:space="preserve">Este </w:t>
      </w:r>
      <w:r w:rsidR="001B410E" w:rsidRPr="00B17364">
        <w:rPr>
          <w:rFonts w:ascii="Arial" w:hAnsi="Arial" w:cs="Arial"/>
          <w:color w:val="000000" w:themeColor="text1"/>
        </w:rPr>
        <w:t xml:space="preserve">crecimiento </w:t>
      </w:r>
      <w:r w:rsidRPr="00B17364">
        <w:rPr>
          <w:rFonts w:ascii="Arial" w:hAnsi="Arial" w:cs="Arial"/>
          <w:color w:val="000000" w:themeColor="text1"/>
        </w:rPr>
        <w:t xml:space="preserve">sostenido en la demanda de minerales se ha traducido en un aumento de la escala de extracción de la actividad, </w:t>
      </w:r>
      <w:r w:rsidR="008D0261" w:rsidRPr="00B17364">
        <w:rPr>
          <w:rFonts w:ascii="Arial" w:hAnsi="Arial" w:cs="Arial"/>
          <w:color w:val="000000" w:themeColor="text1"/>
        </w:rPr>
        <w:t xml:space="preserve">incremento </w:t>
      </w:r>
      <w:r w:rsidR="008D6DDA" w:rsidRPr="00B17364">
        <w:rPr>
          <w:rFonts w:ascii="Arial" w:hAnsi="Arial" w:cs="Arial"/>
          <w:color w:val="000000" w:themeColor="text1"/>
        </w:rPr>
        <w:t xml:space="preserve">del número </w:t>
      </w:r>
      <w:r w:rsidR="008D0261" w:rsidRPr="00B17364">
        <w:rPr>
          <w:rFonts w:ascii="Arial" w:hAnsi="Arial" w:cs="Arial"/>
          <w:color w:val="000000" w:themeColor="text1"/>
        </w:rPr>
        <w:t>de</w:t>
      </w:r>
      <w:r w:rsidR="008D6DDA" w:rsidRPr="00B17364">
        <w:rPr>
          <w:rFonts w:ascii="Arial" w:hAnsi="Arial" w:cs="Arial"/>
          <w:color w:val="000000" w:themeColor="text1"/>
        </w:rPr>
        <w:t xml:space="preserve"> </w:t>
      </w:r>
      <w:r w:rsidR="008D0261" w:rsidRPr="00B17364">
        <w:rPr>
          <w:rFonts w:ascii="Arial" w:hAnsi="Arial" w:cs="Arial"/>
          <w:color w:val="000000" w:themeColor="text1"/>
        </w:rPr>
        <w:t>faenas</w:t>
      </w:r>
      <w:r w:rsidR="008D6DDA" w:rsidRPr="00B17364">
        <w:rPr>
          <w:rFonts w:ascii="Arial" w:hAnsi="Arial" w:cs="Arial"/>
          <w:color w:val="000000" w:themeColor="text1"/>
        </w:rPr>
        <w:t xml:space="preserve">, así como también, </w:t>
      </w:r>
      <w:r w:rsidR="00EC4715" w:rsidRPr="00B17364">
        <w:rPr>
          <w:rFonts w:ascii="Arial" w:hAnsi="Arial" w:cs="Arial"/>
          <w:color w:val="000000" w:themeColor="text1"/>
        </w:rPr>
        <w:t>abstra</w:t>
      </w:r>
      <w:r w:rsidR="008D6DDA" w:rsidRPr="00B17364">
        <w:rPr>
          <w:rFonts w:ascii="Arial" w:hAnsi="Arial" w:cs="Arial"/>
          <w:color w:val="000000" w:themeColor="text1"/>
        </w:rPr>
        <w:t>cción de</w:t>
      </w:r>
      <w:r w:rsidR="008D0261" w:rsidRPr="00B17364">
        <w:rPr>
          <w:rFonts w:ascii="Arial" w:hAnsi="Arial" w:cs="Arial"/>
          <w:color w:val="000000" w:themeColor="text1"/>
        </w:rPr>
        <w:t>l</w:t>
      </w:r>
      <w:r w:rsidR="00EC4715" w:rsidRPr="00B17364">
        <w:rPr>
          <w:rFonts w:ascii="Arial" w:hAnsi="Arial" w:cs="Arial"/>
          <w:color w:val="000000" w:themeColor="text1"/>
        </w:rPr>
        <w:t xml:space="preserve"> ámbito local</w:t>
      </w:r>
      <w:r w:rsidR="008D0261" w:rsidRPr="00B17364">
        <w:rPr>
          <w:rFonts w:ascii="Arial" w:hAnsi="Arial" w:cs="Arial"/>
          <w:color w:val="000000" w:themeColor="text1"/>
        </w:rPr>
        <w:t xml:space="preserve"> de las operaciones</w:t>
      </w:r>
      <w:r w:rsidR="00EC4715" w:rsidRPr="00B17364">
        <w:rPr>
          <w:rFonts w:ascii="Arial" w:hAnsi="Arial" w:cs="Arial"/>
          <w:color w:val="000000" w:themeColor="text1"/>
        </w:rPr>
        <w:t xml:space="preserve">, al ser manejadas a escalas globales. </w:t>
      </w:r>
      <w:r w:rsidR="00EC4715" w:rsidRPr="009F22EB">
        <w:rPr>
          <w:rFonts w:ascii="Arial" w:hAnsi="Arial" w:cs="Arial"/>
          <w:color w:val="000000" w:themeColor="text1"/>
        </w:rPr>
        <w:t>L</w:t>
      </w:r>
      <w:r w:rsidR="005A23FA" w:rsidRPr="009F22EB">
        <w:rPr>
          <w:rFonts w:ascii="Arial" w:hAnsi="Arial" w:cs="Arial"/>
          <w:color w:val="000000" w:themeColor="text1"/>
        </w:rPr>
        <w:t xml:space="preserve">o </w:t>
      </w:r>
      <w:r w:rsidRPr="009F22EB">
        <w:rPr>
          <w:rFonts w:ascii="Arial" w:hAnsi="Arial" w:cs="Arial"/>
          <w:color w:val="000000" w:themeColor="text1"/>
        </w:rPr>
        <w:t xml:space="preserve">que conlleva a la instalación de </w:t>
      </w:r>
      <w:r w:rsidR="008D0261" w:rsidRPr="009F22EB">
        <w:rPr>
          <w:rFonts w:ascii="Arial" w:hAnsi="Arial" w:cs="Arial"/>
          <w:color w:val="000000" w:themeColor="text1"/>
        </w:rPr>
        <w:t xml:space="preserve">mega </w:t>
      </w:r>
      <w:r w:rsidRPr="009F22EB">
        <w:rPr>
          <w:rFonts w:ascii="Arial" w:hAnsi="Arial" w:cs="Arial"/>
          <w:color w:val="000000" w:themeColor="text1"/>
        </w:rPr>
        <w:t>proyectos mineros, en áreas ecológicamente sensibles y cercanos a comunidades, con consecuentes impactos en el medio humano y natura</w:t>
      </w:r>
      <w:r w:rsidRPr="00A17ADC">
        <w:rPr>
          <w:rFonts w:ascii="Arial" w:hAnsi="Arial" w:cs="Arial"/>
          <w:color w:val="000000" w:themeColor="text1"/>
        </w:rPr>
        <w:t>l</w:t>
      </w:r>
      <w:r w:rsidRPr="000E0F90">
        <w:rPr>
          <w:rFonts w:ascii="Arial" w:hAnsi="Arial" w:cs="Arial"/>
          <w:color w:val="000000" w:themeColor="text1"/>
        </w:rPr>
        <w:t xml:space="preserve"> </w:t>
      </w:r>
      <w:sdt>
        <w:sdtPr>
          <w:rPr>
            <w:rFonts w:ascii="Arial" w:hAnsi="Arial" w:cs="Arial"/>
            <w:color w:val="000000" w:themeColor="text1"/>
          </w:rPr>
          <w:id w:val="1229200265"/>
          <w:citation/>
        </w:sdtPr>
        <w:sdtEndPr/>
        <w:sdtContent>
          <w:r w:rsidRPr="000E0F90">
            <w:rPr>
              <w:rFonts w:ascii="Arial" w:hAnsi="Arial" w:cs="Arial"/>
              <w:color w:val="000000" w:themeColor="text1"/>
            </w:rPr>
            <w:fldChar w:fldCharType="begin"/>
          </w:r>
          <w:r w:rsidR="001C3711">
            <w:rPr>
              <w:rFonts w:ascii="Arial" w:hAnsi="Arial" w:cs="Arial"/>
              <w:color w:val="000000" w:themeColor="text1"/>
            </w:rPr>
            <w:instrText xml:space="preserve">CITATION Spi \t  \l 13322 </w:instrText>
          </w:r>
          <w:r w:rsidRPr="000E0F90">
            <w:rPr>
              <w:rFonts w:ascii="Arial" w:hAnsi="Arial" w:cs="Arial"/>
              <w:color w:val="000000" w:themeColor="text1"/>
            </w:rPr>
            <w:fldChar w:fldCharType="separate"/>
          </w:r>
          <w:r w:rsidR="001C3711" w:rsidRPr="001C3711">
            <w:rPr>
              <w:rFonts w:ascii="Arial" w:hAnsi="Arial" w:cs="Arial"/>
              <w:noProof/>
              <w:color w:val="000000" w:themeColor="text1"/>
            </w:rPr>
            <w:t>(Spitz &amp; Trudinge, 2008)</w:t>
          </w:r>
          <w:r w:rsidRPr="000E0F90">
            <w:rPr>
              <w:rFonts w:ascii="Arial" w:hAnsi="Arial" w:cs="Arial"/>
              <w:color w:val="000000" w:themeColor="text1"/>
            </w:rPr>
            <w:fldChar w:fldCharType="end"/>
          </w:r>
        </w:sdtContent>
      </w:sdt>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"ISBN" : "978-0-87335-264-2", "ISSN" : "01489062", "abstract" : "This third edition of the SME Mining Engineering Handbook reaffirms its international reputation as \"the handbook of choice\" for today's practicing mining engineer. It distills the body of knowledge that characterizes mining engineering as a disciplinary field and has subsequently helped to inspire and inform generations of mining professionals.Virtually all of the information is original content, representing the latest information from more than 250 internationally recognized mining industry experts.Within the handbook's 115 thought-provoking chapters are current topics relevant to today's mining professional:Analyzing how the mining and minerals industry will develop over the medium and long term--why such changes are inevitable, what this will mean in terms of challenges, and how they could be managedExplaining the mechanics associated with the multifaceted world of mine and mineral economics, from the decisions associated with how best to finance a single piece of high-value equipment to the long-term cash-flow issues associated with mine planning at a mature operationDescribing the recent and ongoing technical initiatives and engineering developments in relation to robotics, automation, acid rock drainage, block caving optimization, or process dewatering methodsExamining in detail the methods and equipment available to achieve efficient, predictable, and safe rock breaking, whether employing a tunnel boring machine for development work, mineral extraction using a mobile miner, or cast blasting at a surface coal operationIdentifying the salient points that dictate which is the safest, most efficient, and most versatile extraction method to employ, as well as describing in detail how each alternative is engineeredDiscussing the impacts that social and environmental issues have on mining from the pre-exploration phase to end-of-mine issues and beyond, and how to manage these two increasingly important factors to the benefit of both the mining companies and other stakeholders", "author" : [ { "dropping-particle" : "", "family" : "Darling", "given" : "Peter", "non-dropping-particle" : "", "parse-names" : false, "suffix" : "" } ], "id" : "ITEM-1", "issued" : { "date-parts" : [ [ "2011" ] ] }, "page" : "1912", "title" : "SME Mining Engineering Handbook, Third Edition", "type" : "article-journal" }, "uris" : [ "http://www.mendeley.com/documents/?uuid=7c9da50b-6a6f-4864-b02f-00b68bb0abb8" ] } ], "mendeley" : { "formattedCitation" : "(Darling, 2011)", "plainTextFormattedCitation" : "(Darling, 2011)", "previouslyFormattedCitation" : "(Darling, 2011)"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(Darling, 2011)</w:t>
      </w:r>
      <w:r w:rsidRPr="000E0F90">
        <w:rPr>
          <w:rFonts w:ascii="Arial" w:hAnsi="Arial" w:cs="Arial"/>
          <w:color w:val="000000" w:themeColor="text1"/>
        </w:rPr>
        <w:fldChar w:fldCharType="end"/>
      </w:r>
      <w:r w:rsidRPr="000E0F90">
        <w:rPr>
          <w:rFonts w:ascii="Arial" w:hAnsi="Arial" w:cs="Arial"/>
          <w:color w:val="000000" w:themeColor="text1"/>
        </w:rPr>
        <w:t>.</w:t>
      </w:r>
    </w:p>
    <w:p w:rsidR="00A046DB" w:rsidRPr="000E0F90" w:rsidRDefault="002C52DF" w:rsidP="002B538F">
      <w:pPr>
        <w:spacing w:before="240" w:line="360" w:lineRule="auto"/>
        <w:rPr>
          <w:rFonts w:ascii="Arial" w:hAnsi="Arial" w:cs="Arial"/>
          <w:color w:val="000000" w:themeColor="text1"/>
        </w:rPr>
      </w:pPr>
      <w:r w:rsidRPr="000E0F90">
        <w:rPr>
          <w:rFonts w:ascii="Arial" w:hAnsi="Arial" w:cs="Arial"/>
          <w:color w:val="000000" w:themeColor="text1"/>
        </w:rPr>
        <w:t>A nivel</w:t>
      </w:r>
      <w:r w:rsidR="0099504C" w:rsidRPr="000E0F90">
        <w:rPr>
          <w:rFonts w:ascii="Arial" w:hAnsi="Arial" w:cs="Arial"/>
          <w:color w:val="000000" w:themeColor="text1"/>
        </w:rPr>
        <w:t xml:space="preserve"> territorial, </w:t>
      </w:r>
      <w:r w:rsidR="003F6C68" w:rsidRPr="000E0F90">
        <w:rPr>
          <w:rFonts w:ascii="Arial" w:hAnsi="Arial" w:cs="Arial"/>
          <w:color w:val="000000" w:themeColor="text1"/>
        </w:rPr>
        <w:t xml:space="preserve">la minería es </w:t>
      </w:r>
      <w:r w:rsidR="0099504C" w:rsidRPr="000E0F90">
        <w:rPr>
          <w:rFonts w:ascii="Arial" w:hAnsi="Arial" w:cs="Arial"/>
          <w:color w:val="000000" w:themeColor="text1"/>
        </w:rPr>
        <w:t xml:space="preserve">considerada como </w:t>
      </w:r>
      <w:r w:rsidR="003F6C68" w:rsidRPr="000E0F90">
        <w:rPr>
          <w:rFonts w:ascii="Arial" w:hAnsi="Arial" w:cs="Arial"/>
          <w:color w:val="000000" w:themeColor="text1"/>
        </w:rPr>
        <w:t xml:space="preserve">un proceso intensivo y complejo que causa </w:t>
      </w:r>
      <w:r w:rsidR="00C070C1" w:rsidRPr="000E0F90">
        <w:rPr>
          <w:rFonts w:ascii="Arial" w:hAnsi="Arial" w:cs="Arial"/>
          <w:color w:val="000000" w:themeColor="text1"/>
        </w:rPr>
        <w:t xml:space="preserve">ineludiblemente </w:t>
      </w:r>
      <w:r w:rsidR="003F6C68" w:rsidRPr="000E0F90">
        <w:rPr>
          <w:rFonts w:ascii="Arial" w:hAnsi="Arial" w:cs="Arial"/>
          <w:color w:val="000000" w:themeColor="text1"/>
        </w:rPr>
        <w:t>cambio</w:t>
      </w:r>
      <w:r w:rsidR="00C070C1" w:rsidRPr="000E0F90">
        <w:rPr>
          <w:rFonts w:ascii="Arial" w:hAnsi="Arial" w:cs="Arial"/>
          <w:color w:val="000000" w:themeColor="text1"/>
        </w:rPr>
        <w:t>s</w:t>
      </w:r>
      <w:r w:rsidR="003F6C68" w:rsidRPr="000E0F90">
        <w:rPr>
          <w:rFonts w:ascii="Arial" w:hAnsi="Arial" w:cs="Arial"/>
          <w:color w:val="000000" w:themeColor="text1"/>
        </w:rPr>
        <w:t xml:space="preserve"> en el medio medioambiental y social. </w:t>
      </w:r>
      <w:r w:rsidR="00A046DB" w:rsidRPr="000E0F90">
        <w:rPr>
          <w:rFonts w:ascii="Arial" w:hAnsi="Arial" w:cs="Arial"/>
          <w:color w:val="000000" w:themeColor="text1"/>
        </w:rPr>
        <w:t xml:space="preserve">Por una parte, la minería genera beneficios en las comunidades locales, como oportunidades de empleo </w:t>
      </w:r>
      <w:r w:rsidR="00A046DB" w:rsidRPr="000E0F90">
        <w:rPr>
          <w:rFonts w:ascii="Arial" w:hAnsi="Arial" w:cs="Arial"/>
          <w:color w:val="000000" w:themeColor="text1"/>
        </w:rPr>
        <w:lastRenderedPageBreak/>
        <w:t xml:space="preserve">directas e indirectas, produce bienes y servicios e ingresos, y oportunidades de desarrollo local </w:t>
      </w:r>
      <w:sdt>
        <w:sdtPr>
          <w:rPr>
            <w:rFonts w:ascii="Arial" w:hAnsi="Arial" w:cs="Arial"/>
            <w:color w:val="000000" w:themeColor="text1"/>
          </w:rPr>
          <w:id w:val="-1007295514"/>
          <w:citation/>
        </w:sdtPr>
        <w:sdtEndPr/>
        <w:sdtContent>
          <w:r w:rsidR="00A046DB" w:rsidRPr="000E0F90">
            <w:rPr>
              <w:rFonts w:ascii="Arial" w:hAnsi="Arial" w:cs="Arial"/>
              <w:color w:val="000000" w:themeColor="text1"/>
            </w:rPr>
            <w:fldChar w:fldCharType="begin"/>
          </w:r>
          <w:r w:rsidR="001C3711">
            <w:rPr>
              <w:rFonts w:ascii="Arial" w:hAnsi="Arial" w:cs="Arial"/>
              <w:color w:val="000000" w:themeColor="text1"/>
            </w:rPr>
            <w:instrText xml:space="preserve">CITATION Spi \t  \l 13322 </w:instrText>
          </w:r>
          <w:r w:rsidR="00A046DB" w:rsidRPr="000E0F90">
            <w:rPr>
              <w:rFonts w:ascii="Arial" w:hAnsi="Arial" w:cs="Arial"/>
              <w:color w:val="000000" w:themeColor="text1"/>
            </w:rPr>
            <w:fldChar w:fldCharType="separate"/>
          </w:r>
          <w:r w:rsidR="001C3711" w:rsidRPr="001C3711">
            <w:rPr>
              <w:rFonts w:ascii="Arial" w:hAnsi="Arial" w:cs="Arial"/>
              <w:noProof/>
              <w:color w:val="000000" w:themeColor="text1"/>
            </w:rPr>
            <w:t>(Spitz &amp; Trudinge, 2008)</w:t>
          </w:r>
          <w:r w:rsidR="00A046DB" w:rsidRPr="000E0F90">
            <w:rPr>
              <w:rFonts w:ascii="Arial" w:hAnsi="Arial" w:cs="Arial"/>
              <w:color w:val="000000" w:themeColor="text1"/>
            </w:rPr>
            <w:fldChar w:fldCharType="end"/>
          </w:r>
        </w:sdtContent>
      </w:sdt>
      <w:r w:rsidR="00A046DB" w:rsidRPr="000E0F90">
        <w:rPr>
          <w:rFonts w:ascii="Arial" w:hAnsi="Arial" w:cs="Arial"/>
          <w:color w:val="000000" w:themeColor="text1"/>
        </w:rPr>
        <w:t xml:space="preserve"> </w:t>
      </w:r>
      <w:r w:rsidR="00A046DB" w:rsidRPr="000E0F90">
        <w:rPr>
          <w:rFonts w:ascii="Arial" w:hAnsi="Arial" w:cs="Arial"/>
          <w:color w:val="000000" w:themeColor="text1"/>
        </w:rPr>
        <w:fldChar w:fldCharType="begin" w:fldLock="1"/>
      </w:r>
      <w:r w:rsidR="00A046DB" w:rsidRPr="000E0F90">
        <w:rPr>
          <w:rFonts w:ascii="Arial" w:hAnsi="Arial" w:cs="Arial"/>
          <w:color w:val="000000" w:themeColor="text1"/>
        </w:rPr>
        <w:instrText>ADDIN CSL_CITATION { "citationItems" : [ { "id" : "ITEM-1", "itemData" : { "author" : [ { "dropping-particle" : "", "family" : "Hilson", "given" : "Gavin", "non-dropping-particle" : "", "parse-names" : false, "suffix" : "" }, { "dropping-particle" : "", "family" : "Murck", "given" : "Barbara", "non-dropping-particle" : "", "parse-names" : false, "suffix" : "" } ], "id" : "ITEM-1", "issue" : "2000", "issued" : { "date-parts" : [ [ "2000" ] ] }, "page" : "227-238", "title" : "Sustainable development in the mining industry : clarifying the corporate perspective", "type" : "article-journal", "volume" : "26" }, "uris" : [ "http://www.mendeley.com/documents/?uuid=f8aeb7a1-70d0-42bd-ae96-6e53b2ce6cb4" ] } ], "mendeley" : { "formattedCitation" : "(Hilson &amp; Murck, 2000)", "plainTextFormattedCitation" : "(Hilson &amp; Murck, 2000)", "previouslyFormattedCitation" : "(Hilson &amp; Murck, 2000)" }, "properties" : { "noteIndex" : 0 }, "schema" : "https://github.com/citation-style-language/schema/raw/master/csl-citation.json" }</w:instrText>
      </w:r>
      <w:r w:rsidR="00A046DB" w:rsidRPr="000E0F90">
        <w:rPr>
          <w:rFonts w:ascii="Arial" w:hAnsi="Arial" w:cs="Arial"/>
          <w:color w:val="000000" w:themeColor="text1"/>
        </w:rPr>
        <w:fldChar w:fldCharType="separate"/>
      </w:r>
      <w:r w:rsidR="00A046DB" w:rsidRPr="000E0F90">
        <w:rPr>
          <w:rFonts w:ascii="Arial" w:hAnsi="Arial" w:cs="Arial"/>
          <w:noProof/>
          <w:color w:val="000000" w:themeColor="text1"/>
        </w:rPr>
        <w:t>(Hilson &amp; Murck, 2000)</w:t>
      </w:r>
      <w:r w:rsidR="00A046DB" w:rsidRPr="000E0F90">
        <w:rPr>
          <w:rFonts w:ascii="Arial" w:hAnsi="Arial" w:cs="Arial"/>
          <w:color w:val="000000" w:themeColor="text1"/>
        </w:rPr>
        <w:fldChar w:fldCharType="end"/>
      </w:r>
      <w:r w:rsidR="00A046DB" w:rsidRPr="000E0F90">
        <w:rPr>
          <w:rFonts w:ascii="Arial" w:hAnsi="Arial" w:cs="Arial"/>
          <w:color w:val="000000" w:themeColor="text1"/>
        </w:rPr>
        <w:t xml:space="preserve"> </w:t>
      </w:r>
      <w:r w:rsidR="00A046DB" w:rsidRPr="000E0F90">
        <w:rPr>
          <w:rFonts w:ascii="Arial" w:hAnsi="Arial" w:cs="Arial"/>
          <w:color w:val="000000" w:themeColor="text1"/>
        </w:rPr>
        <w:fldChar w:fldCharType="begin" w:fldLock="1"/>
      </w:r>
      <w:r w:rsidR="00A046DB" w:rsidRPr="000E0F90">
        <w:rPr>
          <w:rFonts w:ascii="Arial" w:hAnsi="Arial" w:cs="Arial"/>
          <w:color w:val="000000" w:themeColor="text1"/>
        </w:rPr>
        <w:instrText>ADDIN CSL_CITATION { "citationItems" : [ { "id" : "ITEM-1", "itemData" : { "DOI" : "10.1007/s10624-009-9113-x", "ISSN" : "0304-4092", "author" : [ { "dropping-particle" : "", "family" : "Kirsch", "given" : "Stuart", "non-dropping-particle" : "", "parse-names" : false, "suffix" : "" } ], "container-title" : "Dialectical Anthropology", "id" : "ITEM-1", "issue" : "1", "issued" : { "date-parts" : [ [ "2009", "8", "7" ] ] }, "page" : "87-93", "title" : "Sustainable Mining", "type" : "article-journal", "volume" : "34" }, "uris" : [ "http://www.mendeley.com/documents/?uuid=904d0af1-7f94-4855-bfaa-24f9249050b5" ] } ], "mendeley" : { "formattedCitation" : "(Kirsch, 2009)", "plainTextFormattedCitation" : "(Kirsch, 2009)", "previouslyFormattedCitation" : "(Kirsch, 2009)" }, "properties" : { "noteIndex" : 0 }, "schema" : "https://github.com/citation-style-language/schema/raw/master/csl-citation.json" }</w:instrText>
      </w:r>
      <w:r w:rsidR="00A046DB" w:rsidRPr="000E0F90">
        <w:rPr>
          <w:rFonts w:ascii="Arial" w:hAnsi="Arial" w:cs="Arial"/>
          <w:color w:val="000000" w:themeColor="text1"/>
        </w:rPr>
        <w:fldChar w:fldCharType="separate"/>
      </w:r>
      <w:r w:rsidR="00A046DB" w:rsidRPr="000E0F90">
        <w:rPr>
          <w:rFonts w:ascii="Arial" w:hAnsi="Arial" w:cs="Arial"/>
          <w:noProof/>
          <w:color w:val="000000" w:themeColor="text1"/>
        </w:rPr>
        <w:t>(Kirsch, 2009)</w:t>
      </w:r>
      <w:r w:rsidR="00A046DB" w:rsidRPr="000E0F90">
        <w:rPr>
          <w:rFonts w:ascii="Arial" w:hAnsi="Arial" w:cs="Arial"/>
          <w:color w:val="000000" w:themeColor="text1"/>
        </w:rPr>
        <w:fldChar w:fldCharType="end"/>
      </w:r>
      <w:r w:rsidR="00A046DB" w:rsidRPr="000E0F90">
        <w:rPr>
          <w:rFonts w:ascii="Arial" w:hAnsi="Arial" w:cs="Arial"/>
          <w:color w:val="000000" w:themeColor="text1"/>
        </w:rPr>
        <w:t xml:space="preserve"> </w:t>
      </w:r>
      <w:r w:rsidR="00A046DB" w:rsidRPr="000E0F90">
        <w:rPr>
          <w:rFonts w:ascii="Arial" w:hAnsi="Arial" w:cs="Arial"/>
          <w:color w:val="000000" w:themeColor="text1"/>
        </w:rPr>
        <w:fldChar w:fldCharType="begin" w:fldLock="1"/>
      </w:r>
      <w:r w:rsidR="00A046DB" w:rsidRPr="000E0F90">
        <w:rPr>
          <w:rFonts w:ascii="Arial" w:hAnsi="Arial" w:cs="Arial"/>
          <w:color w:val="000000" w:themeColor="text1"/>
        </w:rPr>
        <w:instrText>ADDIN CSL_CITATION { "citationItems" : [ { "id" : "ITEM-1", "itemData" : { "DOI" : "10.1016/j.jclepro.2017.03.047", "ISBN" : "9789289347945", "ISSN" : "09596526", "abstract" : "The mining industry has a major impact on society - from an economic, environmental and social perspective and due to a vast number of criteria. Which criteria should be given priority depends on where the mining operations take place. This paper's focus on the Nordic mining industry is partly due to the positive economic trend that the industry is currently experiencing and partly because very little research has been conducted on how the European mining industry addresses sustainability. The purpose of this study is therefore to examine the Nordic mining industry's sustainability practices and to develop guidelines for such efforts. The research methods used in the study include a literature review, a content analysis of sustainability reports, a review of existing sustainability initiatives, guidelines and tools, a stakeholder survey and interviews with mining company officials. Based on the findings, sustainability criteria guidelines for the Nordic mining industry are suggested in the areas of corporate governance, fair operating practices, economic aspects, human rights, labour practices, society and the environment. The content of the guidelines is discussed in the light of the sustainability practices performed by the studied mining companies.", "author" : [ { "dropping-particle" : "", "family" : "Ran\u00e4ngen", "given" : "Helena", "non-dropping-particle" : "", "parse-names" : false, "suffix" : "" }, { "dropping-particle" : "", "family" : "Lindman", "given" : "\u00c5sa", "non-dropping-particle" : "", "parse-names" : false, "suffix" : "" } ], "container-title" : "Journal of Cleaner Production", "id" : "ITEM-1", "issued" : { "date-parts" : [ [ "2017" ] ] }, "page" : "43-52", "title" : "A path towards sustainability for the Nordic mining industry", "type" : "article-journal", "volume" : "151" }, "uris" : [ "http://www.mendeley.com/documents/?uuid=6c35c3e3-ee0c-4b28-8acc-e8d00b36d33a" ] } ], "mendeley" : { "formattedCitation" : "(Ran\u00e4ngen &amp; Lindman, 2017)", "plainTextFormattedCitation" : "(Ran\u00e4ngen &amp; Lindman, 2017)", "previouslyFormattedCitation" : "(Ran\u00e4ngen &amp; Lindman, 2017)" }, "properties" : { "noteIndex" : 0 }, "schema" : "https://github.com/citation-style-language/schema/raw/master/csl-citation.json" }</w:instrText>
      </w:r>
      <w:r w:rsidR="00A046DB" w:rsidRPr="000E0F90">
        <w:rPr>
          <w:rFonts w:ascii="Arial" w:hAnsi="Arial" w:cs="Arial"/>
          <w:color w:val="000000" w:themeColor="text1"/>
        </w:rPr>
        <w:fldChar w:fldCharType="separate"/>
      </w:r>
      <w:r w:rsidR="00A046DB" w:rsidRPr="000E0F90">
        <w:rPr>
          <w:rFonts w:ascii="Arial" w:hAnsi="Arial" w:cs="Arial"/>
          <w:noProof/>
          <w:color w:val="000000" w:themeColor="text1"/>
        </w:rPr>
        <w:t>(Ranängen &amp; Lindman, 2017)</w:t>
      </w:r>
      <w:r w:rsidR="00A046DB" w:rsidRPr="000E0F90">
        <w:rPr>
          <w:rFonts w:ascii="Arial" w:hAnsi="Arial" w:cs="Arial"/>
          <w:color w:val="000000" w:themeColor="text1"/>
        </w:rPr>
        <w:fldChar w:fldCharType="end"/>
      </w:r>
      <w:r w:rsidR="00A046DB" w:rsidRPr="000E0F90">
        <w:rPr>
          <w:rFonts w:ascii="Arial" w:hAnsi="Arial" w:cs="Arial"/>
          <w:color w:val="000000" w:themeColor="text1"/>
        </w:rPr>
        <w:t>. Por otr</w:t>
      </w:r>
      <w:r w:rsidR="00CF2AE6" w:rsidRPr="000E0F90">
        <w:rPr>
          <w:rFonts w:ascii="Arial" w:hAnsi="Arial" w:cs="Arial"/>
          <w:color w:val="000000" w:themeColor="text1"/>
        </w:rPr>
        <w:t>o</w:t>
      </w:r>
      <w:r w:rsidR="0099504C" w:rsidRPr="000E0F90">
        <w:rPr>
          <w:rFonts w:ascii="Arial" w:hAnsi="Arial" w:cs="Arial"/>
          <w:color w:val="000000" w:themeColor="text1"/>
        </w:rPr>
        <w:t xml:space="preserve"> </w:t>
      </w:r>
      <w:r w:rsidR="00CF2AE6" w:rsidRPr="000E0F90">
        <w:rPr>
          <w:rFonts w:ascii="Arial" w:hAnsi="Arial" w:cs="Arial"/>
          <w:color w:val="000000" w:themeColor="text1"/>
        </w:rPr>
        <w:t>lado</w:t>
      </w:r>
      <w:r w:rsidR="0099504C" w:rsidRPr="000E0F90">
        <w:rPr>
          <w:rFonts w:ascii="Arial" w:hAnsi="Arial" w:cs="Arial"/>
          <w:color w:val="000000" w:themeColor="text1"/>
        </w:rPr>
        <w:t xml:space="preserve">, </w:t>
      </w:r>
      <w:r w:rsidR="003F6C68" w:rsidRPr="000E0F90">
        <w:rPr>
          <w:rFonts w:ascii="Arial" w:hAnsi="Arial" w:cs="Arial"/>
          <w:color w:val="000000" w:themeColor="text1"/>
        </w:rPr>
        <w:t>reduce los depósitos de minerales, emplea recursos naturales intensamente para llevar a cabo el proceso extractivo, descarga contaminantes y genera desechos al medio natural</w:t>
      </w:r>
      <w:r w:rsidR="00F07D8D" w:rsidRPr="000E0F90">
        <w:rPr>
          <w:rFonts w:ascii="Arial" w:hAnsi="Arial" w:cs="Arial"/>
          <w:color w:val="000000" w:themeColor="text1"/>
        </w:rPr>
        <w:t>;</w:t>
      </w:r>
      <w:r w:rsidR="007E6A58" w:rsidRPr="000E0F90">
        <w:rPr>
          <w:rFonts w:ascii="Arial" w:hAnsi="Arial" w:cs="Arial"/>
          <w:color w:val="000000" w:themeColor="text1"/>
        </w:rPr>
        <w:t xml:space="preserve"> </w:t>
      </w:r>
      <w:r w:rsidR="005C797E" w:rsidRPr="000E0F90">
        <w:rPr>
          <w:rFonts w:ascii="Arial" w:hAnsi="Arial" w:cs="Arial"/>
          <w:color w:val="000000" w:themeColor="text1"/>
        </w:rPr>
        <w:t>provoc</w:t>
      </w:r>
      <w:r w:rsidR="00F07D8D" w:rsidRPr="000E0F90">
        <w:rPr>
          <w:rFonts w:ascii="Arial" w:hAnsi="Arial" w:cs="Arial"/>
          <w:color w:val="000000" w:themeColor="text1"/>
        </w:rPr>
        <w:t>ando</w:t>
      </w:r>
      <w:r w:rsidR="007E6A58" w:rsidRPr="000E0F90">
        <w:rPr>
          <w:rFonts w:ascii="Arial" w:hAnsi="Arial" w:cs="Arial"/>
          <w:color w:val="000000" w:themeColor="text1"/>
        </w:rPr>
        <w:t xml:space="preserve"> también</w:t>
      </w:r>
      <w:r w:rsidR="005C797E" w:rsidRPr="000E0F90">
        <w:rPr>
          <w:rFonts w:ascii="Arial" w:hAnsi="Arial" w:cs="Arial"/>
          <w:color w:val="000000" w:themeColor="text1"/>
        </w:rPr>
        <w:t xml:space="preserve"> alteraciones sociales, como desplazamiento de comunidades y conflictos por el uso de re</w:t>
      </w:r>
      <w:r w:rsidR="001C61B7" w:rsidRPr="000E0F90">
        <w:rPr>
          <w:rFonts w:ascii="Arial" w:hAnsi="Arial" w:cs="Arial"/>
          <w:color w:val="000000" w:themeColor="text1"/>
        </w:rPr>
        <w:t>c</w:t>
      </w:r>
      <w:r w:rsidR="005C797E" w:rsidRPr="000E0F90">
        <w:rPr>
          <w:rFonts w:ascii="Arial" w:hAnsi="Arial" w:cs="Arial"/>
          <w:color w:val="000000" w:themeColor="text1"/>
        </w:rPr>
        <w:t xml:space="preserve">ursos </w:t>
      </w:r>
      <w:r w:rsidR="005C797E" w:rsidRPr="000E0F90">
        <w:rPr>
          <w:rFonts w:ascii="Arial" w:hAnsi="Arial" w:cs="Arial"/>
          <w:color w:val="000000" w:themeColor="text1"/>
        </w:rPr>
        <w:fldChar w:fldCharType="begin" w:fldLock="1"/>
      </w:r>
      <w:r w:rsidR="005C797E" w:rsidRPr="000E0F90">
        <w:rPr>
          <w:rFonts w:ascii="Arial" w:hAnsi="Arial" w:cs="Arial"/>
          <w:color w:val="000000" w:themeColor="text1"/>
        </w:rPr>
        <w:instrText>ADDIN CSL_CITATION { "citationItems" : [ { "id" : "ITEM-1", "itemData" : { "DOI" : "10.1080/17480930.2015.1128799", "ISSN" : "1748-0930", "abstract" : "Chile is the principal producer of copper with a total of 5.8\u00a0million tonnes fine copper production in 2013. Chilean mining industry currently faces a projected increase in waste production, depleting water resources in the arid mining</w:instrText>
      </w:r>
      <w:r w:rsidR="005C797E" w:rsidRPr="001C3711">
        <w:rPr>
          <w:rFonts w:ascii="Arial" w:hAnsi="Arial" w:cs="Arial"/>
          <w:color w:val="000000" w:themeColor="text1"/>
        </w:rPr>
        <w:instrText xml:space="preserve"> regions of the north and a lack of fossil fuel energy sources. In this study, a review of the historical background of environmental practices in Chile is presented, focused between 1970 and 2010. A review of the current state of sustainable development, comprising energy, water, stakeholder participation, environmental impacts and institutional decentralisation in the mining industry is presented.", "author" : [ { "dropping-particle" : "", "family" : "Ghorbani", "given" : "Yousef", "non-dropping-particle" : "", "parse-names" : false, "suffix" : "" }, { "dropping-particle" : "", "family" : "Kuan", "given" : "Seng How", "non-dropping-particle" : "", "parse-names" : false, "suffix" : "" } ], "container-title" : "International Journal of Mining, Reclamation and Environment", "id" : "ITEM-1", "is</w:instrText>
      </w:r>
      <w:r w:rsidR="005C797E" w:rsidRPr="000E0F90">
        <w:rPr>
          <w:rFonts w:ascii="Arial" w:hAnsi="Arial" w:cs="Arial"/>
          <w:color w:val="000000" w:themeColor="text1"/>
          <w:lang w:val="en-US"/>
        </w:rPr>
        <w:instrText>sue" : "February", "issued" : { "date-parts" : [ [ "2016" ] ] }, "note" : "NULL", "page" : "1-29", "publisher" : "Taylor &amp; Francis", "title" : "A review of sustainable development in the Chilean mining sector: past, present and future", "type" : "article-journal", "volume" : "0930" }, "uris" : [ "http://www.mendeley.com/documents/?uuid=ba6630bb-3cdb-4443-b119-f6b6f68bafa7" ] } ], "mendeley" : { "formattedCitation" : "(Ghorbani &amp; Kuan, 2016)", "plainTextFormattedCitation" : "(Ghorbani &amp; Kuan, 2016)", "previouslyFormattedCitation" : "(Ghorbani &amp; Kuan, 2016)" }, "properties" : { "noteIndex" : 0 }, "schema" : "https://github.com/citation-style-language/schema/raw/master/csl-citation.json" }</w:instrText>
      </w:r>
      <w:r w:rsidR="005C797E" w:rsidRPr="000E0F90">
        <w:rPr>
          <w:rFonts w:ascii="Arial" w:hAnsi="Arial" w:cs="Arial"/>
          <w:color w:val="000000" w:themeColor="text1"/>
        </w:rPr>
        <w:fldChar w:fldCharType="separate"/>
      </w:r>
      <w:r w:rsidR="005C797E" w:rsidRPr="000E0F90">
        <w:rPr>
          <w:rFonts w:ascii="Arial" w:hAnsi="Arial" w:cs="Arial"/>
          <w:noProof/>
          <w:color w:val="000000" w:themeColor="text1"/>
          <w:lang w:val="en-US"/>
        </w:rPr>
        <w:t>(Ghorbani &amp; Kuan, 2016)</w:t>
      </w:r>
      <w:r w:rsidR="005C797E" w:rsidRPr="000E0F90">
        <w:rPr>
          <w:rFonts w:ascii="Arial" w:hAnsi="Arial" w:cs="Arial"/>
          <w:color w:val="000000" w:themeColor="text1"/>
        </w:rPr>
        <w:fldChar w:fldCharType="end"/>
      </w:r>
      <w:r w:rsidR="005C797E" w:rsidRPr="000E0F90">
        <w:rPr>
          <w:rFonts w:ascii="Arial" w:hAnsi="Arial" w:cs="Arial"/>
          <w:color w:val="000000" w:themeColor="text1"/>
          <w:lang w:val="en-US"/>
        </w:rPr>
        <w:t xml:space="preserve"> </w:t>
      </w:r>
      <w:r w:rsidR="005C797E" w:rsidRPr="000E0F90">
        <w:rPr>
          <w:rFonts w:ascii="Arial" w:hAnsi="Arial" w:cs="Arial"/>
          <w:color w:val="000000" w:themeColor="text1"/>
        </w:rPr>
        <w:fldChar w:fldCharType="begin" w:fldLock="1"/>
      </w:r>
      <w:r w:rsidR="005C797E" w:rsidRPr="000E0F90">
        <w:rPr>
          <w:rFonts w:ascii="Arial" w:hAnsi="Arial" w:cs="Arial"/>
          <w:color w:val="000000" w:themeColor="text1"/>
          <w:lang w:val="en-US"/>
        </w:rPr>
        <w:instrText>ADDIN CSL_CITATION { "citationItems" : [ { "id" : "ITEM-1", "itemData" : { "author" : [ { "dropping-particle" : "", "family" : "Schildermans", "given" : "Peter", "non-dropping-particle" : "", "parse-names" : false, "suffix" : "" } ], "id" : "ITEM-1", "issued" : { "date-parts" : [ [ "2011" ] ] }, "note" : "NULL", "page" : "256", "title" : "The Chilean copper industry towards a more ecologically durable exploitation ?", "type" : "article-journal" }, "uris" : [ "http://www.mendeley.com/documents/?uuid=b25a2fcc-89a4-4984-9241-223ea94111a8" ] } ], "mendeley" : { "formattedCitation" : "(Schildermans, 2011)", "plainTextFormattedCitation" : "(Schildermans, 2011)", "previouslyFormattedCitation" : "(Schildermans, 2011)" }, "properties" : { "noteIndex" : 0 }, "schema" : "https://github.com/citation-style-language/schema/raw/master/csl-citation.json" }</w:instrText>
      </w:r>
      <w:r w:rsidR="005C797E" w:rsidRPr="000E0F90">
        <w:rPr>
          <w:rFonts w:ascii="Arial" w:hAnsi="Arial" w:cs="Arial"/>
          <w:color w:val="000000" w:themeColor="text1"/>
        </w:rPr>
        <w:fldChar w:fldCharType="separate"/>
      </w:r>
      <w:r w:rsidR="005C797E" w:rsidRPr="000E0F90">
        <w:rPr>
          <w:rFonts w:ascii="Arial" w:hAnsi="Arial" w:cs="Arial"/>
          <w:noProof/>
          <w:color w:val="000000" w:themeColor="text1"/>
          <w:lang w:val="en-US"/>
        </w:rPr>
        <w:t>(Schildermans, 2011)</w:t>
      </w:r>
      <w:r w:rsidR="005C797E" w:rsidRPr="000E0F90">
        <w:rPr>
          <w:rFonts w:ascii="Arial" w:hAnsi="Arial" w:cs="Arial"/>
          <w:color w:val="000000" w:themeColor="text1"/>
        </w:rPr>
        <w:fldChar w:fldCharType="end"/>
      </w:r>
      <w:r w:rsidR="005C797E" w:rsidRPr="000E0F90">
        <w:rPr>
          <w:rFonts w:ascii="Arial" w:hAnsi="Arial" w:cs="Arial"/>
          <w:color w:val="000000" w:themeColor="text1"/>
          <w:lang w:val="en-US"/>
        </w:rPr>
        <w:t xml:space="preserve"> </w:t>
      </w:r>
      <w:r w:rsidR="005C797E" w:rsidRPr="000E0F90">
        <w:rPr>
          <w:rFonts w:ascii="Arial" w:hAnsi="Arial" w:cs="Arial"/>
          <w:color w:val="000000" w:themeColor="text1"/>
        </w:rPr>
        <w:fldChar w:fldCharType="begin" w:fldLock="1"/>
      </w:r>
      <w:r w:rsidR="004105D9" w:rsidRPr="000E0F90">
        <w:rPr>
          <w:rFonts w:ascii="Arial" w:hAnsi="Arial" w:cs="Arial"/>
          <w:color w:val="000000" w:themeColor="text1"/>
          <w:lang w:val="en-US"/>
        </w:rPr>
        <w:instrText>ADDIN CSL_CITATION { "citationItems" : [ { "id" : "ITEM-1", "itemData" : { "DOI" : "10.1016/j.jclepro.2009.04.013", "ISSN" : "09596526", "author" : [ { "dropping-particle" : "", "family" : "Worrall", "given" : "Rhys", "non-dropping-particle" : "", "parse-names" : false, "suffix" : "" }, { "dropping-particle" : "", "family" : "Neil", "given" : "David", "non-dropping-particle" : "", "parse-names" : false, "suffix" : "" }, { "dropping-particle" : "", "family" : "Brereton", "given" : "David", "non-dropping-particle" : "", "parse-names" : false, "suffix" : "" }, { "dropping-particle" : "", "family" : "Mulligan", "given" : "David", "non-dropping-particle" : "", "parse-names" : false, "suffix" : "" } ], "container-title" : "Journal of Cleaner Production", "id" : "ITEM-1", "issue" : "16", "issued" : { "date-parts" : [ [ "2009", "11" ] ] }, "page" : "1426-1434", "publisher" : "Elsevier Ltd", "title" : "Towards a sustainability criteria and indicators framework for legacy mine land", "type" : "article-journal", "volume" : "17" }, "uris" : [ "http://www.mendeley.com/documents/?uuid=ab575b20-fa72-4f71-9cda-8dfefeac6b76" ] } ], "mendeley" : { "formattedCitation" : "(Worrall, Neil, Brereton, &amp; Mulligan, 2009)", "plainTextFormattedCitation" : "(Worrall, Neil, Brereton, &amp; Mulligan, 2009)", "previouslyFormattedCitation" : "(Worrall, Neil, Brereton, &amp; Mulligan, 2009)" }, "properties" : { "noteIndex" : 0 }, "schema" : "https://github.com/citation-style-language/schema/raw/master/csl-citation.json" }</w:instrText>
      </w:r>
      <w:r w:rsidR="005C797E" w:rsidRPr="000E0F90">
        <w:rPr>
          <w:rFonts w:ascii="Arial" w:hAnsi="Arial" w:cs="Arial"/>
          <w:color w:val="000000" w:themeColor="text1"/>
        </w:rPr>
        <w:fldChar w:fldCharType="separate"/>
      </w:r>
      <w:r w:rsidR="00A21008" w:rsidRPr="000E0F90">
        <w:rPr>
          <w:rFonts w:ascii="Arial" w:hAnsi="Arial" w:cs="Arial"/>
          <w:noProof/>
          <w:color w:val="000000" w:themeColor="text1"/>
          <w:lang w:val="en-US"/>
        </w:rPr>
        <w:t>(Worrall, Neil, Brereton, &amp; Mulligan, 2009)</w:t>
      </w:r>
      <w:r w:rsidR="005C797E" w:rsidRPr="000E0F90">
        <w:rPr>
          <w:rFonts w:ascii="Arial" w:hAnsi="Arial" w:cs="Arial"/>
          <w:color w:val="000000" w:themeColor="text1"/>
        </w:rPr>
        <w:fldChar w:fldCharType="end"/>
      </w:r>
      <w:r w:rsidR="00E7611B" w:rsidRPr="000E0F90">
        <w:rPr>
          <w:rFonts w:ascii="Arial" w:hAnsi="Arial" w:cs="Arial"/>
          <w:color w:val="000000" w:themeColor="text1"/>
          <w:lang w:val="en-US"/>
        </w:rPr>
        <w:t xml:space="preserve"> </w:t>
      </w:r>
      <w:r w:rsidR="00E7611B" w:rsidRPr="000E0F90">
        <w:rPr>
          <w:rFonts w:ascii="Arial" w:hAnsi="Arial" w:cs="Arial"/>
          <w:color w:val="000000" w:themeColor="text1"/>
        </w:rPr>
        <w:fldChar w:fldCharType="begin" w:fldLock="1"/>
      </w:r>
      <w:r w:rsidR="00477440" w:rsidRPr="000E0F90">
        <w:rPr>
          <w:rFonts w:ascii="Arial" w:hAnsi="Arial" w:cs="Arial"/>
          <w:color w:val="000000" w:themeColor="text1"/>
          <w:lang w:val="en-US"/>
        </w:rPr>
        <w:instrText>ADDIN CSL_CITATION { "citationItems" : [ { "id" : "ITEM-1", "itemData" : { "DOI" : "10.1016/j.jclepro.2014.09.016", "ISBN" : "0959-6526", "ISSN" : "09596526", "PMID" : "99405212", "abstract" : "The supply of minerals and energy is critical to global society. However, this supply is associated with social and environmental impacts, leading to concerns of generational and intergenerational equity. In light of these concerns, a call for papers for a special volume on the mining industry was issued with the view that such academic work could assist in reducing the negative impacts associated with this industry. This paper introduces the Special Volume \"The sustainability agenda of the minerals and energy supply and demand network: An integrative analysis of ecological, ethical, economic, and technological dimensions\". The Special Volume contains 84 articles, divided into several themes; sustainability accounting and reporting, corporate social responsibility, future mining challenges, integrative frameworks for sustainability, management aspects, mining in a developing context and new frontiers in the oil andgas industry. The Special Volume also includes two letters on contemporary issues with commentaries on these from experts in the fields, viz., community conflict and land rehabilitation. Insights obtained across these themes are summarized and recommendations are made of what is needed to build upon the findings of this Special volume. A research agenda is proposed for th</w:instrText>
      </w:r>
      <w:r w:rsidR="00477440" w:rsidRPr="000E0F90">
        <w:rPr>
          <w:rFonts w:ascii="Arial" w:hAnsi="Arial" w:cs="Arial"/>
          <w:color w:val="000000" w:themeColor="text1"/>
        </w:rPr>
        <w:instrText>e future from the gaps and synergies identified. The overall contribution of this Special Volume is that it renews the debate on the sustainability challenges for the mining industry and provides transdisciplinary insights into resolving some of these challenges.", "author" : [ { "dropping-particle" : "", "family" : "Moran", "given" : "C. J.", "non-dropping-particle" : "", "parse-names" : false, "suffix" : "" }, { "dropping-particle" : "", "family" : "Lodhia", "given" : "S.", "non-dropping-particle" : "", "parse-names" : false, "suffix" : "" }, { "dropping-particle" : "", "family" : "Kunz", "given" : "N. C.", "non-dropping-particle" : "", "parse-names" : false, "suffix" : "" }, { "dropping-particle" : "", "family" : "Huisingh", "given" : "D.", "non-dropping-particle" : "", "parse-names" : false, "suffix" : "" } ], "container-title" : "Journal of Cleaner Production", "id" : "ITEM-1", "issued" : { "date-parts" : [ [ "2014" ] ] }, "page" : "1-15", "publisher" : "Elsevier Ltd", "title" : "Sustainability in mining, minerals and energy: New processes, pathways and human interactions for a cautiously optimistic future", "type" : "article-journal", "volume" : "84" }, "uris" : [ "http://www.mendeley.com/documents/?uuid=79ee88e8-8209-49f1-b638-c76cab0d49fe" ] } ], "mendeley" : { "formattedCitation" : "(Moran et al., 2014)", "plainTextFormattedCitation" : "(Moran et al., 2014)", "previouslyFormattedCitation" : "(Moran et al., 2014)" }, "properties" : { "noteIndex" : 0 }, "schema" : "https://github.com/citation-style-language/schema/raw/master/csl-citation.json" }</w:instrText>
      </w:r>
      <w:r w:rsidR="00E7611B" w:rsidRPr="000E0F90">
        <w:rPr>
          <w:rFonts w:ascii="Arial" w:hAnsi="Arial" w:cs="Arial"/>
          <w:color w:val="000000" w:themeColor="text1"/>
        </w:rPr>
        <w:fldChar w:fldCharType="separate"/>
      </w:r>
      <w:r w:rsidR="00E7611B" w:rsidRPr="000E0F90">
        <w:rPr>
          <w:rFonts w:ascii="Arial" w:hAnsi="Arial" w:cs="Arial"/>
          <w:noProof/>
          <w:color w:val="000000" w:themeColor="text1"/>
        </w:rPr>
        <w:t>(Moran et al., 2014)</w:t>
      </w:r>
      <w:r w:rsidR="00E7611B" w:rsidRPr="000E0F90">
        <w:rPr>
          <w:rFonts w:ascii="Arial" w:hAnsi="Arial" w:cs="Arial"/>
          <w:color w:val="000000" w:themeColor="text1"/>
        </w:rPr>
        <w:fldChar w:fldCharType="end"/>
      </w:r>
      <w:r w:rsidR="005C797E" w:rsidRPr="000E0F90">
        <w:rPr>
          <w:rFonts w:ascii="Arial" w:hAnsi="Arial" w:cs="Arial"/>
          <w:color w:val="000000" w:themeColor="text1"/>
        </w:rPr>
        <w:t xml:space="preserve"> </w:t>
      </w:r>
      <w:r w:rsidR="00CF11BB" w:rsidRPr="000E0F90">
        <w:rPr>
          <w:rFonts w:ascii="Arial" w:hAnsi="Arial" w:cs="Arial"/>
          <w:color w:val="000000" w:themeColor="text1"/>
        </w:rPr>
        <w:fldChar w:fldCharType="begin" w:fldLock="1"/>
      </w:r>
      <w:r w:rsidR="005E5EE8" w:rsidRPr="000E0F90">
        <w:rPr>
          <w:rFonts w:ascii="Arial" w:hAnsi="Arial" w:cs="Arial"/>
          <w:color w:val="000000" w:themeColor="text1"/>
        </w:rPr>
        <w:instrText>ADDIN CSL_CITATION { "citationItems" : [ { "id" : "ITEM-1", "itemData" : { "DOI" : "10.1016/j.resourpol.2007.05.002", "ISBN" : "1462-9011", "ISSN" : "03014207", "PMID" : "604729", "abstract" : "In recent years, due to public concern over perceived and actual environmental impacts, the global mining industry has been moving towards a more sustainable framework. For gold mining, there are a number of fundamental issues with regard to assessing sustainability. Commonly perceived as a finite and non-renewable resource, long-term gold production trends include declining ore grades and increasing solid wastes (tailings, waste rock) and open cut mining. Conversely, core sustainability issues include water, energy and chemical consumption and pollutant emissions-also known as 'resource intensity'. It is important to recognise the links between gold production trends and resource intensity, as this is critical for understanding future sustainability challenges. This paper links data sets on historic gold mining production trends with emerging sustainability reporting to estimate resource intensity, demonstrating the sensitivity of ore grade for gold production and sustainability. Final judgement of the sustainability of gold mining must take account of the sensitivity of the ore grade in the resource intensity of gold production. This has implications for environmental policy and sustainability reporting in the gold mining sector. ?? 2007 Elsevier Ltd. All rights reserved.", "author" : [ { "dropping-particle" : "", "family" : "Mudd", "given" : "Gavin M.", "non-dropping-particle" : "", "parse-names" : false, "suffix" : "" } ], "container-title" : "Resources Policy", "id" : "ITEM-1", "issued" : { "date-parts" : [ [ "2007" ] ] }, "page" : "42-56", "title" : "Global trends in gold mining: Towards quantifying environmental and resource sustainability", "type" : "article-journal", "volume" : "32" }, "uris" : [ "http://www.mendeley.com/documents/?uuid=b7fb4611-96dd-424e-ad8d-f11b92fbf808" ] } ], "mendeley" : { "formattedCitation" : "(Gavin M. Mudd, 2007)", "plainTextFormattedCitation" : "(Gavin M. Mudd, 2007)", "previouslyFormattedCitation" : "(Gavin M. Mudd, 2007)" }, "properties" : { "noteIndex" : 0 }, "schema" : "https://github.com/citation-style-language/schema/raw/master/csl-citation.json" }</w:instrText>
      </w:r>
      <w:r w:rsidR="00CF11BB" w:rsidRPr="000E0F90">
        <w:rPr>
          <w:rFonts w:ascii="Arial" w:hAnsi="Arial" w:cs="Arial"/>
          <w:color w:val="000000" w:themeColor="text1"/>
        </w:rPr>
        <w:fldChar w:fldCharType="separate"/>
      </w:r>
      <w:r w:rsidR="00CF11BB" w:rsidRPr="000E0F90">
        <w:rPr>
          <w:rFonts w:ascii="Arial" w:hAnsi="Arial" w:cs="Arial"/>
          <w:noProof/>
          <w:color w:val="000000" w:themeColor="text1"/>
        </w:rPr>
        <w:t>(Gavin M. Mudd, 2007)</w:t>
      </w:r>
      <w:r w:rsidR="00CF11BB" w:rsidRPr="000E0F90">
        <w:rPr>
          <w:rFonts w:ascii="Arial" w:hAnsi="Arial" w:cs="Arial"/>
          <w:color w:val="000000" w:themeColor="text1"/>
        </w:rPr>
        <w:fldChar w:fldCharType="end"/>
      </w:r>
      <w:r w:rsidR="00CF11BB" w:rsidRPr="000E0F90">
        <w:rPr>
          <w:rFonts w:ascii="Arial" w:hAnsi="Arial" w:cs="Arial"/>
          <w:color w:val="000000" w:themeColor="text1"/>
        </w:rPr>
        <w:t>.</w:t>
      </w:r>
    </w:p>
    <w:p w:rsidR="00F673F2" w:rsidRPr="000E0F90" w:rsidRDefault="00F673F2" w:rsidP="002B538F">
      <w:pPr>
        <w:spacing w:line="360" w:lineRule="auto"/>
        <w:rPr>
          <w:rFonts w:ascii="Arial" w:hAnsi="Arial" w:cs="Arial"/>
          <w:color w:val="000000" w:themeColor="text1"/>
        </w:rPr>
      </w:pPr>
      <w:r w:rsidRPr="000E0F90">
        <w:rPr>
          <w:rFonts w:ascii="Arial" w:hAnsi="Arial" w:cs="Arial"/>
          <w:color w:val="000000" w:themeColor="text1"/>
        </w:rPr>
        <w:t>I</w:t>
      </w:r>
      <w:r w:rsidR="007A0C5E" w:rsidRPr="000E0F90">
        <w:rPr>
          <w:rFonts w:ascii="Arial" w:hAnsi="Arial" w:cs="Arial"/>
          <w:color w:val="000000" w:themeColor="text1"/>
        </w:rPr>
        <w:t xml:space="preserve">mpactos </w:t>
      </w:r>
      <w:r w:rsidRPr="000E0F90">
        <w:rPr>
          <w:rFonts w:ascii="Arial" w:hAnsi="Arial" w:cs="Arial"/>
          <w:color w:val="000000" w:themeColor="text1"/>
        </w:rPr>
        <w:t xml:space="preserve">que </w:t>
      </w:r>
      <w:r w:rsidR="007A0C5E" w:rsidRPr="000E0F90">
        <w:rPr>
          <w:rFonts w:ascii="Arial" w:hAnsi="Arial" w:cs="Arial"/>
          <w:color w:val="000000" w:themeColor="text1"/>
        </w:rPr>
        <w:t xml:space="preserve">no son generalmente compensados o mitigados en las regiones donde operan las compañías mineras </w:t>
      </w:r>
      <w:r w:rsidR="007A0C5E" w:rsidRPr="000E0F90">
        <w:rPr>
          <w:rFonts w:ascii="Arial" w:hAnsi="Arial" w:cs="Arial"/>
          <w:color w:val="000000" w:themeColor="text1"/>
        </w:rPr>
        <w:fldChar w:fldCharType="begin" w:fldLock="1"/>
      </w:r>
      <w:r w:rsidR="007A0C5E" w:rsidRPr="000E0F90">
        <w:rPr>
          <w:rFonts w:ascii="Arial" w:hAnsi="Arial" w:cs="Arial"/>
          <w:color w:val="000000" w:themeColor="text1"/>
        </w:rPr>
        <w:instrText>ADDIN CSL_CITATION { "citationItems" : [ { "id" : "ITEM-1", "itemData" : { "DOI" : "10.1016/j.resourpol.2015.03.003", "ISBN" : "03014207", "ISSN" : "03014207", "abstract" : "The objective of the paper is to synthesize the existing empirical research on mining, regional development and benefit-sharing in developed countries. Specifically, the paper presents a review of the literature addressing how the regional development impacts of mining ventures (e.g., employment multipliers) can be comprehended and assessed empirically, as well as the role of various benefit-sharing instruments in generating a more inclusive development. These issues are investigated in the context of selected practical experiences in four high-income mining countries (Australia, Canada, Chile and the USA). Important issues and challenges that deserve increased attention in future research are identified. These include, for instance, the relationship between mining competitiveness and benefit-sharing, and the efficient use of regional development investment funds.", "author" : [ { "dropping-particle" : "", "family" : "S\u00f6derholm", "given" : "Patrik", "non-dropping-particle" : "", "parse-names" : false, "suffix" : "" }, { "dropping-particle" : "", "family" : "Svahn", "given" : "Nanna", "non-dropping-particle" : "", "parse-names" : false, "suffix" : "" } ], "container-title" : "Resources Policy", "id" : "ITEM-1", "issued" : { "date-parts" : [ [ "2015" ] ] }, "note" : "NULL", "page" : "78-91", "publisher" : "Elsevier", "title" : "Mining, regional development and benefit-sharing in developed countries", "type" : "article-journal", "volume" : "45" }, "uris" : [ "http://www.mendeley.com/documents/?uuid=d3d47f8e-d0f2-4fd6-b5ab-49fc777f6eab" ] } ], "mendeley" : { "formattedCitation" : "(S\u00f6derholm &amp; Svahn, 2015)", "plainTextFormattedCitation" : "(S\u00f6derholm &amp; Svahn, 2015)", "previouslyFormattedCitation" : "(S\u00f6derholm &amp; Svahn, 2015)" }, "properties" : { "noteIndex" : 0 }, "schema" : "https://github.com/citation-style-language/schema/raw/master/csl-citation.json" }</w:instrText>
      </w:r>
      <w:r w:rsidR="007A0C5E" w:rsidRPr="000E0F90">
        <w:rPr>
          <w:rFonts w:ascii="Arial" w:hAnsi="Arial" w:cs="Arial"/>
          <w:color w:val="000000" w:themeColor="text1"/>
        </w:rPr>
        <w:fldChar w:fldCharType="separate"/>
      </w:r>
      <w:r w:rsidR="007A0C5E" w:rsidRPr="000E0F90">
        <w:rPr>
          <w:rFonts w:ascii="Arial" w:hAnsi="Arial" w:cs="Arial"/>
          <w:noProof/>
          <w:color w:val="000000" w:themeColor="text1"/>
        </w:rPr>
        <w:t>(Söderholm &amp; Svahn, 2015)</w:t>
      </w:r>
      <w:r w:rsidR="007A0C5E" w:rsidRPr="000E0F90">
        <w:rPr>
          <w:rFonts w:ascii="Arial" w:hAnsi="Arial" w:cs="Arial"/>
          <w:color w:val="000000" w:themeColor="text1"/>
        </w:rPr>
        <w:fldChar w:fldCharType="end"/>
      </w:r>
      <w:r w:rsidR="00E7611B" w:rsidRPr="000E0F90">
        <w:rPr>
          <w:rFonts w:ascii="Arial" w:hAnsi="Arial" w:cs="Arial"/>
          <w:color w:val="000000" w:themeColor="text1"/>
        </w:rPr>
        <w:t xml:space="preserve"> </w:t>
      </w:r>
      <w:r w:rsidR="00E7611B" w:rsidRPr="000E0F90">
        <w:rPr>
          <w:rFonts w:ascii="Arial" w:hAnsi="Arial" w:cs="Arial"/>
          <w:color w:val="000000" w:themeColor="text1"/>
        </w:rPr>
        <w:fldChar w:fldCharType="begin" w:fldLock="1"/>
      </w:r>
      <w:r w:rsidR="00477440" w:rsidRPr="000E0F90">
        <w:rPr>
          <w:rFonts w:ascii="Arial" w:hAnsi="Arial" w:cs="Arial"/>
          <w:color w:val="000000" w:themeColor="text1"/>
        </w:rPr>
        <w:instrText>ADDIN CSL_CITATION { "citationItems" : [ { "id" : "ITEM-1", "itemData" : { "DOI" : "10.1016/j.jclepro.2014.09.016", "ISBN" : "0959-6526", "ISSN" : "09596526", "PMID" : "99405212", "abstract" : "The supply of minerals and energy is critical to global society. However, this supply is associated with social and environmental impacts, leading to concerns of generational and intergenerational equity. In light of these concerns, a call for papers for a special volume on the mining industry was issued with the view that such academic work could assist in reducing the negative impacts associated with this industry. This paper introduces the Special Volume \"The sustainability agenda of the minerals and energy supply and demand network: An integrative analysis of ecological, ethical, economic, and technological dimensions\". The Special Volume contains 84 articles, divided into several themes; sustainability accounting and reporting, corporate social responsibility, future mining challenges, integrative frameworks for sustainability, management aspects, mining in a developing context and new frontiers in the oil andgas industry. The Special Volume also includes two letters on contemporary issues with commentaries on these from experts in the fields, viz., community conflict and land rehabilitation. Insights obtained across these themes are summarized and recommendations are made of what is needed to build upon the findings of this Special volume. A research agenda is proposed for the future from the gaps and synergies identified. The overall contribution of this Special Volume is that it renews the debate on the sustainability challenges for the mining industry and provides transdisciplinary insights into resolving some of these challenges.", "author" : [ { "dropping-particle" : "", "family" : "Moran", "given" : "C. J.", "non-dropping-particle" : "", "parse-names" : false, "suffix" : "" }, { "dropping-particle" : "", "family" : "Lodhia", "given" : "S.", "non-dropping-particle" : "", "parse-names" : false, "suffix" : "" }, { "dropping-particle" : "", "family" : "Kunz", "given" : "N. C.", "non-dropping-particle" : "", "parse-names" : false, "suffix" : "" }, { "dropping-particle" : "", "family" : "Huisingh", "given" : "D.", "non-dropping-particle" : "", "parse-names" : false, "suffix" : "" } ], "container-title" : "Journal of Cleaner Production", "id" : "ITEM-1", "issued" : { "date-parts" : [ [ "2014" ] ] }, "page" : "1-15", "publisher" : "Elsevier Ltd", "title" : "Sustainability in mining, minerals and energy: New processes, pathways and human interactions for a cautiously optimistic future", "type" : "article-journal", "volume" : "84" }, "uris" : [ "http://www.mendeley.com/documents/?uuid=79ee88e8-8209-49f1-b638-c76cab0d49fe" ] } ], "mendeley" : { "formattedCitation" : "(Moran et al., 2014)", "plainTextFormattedCitation" : "(Moran et al., 2014)", "previouslyFormattedCitation" : "(Moran et al., 2014)" }, "properties" : { "noteIndex" : 0 }, "schema" : "https://github.com/citation-style-language/schema/raw/master/csl-citation.json" }</w:instrText>
      </w:r>
      <w:r w:rsidR="00E7611B" w:rsidRPr="000E0F90">
        <w:rPr>
          <w:rFonts w:ascii="Arial" w:hAnsi="Arial" w:cs="Arial"/>
          <w:color w:val="000000" w:themeColor="text1"/>
        </w:rPr>
        <w:fldChar w:fldCharType="separate"/>
      </w:r>
      <w:r w:rsidR="00E7611B" w:rsidRPr="000E0F90">
        <w:rPr>
          <w:rFonts w:ascii="Arial" w:hAnsi="Arial" w:cs="Arial"/>
          <w:noProof/>
          <w:color w:val="000000" w:themeColor="text1"/>
        </w:rPr>
        <w:t>(Moran et al., 2014)</w:t>
      </w:r>
      <w:r w:rsidR="00E7611B" w:rsidRPr="000E0F90">
        <w:rPr>
          <w:rFonts w:ascii="Arial" w:hAnsi="Arial" w:cs="Arial"/>
          <w:color w:val="000000" w:themeColor="text1"/>
        </w:rPr>
        <w:fldChar w:fldCharType="end"/>
      </w:r>
      <w:r w:rsidR="00E7611B" w:rsidRPr="000E0F90">
        <w:rPr>
          <w:rFonts w:ascii="Arial" w:hAnsi="Arial" w:cs="Arial"/>
          <w:color w:val="000000" w:themeColor="text1"/>
        </w:rPr>
        <w:t xml:space="preserve">. </w:t>
      </w:r>
      <w:r w:rsidRPr="000E0F90">
        <w:rPr>
          <w:rFonts w:ascii="Arial" w:hAnsi="Arial" w:cs="Arial"/>
          <w:color w:val="000000" w:themeColor="text1"/>
        </w:rPr>
        <w:t>Dado que gran parte de la capitalización de la minería</w:t>
      </w:r>
      <w:r w:rsidR="009D399A" w:rsidRPr="000E0F90">
        <w:rPr>
          <w:rFonts w:ascii="Arial" w:hAnsi="Arial" w:cs="Arial"/>
          <w:color w:val="000000" w:themeColor="text1"/>
        </w:rPr>
        <w:t>,</w:t>
      </w:r>
      <w:r w:rsidRPr="000E0F90">
        <w:rPr>
          <w:rFonts w:ascii="Arial" w:hAnsi="Arial" w:cs="Arial"/>
          <w:color w:val="000000" w:themeColor="text1"/>
        </w:rPr>
        <w:t xml:space="preserve"> beneficia a las compañías mineras en el ámbito internacional; la recaudación de impuestos, royalties y gravámenes es administrada a nivel de gobierno, sin una llegada de dichos ingresos a los gobiernos locales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w:instrText>
      </w:r>
      <w:r w:rsidRPr="001862A5">
        <w:rPr>
          <w:rFonts w:ascii="Arial" w:hAnsi="Arial" w:cs="Arial"/>
          <w:color w:val="000000" w:themeColor="text1"/>
        </w:rPr>
        <w:instrText xml:space="preserve"> "ITEM-1", "itemData" : { "DOI" : "10.1016/j.jclepro.2009.04.013", "ISSN" : "09596526", "author" : [ { "dropping-particle" : "", "family" : "Worrall", "given" : "Rhys", "non-dropping-particle" : "", "parse-names" : false, "suffix" : "" }, { "dropping-particle" : "", "family" : "Neil", "given" : "David", "non-dropping-particle" : "", "parse-names" : false, "suffix" : "" }, { "dropping-particle" : "", "family" : "Brereton", "given" : "David", "non-dropping-particle" : "", "parse-names" : false, "suffix" : "" }, { "dropping-particle" : "", "family" : "Mulligan", "given" : "David", "non-dropping-particle" : "", "parse-names" : false, "suffix" : "" } ], "container-title" : "Journal of Cleaner Production", "id" : "ITEM-1", "issue" : "16", "issued" : { "date-parts" : [ [ "2009", "11" ] ] }, "page" : "1426-1434", "publisher" : "Elsevier Ltd", "title" : "Towards a sustainability criteria and indicators framework for legacy mine land", "type" : "article-journal", "volume" : "17" }, "uris" : [ "http://www.mendeley.com/documents/?uuid=ab575b20-fa72-4f71-9cda-8dfefeac6b76" ] } ], "mendeley" : { "formattedCitation" : "(Worrall et al., 2009)", "plainTextFormattedCitation" : "(Worrall et al., 2009)", "previouslyFormattedCitation" : "(Worrall et al., 2009)" }, "properties" : { "noteIndex" : 0 }, "schema" : "https://github.com/citation-style-language/schema/raw/master/csl-citation.json" }</w:instrText>
      </w:r>
      <w:r w:rsidRPr="000E0F90">
        <w:rPr>
          <w:rFonts w:ascii="Arial" w:hAnsi="Arial" w:cs="Arial"/>
          <w:color w:val="000000" w:themeColor="text1"/>
        </w:rPr>
        <w:fldChar w:fldCharType="separate"/>
      </w:r>
      <w:r w:rsidRPr="001862A5">
        <w:rPr>
          <w:rFonts w:ascii="Arial" w:hAnsi="Arial" w:cs="Arial"/>
          <w:noProof/>
          <w:color w:val="000000" w:themeColor="text1"/>
        </w:rPr>
        <w:t>(Worrall et al., 2009)</w:t>
      </w:r>
      <w:r w:rsidRPr="000E0F90">
        <w:rPr>
          <w:rFonts w:ascii="Arial" w:hAnsi="Arial" w:cs="Arial"/>
          <w:color w:val="000000" w:themeColor="text1"/>
        </w:rPr>
        <w:fldChar w:fldCharType="end"/>
      </w:r>
      <w:r w:rsidRPr="001862A5">
        <w:rPr>
          <w:rFonts w:ascii="Arial" w:hAnsi="Arial" w:cs="Arial"/>
          <w:color w:val="000000" w:themeColor="text1"/>
        </w:rPr>
        <w:t xml:space="preserve"> </w:t>
      </w:r>
      <w:r w:rsidRPr="000E0F90">
        <w:rPr>
          <w:rFonts w:ascii="Arial" w:hAnsi="Arial" w:cs="Arial"/>
          <w:color w:val="000000" w:themeColor="text1"/>
        </w:rPr>
        <w:fldChar w:fldCharType="begin" w:fldLock="1"/>
      </w:r>
      <w:r w:rsidRPr="001862A5">
        <w:rPr>
          <w:rFonts w:ascii="Arial" w:hAnsi="Arial" w:cs="Arial"/>
          <w:color w:val="000000" w:themeColor="text1"/>
        </w:rPr>
        <w:instrText>ADDIN CSL_CITATION { "citationItems" : [ { "id" : "ITEM-1", "itemData" : { "author" : [ { "dropping-particle" : "", "family" : "Hilson", "given" : "Gavin", "non-dropping-particle" : "", "parse-names" : false, "suffix" : "" }, { "dropping-particle" : "", "family" : "Murck", "given" : "Barbara", "non-dropping-particle" : "", "parse-names" : false, "suffix" : "" } ], "id" : "ITEM-1", "issue" : "2000", "issued" : { "date-parts" : [ [ "2000" ] ] }, "p</w:instrText>
      </w:r>
      <w:r w:rsidRPr="000E0F90">
        <w:rPr>
          <w:rFonts w:ascii="Arial" w:hAnsi="Arial" w:cs="Arial"/>
          <w:color w:val="000000" w:themeColor="text1"/>
        </w:rPr>
        <w:instrText>age" : "227-238", "title" : "Sustainable development in the mining industry : clarifying the corporate perspective", "type" : "article-journal", "volume" : "26" }, "uris" : [ "http://www.mendeley.com/documents/?uuid=f8aeb7a1-70d0-42bd-ae96-6e53b2ce6cb4" ] } ], "mendeley" : { "formattedCitation" : "(Hilson &amp; Murck, 2000)", "plainTextFormattedCitation" : "(Hilson &amp; Murck, 2000)", "previouslyFormattedCitation" : "(Hilson &amp; Murck, 2000)"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(Hilson &amp; Murck, 2000)</w:t>
      </w:r>
      <w:r w:rsidRPr="000E0F90">
        <w:rPr>
          <w:rFonts w:ascii="Arial" w:hAnsi="Arial" w:cs="Arial"/>
          <w:color w:val="000000" w:themeColor="text1"/>
        </w:rPr>
        <w:fldChar w:fldCharType="end"/>
      </w:r>
      <w:r w:rsidRPr="000E0F90">
        <w:rPr>
          <w:rFonts w:ascii="Arial" w:hAnsi="Arial" w:cs="Arial"/>
          <w:color w:val="000000" w:themeColor="text1"/>
        </w:rPr>
        <w:t xml:space="preserve">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"10.1007/s10624-009-9113-x", "ISSN" : "0304-4092", "author" : [ { "dropping-particle" : "", "family" : "Kirsch", "given" : "Stuart", "non-dropping-particle" : "", "parse-names" : false, "suffix" : "" } ], "container-title" : "Dialectical Anthropology", "id" : "ITEM-1", "issue" : "1", "issued" : { "date-parts" : [ [ "2009", "8", "7" ] ] }, "page" : "87-93", "title" : "Sustainable Mining", "type" : "article-journal", "volume" : "34" }, "uris" : [ "http://www.mendeley.com/documents/?uuid=904d0af1-7f94-4855-bfaa-24f9249050b5" ] } ], "mendeley" : { "formattedCitation" : "(Kirsch, 2009)", "plainTextFormattedCitation" : "(Kirsch, 2009)", "previouslyFormattedCitation" : "(Kirsch, 2009)"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(Kirsch, 2009)</w:t>
      </w:r>
      <w:r w:rsidRPr="000E0F90">
        <w:rPr>
          <w:rFonts w:ascii="Arial" w:hAnsi="Arial" w:cs="Arial"/>
          <w:color w:val="000000" w:themeColor="text1"/>
        </w:rPr>
        <w:fldChar w:fldCharType="end"/>
      </w:r>
      <w:r w:rsidRPr="000E0F90">
        <w:rPr>
          <w:rFonts w:ascii="Arial" w:hAnsi="Arial" w:cs="Arial"/>
          <w:color w:val="000000" w:themeColor="text1"/>
        </w:rPr>
        <w:t xml:space="preserve">. Permaneciendo las presiones socio ecológicas asociadas a la minería en el país de extracción </w:t>
      </w:r>
      <w:r w:rsidRPr="000E0F90">
        <w:rPr>
          <w:rFonts w:ascii="Arial" w:hAnsi="Arial" w:cs="Arial"/>
          <w:color w:val="000000" w:themeColor="text1"/>
        </w:rPr>
        <w:fldChar w:fldCharType="begin" w:fldLock="1"/>
      </w:r>
      <w:r w:rsidR="00F22AA6" w:rsidRPr="000E0F90">
        <w:rPr>
          <w:rFonts w:ascii="Arial" w:hAnsi="Arial" w:cs="Arial"/>
          <w:color w:val="000000" w:themeColor="text1"/>
        </w:rPr>
        <w:instrText>ADDIN CSL_CITATION { "citationItems" : [ { "id" : "ITEM-1", "itemData" : { "DOI" : "10.1016/j.ecolecon.2015.12.007", "ISSN" : "09218009", "abstract" : "During the second half of the 20th century, mining expanded globally and must be considered one of the dominant forms of human intervention into the environment. Metals are strategically important resources for industrialized and industrializing societies. In 2010, the five BRICS countries (Brazil, the Russian Federation, India, China, and South Africa) consumed 54% of the metals mined globally. The analysis of material flow data offers a biophysical perspective on mining as a resource frontier and allows for the identification of patterns in global metals extraction and trade. Since 1950, metal extraction has shifted from the early industrializing countries into the emerging economies. In 2010, only 6% of metals mined stemmed from Europe or North America while 76% were extracted in four countries (Australia, China, India, and Brazil). In the countries hosting large-scale mining operations, socio-ecological pressure ensues the so-called extractivist development path is common. High rates of metal deposit depletion mean that today's metal extractors and exporters may depend on imports of metal from anthropogenic deposits (stocks in buildings, infrastructure, and durable products) in the future. The extractivist path and the shifting of metals from natural to anthropogenic deposits are both associated with potential for conflict.", "author" : [ { "dropping-particle" : "", "family" : "Schaffartzik", "given" : "Anke", "non-dropping-particle" : "", "parse-names" : false, "suffix" : "" }, { "dropping-particle" : "", "family" : "Mayer", "given" : "Andreas", "non-dropping-particle" : "", "parse-names" : false, "suffix" : "" }, { "dropping-particle" : "", "family" : "Eisenmenger", "given" : "Nina", "non-dropping-particle" : "", "parse-names" : false, "suffix" : "" }, { "dropping-particle" : "", "family" : "Krausmann", "given" : "Fridolin", "non-dropping-particle" : "", "parse-names" : false, "suffix" : "" } ], "container-title" : "Ecological Economics", "id" : "ITEM-1", "issued" : { "date-parts" : [ [ "2016" ] ] }, "note" : "NULL", "page" : "101-110", "publisher" : "Elsevier B.V.", "title" : "Global patterns of metal extractivism, 1950-2010: Providing the bones for the industrial society's skeleton", "type" : "article-journal", "volume" : "122" }, "uris" : [ "http://www.mendeley.com/documents/?uuid=23bd58d5-570d-433e-9ac6-e85569bd1207" ] } ], "mendeley" : { "formattedCitation" : "(Schaffartzik et al., 2016)", "plainTextFormattedCitation" : "(Schaffartzik et al., 2016)", "previouslyFormattedCitation" : "(Schaffartzik et al., 2016)" }, "properties" : { "noteIndex" : 0 }, "schema" : "https://github.com/citation-style-language/schema/raw/master/csl-citation.json" }</w:instrText>
      </w:r>
      <w:r w:rsidRPr="000E0F90">
        <w:rPr>
          <w:rFonts w:ascii="Arial" w:hAnsi="Arial" w:cs="Arial"/>
          <w:color w:val="000000" w:themeColor="text1"/>
        </w:rPr>
        <w:fldChar w:fldCharType="separate"/>
      </w:r>
      <w:r w:rsidR="006768C3" w:rsidRPr="000E0F90">
        <w:rPr>
          <w:rFonts w:ascii="Arial" w:hAnsi="Arial" w:cs="Arial"/>
          <w:noProof/>
          <w:color w:val="000000" w:themeColor="text1"/>
        </w:rPr>
        <w:t>(Schaffartzik et al., 2016)</w:t>
      </w:r>
      <w:r w:rsidRPr="000E0F90">
        <w:rPr>
          <w:rFonts w:ascii="Arial" w:hAnsi="Arial" w:cs="Arial"/>
          <w:color w:val="000000" w:themeColor="text1"/>
        </w:rPr>
        <w:fldChar w:fldCharType="end"/>
      </w:r>
      <w:r w:rsidRPr="000E0F90">
        <w:rPr>
          <w:rFonts w:ascii="Arial" w:hAnsi="Arial" w:cs="Arial"/>
          <w:color w:val="000000" w:themeColor="text1"/>
        </w:rPr>
        <w:t xml:space="preserve">. </w:t>
      </w:r>
      <w:r w:rsidR="001C61B7" w:rsidRPr="000E0F90">
        <w:rPr>
          <w:rFonts w:ascii="Arial" w:hAnsi="Arial" w:cs="Arial"/>
          <w:color w:val="000000" w:themeColor="text1"/>
        </w:rPr>
        <w:t>Distribuyéndose</w:t>
      </w:r>
      <w:r w:rsidRPr="000E0F90">
        <w:rPr>
          <w:rFonts w:ascii="Arial" w:hAnsi="Arial" w:cs="Arial"/>
          <w:color w:val="000000" w:themeColor="text1"/>
        </w:rPr>
        <w:t xml:space="preserve"> los impactos negativos y positivos en forma desigual en escala y dimensiones, así como también en el tiempo y espacio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"10.3152/146155110X12838715793129", "ISSN" : "1461-5517", "author" : [ { "dropping-particle" : "", "family" : "Franks", "given" : "Daniel M.", "non-dropping-particle" : "", "parse-names" : false, "suffix" : "" }, { "dropping-particle" : "", "family" : "Brereton", "given" : "David", "non-dropping-particle" : "", "parse-names" : false, "suffix" : "" }, { "dropping-particle" : "", "family" : "Moran", "given" : "Chris J.", "non-dropping-particle" : "", "parse-names" : false, "suffix" : "" } ], "container-title" : "Impact Assessment and Project Appraisal", "id" : "ITEM-1", "issue" : "4", "issued" : { "date-parts" : [ [ "2010", "12" ] ] }, "page" : "299-312", "title" : "Managing the cumulative impacts of coal mining on regional communities and environments in Australia", "type" : "article-journal", "volume" : "28" }, "uris" : [ "http://www.mendeley.com/documents/?uuid=c7a17e71-84f1-4a13-aa01-f520dfa08c0d" ] } ], "mendeley" : { "formattedCitation" : "(Franks, Brereton, &amp; Moran, 2010)", "plainTextFormattedCitation" : "(Franks, Brereton, &amp; Moran, 2010)", "previouslyFormattedCitation" : "(Franks, Brereton, &amp; Moran, 2010)"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(Franks, Brereton, &amp; Moran, 2010)</w:t>
      </w:r>
      <w:r w:rsidRPr="000E0F90">
        <w:rPr>
          <w:rFonts w:ascii="Arial" w:hAnsi="Arial" w:cs="Arial"/>
          <w:color w:val="000000" w:themeColor="text1"/>
        </w:rPr>
        <w:fldChar w:fldCharType="end"/>
      </w:r>
      <w:r w:rsidRPr="000E0F90">
        <w:rPr>
          <w:rFonts w:ascii="Arial" w:hAnsi="Arial" w:cs="Arial"/>
          <w:color w:val="000000" w:themeColor="text1"/>
        </w:rPr>
        <w:t xml:space="preserve">. Como señala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"10.1016/j.jclepro.2009.04.013", "ISSN" : "09596526", "author" : [ { "dropping-particle" : "", "family" : "Worrall", "given" : "Rhys", "non-dropping-particle" : "", "parse-names" : false, "suffix" : "" }, { "dropping-particle" : "", "family" : "Neil", "given" : "David", "non-dropping-particle" : "", "parse-names" : false, "suffix" : "" }, { "dropping-particle" : "", "family" : "Brereton", "given" : "David", "non-dropping-particle" : "", "parse-names" : false, "suffix" : "" }, { "dropping-particle" : "", "family" : "Mulligan", "given" : "David", "non-dropping-particle" : "", "parse-names" : false, "suffix" : "" } ], "container-title" : "Journal of Cleaner Production", "id" : "ITEM-1", "issue" : "16", "issued" : { "date-parts" : [ [ "2009", "11" ] ] }, "page" : "1426-1434", "publisher" : "Elsevier Ltd", "title" : "Towards a sustainability criteria and indicators framework for legacy mine land", "type" : "article-journal", "volume" : "17" }, "uris" : [ "http://www.mendeley.com/documents/?uuid=ab575b20-fa72-4f71-9cda-8dfefeac6b76" ] } ], "mendeley" : { "formattedCitation" : "(Worrall et al., 2009)", "plainTextFormattedCitation" : "(Worrall et al., 2009)", "previouslyFormattedCitation" : "(Worrall et al., 2009)"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(Worrall et al., 2009)</w:t>
      </w:r>
      <w:r w:rsidRPr="000E0F90">
        <w:rPr>
          <w:rFonts w:ascii="Arial" w:hAnsi="Arial" w:cs="Arial"/>
          <w:color w:val="000000" w:themeColor="text1"/>
        </w:rPr>
        <w:fldChar w:fldCharType="end"/>
      </w:r>
      <w:r w:rsidRPr="000E0F90">
        <w:rPr>
          <w:rFonts w:ascii="Arial" w:hAnsi="Arial" w:cs="Arial"/>
          <w:color w:val="000000" w:themeColor="text1"/>
        </w:rPr>
        <w:t xml:space="preserve"> </w:t>
      </w:r>
      <w:r w:rsidR="002C52DF" w:rsidRPr="000E0F90">
        <w:rPr>
          <w:rFonts w:ascii="Arial" w:hAnsi="Arial" w:cs="Arial"/>
          <w:color w:val="000000" w:themeColor="text1"/>
        </w:rPr>
        <w:t>“</w:t>
      </w:r>
      <w:r w:rsidRPr="000E0F90">
        <w:rPr>
          <w:rFonts w:ascii="Arial" w:hAnsi="Arial" w:cs="Arial"/>
          <w:color w:val="000000" w:themeColor="text1"/>
        </w:rPr>
        <w:t xml:space="preserve">la riqueza de la mina se distribuye </w:t>
      </w:r>
      <w:r w:rsidR="001C61B7" w:rsidRPr="000E0F90">
        <w:rPr>
          <w:rFonts w:ascii="Arial" w:hAnsi="Arial" w:cs="Arial"/>
          <w:color w:val="000000" w:themeColor="text1"/>
        </w:rPr>
        <w:t>globalmente</w:t>
      </w:r>
      <w:r w:rsidRPr="000E0F90">
        <w:rPr>
          <w:rFonts w:ascii="Arial" w:hAnsi="Arial" w:cs="Arial"/>
          <w:color w:val="000000" w:themeColor="text1"/>
        </w:rPr>
        <w:t>, pero los impactos se restringen a nivel local y regional</w:t>
      </w:r>
      <w:r w:rsidR="002C52DF" w:rsidRPr="000E0F90">
        <w:rPr>
          <w:rFonts w:ascii="Arial" w:hAnsi="Arial" w:cs="Arial"/>
          <w:color w:val="000000" w:themeColor="text1"/>
        </w:rPr>
        <w:t>”</w:t>
      </w:r>
      <w:r w:rsidRPr="000E0F90">
        <w:rPr>
          <w:rFonts w:ascii="Arial" w:hAnsi="Arial" w:cs="Arial"/>
          <w:color w:val="000000" w:themeColor="text1"/>
        </w:rPr>
        <w:t>.</w:t>
      </w:r>
    </w:p>
    <w:p w:rsidR="00935A8F" w:rsidRDefault="005C797E" w:rsidP="002B538F">
      <w:pPr>
        <w:spacing w:line="360" w:lineRule="auto"/>
        <w:rPr>
          <w:rFonts w:ascii="Arial" w:hAnsi="Arial" w:cs="Arial"/>
          <w:color w:val="000000" w:themeColor="text1"/>
        </w:rPr>
      </w:pPr>
      <w:r w:rsidRPr="000E0F90">
        <w:rPr>
          <w:rFonts w:ascii="Arial" w:hAnsi="Arial" w:cs="Arial"/>
          <w:color w:val="000000" w:themeColor="text1"/>
        </w:rPr>
        <w:t>Evidenciando esta situación, tanto desde las organizaciones de la sociedad civil,</w:t>
      </w:r>
      <w:r w:rsidR="00A87C91" w:rsidRPr="000E0F90">
        <w:rPr>
          <w:rFonts w:ascii="Arial" w:hAnsi="Arial" w:cs="Arial"/>
          <w:color w:val="000000" w:themeColor="text1"/>
        </w:rPr>
        <w:t xml:space="preserve"> organizaciones internacionales, </w:t>
      </w:r>
      <w:r w:rsidR="00F51545">
        <w:rPr>
          <w:rFonts w:ascii="Arial" w:hAnsi="Arial" w:cs="Arial"/>
          <w:color w:val="000000" w:themeColor="text1"/>
        </w:rPr>
        <w:t>gobiernos</w:t>
      </w:r>
      <w:r w:rsidR="00C070C1" w:rsidRPr="000E0F90">
        <w:rPr>
          <w:rFonts w:ascii="Arial" w:hAnsi="Arial" w:cs="Arial"/>
          <w:color w:val="000000" w:themeColor="text1"/>
        </w:rPr>
        <w:t xml:space="preserve"> locales, </w:t>
      </w:r>
      <w:r w:rsidR="00A87C91" w:rsidRPr="000E0F90">
        <w:rPr>
          <w:rFonts w:ascii="Arial" w:hAnsi="Arial" w:cs="Arial"/>
          <w:color w:val="000000" w:themeColor="text1"/>
        </w:rPr>
        <w:t xml:space="preserve">así </w:t>
      </w:r>
      <w:r w:rsidRPr="000E0F90">
        <w:rPr>
          <w:rFonts w:ascii="Arial" w:hAnsi="Arial" w:cs="Arial"/>
          <w:color w:val="000000" w:themeColor="text1"/>
        </w:rPr>
        <w:t>como de la pr</w:t>
      </w:r>
      <w:r w:rsidR="005E0D0D" w:rsidRPr="000E0F90">
        <w:rPr>
          <w:rFonts w:ascii="Arial" w:hAnsi="Arial" w:cs="Arial"/>
          <w:color w:val="000000" w:themeColor="text1"/>
        </w:rPr>
        <w:t>o</w:t>
      </w:r>
      <w:r w:rsidRPr="000E0F90">
        <w:rPr>
          <w:rFonts w:ascii="Arial" w:hAnsi="Arial" w:cs="Arial"/>
          <w:color w:val="000000" w:themeColor="text1"/>
        </w:rPr>
        <w:t>pia industria minera, ha</w:t>
      </w:r>
      <w:r w:rsidR="009D399A" w:rsidRPr="000E0F90">
        <w:rPr>
          <w:rFonts w:ascii="Arial" w:hAnsi="Arial" w:cs="Arial"/>
          <w:color w:val="000000" w:themeColor="text1"/>
        </w:rPr>
        <w:t>n</w:t>
      </w:r>
      <w:r w:rsidRPr="000E0F90">
        <w:rPr>
          <w:rFonts w:ascii="Arial" w:hAnsi="Arial" w:cs="Arial"/>
          <w:color w:val="000000" w:themeColor="text1"/>
        </w:rPr>
        <w:t xml:space="preserve"> buscado incor</w:t>
      </w:r>
      <w:r w:rsidR="00935A8F">
        <w:rPr>
          <w:rFonts w:ascii="Arial" w:hAnsi="Arial" w:cs="Arial"/>
          <w:color w:val="000000" w:themeColor="text1"/>
        </w:rPr>
        <w:t>porar</w:t>
      </w:r>
      <w:r w:rsidR="005E0D0D" w:rsidRPr="000E0F90">
        <w:rPr>
          <w:rFonts w:ascii="Arial" w:hAnsi="Arial" w:cs="Arial"/>
          <w:color w:val="000000" w:themeColor="text1"/>
        </w:rPr>
        <w:t xml:space="preserve"> temas medioambientales y sociales a la </w:t>
      </w:r>
      <w:r w:rsidR="001C61B7" w:rsidRPr="000E0F90">
        <w:rPr>
          <w:rFonts w:ascii="Arial" w:hAnsi="Arial" w:cs="Arial"/>
          <w:color w:val="000000" w:themeColor="text1"/>
        </w:rPr>
        <w:t>actividad</w:t>
      </w:r>
      <w:r w:rsidR="00F07D8D" w:rsidRPr="000E0F90">
        <w:rPr>
          <w:rFonts w:ascii="Arial" w:hAnsi="Arial" w:cs="Arial"/>
          <w:color w:val="000000" w:themeColor="text1"/>
        </w:rPr>
        <w:t xml:space="preserve"> </w:t>
      </w:r>
      <w:r w:rsidR="00C070C1" w:rsidRPr="000E0F90">
        <w:rPr>
          <w:rFonts w:ascii="Arial" w:hAnsi="Arial" w:cs="Arial"/>
          <w:color w:val="000000" w:themeColor="text1"/>
        </w:rPr>
        <w:t xml:space="preserve"> </w:t>
      </w:r>
      <w:r w:rsidR="00C070C1" w:rsidRPr="000E0F90">
        <w:rPr>
          <w:rFonts w:ascii="Arial" w:hAnsi="Arial" w:cs="Arial"/>
          <w:color w:val="000000" w:themeColor="text1"/>
          <w:lang w:val="en-US"/>
        </w:rPr>
        <w:fldChar w:fldCharType="begin" w:fldLock="1"/>
      </w:r>
      <w:r w:rsidR="00C070C1" w:rsidRPr="000E0F90">
        <w:rPr>
          <w:rFonts w:ascii="Arial" w:hAnsi="Arial" w:cs="Arial"/>
          <w:color w:val="000000" w:themeColor="text1"/>
        </w:rPr>
        <w:instrText>ADDIN CSL_CITATION { "citationItems" : [ { "id" : "ITEM-1", "itemData" : { "DOI" : "10.1016/S0959-6526(03)00075-1", "ISBN" : "4414836891", "ISSN" : "09596526", "author" : [ { "dropping-particle" : "", "family" : "Azapagic", "given" : "Adisa", "non-dropping-particle" : "", "parse-names" : false, "suffix" : "" } ], "container-title" : "Journal of Cleaner Production", "id" : "ITEM-1", "issue" : "6", "issued" : { "date-parts" : [ [ "2004", "8" ] ] }, "page" : "639-662", "title" : "Developing a framework for sustainable development indicators for the mining and minerals industry", "type" : "article-journal", "volume" : "12" }, "uris" : [ "http://www.mendeley.com/documents/?uuid=a36976cf-2e0f-4c41-bd50-7ef9e97ed91f" ] } ], "mendeley" : { "formattedCitation" : "(Azapagic, 2004)", "plainTextFormattedCitation" : "(Azapagic, 2004)", "previouslyFormattedCitation" : "(Azapagic, 2004)" }, "properties" : { "noteIndex" : 0 }, "schema" : "https://github.com/citation-style-language/schema/raw/master/csl-citation.json" }</w:instrText>
      </w:r>
      <w:r w:rsidR="00C070C1" w:rsidRPr="000E0F90">
        <w:rPr>
          <w:rFonts w:ascii="Arial" w:hAnsi="Arial" w:cs="Arial"/>
          <w:color w:val="000000" w:themeColor="text1"/>
          <w:lang w:val="en-US"/>
        </w:rPr>
        <w:fldChar w:fldCharType="separate"/>
      </w:r>
      <w:r w:rsidR="00C070C1" w:rsidRPr="000E0F90">
        <w:rPr>
          <w:rFonts w:ascii="Arial" w:hAnsi="Arial" w:cs="Arial"/>
          <w:noProof/>
          <w:color w:val="000000" w:themeColor="text1"/>
        </w:rPr>
        <w:t>(Azapagic, 2004)</w:t>
      </w:r>
      <w:r w:rsidR="00C070C1" w:rsidRPr="000E0F90">
        <w:rPr>
          <w:rFonts w:ascii="Arial" w:hAnsi="Arial" w:cs="Arial"/>
          <w:color w:val="000000" w:themeColor="text1"/>
          <w:lang w:val="en-US"/>
        </w:rPr>
        <w:fldChar w:fldCharType="end"/>
      </w:r>
      <w:r w:rsidR="00F07D8D" w:rsidRPr="000E0F90">
        <w:rPr>
          <w:rFonts w:ascii="Arial" w:hAnsi="Arial" w:cs="Arial"/>
          <w:color w:val="000000" w:themeColor="text1"/>
        </w:rPr>
        <w:fldChar w:fldCharType="begin" w:fldLock="1"/>
      </w:r>
      <w:r w:rsidR="00F07D8D" w:rsidRPr="000E0F90">
        <w:rPr>
          <w:rFonts w:ascii="Arial" w:hAnsi="Arial" w:cs="Arial"/>
          <w:color w:val="000000" w:themeColor="text1"/>
        </w:rPr>
        <w:instrText>ADDIN CSL_CITATION { "citationItems" : [ { "id" : "ITEM-1", "itemData" : { "DOI" : "10.1016/j.jclepro.2017.03.047", "ISBN" : "9789289347945", "ISSN" : "09596526", "abstract" : "The mining industry has a major impact on society - from an economic, environmental and social perspective and due to a vast number of criteria. Which criteria should be given priority depends on where the mining operations take place. This paper's focus on the Nordic mining industry is partly due to the positive economic trend that the industry is currently experiencing and partly because very little research has been conducted on how the European mining industry addresses sustainability. The purpose of this study is therefore to examine the Nordic mining industry's sustainability practices and to develop guidelines for such efforts. The research methods used in the study include a literature review, a content analysis of sustainability reports, a review of existing sustainability initiatives, guidelines and tools, a stakeholder survey and interviews with mining company officials. Based on the findings, sustainability criteria guidelines for the Nordic mining industry are suggested in the areas of corporate governance, fair operating practices, economic aspects, human rights, labour practices, society and the environment. The content of the guidelines is discussed in the light of the sustainability practices performed by the studied mining companies.", "author" : [ { "dropping-particle" : "", "family" : "Ran\u00e4ngen", "given" : "Helena", "non-dropping-particle" : "", "parse-names" : false, "suffix" : "" }, { "dropping-particle" : "", "family" : "Lindman", "given" : "\u00c5sa", "non-dropping-particle" : "", "parse-names" : false, "suffix" : "" } ], "container-title" : "Journal of Cleaner Production", "id" : "ITEM-1", "issued" : { "date-parts" : [ [ "2017" ] ] }, "page" : "43-52", "title" : "A path towards sustainability for the Nordic mining industry", "type" : "article-journal", "volume" : "151" }, "uris" : [ "http://www.mendeley.com/documents/?uuid=6c35c3e3-ee0c-4b28-8acc-e8d00b36d33a" ] } ], "mendeley" : { "formattedCitation" : "(Ran\u00e4ngen &amp; Lindman, 2017)", "plainTextFormattedCitation" : "(Ran\u00e4ngen &amp; Lindman, 2017)", "previouslyFormattedCitation" : "(Ran\u00e4ngen &amp; Lindman, 2017)" }, "properties" : { "noteIndex" : 0 }, "schema" : "https://github.com/citation-style-language/schema/raw/master/csl-citation.json" }</w:instrText>
      </w:r>
      <w:r w:rsidR="00F07D8D" w:rsidRPr="000E0F90">
        <w:rPr>
          <w:rFonts w:ascii="Arial" w:hAnsi="Arial" w:cs="Arial"/>
          <w:color w:val="000000" w:themeColor="text1"/>
        </w:rPr>
        <w:fldChar w:fldCharType="separate"/>
      </w:r>
      <w:r w:rsidR="00F07D8D" w:rsidRPr="000E0F90">
        <w:rPr>
          <w:rFonts w:ascii="Arial" w:hAnsi="Arial" w:cs="Arial"/>
          <w:noProof/>
          <w:color w:val="000000" w:themeColor="text1"/>
        </w:rPr>
        <w:t>(Ranängen &amp; Lindman, 2017)</w:t>
      </w:r>
      <w:r w:rsidR="00F07D8D" w:rsidRPr="000E0F90">
        <w:rPr>
          <w:rFonts w:ascii="Arial" w:hAnsi="Arial" w:cs="Arial"/>
          <w:color w:val="000000" w:themeColor="text1"/>
        </w:rPr>
        <w:fldChar w:fldCharType="end"/>
      </w:r>
      <w:r w:rsidR="005E0D0D" w:rsidRPr="000E0F90">
        <w:rPr>
          <w:rFonts w:ascii="Arial" w:hAnsi="Arial" w:cs="Arial"/>
          <w:color w:val="000000" w:themeColor="text1"/>
        </w:rPr>
        <w:t xml:space="preserve">, lo cual fue impulsado definitivamente con la emergencia de la definición de desarrollo sostenible </w:t>
      </w:r>
      <w:r w:rsidR="00F51545">
        <w:rPr>
          <w:rFonts w:ascii="Arial" w:hAnsi="Arial" w:cs="Arial"/>
          <w:color w:val="000000" w:themeColor="text1"/>
        </w:rPr>
        <w:t>(</w:t>
      </w:r>
      <w:r w:rsidR="005E0D0D" w:rsidRPr="000E0F90">
        <w:rPr>
          <w:rFonts w:ascii="Arial" w:hAnsi="Arial" w:cs="Arial"/>
          <w:color w:val="000000" w:themeColor="text1"/>
        </w:rPr>
        <w:t>WCED</w:t>
      </w:r>
      <w:r w:rsidR="00F51545">
        <w:rPr>
          <w:rFonts w:ascii="Arial" w:hAnsi="Arial" w:cs="Arial"/>
          <w:color w:val="000000" w:themeColor="text1"/>
        </w:rPr>
        <w:t>, 1</w:t>
      </w:r>
      <w:r w:rsidR="005E0D0D" w:rsidRPr="000E0F90">
        <w:rPr>
          <w:rFonts w:ascii="Arial" w:hAnsi="Arial" w:cs="Arial"/>
          <w:color w:val="000000" w:themeColor="text1"/>
        </w:rPr>
        <w:t>987). Reconociendo los aspectos sociales, medioambientales y económicos</w:t>
      </w:r>
      <w:r w:rsidR="00F51545">
        <w:rPr>
          <w:rFonts w:ascii="Arial" w:hAnsi="Arial" w:cs="Arial"/>
          <w:color w:val="000000" w:themeColor="text1"/>
        </w:rPr>
        <w:t>,</w:t>
      </w:r>
      <w:r w:rsidR="005E0D0D" w:rsidRPr="000E0F90">
        <w:rPr>
          <w:rFonts w:ascii="Arial" w:hAnsi="Arial" w:cs="Arial"/>
          <w:color w:val="000000" w:themeColor="text1"/>
        </w:rPr>
        <w:t xml:space="preserve"> fundamentales para alcanzar el desarrollo s</w:t>
      </w:r>
      <w:r w:rsidR="009D399A" w:rsidRPr="000E0F90">
        <w:rPr>
          <w:rFonts w:ascii="Arial" w:hAnsi="Arial" w:cs="Arial"/>
          <w:color w:val="000000" w:themeColor="text1"/>
        </w:rPr>
        <w:t>ostenible</w:t>
      </w:r>
      <w:r w:rsidR="005E0D0D" w:rsidRPr="000E0F90">
        <w:rPr>
          <w:rFonts w:ascii="Arial" w:hAnsi="Arial" w:cs="Arial"/>
          <w:color w:val="000000" w:themeColor="text1"/>
        </w:rPr>
        <w:t xml:space="preserve"> </w:t>
      </w:r>
      <w:r w:rsidR="005E0D0D" w:rsidRPr="000E0F90">
        <w:rPr>
          <w:rFonts w:ascii="Arial" w:hAnsi="Arial" w:cs="Arial"/>
          <w:color w:val="000000" w:themeColor="text1"/>
        </w:rPr>
        <w:fldChar w:fldCharType="begin" w:fldLock="1"/>
      </w:r>
      <w:r w:rsidR="005E0D0D" w:rsidRPr="000E0F90">
        <w:rPr>
          <w:rFonts w:ascii="Arial" w:hAnsi="Arial" w:cs="Arial"/>
          <w:color w:val="000000" w:themeColor="text1"/>
        </w:rPr>
        <w:instrText>ADDIN CSL_CITATION { "citationItems" : [ { "id" : "ITEM-1", "itemData" : { "author" : [ { "dropping-particle" : "", "family" : "James", "given" : "Patrick M", "non-dropping-particle" : "", "parse-names" : false, "suffix" : "" } ], "id" : "ITEM-1", "issued" : { "date-parts" : [ [ "1999" ] ] }, "page" : "89-92", "title" : "The miner and sustainable development", "type" : "article-journal" }, "uris" : [ "http://www.mendeley.com/documents/?uuid=d1d0c06f-7e52-4081-b017-fa1d4e10c525" ] } ], "mendeley" : { "formattedCitation" : "(James, 1999)", "plainTextFormattedCitation" : "(James, 1999)", "previouslyFormattedCitation" : "(James, 1999)" }, "properties" : { "noteIndex" : 0 }, "schema" : "https://github.com/citation-style-language/schema/raw/master/csl-citation.json" }</w:instrText>
      </w:r>
      <w:r w:rsidR="005E0D0D" w:rsidRPr="000E0F90">
        <w:rPr>
          <w:rFonts w:ascii="Arial" w:hAnsi="Arial" w:cs="Arial"/>
          <w:color w:val="000000" w:themeColor="text1"/>
        </w:rPr>
        <w:fldChar w:fldCharType="separate"/>
      </w:r>
      <w:r w:rsidR="005E0D0D" w:rsidRPr="000E0F90">
        <w:rPr>
          <w:rFonts w:ascii="Arial" w:hAnsi="Arial" w:cs="Arial"/>
          <w:noProof/>
          <w:color w:val="000000" w:themeColor="text1"/>
        </w:rPr>
        <w:t>(James, 1999)</w:t>
      </w:r>
      <w:r w:rsidR="005E0D0D" w:rsidRPr="000E0F90">
        <w:rPr>
          <w:rFonts w:ascii="Arial" w:hAnsi="Arial" w:cs="Arial"/>
          <w:color w:val="000000" w:themeColor="text1"/>
        </w:rPr>
        <w:fldChar w:fldCharType="end"/>
      </w:r>
      <w:r w:rsidR="00935A8F">
        <w:rPr>
          <w:rFonts w:ascii="Arial" w:hAnsi="Arial" w:cs="Arial"/>
          <w:color w:val="000000" w:themeColor="text1"/>
        </w:rPr>
        <w:t xml:space="preserve"> (Amezaga et al., 2011).</w:t>
      </w:r>
    </w:p>
    <w:p w:rsidR="0029369F" w:rsidRPr="000E0F90" w:rsidRDefault="00F673F2" w:rsidP="002B538F">
      <w:pPr>
        <w:spacing w:line="360" w:lineRule="auto"/>
        <w:rPr>
          <w:rFonts w:ascii="Arial" w:hAnsi="Arial" w:cs="Arial"/>
          <w:color w:val="000000" w:themeColor="text1"/>
        </w:rPr>
      </w:pPr>
      <w:r w:rsidRPr="000E0F90">
        <w:rPr>
          <w:rFonts w:ascii="Arial" w:hAnsi="Arial" w:cs="Arial"/>
          <w:color w:val="000000" w:themeColor="text1"/>
        </w:rPr>
        <w:t>Esto ha llevado al d</w:t>
      </w:r>
      <w:r w:rsidR="008B05AB" w:rsidRPr="000E0F90">
        <w:rPr>
          <w:rFonts w:ascii="Arial" w:hAnsi="Arial" w:cs="Arial"/>
          <w:color w:val="000000" w:themeColor="text1"/>
        </w:rPr>
        <w:t xml:space="preserve">esarrollo de </w:t>
      </w:r>
      <w:r w:rsidR="00F51545">
        <w:rPr>
          <w:rFonts w:ascii="Arial" w:hAnsi="Arial" w:cs="Arial"/>
          <w:color w:val="000000" w:themeColor="text1"/>
        </w:rPr>
        <w:t>múltiples</w:t>
      </w:r>
      <w:r w:rsidR="008B05AB" w:rsidRPr="000E0F90">
        <w:rPr>
          <w:rFonts w:ascii="Arial" w:hAnsi="Arial" w:cs="Arial"/>
          <w:color w:val="000000" w:themeColor="text1"/>
        </w:rPr>
        <w:t xml:space="preserve"> iniciativas</w:t>
      </w:r>
      <w:r w:rsidRPr="000E0F90">
        <w:rPr>
          <w:rFonts w:ascii="Arial" w:hAnsi="Arial" w:cs="Arial"/>
          <w:color w:val="000000" w:themeColor="text1"/>
        </w:rPr>
        <w:t xml:space="preserve"> en la indus</w:t>
      </w:r>
      <w:r w:rsidR="00A87C91" w:rsidRPr="000E0F90">
        <w:rPr>
          <w:rFonts w:ascii="Arial" w:hAnsi="Arial" w:cs="Arial"/>
          <w:color w:val="000000" w:themeColor="text1"/>
        </w:rPr>
        <w:t>tria (Azapagic, 2004). Cuestión</w:t>
      </w:r>
      <w:r w:rsidR="0029369F" w:rsidRPr="000E0F90">
        <w:rPr>
          <w:rFonts w:ascii="Arial" w:hAnsi="Arial" w:cs="Arial"/>
          <w:color w:val="000000" w:themeColor="text1"/>
        </w:rPr>
        <w:t xml:space="preserve"> </w:t>
      </w:r>
      <w:r w:rsidR="00A87C91" w:rsidRPr="000E0F90">
        <w:rPr>
          <w:rFonts w:ascii="Arial" w:hAnsi="Arial" w:cs="Arial"/>
          <w:color w:val="000000" w:themeColor="text1"/>
        </w:rPr>
        <w:t>que no ha sido fácil de abordar</w:t>
      </w:r>
      <w:r w:rsidR="0029369F" w:rsidRPr="000E0F90">
        <w:rPr>
          <w:rFonts w:ascii="Arial" w:hAnsi="Arial" w:cs="Arial"/>
          <w:color w:val="000000" w:themeColor="text1"/>
        </w:rPr>
        <w:t xml:space="preserve"> dada la </w:t>
      </w:r>
      <w:r w:rsidR="001C61B7" w:rsidRPr="000E0F90">
        <w:rPr>
          <w:rFonts w:ascii="Arial" w:hAnsi="Arial" w:cs="Arial"/>
          <w:color w:val="000000" w:themeColor="text1"/>
        </w:rPr>
        <w:t>naturaleza</w:t>
      </w:r>
      <w:r w:rsidR="0029369F" w:rsidRPr="000E0F90">
        <w:rPr>
          <w:rFonts w:ascii="Arial" w:hAnsi="Arial" w:cs="Arial"/>
          <w:color w:val="000000" w:themeColor="text1"/>
        </w:rPr>
        <w:t xml:space="preserve"> de</w:t>
      </w:r>
      <w:r w:rsidR="0046313A" w:rsidRPr="000E0F90">
        <w:rPr>
          <w:rFonts w:ascii="Arial" w:hAnsi="Arial" w:cs="Arial"/>
          <w:color w:val="000000" w:themeColor="text1"/>
        </w:rPr>
        <w:t xml:space="preserve"> </w:t>
      </w:r>
      <w:r w:rsidR="0029369F" w:rsidRPr="000E0F90">
        <w:rPr>
          <w:rFonts w:ascii="Arial" w:hAnsi="Arial" w:cs="Arial"/>
          <w:color w:val="000000" w:themeColor="text1"/>
        </w:rPr>
        <w:t xml:space="preserve">la actividad en </w:t>
      </w:r>
      <w:r w:rsidR="001C61B7" w:rsidRPr="000E0F90">
        <w:rPr>
          <w:rFonts w:ascii="Arial" w:hAnsi="Arial" w:cs="Arial"/>
          <w:color w:val="000000" w:themeColor="text1"/>
        </w:rPr>
        <w:t>términos</w:t>
      </w:r>
      <w:r w:rsidR="0029369F" w:rsidRPr="000E0F90">
        <w:rPr>
          <w:rFonts w:ascii="Arial" w:hAnsi="Arial" w:cs="Arial"/>
          <w:color w:val="000000" w:themeColor="text1"/>
        </w:rPr>
        <w:t xml:space="preserve"> de impacto medioambiental y social</w:t>
      </w:r>
      <w:r w:rsidR="00A87C91" w:rsidRPr="000E0F90">
        <w:rPr>
          <w:rFonts w:ascii="Arial" w:hAnsi="Arial" w:cs="Arial"/>
          <w:color w:val="000000" w:themeColor="text1"/>
        </w:rPr>
        <w:t xml:space="preserve">, escalas temporales y espaciales, así como </w:t>
      </w:r>
      <w:r w:rsidR="00AD3509" w:rsidRPr="000E0F90">
        <w:rPr>
          <w:rFonts w:ascii="Arial" w:hAnsi="Arial" w:cs="Arial"/>
          <w:color w:val="000000" w:themeColor="text1"/>
        </w:rPr>
        <w:t xml:space="preserve">la naturaleza </w:t>
      </w:r>
      <w:r w:rsidR="008B05AB" w:rsidRPr="000E0F90">
        <w:rPr>
          <w:rFonts w:ascii="Arial" w:hAnsi="Arial" w:cs="Arial"/>
          <w:color w:val="000000" w:themeColor="text1"/>
        </w:rPr>
        <w:t xml:space="preserve">finita de los recursos </w:t>
      </w:r>
      <w:r w:rsidR="00F45ADA" w:rsidRPr="000E0F90">
        <w:rPr>
          <w:rFonts w:ascii="Arial" w:hAnsi="Arial" w:cs="Arial"/>
          <w:color w:val="000000" w:themeColor="text1"/>
        </w:rPr>
        <w:t>minerales</w:t>
      </w:r>
      <w:r w:rsidR="008B05AB" w:rsidRPr="000E0F90">
        <w:rPr>
          <w:rFonts w:ascii="Arial" w:hAnsi="Arial" w:cs="Arial"/>
          <w:color w:val="000000" w:themeColor="text1"/>
        </w:rPr>
        <w:t xml:space="preserve">. </w:t>
      </w:r>
      <w:r w:rsidR="0029369F" w:rsidRPr="000E0F90">
        <w:rPr>
          <w:rFonts w:ascii="Arial" w:hAnsi="Arial" w:cs="Arial"/>
          <w:color w:val="000000" w:themeColor="text1"/>
        </w:rPr>
        <w:t xml:space="preserve">Siendo el modelo de desarrollo sostenible </w:t>
      </w:r>
      <w:r w:rsidR="00C070C1" w:rsidRPr="000E0F90">
        <w:rPr>
          <w:rFonts w:ascii="Arial" w:hAnsi="Arial" w:cs="Arial"/>
          <w:color w:val="000000" w:themeColor="text1"/>
        </w:rPr>
        <w:t>considerad</w:t>
      </w:r>
      <w:r w:rsidR="00EA5199" w:rsidRPr="000E0F90">
        <w:rPr>
          <w:rFonts w:ascii="Arial" w:hAnsi="Arial" w:cs="Arial"/>
          <w:color w:val="000000" w:themeColor="text1"/>
        </w:rPr>
        <w:t>o</w:t>
      </w:r>
      <w:r w:rsidR="00C070C1" w:rsidRPr="000E0F90">
        <w:rPr>
          <w:rFonts w:ascii="Arial" w:hAnsi="Arial" w:cs="Arial"/>
          <w:color w:val="000000" w:themeColor="text1"/>
        </w:rPr>
        <w:t xml:space="preserve"> </w:t>
      </w:r>
      <w:r w:rsidR="0029369F" w:rsidRPr="000E0F90">
        <w:rPr>
          <w:rFonts w:ascii="Arial" w:hAnsi="Arial" w:cs="Arial"/>
          <w:color w:val="000000" w:themeColor="text1"/>
        </w:rPr>
        <w:t>una condición crítica para el desarrollo y continu</w:t>
      </w:r>
      <w:r w:rsidR="00EC4715" w:rsidRPr="000E0F90">
        <w:rPr>
          <w:rFonts w:ascii="Arial" w:hAnsi="Arial" w:cs="Arial"/>
          <w:color w:val="000000" w:themeColor="text1"/>
        </w:rPr>
        <w:t xml:space="preserve">ación de la industria minera </w:t>
      </w:r>
      <w:r w:rsidR="00EC4715" w:rsidRPr="000E0F90">
        <w:rPr>
          <w:rFonts w:ascii="Arial" w:hAnsi="Arial" w:cs="Arial"/>
          <w:color w:val="000000" w:themeColor="text1"/>
        </w:rPr>
        <w:fldChar w:fldCharType="begin" w:fldLock="1"/>
      </w:r>
      <w:r w:rsidR="002051E6" w:rsidRPr="000E0F90">
        <w:rPr>
          <w:rFonts w:ascii="Arial" w:hAnsi="Arial" w:cs="Arial"/>
          <w:color w:val="000000" w:themeColor="text1"/>
        </w:rPr>
        <w:instrText>ADDIN CSL_CITATION { "citationItems" : [ { "id" : "ITEM-1", "itemData" : { "author" : [ { "dropping-particle" : "", "family" : "Hilson", "given" : "Gavin", "non-dropping-particle" : "", "parse-names" : false, "suffix" : "" }, { "dropping-particle" : "", "family" : "Murck", "given" : "Barbara", "non-dropping-particle" : "", "parse-names" : false, "suffix" : "" } ], "id" : "ITEM-1", "issue" : "2000", "issued" : { "date-parts" : [ [ "2000" ] ] }, "page" : "227-238", "title" : "Sustainable development in the mining industry : clarifying the corporate perspective", "type" : "article-journal", "volume" : "26" }, "uris" : [ "http://www.mendeley.com/documents/?uuid=f8aeb7a1-70d0-42bd-ae96-6e53b2ce6cb4" ] }, { "id" : "ITEM-2", "itemData" : { "DOI" : "10.1016/j.resourpol.2012.04.002", "ISSN" : "03014207", "author" : [ { "dropping-particle" : "", "family" : "Prno", "given" : "Jason", "non-dropping-particle" : "", "parse-names" : false, "suffix" : "" }, { "dropping-particle" : "", "family" : "Scott Slocombe", "given" : "D.", "non-dropping-particle" : "", "parse-names" : false, "suffix" : "" } ], "container-title" : "Resources Policy", "id" : "ITEM-2", "issue" : "3", "issued" : { "date-parts" : [ [ "2012", "9" ] ] }, "page" : "346-357", "publisher" : "Elsevier", "title" : "Exploring the origins of \u2018social license to operate\u2019 in the mining sector: Perspectives from governance and sustainability theories", "type" : "article-journal", "volume" : "37" }, "uris" : [ "http://www.mendeley.com/documents/?uuid=127eea5d-e9d3-4dbd-9dbc-d34324e82251" ] } ], "mendeley" : { "formattedCitation" : "(Hilson &amp; Murck, 2000; Prno &amp; Scott Slocombe, 2012)", "plainTextFormattedCitation" : "(Hilson &amp; Murck, 2000; Prno &amp; Scott Slocombe, 2012)", "previouslyFormattedCitation" : "(Hilson &amp; Murck, 2000; Prno &amp; Scott Slocombe, 2012)" }, "properties" : { "noteIndex" : 0 }, "schema" : "https://github.com/citation-style-language/schema/raw/master/csl-citation.json" }</w:instrText>
      </w:r>
      <w:r w:rsidR="00EC4715" w:rsidRPr="000E0F90">
        <w:rPr>
          <w:rFonts w:ascii="Arial" w:hAnsi="Arial" w:cs="Arial"/>
          <w:color w:val="000000" w:themeColor="text1"/>
        </w:rPr>
        <w:fldChar w:fldCharType="separate"/>
      </w:r>
      <w:r w:rsidR="00EC4715" w:rsidRPr="000E0F90">
        <w:rPr>
          <w:rFonts w:ascii="Arial" w:hAnsi="Arial" w:cs="Arial"/>
          <w:noProof/>
          <w:color w:val="000000" w:themeColor="text1"/>
        </w:rPr>
        <w:t>(Hilson &amp; Murck, 2000; Prno &amp; Scott Slocombe, 2012)</w:t>
      </w:r>
      <w:r w:rsidR="00EC4715" w:rsidRPr="000E0F90">
        <w:rPr>
          <w:rFonts w:ascii="Arial" w:hAnsi="Arial" w:cs="Arial"/>
          <w:color w:val="000000" w:themeColor="text1"/>
        </w:rPr>
        <w:fldChar w:fldCharType="end"/>
      </w:r>
      <w:r w:rsidR="00EC4715" w:rsidRPr="000E0F90">
        <w:rPr>
          <w:rFonts w:ascii="Arial" w:hAnsi="Arial" w:cs="Arial"/>
          <w:color w:val="000000" w:themeColor="text1"/>
        </w:rPr>
        <w:t>.</w:t>
      </w:r>
      <w:r w:rsidR="0029369F" w:rsidRPr="000E0F90">
        <w:rPr>
          <w:rFonts w:ascii="Arial" w:hAnsi="Arial" w:cs="Arial"/>
          <w:color w:val="000000" w:themeColor="text1"/>
        </w:rPr>
        <w:t xml:space="preserve"> </w:t>
      </w:r>
    </w:p>
    <w:p w:rsidR="006A73EC" w:rsidRPr="000E0F90" w:rsidRDefault="00E93A16" w:rsidP="002B538F">
      <w:pPr>
        <w:spacing w:line="360" w:lineRule="auto"/>
        <w:rPr>
          <w:rFonts w:ascii="Arial" w:hAnsi="Arial" w:cs="Arial"/>
          <w:color w:val="000000" w:themeColor="text1"/>
        </w:rPr>
      </w:pPr>
      <w:r w:rsidRPr="000E0F90">
        <w:rPr>
          <w:rFonts w:ascii="Arial" w:hAnsi="Arial" w:cs="Arial"/>
          <w:color w:val="000000" w:themeColor="text1"/>
        </w:rPr>
        <w:lastRenderedPageBreak/>
        <w:t>Diversas</w:t>
      </w:r>
      <w:r w:rsidR="00417286" w:rsidRPr="000E0F90">
        <w:rPr>
          <w:rFonts w:ascii="Arial" w:hAnsi="Arial" w:cs="Arial"/>
          <w:color w:val="000000" w:themeColor="text1"/>
        </w:rPr>
        <w:t xml:space="preserve"> organizaciones internacionales han desarrollado iniciativas para promover la s</w:t>
      </w:r>
      <w:r w:rsidR="009D399A" w:rsidRPr="000E0F90">
        <w:rPr>
          <w:rFonts w:ascii="Arial" w:hAnsi="Arial" w:cs="Arial"/>
          <w:color w:val="000000" w:themeColor="text1"/>
        </w:rPr>
        <w:t>ostenibilidad</w:t>
      </w:r>
      <w:r w:rsidR="00417286" w:rsidRPr="000E0F90">
        <w:rPr>
          <w:rFonts w:ascii="Arial" w:hAnsi="Arial" w:cs="Arial"/>
          <w:color w:val="000000" w:themeColor="text1"/>
        </w:rPr>
        <w:t xml:space="preserve"> en el sector minero, como el Banco Mundial, l</w:t>
      </w:r>
      <w:r w:rsidR="00D0642F" w:rsidRPr="000E0F90">
        <w:rPr>
          <w:rFonts w:ascii="Arial" w:hAnsi="Arial" w:cs="Arial"/>
          <w:color w:val="000000" w:themeColor="text1"/>
        </w:rPr>
        <w:t>a</w:t>
      </w:r>
      <w:r w:rsidR="00417286" w:rsidRPr="000E0F90">
        <w:rPr>
          <w:rFonts w:ascii="Arial" w:hAnsi="Arial" w:cs="Arial"/>
          <w:color w:val="000000" w:themeColor="text1"/>
        </w:rPr>
        <w:t xml:space="preserve"> Organización para la Cooperación y el Desarrollo Económico, la Organización del Trabajo, entre otras. </w:t>
      </w:r>
      <w:r w:rsidR="00816854" w:rsidRPr="000E0F90">
        <w:rPr>
          <w:rFonts w:ascii="Arial" w:hAnsi="Arial" w:cs="Arial"/>
          <w:color w:val="000000" w:themeColor="text1"/>
        </w:rPr>
        <w:t>Entre éstas, l</w:t>
      </w:r>
      <w:r w:rsidR="00417286" w:rsidRPr="000E0F90">
        <w:rPr>
          <w:rFonts w:ascii="Arial" w:hAnsi="Arial" w:cs="Arial"/>
          <w:color w:val="000000" w:themeColor="text1"/>
        </w:rPr>
        <w:t xml:space="preserve">a Iniciativa Minera Global (GMI, </w:t>
      </w:r>
      <w:r w:rsidR="00417286" w:rsidRPr="000E0F90">
        <w:rPr>
          <w:rFonts w:ascii="Arial" w:hAnsi="Arial" w:cs="Arial"/>
          <w:i/>
          <w:color w:val="000000" w:themeColor="text1"/>
        </w:rPr>
        <w:t>Global Mining Initiative</w:t>
      </w:r>
      <w:r w:rsidR="00417286" w:rsidRPr="000E0F90">
        <w:rPr>
          <w:rFonts w:ascii="Arial" w:hAnsi="Arial" w:cs="Arial"/>
          <w:color w:val="000000" w:themeColor="text1"/>
        </w:rPr>
        <w:t>), con el Proyecto Minería, Metales y Desarrollo S</w:t>
      </w:r>
      <w:r w:rsidR="009D399A" w:rsidRPr="000E0F90">
        <w:rPr>
          <w:rFonts w:ascii="Arial" w:hAnsi="Arial" w:cs="Arial"/>
          <w:color w:val="000000" w:themeColor="text1"/>
        </w:rPr>
        <w:t>ostenible</w:t>
      </w:r>
      <w:r w:rsidR="00417286" w:rsidRPr="000E0F90">
        <w:rPr>
          <w:rFonts w:ascii="Arial" w:hAnsi="Arial" w:cs="Arial"/>
          <w:color w:val="000000" w:themeColor="text1"/>
        </w:rPr>
        <w:t xml:space="preserve"> (</w:t>
      </w:r>
      <w:r w:rsidR="00417286" w:rsidRPr="000E0F90">
        <w:rPr>
          <w:rFonts w:ascii="Arial" w:hAnsi="Arial" w:cs="Arial"/>
          <w:i/>
          <w:color w:val="000000" w:themeColor="text1"/>
        </w:rPr>
        <w:t>MMSD, Mining Metals and Sustainable Development</w:t>
      </w:r>
      <w:r w:rsidR="00417286" w:rsidRPr="000E0F90">
        <w:rPr>
          <w:rFonts w:ascii="Arial" w:hAnsi="Arial" w:cs="Arial"/>
          <w:color w:val="000000" w:themeColor="text1"/>
        </w:rPr>
        <w:t xml:space="preserve">), </w:t>
      </w:r>
      <w:r w:rsidR="00F32DAF" w:rsidRPr="000E0F90">
        <w:rPr>
          <w:rFonts w:ascii="Arial" w:hAnsi="Arial" w:cs="Arial"/>
          <w:color w:val="000000" w:themeColor="text1"/>
        </w:rPr>
        <w:t xml:space="preserve">comenzó a definir la contribución de la minería al </w:t>
      </w:r>
      <w:r w:rsidR="00417286" w:rsidRPr="000E0F90">
        <w:rPr>
          <w:rFonts w:ascii="Arial" w:hAnsi="Arial" w:cs="Arial"/>
          <w:color w:val="000000" w:themeColor="text1"/>
        </w:rPr>
        <w:t xml:space="preserve">desarrollo sostenible. </w:t>
      </w:r>
    </w:p>
    <w:p w:rsidR="00F32DAF" w:rsidRPr="000E0F90" w:rsidRDefault="00417286" w:rsidP="002B538F">
      <w:pPr>
        <w:spacing w:line="360" w:lineRule="auto"/>
        <w:rPr>
          <w:rFonts w:ascii="Arial" w:hAnsi="Arial" w:cs="Arial"/>
          <w:color w:val="000000" w:themeColor="text1"/>
        </w:rPr>
      </w:pPr>
      <w:r w:rsidRPr="000E0F90">
        <w:rPr>
          <w:rFonts w:ascii="Arial" w:hAnsi="Arial" w:cs="Arial"/>
          <w:color w:val="000000" w:themeColor="text1"/>
        </w:rPr>
        <w:t>Desde la industria la s</w:t>
      </w:r>
      <w:r w:rsidR="009D399A" w:rsidRPr="000E0F90">
        <w:rPr>
          <w:rFonts w:ascii="Arial" w:hAnsi="Arial" w:cs="Arial"/>
          <w:color w:val="000000" w:themeColor="text1"/>
        </w:rPr>
        <w:t>ostenibilidad</w:t>
      </w:r>
      <w:r w:rsidR="00F32DAF" w:rsidRPr="000E0F90">
        <w:rPr>
          <w:rFonts w:ascii="Arial" w:hAnsi="Arial" w:cs="Arial"/>
          <w:color w:val="000000" w:themeColor="text1"/>
        </w:rPr>
        <w:t xml:space="preserve"> se aborda desde </w:t>
      </w:r>
      <w:r w:rsidR="009D399A" w:rsidRPr="000E0F90">
        <w:rPr>
          <w:rFonts w:ascii="Arial" w:hAnsi="Arial" w:cs="Arial"/>
          <w:color w:val="000000" w:themeColor="text1"/>
        </w:rPr>
        <w:t xml:space="preserve">el ámbito </w:t>
      </w:r>
      <w:r w:rsidRPr="000E0F90">
        <w:rPr>
          <w:rFonts w:ascii="Arial" w:hAnsi="Arial" w:cs="Arial"/>
          <w:color w:val="000000" w:themeColor="text1"/>
        </w:rPr>
        <w:t>corporativ</w:t>
      </w:r>
      <w:r w:rsidR="009D399A" w:rsidRPr="000E0F90">
        <w:rPr>
          <w:rFonts w:ascii="Arial" w:hAnsi="Arial" w:cs="Arial"/>
          <w:color w:val="000000" w:themeColor="text1"/>
        </w:rPr>
        <w:t>o,</w:t>
      </w:r>
      <w:r w:rsidRPr="000E0F90">
        <w:rPr>
          <w:rFonts w:ascii="Arial" w:hAnsi="Arial" w:cs="Arial"/>
          <w:color w:val="000000" w:themeColor="text1"/>
        </w:rPr>
        <w:t xml:space="preserve"> mediante la elaboración y publicación de reportes o ev</w:t>
      </w:r>
      <w:r w:rsidR="00EC4715" w:rsidRPr="000E0F90">
        <w:rPr>
          <w:rFonts w:ascii="Arial" w:hAnsi="Arial" w:cs="Arial"/>
          <w:color w:val="000000" w:themeColor="text1"/>
        </w:rPr>
        <w:t>aluaciones de s</w:t>
      </w:r>
      <w:r w:rsidR="009D399A" w:rsidRPr="000E0F90">
        <w:rPr>
          <w:rFonts w:ascii="Arial" w:hAnsi="Arial" w:cs="Arial"/>
          <w:color w:val="000000" w:themeColor="text1"/>
        </w:rPr>
        <w:t>ostenibilidad</w:t>
      </w:r>
      <w:r w:rsidRPr="000E0F90">
        <w:rPr>
          <w:rFonts w:ascii="Arial" w:hAnsi="Arial" w:cs="Arial"/>
          <w:color w:val="000000" w:themeColor="text1"/>
        </w:rPr>
        <w:t xml:space="preserve"> </w:t>
      </w:r>
      <w:r w:rsidR="008D0261" w:rsidRPr="000E0F90">
        <w:rPr>
          <w:rFonts w:ascii="Arial" w:hAnsi="Arial" w:cs="Arial"/>
          <w:color w:val="000000" w:themeColor="text1"/>
        </w:rPr>
        <w:t xml:space="preserve">que </w:t>
      </w:r>
      <w:r w:rsidRPr="000E0F90">
        <w:rPr>
          <w:rFonts w:ascii="Arial" w:hAnsi="Arial" w:cs="Arial"/>
          <w:color w:val="000000" w:themeColor="text1"/>
        </w:rPr>
        <w:t>busca</w:t>
      </w:r>
      <w:r w:rsidR="008D0261" w:rsidRPr="000E0F90">
        <w:rPr>
          <w:rFonts w:ascii="Arial" w:hAnsi="Arial" w:cs="Arial"/>
          <w:color w:val="000000" w:themeColor="text1"/>
        </w:rPr>
        <w:t>n</w:t>
      </w:r>
      <w:r w:rsidRPr="000E0F90">
        <w:rPr>
          <w:rFonts w:ascii="Arial" w:hAnsi="Arial" w:cs="Arial"/>
          <w:color w:val="000000" w:themeColor="text1"/>
        </w:rPr>
        <w:t xml:space="preserve"> apoyar la toma de decisiones en la industria mediante la incorporación de aspectos económicos estratégicos, preservación medioambiental y cohesión social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"10.1002/jid", "author" : [ { "dropping-particle" : "", "family" : "DIMITRIOS", "given" : "", "non-dropping-particle" : "", "parse-names" : false, "suffix" : "" }, { "dropping-particle" : "", "family" : "PESMATZOGLOU", "given" : "", "non-dropping-particle" : "", "parse-names" : false, "suffix" : "" }, { "dropping-particle" : "", "family" : "IOANNIS", "given" : "", "non-dropping-particle" : "", "parse-names" : false, "suffix" : "" }, { "dropping-particle" : "", "family" : "NIKOLAOU", "given" : "", "non-dropping-particle" : "", "parse-names" : false, "suffix" : "" }, { "dropping-particle" : "", "family" : "KONSTANTINOS", "given" : "", "non-dropping-particle" : "", "parse-names" : false, "suffix" : "" }, { "dropping-particle" : "", "family" : "EVANGELINOS", "given" : "", "non-dropping-particle" : "", "parse-names" : false, "suffix" : "" }, { "dropping-particle" : "", "family" : "ALLAN", "given" : "STUART", "non-dropping-particle" : "", "parse-names" : false, "suffix" : "" } ], "id" : "ITEM-1", "issue" : "August 2012", "issued" : { "date-parts" : [ [ "2014" ] ] }, "page" : "187-206", "title" : "REVIEW ARTICLE EXTRACTIVE MULTINATIONALS AND CORPORATE SOCIAL RESPONSIBILITY : A COMMITMENT TOWARDS ACHIEVING THE GOALS OF SUSTAINABLE DEVELOPMENT OR ONLY A MANAGEMENT STRATEGY ?", "type" : "article-journal", "volume" : "206" }, "uris" : [ "http://www.mendeley.com/documents/?uuid=7a6d9547-bb52-4481-a8a4-3f00ed8c24f8" ] } ], "mendeley" : { "formattedCitation" : "(DIMITRIOS et al., 2014)", "plainTextFormattedCitation" : "(DIMITRIOS et al., 2014)", "previouslyFormattedCitation" : "(DIMITRIOS et al., 2014)"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(DIMITRIOS et al., 2014)</w:t>
      </w:r>
      <w:r w:rsidRPr="000E0F90">
        <w:rPr>
          <w:rFonts w:ascii="Arial" w:hAnsi="Arial" w:cs="Arial"/>
          <w:color w:val="000000" w:themeColor="text1"/>
        </w:rPr>
        <w:fldChar w:fldCharType="end"/>
      </w:r>
      <w:r w:rsidRPr="000E0F90">
        <w:rPr>
          <w:rFonts w:ascii="Arial" w:hAnsi="Arial" w:cs="Arial"/>
          <w:color w:val="000000" w:themeColor="text1"/>
        </w:rPr>
        <w:t xml:space="preserve"> </w:t>
      </w:r>
      <w:r w:rsidRPr="000E0F90">
        <w:rPr>
          <w:rFonts w:ascii="Arial" w:hAnsi="Arial" w:cs="Arial"/>
          <w:color w:val="000000" w:themeColor="text1"/>
        </w:rPr>
        <w:fldChar w:fldCharType="begin" w:fldLock="1"/>
      </w:r>
      <w:r w:rsidR="00066359" w:rsidRPr="000E0F90">
        <w:rPr>
          <w:rFonts w:ascii="Arial" w:hAnsi="Arial" w:cs="Arial"/>
          <w:color w:val="000000" w:themeColor="text1"/>
        </w:rPr>
        <w:instrText>ADDIN CSL_CITATION { "citationItems" : [ { "id" : "ITEM-1", "itemData" : { "DOI" : "10.1016/j.mineng.2013.04.008", "ISSN" : "08926875", "author" : [ { "dropping-particle" : "", "family" : "Fonseca", "given" : "Alberto", "non-dropping-particle" : "", "parse-names" : false, "suffix" : "" }, { "dropping-particle" : "", "family" : "McAllister", "given" : "Mary Louise", "non-dropping-particle" : "", "parse-names" : false, "suffix" : "" }, { "dropping-particle" : "", "family" : "Fitzpatrick", "given" : "Patricia", "non-dropping-particle" : "", "parse-names" : false, "suffix" : "" } ], "container-title" : "Minerals Engineering", "id" : "ITEM-1", "issued" : { "date-parts" : [ [ "2013", "6" ] ] }, "page" : "180-186", "publisher" : "Elsevier Ltd", "title" : "Measuring what? A comparative anatomy of five mining sustainability frameworks", "type" : "article-journal", "volume" : "46-47" }, "uris" : [ "http://www.mendeley.com/documents/?uuid=7daefc24-618a-4523-9760-2c9148265937" ] } ], "mendeley" : { "formattedCitation" : "(Fonseca, McAllister, &amp; Fitzpatrick, 2013)", "plainTextFormattedCitation" : "(Fonseca, McAllister, &amp; Fitzpatrick, 2013)", "previouslyFormattedCitation" : "(Fonseca, McAllister, &amp; Fitzpatrick, 2013)" }, "properties" : { "noteIndex" : 0 }, "schema" : "https://github.com/citation-style-language/schema/raw/master/csl-citation.json" }</w:instrText>
      </w:r>
      <w:r w:rsidRPr="000E0F90">
        <w:rPr>
          <w:rFonts w:ascii="Arial" w:hAnsi="Arial" w:cs="Arial"/>
          <w:color w:val="000000" w:themeColor="text1"/>
        </w:rPr>
        <w:fldChar w:fldCharType="separate"/>
      </w:r>
      <w:r w:rsidR="00EE4C21" w:rsidRPr="000E0F90">
        <w:rPr>
          <w:rFonts w:ascii="Arial" w:hAnsi="Arial" w:cs="Arial"/>
          <w:noProof/>
          <w:color w:val="000000" w:themeColor="text1"/>
        </w:rPr>
        <w:t>(Fonseca, McAllister, &amp; Fitzpatrick, 2013)</w:t>
      </w:r>
      <w:r w:rsidRPr="000E0F90">
        <w:rPr>
          <w:rFonts w:ascii="Arial" w:hAnsi="Arial" w:cs="Arial"/>
          <w:color w:val="000000" w:themeColor="text1"/>
        </w:rPr>
        <w:fldChar w:fldCharType="end"/>
      </w:r>
      <w:r w:rsidR="00140A5B" w:rsidRPr="000E0F90">
        <w:rPr>
          <w:rFonts w:ascii="Arial" w:hAnsi="Arial" w:cs="Arial"/>
          <w:color w:val="000000" w:themeColor="text1"/>
        </w:rPr>
        <w:t xml:space="preserve"> </w:t>
      </w:r>
      <w:r w:rsidR="00140A5B" w:rsidRPr="000E0F90">
        <w:rPr>
          <w:rFonts w:ascii="Arial" w:hAnsi="Arial" w:cs="Arial"/>
          <w:color w:val="000000" w:themeColor="text1"/>
        </w:rPr>
        <w:fldChar w:fldCharType="begin" w:fldLock="1"/>
      </w:r>
      <w:r w:rsidR="00140A5B" w:rsidRPr="000E0F90">
        <w:rPr>
          <w:rFonts w:ascii="Arial" w:hAnsi="Arial" w:cs="Arial"/>
          <w:color w:val="000000" w:themeColor="text1"/>
        </w:rPr>
        <w:instrText>ADDIN CSL_CITATION { "citationItems" : [ { "id" : "ITEM-1", "itemData" : { "DOI" : "10.1016/j.jclepro.2009.04.013", "ISSN" : "09596526", "author" : [ { "dropping-particle" : "", "family" : "Worrall", "given" : "Rhys", "non-dropping-particle" : "", "parse-names" : false, "suffix" : "" }, { "dropping-particle" : "", "family" : "Neil", "given" : "David", "non-dropping-particle" : "", "parse-names" : false, "suffix" : "" }, { "dropping-particle" : "", "family" : "Brereton", "given" : "David", "non-dropping-particle" : "", "parse-names" : false, "suffix" : "" }, { "dropping-particle" : "", "family" : "Mulligan", "given" : "David", "non-dropping-particle" : "", "parse-names" : false, "suffix" : "" } ], "container-title" : "Journal of Cleaner Production", "id" : "ITEM-1", "issue" : "16", "issued" : { "date-parts" : [ [ "2009", "11" ] ] }, "page" : "1426-1434", "publisher" : "Elsevier Ltd", "title" : "Towards a sustainability criteria and indicators framework for legacy mine land", "type" : "article-journal", "volume" : "17" }, "uris" : [ "http://www.mendeley.com/documents/?uuid=ab575b20-fa72-4f71-9cda-8dfefeac6b76" ] } ], "mendeley" : { "formattedCitation" : "(Worrall et al., 2009)", "plainTextFormattedCitation" : "(Worrall et al., 2009)", "previouslyFormattedCitation" : "(Worrall et al., 2009)" }, "properties" : { "noteIndex" : 0 }, "schema" : "https://github.com/citation-style-language/schema/raw/master/csl-citation.json" }</w:instrText>
      </w:r>
      <w:r w:rsidR="00140A5B" w:rsidRPr="000E0F90">
        <w:rPr>
          <w:rFonts w:ascii="Arial" w:hAnsi="Arial" w:cs="Arial"/>
          <w:color w:val="000000" w:themeColor="text1"/>
        </w:rPr>
        <w:fldChar w:fldCharType="separate"/>
      </w:r>
      <w:r w:rsidR="00140A5B" w:rsidRPr="000E0F90">
        <w:rPr>
          <w:rFonts w:ascii="Arial" w:hAnsi="Arial" w:cs="Arial"/>
          <w:noProof/>
          <w:color w:val="000000" w:themeColor="text1"/>
        </w:rPr>
        <w:t>(Worrall et al., 2009)</w:t>
      </w:r>
      <w:r w:rsidR="00140A5B" w:rsidRPr="000E0F90">
        <w:rPr>
          <w:rFonts w:ascii="Arial" w:hAnsi="Arial" w:cs="Arial"/>
          <w:color w:val="000000" w:themeColor="text1"/>
        </w:rPr>
        <w:fldChar w:fldCharType="end"/>
      </w:r>
      <w:r w:rsidR="00140A5B" w:rsidRPr="000E0F90">
        <w:rPr>
          <w:rFonts w:ascii="Arial" w:hAnsi="Arial" w:cs="Arial"/>
          <w:color w:val="000000" w:themeColor="text1"/>
        </w:rPr>
        <w:t xml:space="preserve"> </w:t>
      </w:r>
      <w:r w:rsidR="00140A5B" w:rsidRPr="000E0F90">
        <w:rPr>
          <w:rFonts w:ascii="Arial" w:hAnsi="Arial" w:cs="Arial"/>
          <w:color w:val="000000" w:themeColor="text1"/>
        </w:rPr>
        <w:fldChar w:fldCharType="begin" w:fldLock="1"/>
      </w:r>
      <w:r w:rsidR="00140A5B" w:rsidRPr="000E0F90">
        <w:rPr>
          <w:rFonts w:ascii="Arial" w:hAnsi="Arial" w:cs="Arial"/>
          <w:color w:val="000000" w:themeColor="text1"/>
        </w:rPr>
        <w:instrText>ADDIN CSL_CITATION { "citationItems" : [ { "id" : "ITEM-1", "itemData" : { "DOI" : "10.1016/S0959-6526(03)00075-1", "ISBN" : "4414836891", "ISSN" : "09596526", "author" : [ { "dropping-particle" : "", "family" : "Azapagic", "given" : "Adisa", "non-dropping-particle" : "", "parse-names" : false, "suffix" : "" } ], "container-title" : "Journal of Cleaner Production", "id" : "ITEM-1", "issue" : "6", "issued" : { "date-parts" : [ [ "2004", "8" ] ] }, "page" : "639-662", "title" : "Developing a framework for sustainable development indicators for the mining and minerals industry", "type" : "article-journal", "volume" : "12" }, "uris" : [ "http://www.mendeley.com/documents/?uuid=a36976cf-2e0f-4c41-bd50-7ef9e97ed91f" ] } ], "mendeley" : { "formattedCitation" : "(Azapagic, 2004)", "plainTextFormattedCitation" : "(Azapagic, 2004)", "previouslyFormattedCitation" : "(Azapagic, 2004)" }, "properties" : { "noteIndex" : 0 }, "schema" : "https://github.com/citation-style-language/schema/raw/master/csl-citation.json" }</w:instrText>
      </w:r>
      <w:r w:rsidR="00140A5B" w:rsidRPr="000E0F90">
        <w:rPr>
          <w:rFonts w:ascii="Arial" w:hAnsi="Arial" w:cs="Arial"/>
          <w:color w:val="000000" w:themeColor="text1"/>
        </w:rPr>
        <w:fldChar w:fldCharType="separate"/>
      </w:r>
      <w:r w:rsidR="00140A5B" w:rsidRPr="000E0F90">
        <w:rPr>
          <w:rFonts w:ascii="Arial" w:hAnsi="Arial" w:cs="Arial"/>
          <w:noProof/>
          <w:color w:val="000000" w:themeColor="text1"/>
        </w:rPr>
        <w:t>(Azapagic, 2004)</w:t>
      </w:r>
      <w:r w:rsidR="00140A5B" w:rsidRPr="000E0F90">
        <w:rPr>
          <w:rFonts w:ascii="Arial" w:hAnsi="Arial" w:cs="Arial"/>
          <w:color w:val="000000" w:themeColor="text1"/>
        </w:rPr>
        <w:fldChar w:fldCharType="end"/>
      </w:r>
      <w:r w:rsidR="00140A5B" w:rsidRPr="000E0F90">
        <w:rPr>
          <w:rFonts w:ascii="Arial" w:hAnsi="Arial" w:cs="Arial"/>
          <w:color w:val="000000" w:themeColor="text1"/>
        </w:rPr>
        <w:t>.</w:t>
      </w:r>
      <w:r w:rsidR="00CF2AE6" w:rsidRPr="000E0F90">
        <w:rPr>
          <w:rFonts w:ascii="Arial" w:hAnsi="Arial" w:cs="Arial"/>
          <w:color w:val="000000" w:themeColor="text1"/>
        </w:rPr>
        <w:t xml:space="preserve"> Destacando la creación del ICMM (ICMM, </w:t>
      </w:r>
      <w:r w:rsidR="00CF2AE6" w:rsidRPr="000E0F90">
        <w:rPr>
          <w:rFonts w:ascii="Arial" w:hAnsi="Arial" w:cs="Arial"/>
          <w:i/>
          <w:color w:val="000000" w:themeColor="text1"/>
        </w:rPr>
        <w:t>International Council on Mining and Metals</w:t>
      </w:r>
      <w:r w:rsidR="00CF2AE6" w:rsidRPr="000E0F90">
        <w:rPr>
          <w:rFonts w:ascii="Arial" w:hAnsi="Arial" w:cs="Arial"/>
          <w:color w:val="000000" w:themeColor="text1"/>
        </w:rPr>
        <w:t xml:space="preserve">), representante de la principales compañías mineras del mundo, </w:t>
      </w:r>
      <w:r w:rsidR="00EC4715" w:rsidRPr="000E0F90">
        <w:rPr>
          <w:rFonts w:ascii="Arial" w:hAnsi="Arial" w:cs="Arial"/>
          <w:color w:val="000000" w:themeColor="text1"/>
        </w:rPr>
        <w:t>el cual elaboró</w:t>
      </w:r>
      <w:r w:rsidR="00CF2AE6" w:rsidRPr="000E0F90">
        <w:rPr>
          <w:rFonts w:ascii="Arial" w:hAnsi="Arial" w:cs="Arial"/>
          <w:color w:val="000000" w:themeColor="text1"/>
        </w:rPr>
        <w:t xml:space="preserve"> principios de desarrollo s</w:t>
      </w:r>
      <w:r w:rsidR="009D399A" w:rsidRPr="000E0F90">
        <w:rPr>
          <w:rFonts w:ascii="Arial" w:hAnsi="Arial" w:cs="Arial"/>
          <w:color w:val="000000" w:themeColor="text1"/>
        </w:rPr>
        <w:t>ostenible</w:t>
      </w:r>
      <w:r w:rsidR="00CF2AE6" w:rsidRPr="000E0F90">
        <w:rPr>
          <w:rFonts w:ascii="Arial" w:hAnsi="Arial" w:cs="Arial"/>
          <w:color w:val="000000" w:themeColor="text1"/>
        </w:rPr>
        <w:t xml:space="preserve"> </w:t>
      </w:r>
      <w:r w:rsidR="008D0261" w:rsidRPr="000E0F90">
        <w:rPr>
          <w:rFonts w:ascii="Arial" w:hAnsi="Arial" w:cs="Arial"/>
          <w:color w:val="000000" w:themeColor="text1"/>
        </w:rPr>
        <w:t xml:space="preserve">para </w:t>
      </w:r>
      <w:r w:rsidR="00362DE3" w:rsidRPr="000E0F90">
        <w:rPr>
          <w:rFonts w:ascii="Arial" w:hAnsi="Arial" w:cs="Arial"/>
          <w:color w:val="000000" w:themeColor="text1"/>
        </w:rPr>
        <w:t>la industria</w:t>
      </w:r>
      <w:r w:rsidR="00CF11BB" w:rsidRPr="000E0F90">
        <w:rPr>
          <w:rFonts w:ascii="Arial" w:hAnsi="Arial" w:cs="Arial"/>
          <w:color w:val="000000" w:themeColor="text1"/>
        </w:rPr>
        <w:t xml:space="preserve"> minera.</w:t>
      </w:r>
      <w:r w:rsidR="00D94A61" w:rsidRPr="000E0F90">
        <w:rPr>
          <w:rFonts w:ascii="Arial" w:hAnsi="Arial" w:cs="Arial"/>
          <w:color w:val="000000" w:themeColor="text1"/>
        </w:rPr>
        <w:t xml:space="preserve"> </w:t>
      </w:r>
    </w:p>
    <w:p w:rsidR="00F32DAF" w:rsidRPr="000E0F90" w:rsidRDefault="00F32DAF" w:rsidP="002B538F">
      <w:pPr>
        <w:spacing w:before="240" w:after="0" w:line="360" w:lineRule="auto"/>
        <w:rPr>
          <w:rFonts w:ascii="Arial" w:hAnsi="Arial" w:cs="Arial"/>
          <w:color w:val="000000" w:themeColor="text1"/>
        </w:rPr>
      </w:pPr>
      <w:r w:rsidRPr="000E0F90">
        <w:rPr>
          <w:rFonts w:ascii="Arial" w:hAnsi="Arial" w:cs="Arial"/>
          <w:color w:val="000000" w:themeColor="text1"/>
        </w:rPr>
        <w:t>De igual forma,</w:t>
      </w:r>
      <w:r w:rsidR="00EC4715" w:rsidRPr="000E0F90">
        <w:rPr>
          <w:rFonts w:ascii="Arial" w:hAnsi="Arial" w:cs="Arial"/>
          <w:color w:val="000000" w:themeColor="text1"/>
        </w:rPr>
        <w:t xml:space="preserve"> países han abordado la s</w:t>
      </w:r>
      <w:r w:rsidR="009D399A" w:rsidRPr="000E0F90">
        <w:rPr>
          <w:rFonts w:ascii="Arial" w:hAnsi="Arial" w:cs="Arial"/>
          <w:color w:val="000000" w:themeColor="text1"/>
        </w:rPr>
        <w:t>ostenibilidad</w:t>
      </w:r>
      <w:r w:rsidRPr="000E0F90">
        <w:rPr>
          <w:rFonts w:ascii="Arial" w:hAnsi="Arial" w:cs="Arial"/>
          <w:color w:val="000000" w:themeColor="text1"/>
        </w:rPr>
        <w:t xml:space="preserve"> de la industria a tra</w:t>
      </w:r>
      <w:r w:rsidR="00D94A61" w:rsidRPr="000E0F90">
        <w:rPr>
          <w:rFonts w:ascii="Arial" w:hAnsi="Arial" w:cs="Arial"/>
          <w:color w:val="000000" w:themeColor="text1"/>
        </w:rPr>
        <w:t>vés del desarrollo de diversos marcos</w:t>
      </w:r>
      <w:r w:rsidRPr="000E0F90">
        <w:rPr>
          <w:rFonts w:ascii="Arial" w:hAnsi="Arial" w:cs="Arial"/>
          <w:color w:val="000000" w:themeColor="text1"/>
        </w:rPr>
        <w:t xml:space="preserve"> como el caso de Canadá, </w:t>
      </w:r>
      <w:r w:rsidR="00816854" w:rsidRPr="000E0F90">
        <w:rPr>
          <w:rFonts w:ascii="Arial" w:hAnsi="Arial" w:cs="Arial"/>
          <w:color w:val="000000" w:themeColor="text1"/>
        </w:rPr>
        <w:t xml:space="preserve">con </w:t>
      </w:r>
      <w:r w:rsidRPr="000E0F90">
        <w:rPr>
          <w:rFonts w:ascii="Arial" w:hAnsi="Arial" w:cs="Arial"/>
          <w:color w:val="000000" w:themeColor="text1"/>
        </w:rPr>
        <w:t xml:space="preserve">la Asociación de Minería en Canadá (MAC) con el marco </w:t>
      </w:r>
      <w:r w:rsidRPr="000E0F90">
        <w:rPr>
          <w:rFonts w:ascii="Arial" w:hAnsi="Arial" w:cs="Arial"/>
          <w:i/>
          <w:color w:val="000000" w:themeColor="text1"/>
        </w:rPr>
        <w:t>Towards sustainable mining</w:t>
      </w:r>
      <w:r w:rsidRPr="000E0F90">
        <w:rPr>
          <w:rFonts w:ascii="Arial" w:hAnsi="Arial" w:cs="Arial"/>
          <w:color w:val="000000" w:themeColor="text1"/>
        </w:rPr>
        <w:t xml:space="preserve"> (TSM); Estados Unidos, con el enfoque </w:t>
      </w:r>
      <w:r w:rsidR="009E780F" w:rsidRPr="000E0F90">
        <w:rPr>
          <w:rFonts w:ascii="Arial" w:hAnsi="Arial" w:cs="Arial"/>
          <w:i/>
          <w:color w:val="000000" w:themeColor="text1"/>
        </w:rPr>
        <w:t>Seven Q</w:t>
      </w:r>
      <w:r w:rsidRPr="000E0F90">
        <w:rPr>
          <w:rFonts w:ascii="Arial" w:hAnsi="Arial" w:cs="Arial"/>
          <w:i/>
          <w:color w:val="000000" w:themeColor="text1"/>
        </w:rPr>
        <w:t xml:space="preserve">uestions to </w:t>
      </w:r>
      <w:r w:rsidR="009E780F" w:rsidRPr="000E0F90">
        <w:rPr>
          <w:rFonts w:ascii="Arial" w:hAnsi="Arial" w:cs="Arial"/>
          <w:i/>
          <w:color w:val="000000" w:themeColor="text1"/>
        </w:rPr>
        <w:t>S</w:t>
      </w:r>
      <w:r w:rsidRPr="000E0F90">
        <w:rPr>
          <w:rFonts w:ascii="Arial" w:hAnsi="Arial" w:cs="Arial"/>
          <w:i/>
          <w:color w:val="000000" w:themeColor="text1"/>
        </w:rPr>
        <w:t>ustainability</w:t>
      </w:r>
      <w:r w:rsidRPr="000E0F90">
        <w:rPr>
          <w:rFonts w:ascii="Arial" w:hAnsi="Arial" w:cs="Arial"/>
          <w:color w:val="000000" w:themeColor="text1"/>
        </w:rPr>
        <w:t xml:space="preserve"> (7QS) y Australia, bajo el enfoque </w:t>
      </w:r>
      <w:r w:rsidRPr="000E0F90">
        <w:rPr>
          <w:rFonts w:ascii="Arial" w:hAnsi="Arial" w:cs="Arial"/>
          <w:i/>
          <w:color w:val="000000" w:themeColor="text1"/>
        </w:rPr>
        <w:t>Enduring Value-The Australian Minerals Industry Framework for SD</w:t>
      </w:r>
      <w:r w:rsidRPr="000E0F90">
        <w:rPr>
          <w:rFonts w:ascii="Arial" w:hAnsi="Arial" w:cs="Arial"/>
          <w:color w:val="000000" w:themeColor="text1"/>
        </w:rPr>
        <w:t xml:space="preserve">, los cuales </w:t>
      </w:r>
      <w:r w:rsidR="00F51545">
        <w:rPr>
          <w:rFonts w:ascii="Arial" w:hAnsi="Arial" w:cs="Arial"/>
          <w:color w:val="000000" w:themeColor="text1"/>
        </w:rPr>
        <w:t>consideran</w:t>
      </w:r>
      <w:r w:rsidRPr="000E0F90">
        <w:rPr>
          <w:rFonts w:ascii="Arial" w:hAnsi="Arial" w:cs="Arial"/>
          <w:color w:val="000000" w:themeColor="text1"/>
        </w:rPr>
        <w:t xml:space="preserve"> diversas áreas de la industria minera</w:t>
      </w:r>
      <w:r w:rsidR="00362DE3" w:rsidRPr="000E0F90">
        <w:rPr>
          <w:rFonts w:ascii="Arial" w:hAnsi="Arial" w:cs="Arial"/>
          <w:color w:val="000000" w:themeColor="text1"/>
        </w:rPr>
        <w:t>, como</w:t>
      </w:r>
      <w:r w:rsidRPr="000E0F90">
        <w:rPr>
          <w:rFonts w:ascii="Arial" w:hAnsi="Arial" w:cs="Arial"/>
          <w:color w:val="000000" w:themeColor="text1"/>
        </w:rPr>
        <w:t xml:space="preserve"> </w:t>
      </w:r>
      <w:r w:rsidR="00F51545">
        <w:rPr>
          <w:rFonts w:ascii="Arial" w:hAnsi="Arial" w:cs="Arial"/>
          <w:color w:val="000000" w:themeColor="text1"/>
        </w:rPr>
        <w:t>la</w:t>
      </w:r>
      <w:r w:rsidRPr="000E0F90">
        <w:rPr>
          <w:rFonts w:ascii="Arial" w:hAnsi="Arial" w:cs="Arial"/>
          <w:color w:val="000000" w:themeColor="text1"/>
        </w:rPr>
        <w:t xml:space="preserve"> relación con las comunidades, medioambiente, aspe</w:t>
      </w:r>
      <w:r w:rsidR="006A73EC" w:rsidRPr="000E0F90">
        <w:rPr>
          <w:rFonts w:ascii="Arial" w:hAnsi="Arial" w:cs="Arial"/>
          <w:color w:val="000000" w:themeColor="text1"/>
        </w:rPr>
        <w:t>ctos sociales, laborales, efici</w:t>
      </w:r>
      <w:r w:rsidRPr="000E0F90">
        <w:rPr>
          <w:rFonts w:ascii="Arial" w:hAnsi="Arial" w:cs="Arial"/>
          <w:color w:val="000000" w:themeColor="text1"/>
        </w:rPr>
        <w:t xml:space="preserve">encia, </w:t>
      </w:r>
      <w:r w:rsidR="001C61B7" w:rsidRPr="000E0F90">
        <w:rPr>
          <w:rFonts w:ascii="Arial" w:hAnsi="Arial" w:cs="Arial"/>
          <w:color w:val="000000" w:themeColor="text1"/>
        </w:rPr>
        <w:t>rentabilidad</w:t>
      </w:r>
      <w:r w:rsidR="00F51545">
        <w:rPr>
          <w:rFonts w:ascii="Arial" w:hAnsi="Arial" w:cs="Arial"/>
          <w:color w:val="000000" w:themeColor="text1"/>
        </w:rPr>
        <w:t>.</w:t>
      </w:r>
    </w:p>
    <w:p w:rsidR="00802886" w:rsidRPr="000E0F90" w:rsidRDefault="008C1138" w:rsidP="002B538F">
      <w:pPr>
        <w:spacing w:before="240" w:line="360" w:lineRule="auto"/>
        <w:rPr>
          <w:rFonts w:ascii="Arial" w:hAnsi="Arial" w:cs="Arial"/>
          <w:color w:val="000000" w:themeColor="text1"/>
        </w:rPr>
      </w:pPr>
      <w:r w:rsidRPr="000E0F90">
        <w:rPr>
          <w:rFonts w:ascii="Arial" w:hAnsi="Arial" w:cs="Arial"/>
          <w:color w:val="000000" w:themeColor="text1"/>
        </w:rPr>
        <w:t>Esta</w:t>
      </w:r>
      <w:r w:rsidR="006F3BBD" w:rsidRPr="000E0F90">
        <w:rPr>
          <w:rFonts w:ascii="Arial" w:hAnsi="Arial" w:cs="Arial"/>
          <w:color w:val="000000" w:themeColor="text1"/>
        </w:rPr>
        <w:t>s</w:t>
      </w:r>
      <w:r w:rsidRPr="000E0F90">
        <w:rPr>
          <w:rFonts w:ascii="Arial" w:hAnsi="Arial" w:cs="Arial"/>
          <w:color w:val="000000" w:themeColor="text1"/>
        </w:rPr>
        <w:t xml:space="preserve"> iniciativa</w:t>
      </w:r>
      <w:r w:rsidR="006F3BBD" w:rsidRPr="000E0F90">
        <w:rPr>
          <w:rFonts w:ascii="Arial" w:hAnsi="Arial" w:cs="Arial"/>
          <w:color w:val="000000" w:themeColor="text1"/>
        </w:rPr>
        <w:t>s</w:t>
      </w:r>
      <w:r w:rsidR="00F673F2" w:rsidRPr="000E0F90">
        <w:rPr>
          <w:rFonts w:ascii="Arial" w:hAnsi="Arial" w:cs="Arial"/>
          <w:color w:val="000000" w:themeColor="text1"/>
        </w:rPr>
        <w:t xml:space="preserve"> ha</w:t>
      </w:r>
      <w:r w:rsidRPr="000E0F90">
        <w:rPr>
          <w:rFonts w:ascii="Arial" w:hAnsi="Arial" w:cs="Arial"/>
          <w:color w:val="000000" w:themeColor="text1"/>
        </w:rPr>
        <w:t xml:space="preserve"> propiciado la evolución del concepto de minería s</w:t>
      </w:r>
      <w:r w:rsidR="009D399A" w:rsidRPr="000E0F90">
        <w:rPr>
          <w:rFonts w:ascii="Arial" w:hAnsi="Arial" w:cs="Arial"/>
          <w:color w:val="000000" w:themeColor="text1"/>
        </w:rPr>
        <w:t xml:space="preserve">ostenible </w:t>
      </w:r>
      <w:r w:rsidRPr="000E0F90">
        <w:rPr>
          <w:rFonts w:ascii="Arial" w:hAnsi="Arial" w:cs="Arial"/>
          <w:color w:val="000000" w:themeColor="text1"/>
        </w:rPr>
        <w:t>en la industria, incorporando progresivamente los aspectos sociales y medioambientales, elaborando principios y publicando el desempeño en relación a</w:t>
      </w:r>
      <w:r w:rsidR="009D399A" w:rsidRPr="000E0F90">
        <w:rPr>
          <w:rFonts w:ascii="Arial" w:hAnsi="Arial" w:cs="Arial"/>
          <w:color w:val="000000" w:themeColor="text1"/>
        </w:rPr>
        <w:t>l desarrollo sostenible</w:t>
      </w:r>
      <w:r w:rsidRPr="000E0F90">
        <w:rPr>
          <w:rFonts w:ascii="Arial" w:hAnsi="Arial" w:cs="Arial"/>
          <w:color w:val="000000" w:themeColor="text1"/>
        </w:rPr>
        <w:t>, permitiendo la homogenización d</w:t>
      </w:r>
      <w:r w:rsidR="0046313A" w:rsidRPr="000E0F90">
        <w:rPr>
          <w:rFonts w:ascii="Arial" w:hAnsi="Arial" w:cs="Arial"/>
          <w:color w:val="000000" w:themeColor="text1"/>
        </w:rPr>
        <w:t>e las mayores compañías mineras</w:t>
      </w:r>
      <w:r w:rsidRPr="000E0F90">
        <w:rPr>
          <w:rFonts w:ascii="Arial" w:hAnsi="Arial" w:cs="Arial"/>
          <w:color w:val="000000" w:themeColor="text1"/>
        </w:rPr>
        <w:t xml:space="preserve">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"author" : [ { "dropping-particle" : "", "family" : "Amezaga", "given" : "Jaime M", "non-dropping-particle" : "", "parse-names" : false, "suffix" : "" }, { "dropping-particle" : "", "family" : "Younger", "given" : "Paul L", "non-dropping-particle" : "", "parse-names" : false, "suffix" : "" }, { "dropping-particle" : "", "family" : "U", "given" : "Ricardo Oyarz", "non-dropping-particle" : "", "parse-names" : false, "suffix" : "" }, { "dropping-particle" : "", "family" : "Mayor", "given" : "Universidad", "non-dropping-particle" : "", "parse-names" : false, "suffix" : "" }, { "dropping-particle" : "", "family" : "Andre", "given" : "De San", "non-dropping-particle" : "", "parse-names" : false, "suffix" : "" } ], "id" : "ITEM-1", "issued" : { "date-parts" : [ [ "2011" ] ] }, "page" : "21-26", "title" : "A Rich Vein ? Mining and the Pursuit of Sustainability \u2020", "type" : "article-journal" }, "uris" : [ "http://www.mendeley.com/documents/?uuid=23d694c8-9bfc-4f5f-a048-d902336bb8e3" ] } ], "mendeley" : { "formattedCitation" : "(Amezaga et al., 2011)", "plainTextFormattedCitation" : "(Amezaga et al., 2011)", "previouslyFormattedCitation" : "(Amezaga et al., 2011)"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(Amezaga et al., 2011)</w:t>
      </w:r>
      <w:r w:rsidRPr="000E0F90">
        <w:rPr>
          <w:rFonts w:ascii="Arial" w:hAnsi="Arial" w:cs="Arial"/>
          <w:color w:val="000000" w:themeColor="text1"/>
        </w:rPr>
        <w:fldChar w:fldCharType="end"/>
      </w:r>
      <w:r w:rsidRPr="000E0F90">
        <w:rPr>
          <w:rFonts w:ascii="Arial" w:hAnsi="Arial" w:cs="Arial"/>
          <w:color w:val="000000" w:themeColor="text1"/>
        </w:rPr>
        <w:t>. Lo cual señala una adaptación de la industria minera en conjunto con la sociedad</w:t>
      </w:r>
      <w:r w:rsidR="005A48F2" w:rsidRPr="000E0F90">
        <w:rPr>
          <w:rFonts w:ascii="Arial" w:hAnsi="Arial" w:cs="Arial"/>
          <w:color w:val="000000" w:themeColor="text1"/>
        </w:rPr>
        <w:t xml:space="preserve">, pasando de una visión de la </w:t>
      </w:r>
      <w:r w:rsidR="009D399A" w:rsidRPr="000E0F90">
        <w:rPr>
          <w:rFonts w:ascii="Arial" w:hAnsi="Arial" w:cs="Arial"/>
          <w:color w:val="000000" w:themeColor="text1"/>
        </w:rPr>
        <w:t>sostenibilidad</w:t>
      </w:r>
      <w:r w:rsidR="005A48F2" w:rsidRPr="000E0F90">
        <w:rPr>
          <w:rFonts w:ascii="Arial" w:hAnsi="Arial" w:cs="Arial"/>
          <w:color w:val="000000" w:themeColor="text1"/>
        </w:rPr>
        <w:t xml:space="preserve"> de la mina a la s</w:t>
      </w:r>
      <w:r w:rsidR="009D399A" w:rsidRPr="000E0F90">
        <w:rPr>
          <w:rFonts w:ascii="Arial" w:hAnsi="Arial" w:cs="Arial"/>
          <w:color w:val="000000" w:themeColor="text1"/>
        </w:rPr>
        <w:t>ostenibilidad</w:t>
      </w:r>
      <w:r w:rsidR="005A48F2" w:rsidRPr="000E0F90">
        <w:rPr>
          <w:rFonts w:ascii="Arial" w:hAnsi="Arial" w:cs="Arial"/>
          <w:color w:val="000000" w:themeColor="text1"/>
        </w:rPr>
        <w:t xml:space="preserve"> del sector minero </w:t>
      </w:r>
      <w:r w:rsidR="005A48F2" w:rsidRPr="000E0F90">
        <w:rPr>
          <w:rFonts w:ascii="Arial" w:hAnsi="Arial" w:cs="Arial"/>
          <w:color w:val="000000" w:themeColor="text1"/>
        </w:rPr>
        <w:fldChar w:fldCharType="begin" w:fldLock="1"/>
      </w:r>
      <w:r w:rsidR="005A48F2" w:rsidRPr="000E0F90">
        <w:rPr>
          <w:rFonts w:ascii="Arial" w:hAnsi="Arial" w:cs="Arial"/>
          <w:color w:val="000000" w:themeColor="text1"/>
        </w:rPr>
        <w:instrText>ADDIN CSL_CITATION { "citationItems" : [ { "id" : "ITEM-1", "itemData" : { "DOI" : "10.1016/j.resourpol.2009.12.001", "ISSN" : "03014207", "author" : [ { "dropping-particle" : "", "family" : "Mudd", "given" : "Gavin M.", "non-dropping-particle" : "", "parse-names" : false, "suffix" : "" } ], "container-title" : "Resources Policy", "id" : "ITEM-1", "issue" : "2", "issued" : { "date-parts" : [ [ "2010", "6" ] ] }, "page" : "98-115", "publisher" : "Elsevier", "title" : "The Environmental sustainability of mining in Australia: key mega-trends and looming constraints", "type" : "article-journal", "volume" : "35" }, "uris" : [ "http://www.mendeley.com/documents/?uuid=ff129118-ca05-46c3-9832-36feaf335780" ] } ], "mendeley" : { "formattedCitation" : "(Gavin M. Mudd, 2010)", "plainTextFormattedCitation" : "(Gavin M. Mudd, 2010)", "previouslyFormattedCitation" : "(Gavin M. Mudd, 2010)" }, "properties" : { "noteIndex" : 0 }, "schema" : "https://github.com/citation-style-language/schema/raw/master/csl-citation.json" }</w:instrText>
      </w:r>
      <w:r w:rsidR="005A48F2" w:rsidRPr="000E0F90">
        <w:rPr>
          <w:rFonts w:ascii="Arial" w:hAnsi="Arial" w:cs="Arial"/>
          <w:color w:val="000000" w:themeColor="text1"/>
        </w:rPr>
        <w:fldChar w:fldCharType="separate"/>
      </w:r>
      <w:r w:rsidR="005A48F2" w:rsidRPr="000E0F90">
        <w:rPr>
          <w:rFonts w:ascii="Arial" w:hAnsi="Arial" w:cs="Arial"/>
          <w:noProof/>
          <w:color w:val="000000" w:themeColor="text1"/>
        </w:rPr>
        <w:t>(Gavin M. Mudd, 2010)</w:t>
      </w:r>
      <w:r w:rsidR="005A48F2" w:rsidRPr="000E0F90">
        <w:rPr>
          <w:rFonts w:ascii="Arial" w:hAnsi="Arial" w:cs="Arial"/>
          <w:color w:val="000000" w:themeColor="text1"/>
        </w:rPr>
        <w:fldChar w:fldCharType="end"/>
      </w:r>
      <w:r w:rsidR="005A48F2" w:rsidRPr="000E0F90">
        <w:rPr>
          <w:rFonts w:ascii="Arial" w:hAnsi="Arial" w:cs="Arial"/>
          <w:color w:val="000000" w:themeColor="text1"/>
        </w:rPr>
        <w:t xml:space="preserve">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"10.1111/j.1477-8947.1999.tb00919.x", "ISSN" : "01650203", "author" : [ { "dropping-particle" : "", "family" : "Labonne", "given" : "B\u00e9atrice", "non-dropping-particle" : "", "parse-names" : false, "suffix" : "" } ], "container-title" : "Natural Resources Forum", "id" : "ITEM-1", "issue" : "4", "issued" : { "date-parts" : [ [ "1999", "11" ] ] }, "page" : "315-322", "title" : "The mining industry and the community: joining forces for sustainable social development", "type" : "article-journal", "volume" : "23" }, "uris" : [ "http://www.mendeley.com/documents/?uuid=9175082f-f301-49c9-8327-23ac73cb236c" ] } ], "mendeley" : { "formattedCitation" : "(Labonne, 1999)", "plainTextFormattedCitation" : "(Labonne, 1999)", "previouslyFormattedCitation" : "(Labonne, 1999)"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(Labonne, 1999)</w:t>
      </w:r>
      <w:r w:rsidRPr="000E0F90">
        <w:rPr>
          <w:rFonts w:ascii="Arial" w:hAnsi="Arial" w:cs="Arial"/>
          <w:color w:val="000000" w:themeColor="text1"/>
        </w:rPr>
        <w:fldChar w:fldCharType="end"/>
      </w:r>
      <w:r w:rsidRPr="000E0F90">
        <w:rPr>
          <w:rFonts w:ascii="Arial" w:hAnsi="Arial" w:cs="Arial"/>
          <w:color w:val="000000" w:themeColor="text1"/>
        </w:rPr>
        <w:t xml:space="preserve">. </w:t>
      </w:r>
    </w:p>
    <w:p w:rsidR="00802886" w:rsidRPr="000E0F90" w:rsidRDefault="005A48F2" w:rsidP="002B538F">
      <w:pPr>
        <w:spacing w:line="360" w:lineRule="auto"/>
        <w:rPr>
          <w:rFonts w:ascii="Arial" w:hAnsi="Arial" w:cs="Arial"/>
          <w:color w:val="000000" w:themeColor="text1"/>
        </w:rPr>
      </w:pPr>
      <w:r w:rsidRPr="000E0F90">
        <w:rPr>
          <w:rFonts w:ascii="Arial" w:hAnsi="Arial" w:cs="Arial"/>
          <w:color w:val="000000" w:themeColor="text1"/>
        </w:rPr>
        <w:t>Sin em</w:t>
      </w:r>
      <w:r w:rsidR="00177D71" w:rsidRPr="000E0F90">
        <w:rPr>
          <w:rFonts w:ascii="Arial" w:hAnsi="Arial" w:cs="Arial"/>
          <w:color w:val="000000" w:themeColor="text1"/>
        </w:rPr>
        <w:t>b</w:t>
      </w:r>
      <w:r w:rsidRPr="000E0F90">
        <w:rPr>
          <w:rFonts w:ascii="Arial" w:hAnsi="Arial" w:cs="Arial"/>
          <w:color w:val="000000" w:themeColor="text1"/>
        </w:rPr>
        <w:t xml:space="preserve">argo, </w:t>
      </w:r>
      <w:r w:rsidR="00802886" w:rsidRPr="000E0F90">
        <w:rPr>
          <w:rFonts w:ascii="Arial" w:hAnsi="Arial" w:cs="Arial"/>
          <w:color w:val="000000" w:themeColor="text1"/>
        </w:rPr>
        <w:t>en la prá</w:t>
      </w:r>
      <w:r w:rsidR="00F9360E" w:rsidRPr="000E0F90">
        <w:rPr>
          <w:rFonts w:ascii="Arial" w:hAnsi="Arial" w:cs="Arial"/>
          <w:color w:val="000000" w:themeColor="text1"/>
        </w:rPr>
        <w:t>ctica, la perspectiva de s</w:t>
      </w:r>
      <w:r w:rsidR="009D399A" w:rsidRPr="000E0F90">
        <w:rPr>
          <w:rFonts w:ascii="Arial" w:hAnsi="Arial" w:cs="Arial"/>
          <w:color w:val="000000" w:themeColor="text1"/>
        </w:rPr>
        <w:t>ostenibilidad</w:t>
      </w:r>
      <w:r w:rsidR="00545D54" w:rsidRPr="000E0F90">
        <w:rPr>
          <w:rFonts w:ascii="Arial" w:hAnsi="Arial" w:cs="Arial"/>
          <w:color w:val="000000" w:themeColor="text1"/>
        </w:rPr>
        <w:t xml:space="preserve"> </w:t>
      </w:r>
      <w:r w:rsidR="009C196D" w:rsidRPr="000E0F90">
        <w:rPr>
          <w:rFonts w:ascii="Arial" w:hAnsi="Arial" w:cs="Arial"/>
          <w:color w:val="000000" w:themeColor="text1"/>
        </w:rPr>
        <w:t>de la industria</w:t>
      </w:r>
      <w:r w:rsidR="00545D54" w:rsidRPr="000E0F90">
        <w:rPr>
          <w:rFonts w:ascii="Arial" w:hAnsi="Arial" w:cs="Arial"/>
          <w:color w:val="000000" w:themeColor="text1"/>
        </w:rPr>
        <w:t xml:space="preserve">, se </w:t>
      </w:r>
      <w:r w:rsidR="001A74D1" w:rsidRPr="000E0F90">
        <w:rPr>
          <w:rFonts w:ascii="Arial" w:hAnsi="Arial" w:cs="Arial"/>
          <w:color w:val="000000" w:themeColor="text1"/>
        </w:rPr>
        <w:t xml:space="preserve">enfoca </w:t>
      </w:r>
      <w:r w:rsidR="00816854" w:rsidRPr="000E0F90">
        <w:rPr>
          <w:rFonts w:ascii="Arial" w:hAnsi="Arial" w:cs="Arial"/>
          <w:color w:val="000000" w:themeColor="text1"/>
        </w:rPr>
        <w:t xml:space="preserve">principalmente </w:t>
      </w:r>
      <w:r w:rsidR="00802886" w:rsidRPr="000E0F90">
        <w:rPr>
          <w:rFonts w:ascii="Arial" w:hAnsi="Arial" w:cs="Arial"/>
          <w:color w:val="000000" w:themeColor="text1"/>
        </w:rPr>
        <w:t>hacia</w:t>
      </w:r>
      <w:r w:rsidR="001A74D1" w:rsidRPr="000E0F90">
        <w:rPr>
          <w:rFonts w:ascii="Arial" w:hAnsi="Arial" w:cs="Arial"/>
          <w:color w:val="000000" w:themeColor="text1"/>
        </w:rPr>
        <w:t xml:space="preserve"> la </w:t>
      </w:r>
      <w:r w:rsidR="009D399A" w:rsidRPr="000E0F90">
        <w:rPr>
          <w:rFonts w:ascii="Arial" w:hAnsi="Arial" w:cs="Arial"/>
          <w:color w:val="000000" w:themeColor="text1"/>
        </w:rPr>
        <w:t>sostenibilidad</w:t>
      </w:r>
      <w:r w:rsidR="001A74D1" w:rsidRPr="000E0F90">
        <w:rPr>
          <w:rFonts w:ascii="Arial" w:hAnsi="Arial" w:cs="Arial"/>
          <w:color w:val="000000" w:themeColor="text1"/>
        </w:rPr>
        <w:t xml:space="preserve"> del negocio</w:t>
      </w:r>
      <w:r w:rsidR="00177D71" w:rsidRPr="000E0F90">
        <w:rPr>
          <w:rFonts w:ascii="Arial" w:hAnsi="Arial" w:cs="Arial"/>
          <w:color w:val="000000" w:themeColor="text1"/>
        </w:rPr>
        <w:t xml:space="preserve">, </w:t>
      </w:r>
      <w:r w:rsidR="00802886" w:rsidRPr="000E0F90">
        <w:rPr>
          <w:rFonts w:ascii="Arial" w:hAnsi="Arial" w:cs="Arial"/>
          <w:color w:val="000000" w:themeColor="text1"/>
        </w:rPr>
        <w:t xml:space="preserve">lo que </w:t>
      </w:r>
      <w:r w:rsidR="00362DE3" w:rsidRPr="000E0F90">
        <w:rPr>
          <w:rFonts w:ascii="Arial" w:hAnsi="Arial" w:cs="Arial"/>
          <w:color w:val="000000" w:themeColor="text1"/>
        </w:rPr>
        <w:t>señala</w:t>
      </w:r>
      <w:r w:rsidR="00802886" w:rsidRPr="000E0F90">
        <w:rPr>
          <w:rFonts w:ascii="Arial" w:hAnsi="Arial" w:cs="Arial"/>
          <w:color w:val="000000" w:themeColor="text1"/>
        </w:rPr>
        <w:t xml:space="preserve"> </w:t>
      </w:r>
      <w:r w:rsidR="009C196D" w:rsidRPr="000E0F90">
        <w:rPr>
          <w:rFonts w:ascii="Arial" w:hAnsi="Arial" w:cs="Arial"/>
          <w:color w:val="000000" w:themeColor="text1"/>
        </w:rPr>
        <w:t>que</w:t>
      </w:r>
      <w:r w:rsidRPr="000E0F90">
        <w:rPr>
          <w:rFonts w:ascii="Arial" w:hAnsi="Arial" w:cs="Arial"/>
          <w:color w:val="000000" w:themeColor="text1"/>
        </w:rPr>
        <w:t xml:space="preserve"> las compañías </w:t>
      </w:r>
      <w:r w:rsidR="00802886" w:rsidRPr="000E0F90">
        <w:rPr>
          <w:rFonts w:ascii="Arial" w:hAnsi="Arial" w:cs="Arial"/>
          <w:color w:val="000000" w:themeColor="text1"/>
        </w:rPr>
        <w:t xml:space="preserve">buscan </w:t>
      </w:r>
      <w:r w:rsidRPr="000E0F90">
        <w:rPr>
          <w:rFonts w:ascii="Arial" w:hAnsi="Arial" w:cs="Arial"/>
          <w:color w:val="000000" w:themeColor="text1"/>
        </w:rPr>
        <w:t>mejorar sus desempeñ</w:t>
      </w:r>
      <w:r w:rsidR="00F45ADA" w:rsidRPr="000E0F90">
        <w:rPr>
          <w:rFonts w:ascii="Arial" w:hAnsi="Arial" w:cs="Arial"/>
          <w:color w:val="000000" w:themeColor="text1"/>
        </w:rPr>
        <w:t xml:space="preserve">os sociales y medioambientales </w:t>
      </w:r>
      <w:r w:rsidRPr="000E0F90">
        <w:rPr>
          <w:rFonts w:ascii="Arial" w:hAnsi="Arial" w:cs="Arial"/>
          <w:color w:val="000000" w:themeColor="text1"/>
        </w:rPr>
        <w:t xml:space="preserve">desde la perspectiva </w:t>
      </w:r>
      <w:r w:rsidR="00F51545">
        <w:rPr>
          <w:rFonts w:ascii="Arial" w:hAnsi="Arial" w:cs="Arial"/>
          <w:color w:val="000000" w:themeColor="text1"/>
        </w:rPr>
        <w:lastRenderedPageBreak/>
        <w:t>empresarial</w:t>
      </w:r>
      <w:r w:rsidRPr="000E0F90">
        <w:rPr>
          <w:rFonts w:ascii="Arial" w:hAnsi="Arial" w:cs="Arial"/>
          <w:color w:val="000000" w:themeColor="text1"/>
        </w:rPr>
        <w:t xml:space="preserve">, tendencia que se </w:t>
      </w:r>
      <w:r w:rsidR="00802886" w:rsidRPr="000E0F90">
        <w:rPr>
          <w:rFonts w:ascii="Arial" w:hAnsi="Arial" w:cs="Arial"/>
          <w:color w:val="000000" w:themeColor="text1"/>
        </w:rPr>
        <w:t xml:space="preserve">ha </w:t>
      </w:r>
      <w:r w:rsidR="009D399A" w:rsidRPr="000E0F90">
        <w:rPr>
          <w:rFonts w:ascii="Arial" w:hAnsi="Arial" w:cs="Arial"/>
          <w:color w:val="000000" w:themeColor="text1"/>
        </w:rPr>
        <w:t xml:space="preserve">mantenido </w:t>
      </w:r>
      <w:r w:rsidRPr="000E0F90">
        <w:rPr>
          <w:rFonts w:ascii="Arial" w:hAnsi="Arial" w:cs="Arial"/>
          <w:color w:val="000000" w:themeColor="text1"/>
        </w:rPr>
        <w:t>en el tiempo</w:t>
      </w:r>
      <w:r w:rsidR="009D399A" w:rsidRPr="000E0F90">
        <w:rPr>
          <w:rFonts w:ascii="Arial" w:hAnsi="Arial" w:cs="Arial"/>
          <w:color w:val="000000" w:themeColor="text1"/>
        </w:rPr>
        <w:t xml:space="preserve">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"10.1016/j.jclepro.2014.03.086", "ISSN" : "09596526", "author" : [ { "dropping-particle" : "", "family" : "Han Onn", "given" : "a.", "non-dropping-particle" : "", "parse-names" : false, "suffix" : "" }, { "dropping-particle" : "", "family" : "Woodley", "given" : "a.", "non-dropping-particle" : "", "parse-names" : false, "suffix" : "" } ], "container-title" : "Journal of Cleaner Production", "id" : "ITEM-1", "issued" : { "date-parts" : [ [ "2014", "4" ] ] }, "publisher" : "Elsevier Ltd", "title" : "A discourse analysis on how the sustainability agenda is defined within the mining industry", "type" : "article-journal" }, "uris" : [ "http://www.mendeley.com/documents/?uuid=fe14dbfd-b542-4328-a56b-fee9ec16c42e" ] } ], "mendeley" : { "formattedCitation" : "(Han Onn &amp; Woodley, 2014)", "plainTextFormattedCitation" : "(Han Onn &amp; Woodley, 2014)", "previouslyFormattedCitation" : "(Han Onn &amp; Woodley, 2014)"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(Han Onn &amp; Woodley, 2014)</w:t>
      </w:r>
      <w:r w:rsidRPr="000E0F90">
        <w:rPr>
          <w:rFonts w:ascii="Arial" w:hAnsi="Arial" w:cs="Arial"/>
          <w:color w:val="000000" w:themeColor="text1"/>
        </w:rPr>
        <w:fldChar w:fldCharType="end"/>
      </w:r>
      <w:r w:rsidRPr="000E0F90">
        <w:rPr>
          <w:rFonts w:ascii="Arial" w:hAnsi="Arial" w:cs="Arial"/>
          <w:color w:val="000000" w:themeColor="text1"/>
        </w:rPr>
        <w:t>.</w:t>
      </w:r>
      <w:r w:rsidR="006A73EC" w:rsidRPr="000E0F90">
        <w:rPr>
          <w:rFonts w:ascii="Arial" w:hAnsi="Arial" w:cs="Arial"/>
          <w:color w:val="000000" w:themeColor="text1"/>
        </w:rPr>
        <w:t xml:space="preserve"> </w:t>
      </w:r>
      <w:r w:rsidR="001C3711">
        <w:rPr>
          <w:rFonts w:ascii="Arial" w:hAnsi="Arial" w:cs="Arial"/>
          <w:color w:val="000000" w:themeColor="text1"/>
        </w:rPr>
        <w:t>Enfoque</w:t>
      </w:r>
      <w:r w:rsidR="00802886" w:rsidRPr="000E0F90">
        <w:rPr>
          <w:rFonts w:ascii="Arial" w:hAnsi="Arial" w:cs="Arial"/>
          <w:color w:val="000000" w:themeColor="text1"/>
        </w:rPr>
        <w:t xml:space="preserve"> que además, carece de aproximación hacia la escasez de las reservas de mineral y al</w:t>
      </w:r>
      <w:r w:rsidR="00F9360E" w:rsidRPr="000E0F90">
        <w:rPr>
          <w:rFonts w:ascii="Arial" w:hAnsi="Arial" w:cs="Arial"/>
          <w:color w:val="000000" w:themeColor="text1"/>
        </w:rPr>
        <w:t xml:space="preserve"> manejo sostenible</w:t>
      </w:r>
      <w:r w:rsidR="00802886" w:rsidRPr="000E0F90">
        <w:rPr>
          <w:rFonts w:ascii="Arial" w:hAnsi="Arial" w:cs="Arial"/>
          <w:color w:val="000000" w:themeColor="text1"/>
        </w:rPr>
        <w:t xml:space="preserve"> de los recursos minerales </w:t>
      </w:r>
      <w:r w:rsidR="00802886" w:rsidRPr="000E0F90">
        <w:rPr>
          <w:rFonts w:ascii="Arial" w:hAnsi="Arial" w:cs="Arial"/>
          <w:color w:val="000000" w:themeColor="text1"/>
        </w:rPr>
        <w:fldChar w:fldCharType="begin" w:fldLock="1"/>
      </w:r>
      <w:r w:rsidR="00802886" w:rsidRPr="000E0F90">
        <w:rPr>
          <w:rFonts w:ascii="Arial" w:hAnsi="Arial" w:cs="Arial"/>
          <w:color w:val="000000" w:themeColor="text1"/>
        </w:rPr>
        <w:instrText>ADDIN CSL_CITATION { "citationItems" : [ { "id" : "ITEM-1", "itemData" : { "DOI" : "10.1016/j.mineng.2013.04.008", "ISSN" : "08926875", "author" : [ { "dropping-particle" : "", "family" : "Fonseca", "given" : "Alberto", "non-dropping-particle" : "", "parse-names" : false, "suffix" : "" }, { "dropping-particle" : "", "family" : "McAllister", "given" : "Mary Louise", "non-dropping-particle" : "", "parse-names" : false, "suffix" : "" }, { "dropping-particle" : "", "family" : "Fitzpatrick", "given" : "Patricia", "non-dropping-particle" : "", "parse-names" : false, "suffix" : "" } ], "container-title" : "Minerals Engineering", "id" : "ITEM-1", "issued" : { "date-parts" : [ [ "2013", "6" ] ] }, "page" : "180-186", "publisher" : "Elsevier Ltd", "title" : "Measuring what? A comparative anatomy of five mining sustainability frameworks", "type" : "article-journal", "volume" : "46-47" }, "uris" : [ "http://www.mendeley.com/documents/?uuid=7daefc24-618a-4523-9760-2c9148265937" ] } ], "mendeley" : { "formattedCitation" : "(Fonseca et al., 2013)", "plainTextFormattedCitation" : "(Fonseca et al., 2013)", "previouslyFormattedCitation" : "(Fonseca et al., 2013)" }, "properties" : { "noteIndex" : 0 }, "schema" : "https://github.com/citation-style-language/schema/raw/master/csl-citation.json" }</w:instrText>
      </w:r>
      <w:r w:rsidR="00802886" w:rsidRPr="000E0F90">
        <w:rPr>
          <w:rFonts w:ascii="Arial" w:hAnsi="Arial" w:cs="Arial"/>
          <w:color w:val="000000" w:themeColor="text1"/>
        </w:rPr>
        <w:fldChar w:fldCharType="separate"/>
      </w:r>
      <w:r w:rsidR="00802886" w:rsidRPr="000E0F90">
        <w:rPr>
          <w:rFonts w:ascii="Arial" w:hAnsi="Arial" w:cs="Arial"/>
          <w:noProof/>
          <w:color w:val="000000" w:themeColor="text1"/>
        </w:rPr>
        <w:t>(Fonseca et al., 2013)</w:t>
      </w:r>
      <w:r w:rsidR="00802886" w:rsidRPr="000E0F90">
        <w:rPr>
          <w:rFonts w:ascii="Arial" w:hAnsi="Arial" w:cs="Arial"/>
          <w:color w:val="000000" w:themeColor="text1"/>
        </w:rPr>
        <w:fldChar w:fldCharType="end"/>
      </w:r>
      <w:r w:rsidR="00802886" w:rsidRPr="000E0F90">
        <w:rPr>
          <w:rFonts w:ascii="Arial" w:hAnsi="Arial" w:cs="Arial"/>
          <w:color w:val="000000" w:themeColor="text1"/>
        </w:rPr>
        <w:t xml:space="preserve"> (</w:t>
      </w:r>
      <w:r w:rsidR="00802886" w:rsidRPr="000E0F90">
        <w:rPr>
          <w:rFonts w:ascii="Arial" w:hAnsi="Arial" w:cs="Arial"/>
          <w:color w:val="000000" w:themeColor="text1"/>
        </w:rPr>
        <w:fldChar w:fldCharType="begin" w:fldLock="1"/>
      </w:r>
      <w:r w:rsidR="00802886" w:rsidRPr="000E0F90">
        <w:rPr>
          <w:rFonts w:ascii="Arial" w:hAnsi="Arial" w:cs="Arial"/>
          <w:color w:val="000000" w:themeColor="text1"/>
        </w:rPr>
        <w:instrText>ADDIN CSL_CITATION { "citationItems" : [ { "id" : "ITEM-1", "itemData" : { "DOI" : "10.1016/j.jclepro.2010.08.019", "ISSN" : "09596526", "author" : [ { "dropping-particle" : "", "family" : "Laurence", "given" : "David", "non-dropping-particle" : "", "parse-names" : false, "suffix" : "" } ], "container-title" : "Journal of Cleaner Production", "id" : "ITEM-1", "issue" : "2-3", "issued" : { "date-parts" : [ [ "2011", "1" ] ] }, "page" : "278-284", "publisher" : "Elsevier Ltd", "title" : "Establishing a sustainable mining operation: an overview", "type" : "article-journal", "volume" : "19" }, "uris" : [ "http://www.mendeley.com/documents/?uuid=b1b1a5ce-2c8f-4ad7-a07d-19792ae1d7d8" ] } ], "mendeley" : { "formattedCitation" : "(Laurence, 2011)", "manualFormatting" : "Laurence, 2011)", "plainTextFormattedCitation" : "(Laurence, 2011)", "previouslyFormattedCitation" : "(Laurence, 2011)" }, "properties" : { "noteIndex" : 0 }, "schema" : "https://github.com/citation-style-language/schema/raw/master/csl-citation.json" }</w:instrText>
      </w:r>
      <w:r w:rsidR="00802886" w:rsidRPr="000E0F90">
        <w:rPr>
          <w:rFonts w:ascii="Arial" w:hAnsi="Arial" w:cs="Arial"/>
          <w:color w:val="000000" w:themeColor="text1"/>
        </w:rPr>
        <w:fldChar w:fldCharType="separate"/>
      </w:r>
      <w:r w:rsidR="00802886" w:rsidRPr="000E0F90">
        <w:rPr>
          <w:rFonts w:ascii="Arial" w:hAnsi="Arial" w:cs="Arial"/>
          <w:noProof/>
          <w:color w:val="000000" w:themeColor="text1"/>
        </w:rPr>
        <w:t>Laurence, 2011)</w:t>
      </w:r>
      <w:r w:rsidR="00802886" w:rsidRPr="000E0F90">
        <w:rPr>
          <w:rFonts w:ascii="Arial" w:hAnsi="Arial" w:cs="Arial"/>
          <w:color w:val="000000" w:themeColor="text1"/>
        </w:rPr>
        <w:fldChar w:fldCharType="end"/>
      </w:r>
      <w:r w:rsidR="00802886" w:rsidRPr="000E0F90">
        <w:rPr>
          <w:rFonts w:ascii="Arial" w:hAnsi="Arial" w:cs="Arial"/>
          <w:color w:val="000000" w:themeColor="text1"/>
        </w:rPr>
        <w:t xml:space="preserve">. </w:t>
      </w:r>
    </w:p>
    <w:p w:rsidR="009E780F" w:rsidRPr="000E0F90" w:rsidRDefault="00802886" w:rsidP="002B538F">
      <w:pPr>
        <w:spacing w:line="360" w:lineRule="auto"/>
        <w:rPr>
          <w:rFonts w:ascii="Arial" w:hAnsi="Arial" w:cs="Arial"/>
          <w:color w:val="000000" w:themeColor="text1"/>
        </w:rPr>
      </w:pPr>
      <w:r w:rsidRPr="000E0F90">
        <w:rPr>
          <w:rFonts w:ascii="Arial" w:hAnsi="Arial" w:cs="Arial"/>
          <w:color w:val="000000" w:themeColor="text1"/>
        </w:rPr>
        <w:t>Por el contrario, este e</w:t>
      </w:r>
      <w:r w:rsidR="009E780F" w:rsidRPr="000E0F90">
        <w:rPr>
          <w:rFonts w:ascii="Arial" w:hAnsi="Arial" w:cs="Arial"/>
          <w:color w:val="000000" w:themeColor="text1"/>
        </w:rPr>
        <w:t xml:space="preserve">scenario </w:t>
      </w:r>
      <w:r w:rsidR="00362DE3" w:rsidRPr="000E0F90">
        <w:rPr>
          <w:rFonts w:ascii="Arial" w:hAnsi="Arial" w:cs="Arial"/>
          <w:color w:val="000000" w:themeColor="text1"/>
        </w:rPr>
        <w:t>remarca</w:t>
      </w:r>
      <w:r w:rsidR="009E780F" w:rsidRPr="000E0F90">
        <w:rPr>
          <w:rFonts w:ascii="Arial" w:hAnsi="Arial" w:cs="Arial"/>
          <w:color w:val="000000" w:themeColor="text1"/>
        </w:rPr>
        <w:t xml:space="preserve"> la naturaleza sectorial, al abordar la problemática de la </w:t>
      </w:r>
      <w:r w:rsidR="009D399A" w:rsidRPr="000E0F90">
        <w:rPr>
          <w:rFonts w:ascii="Arial" w:hAnsi="Arial" w:cs="Arial"/>
          <w:color w:val="000000" w:themeColor="text1"/>
        </w:rPr>
        <w:t>sostenibilidad</w:t>
      </w:r>
      <w:r w:rsidR="009E780F" w:rsidRPr="000E0F90">
        <w:rPr>
          <w:rFonts w:ascii="Arial" w:hAnsi="Arial" w:cs="Arial"/>
          <w:color w:val="000000" w:themeColor="text1"/>
        </w:rPr>
        <w:t xml:space="preserve"> de la industria minera, l</w:t>
      </w:r>
      <w:r w:rsidR="00B526DE" w:rsidRPr="000E0F90">
        <w:rPr>
          <w:rFonts w:ascii="Arial" w:hAnsi="Arial" w:cs="Arial"/>
          <w:color w:val="000000" w:themeColor="text1"/>
        </w:rPr>
        <w:t xml:space="preserve">a cual se </w:t>
      </w:r>
      <w:r w:rsidR="009E780F" w:rsidRPr="000E0F90">
        <w:rPr>
          <w:rFonts w:ascii="Arial" w:hAnsi="Arial" w:cs="Arial"/>
          <w:color w:val="000000" w:themeColor="text1"/>
        </w:rPr>
        <w:t>basa en la obtención de</w:t>
      </w:r>
      <w:r w:rsidR="00B526DE" w:rsidRPr="000E0F90">
        <w:rPr>
          <w:rFonts w:ascii="Arial" w:hAnsi="Arial" w:cs="Arial"/>
          <w:color w:val="000000" w:themeColor="text1"/>
        </w:rPr>
        <w:t xml:space="preserve"> rentabilidades a corto plazo, mediante la intensificación productiva</w:t>
      </w:r>
      <w:r w:rsidR="006676B4" w:rsidRPr="000E0F90">
        <w:rPr>
          <w:rFonts w:ascii="Arial" w:hAnsi="Arial" w:cs="Arial"/>
          <w:color w:val="000000" w:themeColor="text1"/>
        </w:rPr>
        <w:t xml:space="preserve"> y</w:t>
      </w:r>
      <w:r w:rsidR="00B526DE" w:rsidRPr="000E0F90">
        <w:rPr>
          <w:rFonts w:ascii="Arial" w:hAnsi="Arial" w:cs="Arial"/>
          <w:color w:val="000000" w:themeColor="text1"/>
        </w:rPr>
        <w:t xml:space="preserve"> eficiencia de procesos</w:t>
      </w:r>
      <w:r w:rsidR="006676B4" w:rsidRPr="000E0F90">
        <w:rPr>
          <w:rFonts w:ascii="Arial" w:hAnsi="Arial" w:cs="Arial"/>
          <w:color w:val="000000" w:themeColor="text1"/>
        </w:rPr>
        <w:t xml:space="preserve"> para realizar la extracción de recursos </w:t>
      </w:r>
      <w:r w:rsidR="009E780F" w:rsidRPr="000E0F90">
        <w:rPr>
          <w:rFonts w:ascii="Arial" w:hAnsi="Arial" w:cs="Arial"/>
          <w:color w:val="000000" w:themeColor="text1"/>
        </w:rPr>
        <w:t>minerale</w:t>
      </w:r>
      <w:r w:rsidR="006676B4" w:rsidRPr="000E0F90">
        <w:rPr>
          <w:rFonts w:ascii="Arial" w:hAnsi="Arial" w:cs="Arial"/>
          <w:color w:val="000000" w:themeColor="text1"/>
        </w:rPr>
        <w:t>s</w:t>
      </w:r>
      <w:r w:rsidR="00B967B3" w:rsidRPr="000E0F90">
        <w:rPr>
          <w:rFonts w:ascii="Arial" w:hAnsi="Arial" w:cs="Arial"/>
          <w:color w:val="000000" w:themeColor="text1"/>
        </w:rPr>
        <w:t xml:space="preserve"> hasta el agotamiento o cierre de la mina</w:t>
      </w:r>
      <w:r w:rsidR="009E780F" w:rsidRPr="000E0F90">
        <w:rPr>
          <w:rFonts w:ascii="Arial" w:hAnsi="Arial" w:cs="Arial"/>
          <w:color w:val="000000" w:themeColor="text1"/>
        </w:rPr>
        <w:t xml:space="preserve"> </w:t>
      </w:r>
      <w:sdt>
        <w:sdtPr>
          <w:rPr>
            <w:rFonts w:ascii="Arial" w:hAnsi="Arial" w:cs="Arial"/>
            <w:color w:val="000000" w:themeColor="text1"/>
          </w:rPr>
          <w:id w:val="-1601404076"/>
          <w:citation/>
        </w:sdtPr>
        <w:sdtEndPr/>
        <w:sdtContent>
          <w:r w:rsidR="009E780F" w:rsidRPr="000E0F90">
            <w:rPr>
              <w:rFonts w:ascii="Arial" w:hAnsi="Arial" w:cs="Arial"/>
              <w:color w:val="000000" w:themeColor="text1"/>
            </w:rPr>
            <w:fldChar w:fldCharType="begin"/>
          </w:r>
          <w:r w:rsidR="009E780F" w:rsidRPr="000E0F90">
            <w:rPr>
              <w:rFonts w:ascii="Arial" w:hAnsi="Arial" w:cs="Arial"/>
              <w:color w:val="000000" w:themeColor="text1"/>
            </w:rPr>
            <w:instrText xml:space="preserve"> CITATION Gas16 \l 13322 </w:instrText>
          </w:r>
          <w:r w:rsidR="009E780F" w:rsidRPr="000E0F90">
            <w:rPr>
              <w:rFonts w:ascii="Arial" w:hAnsi="Arial" w:cs="Arial"/>
              <w:color w:val="000000" w:themeColor="text1"/>
            </w:rPr>
            <w:fldChar w:fldCharType="separate"/>
          </w:r>
          <w:r w:rsidR="008D0261" w:rsidRPr="000E0F90">
            <w:rPr>
              <w:rFonts w:ascii="Arial" w:hAnsi="Arial" w:cs="Arial"/>
              <w:noProof/>
              <w:color w:val="000000" w:themeColor="text1"/>
            </w:rPr>
            <w:t>(Gastó, Gálvez, Subercauseaux, &amp; Fuentes, 2015)</w:t>
          </w:r>
          <w:r w:rsidR="009E780F" w:rsidRPr="000E0F90">
            <w:rPr>
              <w:rFonts w:ascii="Arial" w:hAnsi="Arial" w:cs="Arial"/>
              <w:color w:val="000000" w:themeColor="text1"/>
            </w:rPr>
            <w:fldChar w:fldCharType="end"/>
          </w:r>
        </w:sdtContent>
      </w:sdt>
      <w:r w:rsidR="006676B4" w:rsidRPr="000E0F90">
        <w:rPr>
          <w:rFonts w:ascii="Arial" w:hAnsi="Arial" w:cs="Arial"/>
          <w:color w:val="000000" w:themeColor="text1"/>
        </w:rPr>
        <w:t xml:space="preserve">. </w:t>
      </w:r>
      <w:r w:rsidR="00D36819" w:rsidRPr="000E0F90">
        <w:rPr>
          <w:rFonts w:ascii="Arial" w:hAnsi="Arial" w:cs="Arial"/>
          <w:color w:val="000000" w:themeColor="text1"/>
        </w:rPr>
        <w:t xml:space="preserve">Lo cual no se relaciona con la viabilidad </w:t>
      </w:r>
      <w:r w:rsidR="006A73EC" w:rsidRPr="000E0F90">
        <w:rPr>
          <w:rFonts w:ascii="Arial" w:hAnsi="Arial" w:cs="Arial"/>
          <w:color w:val="000000" w:themeColor="text1"/>
        </w:rPr>
        <w:t xml:space="preserve">y preservación </w:t>
      </w:r>
      <w:r w:rsidR="00D36819" w:rsidRPr="000E0F90">
        <w:rPr>
          <w:rFonts w:ascii="Arial" w:hAnsi="Arial" w:cs="Arial"/>
          <w:color w:val="000000" w:themeColor="text1"/>
        </w:rPr>
        <w:t xml:space="preserve">del sistema </w:t>
      </w:r>
      <w:r w:rsidR="006A73EC" w:rsidRPr="000E0F90">
        <w:rPr>
          <w:rFonts w:ascii="Arial" w:hAnsi="Arial" w:cs="Arial"/>
          <w:color w:val="000000" w:themeColor="text1"/>
        </w:rPr>
        <w:t>territorial</w:t>
      </w:r>
      <w:r w:rsidR="00F51545">
        <w:rPr>
          <w:rFonts w:ascii="Arial" w:hAnsi="Arial" w:cs="Arial"/>
          <w:color w:val="000000" w:themeColor="text1"/>
        </w:rPr>
        <w:t>.</w:t>
      </w:r>
    </w:p>
    <w:p w:rsidR="001C3711" w:rsidRDefault="008D0261" w:rsidP="002B538F">
      <w:pPr>
        <w:spacing w:line="360" w:lineRule="auto"/>
        <w:rPr>
          <w:rFonts w:ascii="Arial" w:hAnsi="Arial" w:cs="Arial"/>
          <w:color w:val="000000" w:themeColor="text1"/>
        </w:rPr>
      </w:pPr>
      <w:r w:rsidRPr="000E0F90">
        <w:rPr>
          <w:rFonts w:ascii="Arial" w:hAnsi="Arial" w:cs="Arial"/>
          <w:color w:val="000000" w:themeColor="text1"/>
        </w:rPr>
        <w:t xml:space="preserve">El enfoque territorial se orienta al desarrollo integral y contextualizado del sistema, enfatizando el carácter multidimensional y multisectorial del territorio, y de los procesos de desarrollo de las sociedades humanas y las aproximaciones inter y transdisciplinarias como atributos epistemológicos claves </w:t>
      </w:r>
      <w:r w:rsidR="001C3711">
        <w:rPr>
          <w:rFonts w:ascii="Arial" w:hAnsi="Arial" w:cs="Arial"/>
          <w:color w:val="000000" w:themeColor="text1"/>
        </w:rPr>
        <w:t>(Gasto et al., 2015)</w:t>
      </w:r>
    </w:p>
    <w:p w:rsidR="005A48F2" w:rsidRPr="000E0F90" w:rsidRDefault="005A48F2" w:rsidP="002B538F">
      <w:pPr>
        <w:spacing w:line="360" w:lineRule="auto"/>
        <w:rPr>
          <w:rFonts w:ascii="Arial" w:hAnsi="Arial" w:cs="Arial"/>
          <w:color w:val="000000" w:themeColor="text1"/>
        </w:rPr>
      </w:pPr>
      <w:r w:rsidRPr="000E0F90">
        <w:rPr>
          <w:rFonts w:ascii="Arial" w:hAnsi="Arial" w:cs="Arial"/>
          <w:color w:val="000000" w:themeColor="text1"/>
        </w:rPr>
        <w:t xml:space="preserve">De acuerdo al informe Bruntland, el desarrollo sostenible de un territorio debe ser ecuánime, vivible y viable </w:t>
      </w:r>
      <w:sdt>
        <w:sdtPr>
          <w:rPr>
            <w:rFonts w:ascii="Arial" w:hAnsi="Arial" w:cs="Arial"/>
            <w:color w:val="000000" w:themeColor="text1"/>
          </w:rPr>
          <w:id w:val="-516238078"/>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WCE87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(WCED, 1987)</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esto quiere decir que el territorio, debe proveer de las posibilidades de satisfacer las necesidades humanas y alcanzar el bienestar social de forma igualitaria y universal, a través del tiempo, vale decir, cumpliendo las expectativas de las generaciones actuales y futuras, y conservando a la vez la integridad de los sistemas ecológicos y sociales, de los cuales depende la sobrevida y desarrollo de la humanidad. </w:t>
      </w:r>
    </w:p>
    <w:p w:rsidR="00140A5B" w:rsidRPr="000E0F90" w:rsidRDefault="001073CE" w:rsidP="002B538F">
      <w:pPr>
        <w:spacing w:line="360" w:lineRule="auto"/>
        <w:rPr>
          <w:rFonts w:ascii="Arial" w:hAnsi="Arial" w:cs="Arial"/>
          <w:color w:val="000000" w:themeColor="text1"/>
        </w:rPr>
      </w:pPr>
      <w:r w:rsidRPr="000E0F90">
        <w:rPr>
          <w:rFonts w:ascii="Arial" w:hAnsi="Arial" w:cs="Arial"/>
          <w:color w:val="000000" w:themeColor="text1"/>
        </w:rPr>
        <w:t>Para alcanzar la sostenibil</w:t>
      </w:r>
      <w:r w:rsidR="00D215A5" w:rsidRPr="000E0F90">
        <w:rPr>
          <w:rFonts w:ascii="Arial" w:hAnsi="Arial" w:cs="Arial"/>
          <w:color w:val="000000" w:themeColor="text1"/>
        </w:rPr>
        <w:t>i</w:t>
      </w:r>
      <w:r w:rsidR="00C070C1" w:rsidRPr="000E0F90">
        <w:rPr>
          <w:rFonts w:ascii="Arial" w:hAnsi="Arial" w:cs="Arial"/>
          <w:color w:val="000000" w:themeColor="text1"/>
        </w:rPr>
        <w:t xml:space="preserve">dad de los </w:t>
      </w:r>
      <w:r w:rsidR="001C61B7" w:rsidRPr="000E0F90">
        <w:rPr>
          <w:rFonts w:ascii="Arial" w:hAnsi="Arial" w:cs="Arial"/>
          <w:color w:val="000000" w:themeColor="text1"/>
        </w:rPr>
        <w:t>territorios</w:t>
      </w:r>
      <w:r w:rsidRPr="000E0F90">
        <w:rPr>
          <w:rFonts w:ascii="Arial" w:hAnsi="Arial" w:cs="Arial"/>
          <w:color w:val="000000" w:themeColor="text1"/>
        </w:rPr>
        <w:t xml:space="preserve">, </w:t>
      </w:r>
      <w:r w:rsidR="00816854" w:rsidRPr="000E0F90">
        <w:rPr>
          <w:rFonts w:ascii="Arial" w:hAnsi="Arial" w:cs="Arial"/>
          <w:color w:val="000000" w:themeColor="text1"/>
        </w:rPr>
        <w:t xml:space="preserve">no obstante, </w:t>
      </w:r>
      <w:r w:rsidRPr="000E0F90">
        <w:rPr>
          <w:rFonts w:ascii="Arial" w:hAnsi="Arial" w:cs="Arial"/>
          <w:color w:val="000000" w:themeColor="text1"/>
        </w:rPr>
        <w:t xml:space="preserve">existe un vacío </w:t>
      </w:r>
      <w:r w:rsidR="00681DE3" w:rsidRPr="000E0F90">
        <w:rPr>
          <w:rFonts w:ascii="Arial" w:hAnsi="Arial" w:cs="Arial"/>
          <w:color w:val="000000" w:themeColor="text1"/>
        </w:rPr>
        <w:t>de c</w:t>
      </w:r>
      <w:r w:rsidR="00D40ED8" w:rsidRPr="000E0F90">
        <w:rPr>
          <w:rFonts w:ascii="Arial" w:hAnsi="Arial" w:cs="Arial"/>
          <w:color w:val="000000" w:themeColor="text1"/>
        </w:rPr>
        <w:t>ó</w:t>
      </w:r>
      <w:r w:rsidR="00681DE3" w:rsidRPr="000E0F90">
        <w:rPr>
          <w:rFonts w:ascii="Arial" w:hAnsi="Arial" w:cs="Arial"/>
          <w:color w:val="000000" w:themeColor="text1"/>
        </w:rPr>
        <w:t>mo se debe articular los objetivos centrales con</w:t>
      </w:r>
      <w:r w:rsidRPr="000E0F90">
        <w:rPr>
          <w:rFonts w:ascii="Arial" w:hAnsi="Arial" w:cs="Arial"/>
          <w:color w:val="000000" w:themeColor="text1"/>
        </w:rPr>
        <w:t xml:space="preserve"> las acciones claves necesaria</w:t>
      </w:r>
      <w:r w:rsidR="00D40ED8" w:rsidRPr="000E0F90">
        <w:rPr>
          <w:rFonts w:ascii="Arial" w:hAnsi="Arial" w:cs="Arial"/>
          <w:color w:val="000000" w:themeColor="text1"/>
        </w:rPr>
        <w:t>s</w:t>
      </w:r>
      <w:r w:rsidRPr="000E0F90">
        <w:rPr>
          <w:rFonts w:ascii="Arial" w:hAnsi="Arial" w:cs="Arial"/>
          <w:color w:val="000000" w:themeColor="text1"/>
        </w:rPr>
        <w:t xml:space="preserve"> para alcanzar la sostenibilidad de los territorios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"10.1016/j.landurbplan.2013.06.002", "ISBN" : "0169-2046", "ISSN" : "01692046", "abstract" : "The proportion of urban population is increasing globally. Climate change, biodiversity loss, and environmental pollution are leading to the urgent need to increase sustainable development of and through cities and their components. Encouraging and enabling sustainable lifestyles of urban inhabitants can be fostered by developing sustainable urban neighborhoods as the nuclei of cities. Numerous approaches exist that define principles for guiding sustainable development processes of urban neighborhoods. However, it remains unclear if these approaches really consider the core objectives that should be achieved and key actions that are involved to move toward sustainability. This study represents the first quantitative review that evaluates the principles for sustainable urban neighborhood development based on the available literature. We thus (i) identify promising approaches that present principles close to core criteria for sustainability and (ii) provide starting points for developing a more robust set of principles by bringing together the examined literature. Furthermore (iii), sustain</w:instrText>
      </w:r>
      <w:r w:rsidRPr="00B17364">
        <w:rPr>
          <w:rFonts w:ascii="Arial" w:hAnsi="Arial" w:cs="Arial"/>
          <w:color w:val="000000" w:themeColor="text1"/>
        </w:rPr>
        <w:instrText>ability aspects that are insufficiently covered are highlighted. Based on the findings (iv) a road map is outlined to encourage further research on the elaboration of a sufficient set of principles for sustainable urban neighborhood development. \u00a9 2013 Elsevier B.V.", "author" : [ { "dropping-particle" : "", "family" : "Luederitz", "given" : "Christopher", "non-dropping-particle" : "", "parse-names" : false, "suffix" : "" }, { "dropping-particle" : "", "family" : "Lang", "given" : "Daniel J.", "non-dropping-particle" : "", "parse-names" : false, "suffix" : "" }, { "dropping-particle" : "", "family" : "Wehrden", "given" : "Henrik", "non-dropping-particle" : "Von", "parse-names" : false, "suffix" : "" } ], "container-title" : "Landscape and Urban Planning", "id" : "ITEM-1", "issued" : { "date-parts" : [ [ "2013" ] ] }, "page" : "40-52", "publisher" : "Elsevier B.V.", "title" : "A systematic review of guiding principles for sustainable urban neighborhood development", "type" : "article-journal", "volume" : "118" }, "uris" : [ "http://www.mendeley.com/documents/?uuid=6bcfcece-dda2-466f-b77d-29fdaec204ad" ] } ], "mendeley" : { "formattedCitation" : "(Luederitz, Lang, &amp; Von Wehrden, 2013)", "plainTextFormattedCitation" : "(Luederitz, Lang, &amp; Von Wehrden, 2013)", "previouslyFormattedCitation" : "(Luederitz, Lang, &amp; Von Wehrden, 2013)" }, "properties" : { "noteIndex" : 0 }, "schema" : "https://github.com/citation-style-language/schema/raw/master/csl-citation.json" }</w:instrText>
      </w:r>
      <w:r w:rsidRPr="000E0F90">
        <w:rPr>
          <w:rFonts w:ascii="Arial" w:hAnsi="Arial" w:cs="Arial"/>
          <w:color w:val="000000" w:themeColor="text1"/>
        </w:rPr>
        <w:fldChar w:fldCharType="separate"/>
      </w:r>
      <w:r w:rsidRPr="00B17364">
        <w:rPr>
          <w:rFonts w:ascii="Arial" w:hAnsi="Arial" w:cs="Arial"/>
          <w:noProof/>
          <w:color w:val="000000" w:themeColor="text1"/>
        </w:rPr>
        <w:t xml:space="preserve">(Luederitz, </w:t>
      </w:r>
      <w:r w:rsidRPr="000E0F90">
        <w:rPr>
          <w:rFonts w:ascii="Arial" w:hAnsi="Arial" w:cs="Arial"/>
          <w:noProof/>
          <w:color w:val="000000" w:themeColor="text1"/>
          <w:lang w:val="en-US"/>
        </w:rPr>
        <w:t>Lang, &amp; Von Wehrden, 2013)</w:t>
      </w:r>
      <w:r w:rsidRPr="000E0F90">
        <w:rPr>
          <w:rFonts w:ascii="Arial" w:hAnsi="Arial" w:cs="Arial"/>
          <w:color w:val="000000" w:themeColor="text1"/>
        </w:rPr>
        <w:fldChar w:fldCharType="end"/>
      </w:r>
      <w:r w:rsidR="00362DE3" w:rsidRPr="000E0F90">
        <w:rPr>
          <w:rFonts w:ascii="Arial" w:hAnsi="Arial" w:cs="Arial"/>
          <w:color w:val="000000" w:themeColor="text1"/>
          <w:lang w:val="en-US"/>
        </w:rPr>
        <w:t xml:space="preserve"> </w:t>
      </w:r>
      <w:r w:rsidR="00681DE3" w:rsidRPr="000E0F90">
        <w:rPr>
          <w:rFonts w:ascii="Arial" w:hAnsi="Arial" w:cs="Arial"/>
          <w:color w:val="000000" w:themeColor="text1"/>
        </w:rPr>
        <w:fldChar w:fldCharType="begin" w:fldLock="1"/>
      </w:r>
      <w:r w:rsidR="00681DE3" w:rsidRPr="000E0F90">
        <w:rPr>
          <w:rFonts w:ascii="Arial" w:hAnsi="Arial" w:cs="Arial"/>
          <w:color w:val="000000" w:themeColor="text1"/>
          <w:lang w:val="en-US"/>
        </w:rPr>
        <w:instrText>ADDIN CSL_CITATION { "citationItems" : [ { "id" : "ITEM-1", "itemData" : { "DOI" : "10.1016/j.landurbplan.2011.01.018", "ISBN" : "0169-2046", "ISSN" : "01692046", "abstract" : "A key issue of scientific research is the impact of science in landscape planning. Two trends in society demand this issue to be a research priority: the decentralization of government power to the local level and the growing distrust towards experts and scientific knowledge in policy and the public. We show how these trends challenge the role and position of science in landscape planning. We conclude that it is urgent to systematically extend our knowledge on the impact of science in decision-making networks. ?? 2011 Elsevier B.V.", "author" : [ { "dropping-particle" : "", "family" : "Beunen", "given" : "Raoul", "non-dropping-particle" : "", "parse-names" : false, "suffix" : "" }, { "dropping-particle" : "", "family" : "Opdam", "given" : "Paul", "non-dropping-particle" : "", "parse-names" : false, "suffix" : "" } ], "container-title" : "Landscape and Urban Planning", "id" : "ITEM-1", "issue" : "4", "issued" : { "date-parts" : [ [ "2011" ] ] }, "page" : "324-326", "publisher" : "Elsevier B.V.", "title" : "When landscape planning becomes landscape governance, what happens to the science?", "type" : "article-journal", "volume" : "100" }, "uris" : [ "http://www.mendeley.com/documents/?uuid=5b4099d4-64d9-4239-8c86-862cdf836e59" ] } ], "mendeley" : { "formattedCitation" : "(Beunen &amp; Opdam, 2011)", "plainTextFormattedCitation" : "(Beunen &amp; Opdam, 2011)", "previouslyFormattedCitation" : "(Beunen &amp; Opdam, 2011)" }, "properties" : { "noteIndex" : 0 }, "schema" : "https://github.com/citation-style-language/schema/raw/master/csl-citation.json" }</w:instrText>
      </w:r>
      <w:r w:rsidR="00681DE3" w:rsidRPr="000E0F90">
        <w:rPr>
          <w:rFonts w:ascii="Arial" w:hAnsi="Arial" w:cs="Arial"/>
          <w:color w:val="000000" w:themeColor="text1"/>
        </w:rPr>
        <w:fldChar w:fldCharType="separate"/>
      </w:r>
      <w:r w:rsidR="00681DE3" w:rsidRPr="000E0F90">
        <w:rPr>
          <w:rFonts w:ascii="Arial" w:hAnsi="Arial" w:cs="Arial"/>
          <w:noProof/>
          <w:color w:val="000000" w:themeColor="text1"/>
          <w:lang w:val="en-US"/>
        </w:rPr>
        <w:t>(Beunen &amp; Opdam, 2011)</w:t>
      </w:r>
      <w:r w:rsidR="00681DE3" w:rsidRPr="000E0F90">
        <w:rPr>
          <w:rFonts w:ascii="Arial" w:hAnsi="Arial" w:cs="Arial"/>
          <w:color w:val="000000" w:themeColor="text1"/>
        </w:rPr>
        <w:fldChar w:fldCharType="end"/>
      </w:r>
      <w:r w:rsidR="00681DE3" w:rsidRPr="000E0F90">
        <w:rPr>
          <w:rFonts w:ascii="Arial" w:hAnsi="Arial" w:cs="Arial"/>
          <w:color w:val="000000" w:themeColor="text1"/>
          <w:lang w:val="en-US"/>
        </w:rPr>
        <w:t xml:space="preserve"> </w:t>
      </w:r>
      <w:r w:rsidR="00681DE3" w:rsidRPr="000E0F90">
        <w:rPr>
          <w:rFonts w:ascii="Arial" w:hAnsi="Arial" w:cs="Arial"/>
          <w:color w:val="000000" w:themeColor="text1"/>
        </w:rPr>
        <w:fldChar w:fldCharType="begin" w:fldLock="1"/>
      </w:r>
      <w:r w:rsidR="00681DE3" w:rsidRPr="000E0F90">
        <w:rPr>
          <w:rFonts w:ascii="Arial" w:hAnsi="Arial" w:cs="Arial"/>
          <w:color w:val="000000" w:themeColor="text1"/>
          <w:lang w:val="en-US"/>
        </w:rPr>
        <w:instrText>ADDIN CSL_CITATION { "citationItems" : [ { "id" : "ITEM-1", "itemData" : { "DOI" : "10.1007/s10668-008-9184-x", "ISSN" : "1387585X", "abstract" : "Sustainable regional development as a politically requested concept challenges regions within the European Union since the Amsterdam Treaty 1997. A growing body of literature identifies cooperation between stakeholder groups as one of the limiting factors for implementing sustainable regional strategies. This leads to the question, how cooperation within a region could be organised. How can institutions support the implementation process of sustainable development on the regional level? Regional institutions are both supporters of cooperation between regional stakeholders and key players in regional development processes. Their connections strengthen the importance of networks in the sustainable regional development process. \u00a9 Springer Science+Business Media B.V. 2009.", "author" : [ { "dropping-particle" : "", "family" : "Sedlacek", "given" : "Sabine", "non-dropping-particle" : "", "parse-names" : false, "suffix" : "" }, { "dropping-particle" : "", "family" : "Gaube", "given" : "Veronika", "non-dropping-particle" : "", "parse-names" : false, "suffix" : "" } ], "container-title" : "Environment, Development and Sustainability", "id" : "ITEM-1", "issued" : { "date-parts" : [ [ "2010" ] ] }, "page" : "117-134", "title" : "Regions on their way to sustainability: The role of institutions in fostering sustainable development at the regional level", "type" : "article-journal", "volume" : "12" }, "uris" : [ "http://www.mendeley.com/documents/?uuid=cea76768-9864-42cb-bce5-862129445298" ] } ], "mendeley" : { "formattedCitation" : "(Sedlacek &amp; Gaube, 2010)", "plainTextFormattedCitation" : "(Sedlacek &amp; Gaube, 2010)", "previouslyFormattedCitation" : "(Sedlacek &amp; Gaube, 2010)" }, "properties" : { "noteIndex" : 0 }, "schema" : "https://github.com/citation-style-language/schema/raw/master/csl-citation.json" }</w:instrText>
      </w:r>
      <w:r w:rsidR="00681DE3" w:rsidRPr="000E0F90">
        <w:rPr>
          <w:rFonts w:ascii="Arial" w:hAnsi="Arial" w:cs="Arial"/>
          <w:color w:val="000000" w:themeColor="text1"/>
        </w:rPr>
        <w:fldChar w:fldCharType="separate"/>
      </w:r>
      <w:r w:rsidR="00681DE3" w:rsidRPr="000E0F90">
        <w:rPr>
          <w:rFonts w:ascii="Arial" w:hAnsi="Arial" w:cs="Arial"/>
          <w:noProof/>
          <w:color w:val="000000" w:themeColor="text1"/>
          <w:lang w:val="en-US"/>
        </w:rPr>
        <w:t>(Sedlacek &amp; Gaube, 2010)</w:t>
      </w:r>
      <w:r w:rsidR="00681DE3" w:rsidRPr="000E0F90">
        <w:rPr>
          <w:rFonts w:ascii="Arial" w:hAnsi="Arial" w:cs="Arial"/>
          <w:color w:val="000000" w:themeColor="text1"/>
        </w:rPr>
        <w:fldChar w:fldCharType="end"/>
      </w:r>
      <w:r w:rsidR="00CD2C8E" w:rsidRPr="000E0F90">
        <w:rPr>
          <w:rFonts w:ascii="Arial" w:hAnsi="Arial" w:cs="Arial"/>
          <w:color w:val="000000" w:themeColor="text1"/>
          <w:lang w:val="en-US"/>
        </w:rPr>
        <w:t xml:space="preserve"> </w:t>
      </w:r>
      <w:r w:rsidR="00CD2C8E" w:rsidRPr="000E0F90">
        <w:rPr>
          <w:rFonts w:ascii="Arial" w:hAnsi="Arial" w:cs="Arial"/>
          <w:color w:val="000000" w:themeColor="text1"/>
        </w:rPr>
        <w:fldChar w:fldCharType="begin" w:fldLock="1"/>
      </w:r>
      <w:r w:rsidR="00CD2C8E" w:rsidRPr="000E0F90">
        <w:rPr>
          <w:rFonts w:ascii="Arial" w:hAnsi="Arial" w:cs="Arial"/>
          <w:color w:val="000000" w:themeColor="text1"/>
          <w:lang w:val="en-US"/>
        </w:rPr>
        <w:instrText>ADDIN CSL_CITATION { "citationItems" : [ { "id" : "ITEM-1", "itemData" : { "ISBN" : "390615128x", "abstract" : "A conceptual framework for sustainable regional development in rural Africa is developed. The development crisis in sub-Saharan Africa is examined and its relation to present development and environmental problems in smallholder areas in rural Africa is discussed. It is argued that an actor-oriented perspective on regional development can reconcile the conceptually contradictory positions observed in the development policies and practices of the 1990s. The main elements of the proposed framework are: (1) the small farmer's decision-making process; (2) prevailing value systems, social norms, social networks and hierarchies; (3) the land use system; (4) the ecological system; and (5) the perception, valuation and interpretation of the dynamic, ecological and non-ecological, and spatial conditions. The structuring and heuristic potential of the model for approaches to development and environmental problems is outlined. In a case study of Laikipia District, Kenya, an attempt is made to empirically evaluate the variations in small farmers' strategies and degrees of ecological adaptation as key issues of regional development. The ecological dimension of sustainability is operationalized through developing a concept of sustainable use of natural resources in regional development contexts. In addition, development approaches for sustainable use of water resources in Laikipia District are suggested. KEYWORDS: TROPAG | regional development | farming systems | resource management | land | water | semiarid zones | KENYA | Laikipia.", "author" : [ { "dropping-particle" : "", "family" : "Wiesmann", "given" : "U", "non-dropping-particle" : "", "parse-names" : false, "suffix" : "" } ], "id" : "ITEM-1", "issued" : { "date-parts" : [ [ "1998" ] ] }, "page" : "286 pp.", "title" : "Sustainable regional development in rural Africa: conceptual framework and case studies from Kenya.", "type" : "book" }, "uris" : [ "http://www.mendeley.com/documents/?uuid=f9bd6314-18a8-4f3f-85eb-6da2fdb19814" ] } ], "mendeley" : { "formattedCitation" : "(Wiesmann, 1998)", "plainTextFormattedCitation" : "(Wiesmann, 1998)", "previouslyFormattedCitation" : "(Wiesmann, 1998)" }, "properties" : { "noteIndex" : 0 }, "schema" : "https://github.com/citation-style-language/schema/raw/master/csl-citation.json" }</w:instrText>
      </w:r>
      <w:r w:rsidR="00CD2C8E" w:rsidRPr="000E0F90">
        <w:rPr>
          <w:rFonts w:ascii="Arial" w:hAnsi="Arial" w:cs="Arial"/>
          <w:color w:val="000000" w:themeColor="text1"/>
        </w:rPr>
        <w:fldChar w:fldCharType="separate"/>
      </w:r>
      <w:r w:rsidR="00CD2C8E" w:rsidRPr="000E0F90">
        <w:rPr>
          <w:rFonts w:ascii="Arial" w:hAnsi="Arial" w:cs="Arial"/>
          <w:noProof/>
          <w:color w:val="000000" w:themeColor="text1"/>
          <w:lang w:val="en-US"/>
        </w:rPr>
        <w:t>(Wiesmann, 1998)</w:t>
      </w:r>
      <w:r w:rsidR="00CD2C8E" w:rsidRPr="000E0F90">
        <w:rPr>
          <w:rFonts w:ascii="Arial" w:hAnsi="Arial" w:cs="Arial"/>
          <w:color w:val="000000" w:themeColor="text1"/>
        </w:rPr>
        <w:fldChar w:fldCharType="end"/>
      </w:r>
      <w:r w:rsidR="00CD2C8E" w:rsidRPr="000E0F90">
        <w:rPr>
          <w:rFonts w:ascii="Arial" w:hAnsi="Arial" w:cs="Arial"/>
          <w:color w:val="000000" w:themeColor="text1"/>
          <w:lang w:val="en-US"/>
        </w:rPr>
        <w:t>.</w:t>
      </w:r>
      <w:r w:rsidR="00EB1A34" w:rsidRPr="000E0F90">
        <w:rPr>
          <w:rFonts w:ascii="Arial" w:hAnsi="Arial" w:cs="Arial"/>
          <w:color w:val="000000" w:themeColor="text1"/>
          <w:lang w:val="en-US"/>
        </w:rPr>
        <w:t xml:space="preserve"> </w:t>
      </w:r>
      <w:r w:rsidR="00083C14" w:rsidRPr="00B17364">
        <w:rPr>
          <w:rFonts w:ascii="Arial" w:hAnsi="Arial" w:cs="Arial"/>
          <w:color w:val="000000" w:themeColor="text1"/>
        </w:rPr>
        <w:t>Al respecto, u</w:t>
      </w:r>
      <w:r w:rsidR="00C070C1" w:rsidRPr="00B17364">
        <w:rPr>
          <w:rFonts w:ascii="Arial" w:hAnsi="Arial" w:cs="Arial"/>
          <w:color w:val="000000" w:themeColor="text1"/>
        </w:rPr>
        <w:t>na</w:t>
      </w:r>
      <w:r w:rsidR="00D40ED8" w:rsidRPr="00B17364">
        <w:rPr>
          <w:rFonts w:ascii="Arial" w:hAnsi="Arial" w:cs="Arial"/>
          <w:color w:val="000000" w:themeColor="text1"/>
        </w:rPr>
        <w:t xml:space="preserve"> propuesta de principios de sostenibilidad se considera una forma de clarificar y a la vez poner en práctica el concepto de sostenibilidad </w:t>
      </w:r>
      <w:r w:rsidR="00D40ED8" w:rsidRPr="000E0F90">
        <w:rPr>
          <w:rFonts w:ascii="Arial" w:hAnsi="Arial" w:cs="Arial"/>
          <w:color w:val="000000" w:themeColor="text1"/>
        </w:rPr>
        <w:fldChar w:fldCharType="begin" w:fldLock="1"/>
      </w:r>
      <w:r w:rsidR="00D40ED8" w:rsidRPr="00B17364">
        <w:rPr>
          <w:rFonts w:ascii="Arial" w:hAnsi="Arial" w:cs="Arial"/>
          <w:color w:val="000000" w:themeColor="text1"/>
        </w:rPr>
        <w:instrText>ADDIN CSL_CITATION { "citationItems" : [ { "id" : "ITEM-1", "itemData" : { "DOI" : "10.1016/j.landurbplan.2013.06.002", "ISBN" : "0169-2046", "ISSN" : "01692046", "abstract" : "The proportion of urban population is increasing globally. Climate change, biodiversity loss, and environmental pollution are leading to the urgent need to increase sustainable development of and through cities and their components. Encouraging and enabling sustainable lifestyles of urban inhabitants can be fostered by developing sustainable urban neighborhoods as the nuclei of cities. Numerous approaches exist that define principles for guiding sustainable development processes of urban neighborhoods. However, it remains unclear if these approaches really consider the core objectives that should be achieved and key actions that are involved to move toward sustainability. This study represents the first quantitative review that evaluates the principles for sustainable urban neighborhood development based on the available literature. We thus (i) identify promising approaches that present principles close to core criteria for sustainability and (ii) provide starting points for developing a more robust set of principles by bringing togeth</w:instrText>
      </w:r>
      <w:r w:rsidR="00D40ED8" w:rsidRPr="00225844">
        <w:rPr>
          <w:rFonts w:ascii="Arial" w:hAnsi="Arial" w:cs="Arial"/>
          <w:color w:val="000000" w:themeColor="text1"/>
        </w:rPr>
        <w:instrText>er the examined literature. Furthermore (iii), sustainability aspects that are insufficiently covered are highlighte</w:instrText>
      </w:r>
      <w:r w:rsidR="00D40ED8" w:rsidRPr="000E0F90">
        <w:rPr>
          <w:rFonts w:ascii="Arial" w:hAnsi="Arial" w:cs="Arial"/>
          <w:color w:val="000000" w:themeColor="text1"/>
        </w:rPr>
        <w:instrText>d. Based on the findings (iv) a road map is outlined to encourage further research on the elaboration of a sufficient set of principles for sustainable urban neighborhood development. \u00a9 2013 Elsevier B.V.", "author" : [ { "dropping-particle" : "", "family" : "Luederitz", "given" : "Christopher", "non-dropping-particle" : "", "parse-names" : false, "suffix" : "" }, { "dropping-particle" : "", "family" : "Lang", "given" : "Daniel J.", "non-dropping-particle" : "", "parse-names" : false, "suffix" : "" }, { "dropping-particle" : "", "family" : "Wehrden", "given" : "Henrik", "non-dropping-particle" : "Von", "parse-names" : false, "suffix" : "" } ], "container-title" : "Landscape and Urban Planning", "id" : "ITEM-1", "issued" : { "date-parts" : [ [ "2013" ] ] }, "page" : "40-52", "publisher" : "Elsevier B.V.", "title" : "A systematic review of guiding principles for sustainable urban neighborhood development", "type" : "article-journal", "volume" : "118" }, "uris" : [ "http://www.mendeley.com/documents/?uuid=6bcfcece-dda2-466f-b77d-29fdaec204ad" ] } ], "mendeley" : { "formattedCitation" : "(Luederitz et al., 2013)", "plainTextFormattedCitation" : "(Luederitz et al., 2013)", "previouslyFormattedCitation" : "(Luederitz et al., 2013)" }, "properties" : { "noteIndex" : 0 }, "schema" : "https://github.com/citation-style-language/schema/raw/master/csl-citation.json" }</w:instrText>
      </w:r>
      <w:r w:rsidR="00D40ED8" w:rsidRPr="000E0F90">
        <w:rPr>
          <w:rFonts w:ascii="Arial" w:hAnsi="Arial" w:cs="Arial"/>
          <w:color w:val="000000" w:themeColor="text1"/>
        </w:rPr>
        <w:fldChar w:fldCharType="separate"/>
      </w:r>
      <w:r w:rsidR="00D40ED8" w:rsidRPr="000E0F90">
        <w:rPr>
          <w:rFonts w:ascii="Arial" w:hAnsi="Arial" w:cs="Arial"/>
          <w:noProof/>
          <w:color w:val="000000" w:themeColor="text1"/>
        </w:rPr>
        <w:t>(Luederitz et al., 2013)</w:t>
      </w:r>
      <w:r w:rsidR="00D40ED8" w:rsidRPr="000E0F90">
        <w:rPr>
          <w:rFonts w:ascii="Arial" w:hAnsi="Arial" w:cs="Arial"/>
          <w:color w:val="000000" w:themeColor="text1"/>
        </w:rPr>
        <w:fldChar w:fldCharType="end"/>
      </w:r>
      <w:r w:rsidR="00D40ED8" w:rsidRPr="000E0F90">
        <w:rPr>
          <w:rFonts w:ascii="Arial" w:hAnsi="Arial" w:cs="Arial"/>
          <w:color w:val="000000" w:themeColor="text1"/>
        </w:rPr>
        <w:t xml:space="preserve"> </w:t>
      </w:r>
      <w:r w:rsidR="00D40ED8" w:rsidRPr="000E0F90">
        <w:rPr>
          <w:rFonts w:ascii="Arial" w:hAnsi="Arial" w:cs="Arial"/>
          <w:color w:val="000000" w:themeColor="text1"/>
        </w:rPr>
        <w:fldChar w:fldCharType="begin" w:fldLock="1"/>
      </w:r>
      <w:r w:rsidR="00D40ED8" w:rsidRPr="000E0F90">
        <w:rPr>
          <w:rFonts w:ascii="Arial" w:hAnsi="Arial" w:cs="Arial"/>
          <w:color w:val="000000" w:themeColor="text1"/>
        </w:rPr>
        <w:instrText>ADDIN CSL_CITATION { "citationItems" : [ { "id" : "ITEM-1", "itemData" : { "DOI" : "10.1016/j.eiar.2012.12.004", "ISBN" : "0195-9255", "ISSN" : "01959255", "abstract" : "This paper presents a framework for analysing the degree of consideration of sustainability principles in Strategic environmental assessment (SEA), and demonstrates its application to a sample of SEA of Italian urban plans. The framework is based on Gibson's (2006) sustainability principles, which are linked to a number of guidance criteria and eventually to review questions, resulting from an extensive literature review. A total of 71 questions are included in the framework, which gives particular emphasis to key concepts, such as intragenerational and intergenerational equity. The framework was applied to review the Environmental Report of the urban plans of 15 major Italian cities. The results of this review show that, even if sustainability is commonly considered as a pivotal concept, there is still work to be done in order to effectively integrate sustainability principles into SEA. In particular, most of the attention is given to mitigation and compensation measures, rather than to actual attempts to propose more sustainable planning decisions in the first place. Concerning the proposed framework of analysis, further research is required to clarify equity concerns and particularly to identify suitable indicators for operationalizing the concepts of intra/inter-generational equity in decision-making. ?? 2012 Elsevier Inc.", "author" : [ { "dropping-particle" : "", "family" : "Lamorgese", "given" : "Lydia", "non-dropping-particle" : "", "parse-names" : false, "suffix" : "" }, { "dropping-particle" : "", "family" : "Geneletti", "given" : "Davide", "non-dropping-particle" : "", "parse-names" : false, "suffix" : "" } ], "container-title" : "Environmental Impact Assessment Review", "id" : "ITEM-1", "issued" : { "date-parts" : [ [ "2013" ] ] }, "page" : "116-126", "publisher" : "Elsevier Inc.", "title" : "Sustainability principles in strategic environmental assessment: A framework for analysis and examples from Italian urban planning", "type" : "article-journal", "volume" : "42" }, "uris" : [ "http://www.mendeley.com/documents/?uuid=50281d85-3e46-42bb-9a5c-be11d8f3b1d0" ] } ], "mendeley" : { "formattedCitation" : "(Lamorgese &amp; Geneletti, 2013)", "plainTextFormattedCitation" : "(Lamorgese &amp; Geneletti, 2013)", "previouslyFormattedCitation" : "(Lamorgese &amp; Geneletti, 2013)" }, "properties" : { "noteIndex" : 0 }, "schema" : "https://github.com/citation-style-language/schema/raw/master/csl-citation.json" }</w:instrText>
      </w:r>
      <w:r w:rsidR="00D40ED8" w:rsidRPr="000E0F90">
        <w:rPr>
          <w:rFonts w:ascii="Arial" w:hAnsi="Arial" w:cs="Arial"/>
          <w:color w:val="000000" w:themeColor="text1"/>
        </w:rPr>
        <w:fldChar w:fldCharType="separate"/>
      </w:r>
      <w:r w:rsidR="00D40ED8" w:rsidRPr="000E0F90">
        <w:rPr>
          <w:rFonts w:ascii="Arial" w:hAnsi="Arial" w:cs="Arial"/>
          <w:noProof/>
          <w:color w:val="000000" w:themeColor="text1"/>
        </w:rPr>
        <w:t>(Lamorgese &amp; Geneletti, 2013)</w:t>
      </w:r>
      <w:r w:rsidR="00D40ED8" w:rsidRPr="000E0F90">
        <w:rPr>
          <w:rFonts w:ascii="Arial" w:hAnsi="Arial" w:cs="Arial"/>
          <w:color w:val="000000" w:themeColor="text1"/>
        </w:rPr>
        <w:fldChar w:fldCharType="end"/>
      </w:r>
      <w:r w:rsidR="00D40ED8" w:rsidRPr="000E0F90">
        <w:rPr>
          <w:rFonts w:ascii="Arial" w:hAnsi="Arial" w:cs="Arial"/>
          <w:color w:val="000000" w:themeColor="text1"/>
        </w:rPr>
        <w:t>.</w:t>
      </w:r>
      <w:r w:rsidR="00807FC5" w:rsidRPr="000E0F90">
        <w:rPr>
          <w:rFonts w:ascii="Arial" w:hAnsi="Arial" w:cs="Arial"/>
          <w:color w:val="000000" w:themeColor="text1"/>
        </w:rPr>
        <w:t xml:space="preserve"> </w:t>
      </w:r>
      <w:r w:rsidR="00362DE3" w:rsidRPr="000E0F90">
        <w:rPr>
          <w:rFonts w:ascii="Arial" w:hAnsi="Arial" w:cs="Arial"/>
          <w:color w:val="000000" w:themeColor="text1"/>
        </w:rPr>
        <w:t>L</w:t>
      </w:r>
      <w:r w:rsidR="00E521C4" w:rsidRPr="000E0F90">
        <w:rPr>
          <w:rFonts w:ascii="Arial" w:hAnsi="Arial" w:cs="Arial"/>
          <w:color w:val="000000" w:themeColor="text1"/>
        </w:rPr>
        <w:t xml:space="preserve">os principios corresponden a las características </w:t>
      </w:r>
      <w:r w:rsidR="00D215A5" w:rsidRPr="000E0F90">
        <w:rPr>
          <w:rFonts w:ascii="Arial" w:hAnsi="Arial" w:cs="Arial"/>
          <w:color w:val="000000" w:themeColor="text1"/>
        </w:rPr>
        <w:t>fundacionales de los sistemas</w:t>
      </w:r>
      <w:r w:rsidR="00E521C4" w:rsidRPr="000E0F90">
        <w:rPr>
          <w:rFonts w:ascii="Arial" w:hAnsi="Arial" w:cs="Arial"/>
          <w:color w:val="000000" w:themeColor="text1"/>
        </w:rPr>
        <w:t xml:space="preserve"> </w:t>
      </w:r>
      <w:sdt>
        <w:sdtPr>
          <w:rPr>
            <w:rFonts w:ascii="Arial" w:hAnsi="Arial" w:cs="Arial"/>
            <w:color w:val="000000" w:themeColor="text1"/>
          </w:rPr>
          <w:id w:val="-2094772901"/>
          <w:citation/>
        </w:sdtPr>
        <w:sdtEndPr/>
        <w:sdtContent>
          <w:r w:rsidR="00E521C4" w:rsidRPr="000E0F90">
            <w:rPr>
              <w:rFonts w:ascii="Arial" w:hAnsi="Arial" w:cs="Arial"/>
              <w:color w:val="000000" w:themeColor="text1"/>
            </w:rPr>
            <w:fldChar w:fldCharType="begin"/>
          </w:r>
          <w:r w:rsidR="00E521C4" w:rsidRPr="000E0F90">
            <w:rPr>
              <w:rFonts w:ascii="Arial" w:hAnsi="Arial" w:cs="Arial"/>
              <w:color w:val="000000" w:themeColor="text1"/>
            </w:rPr>
            <w:instrText xml:space="preserve"> CITATION Onl16 \l 13322 </w:instrText>
          </w:r>
          <w:r w:rsidR="00E521C4" w:rsidRPr="000E0F90">
            <w:rPr>
              <w:rFonts w:ascii="Arial" w:hAnsi="Arial" w:cs="Arial"/>
              <w:color w:val="000000" w:themeColor="text1"/>
            </w:rPr>
            <w:fldChar w:fldCharType="separate"/>
          </w:r>
          <w:r w:rsidR="008D0261" w:rsidRPr="000E0F90">
            <w:rPr>
              <w:rFonts w:ascii="Arial" w:hAnsi="Arial" w:cs="Arial"/>
              <w:noProof/>
              <w:color w:val="000000" w:themeColor="text1"/>
            </w:rPr>
            <w:t>(Etymonline, 2016)</w:t>
          </w:r>
          <w:r w:rsidR="00E521C4" w:rsidRPr="000E0F90">
            <w:rPr>
              <w:rFonts w:ascii="Arial" w:hAnsi="Arial" w:cs="Arial"/>
              <w:color w:val="000000" w:themeColor="text1"/>
            </w:rPr>
            <w:fldChar w:fldCharType="end"/>
          </w:r>
        </w:sdtContent>
      </w:sdt>
      <w:r w:rsidR="00362DE3" w:rsidRPr="000E0F90">
        <w:rPr>
          <w:rFonts w:ascii="Arial" w:hAnsi="Arial" w:cs="Arial"/>
          <w:color w:val="000000" w:themeColor="text1"/>
        </w:rPr>
        <w:t xml:space="preserve"> (i.e. espíritu del sistema)</w:t>
      </w:r>
      <w:r w:rsidR="00140A5B" w:rsidRPr="000E0F90">
        <w:rPr>
          <w:rFonts w:ascii="Arial" w:hAnsi="Arial" w:cs="Arial"/>
          <w:color w:val="000000" w:themeColor="text1"/>
        </w:rPr>
        <w:t xml:space="preserve">, </w:t>
      </w:r>
      <w:r w:rsidR="00362DE3" w:rsidRPr="000E0F90">
        <w:rPr>
          <w:rFonts w:ascii="Arial" w:hAnsi="Arial" w:cs="Arial"/>
          <w:color w:val="000000" w:themeColor="text1"/>
        </w:rPr>
        <w:t>p</w:t>
      </w:r>
      <w:r w:rsidR="00140A5B" w:rsidRPr="000E0F90">
        <w:rPr>
          <w:rFonts w:ascii="Arial" w:hAnsi="Arial" w:cs="Arial"/>
          <w:color w:val="000000" w:themeColor="text1"/>
        </w:rPr>
        <w:t xml:space="preserve">or tanto requieren ser potenciados para asegurar la viabilidad del mismo </w:t>
      </w:r>
      <w:r w:rsidR="00140A5B" w:rsidRPr="000E0F90">
        <w:rPr>
          <w:rFonts w:ascii="Arial" w:hAnsi="Arial" w:cs="Arial"/>
          <w:color w:val="000000" w:themeColor="text1"/>
        </w:rPr>
        <w:fldChar w:fldCharType="begin" w:fldLock="1"/>
      </w:r>
      <w:r w:rsidR="00140A5B" w:rsidRPr="000E0F90">
        <w:rPr>
          <w:rFonts w:ascii="Arial" w:hAnsi="Arial" w:cs="Arial"/>
          <w:color w:val="000000" w:themeColor="text1"/>
        </w:rPr>
        <w:instrText>ADDIN CSL_CITATION { "citationItems" : [ { "id" : "ITEM-1", "itemData" : { "ISBN" : "0720401313", "author" : [ { "dropping-particle" : "", "family" : "Alpa", "given" : "Guido", "non-dropping-particle" : "", "parse-names" : false, "suffix" : "" } ], "container-title" : "Encyclopedia of Public International Law", "id" : "ITEM-1", "issue" : "1", "issued" : { "date-parts" : [ [ "1992" ] ] }, "page" : "511-527", "title" : "General Principles of Law", "type" : "article-journal", "volume" : "1" }, "uris" : [ "http://www.mendeley.com/documents/?uuid=6ed868c0-6967-4f20-bf1a-f24941db8f57" ] } ], "mendeley" : { "formattedCitation" : "(Alpa, 1992)", "plainTextFormattedCitation" : "(Alpa, 1992)", "previouslyFormattedCitation" : "(Alpa, 1992)" }, "properties" : { "noteIndex" : 0 }, "schema" : "https://github.com/citation-style-language/schema/raw/master/csl-citation.json" }</w:instrText>
      </w:r>
      <w:r w:rsidR="00140A5B" w:rsidRPr="000E0F90">
        <w:rPr>
          <w:rFonts w:ascii="Arial" w:hAnsi="Arial" w:cs="Arial"/>
          <w:color w:val="000000" w:themeColor="text1"/>
        </w:rPr>
        <w:fldChar w:fldCharType="separate"/>
      </w:r>
      <w:r w:rsidR="00140A5B" w:rsidRPr="000E0F90">
        <w:rPr>
          <w:rFonts w:ascii="Arial" w:hAnsi="Arial" w:cs="Arial"/>
          <w:noProof/>
          <w:color w:val="000000" w:themeColor="text1"/>
        </w:rPr>
        <w:t>(Alpa, 1992)</w:t>
      </w:r>
      <w:r w:rsidR="00140A5B" w:rsidRPr="000E0F90">
        <w:rPr>
          <w:rFonts w:ascii="Arial" w:hAnsi="Arial" w:cs="Arial"/>
          <w:color w:val="000000" w:themeColor="text1"/>
        </w:rPr>
        <w:fldChar w:fldCharType="end"/>
      </w:r>
      <w:r w:rsidR="00140A5B" w:rsidRPr="000E0F90">
        <w:rPr>
          <w:rFonts w:ascii="Arial" w:hAnsi="Arial" w:cs="Arial"/>
          <w:color w:val="000000" w:themeColor="text1"/>
        </w:rPr>
        <w:t xml:space="preserve">. </w:t>
      </w:r>
      <w:r w:rsidR="00362DE3" w:rsidRPr="000E0F90">
        <w:rPr>
          <w:rFonts w:ascii="Arial" w:hAnsi="Arial" w:cs="Arial"/>
          <w:color w:val="000000" w:themeColor="text1"/>
        </w:rPr>
        <w:t xml:space="preserve">Pudiendo conformarse como una guía para la gestión territorial </w:t>
      </w:r>
      <w:r w:rsidR="00362DE3" w:rsidRPr="000E0F90">
        <w:rPr>
          <w:rFonts w:ascii="Arial" w:hAnsi="Arial" w:cs="Arial"/>
          <w:color w:val="000000" w:themeColor="text1"/>
        </w:rPr>
        <w:fldChar w:fldCharType="begin" w:fldLock="1"/>
      </w:r>
      <w:r w:rsidR="00362DE3" w:rsidRPr="000E0F90">
        <w:rPr>
          <w:rFonts w:ascii="Arial" w:hAnsi="Arial" w:cs="Arial"/>
          <w:color w:val="000000" w:themeColor="text1"/>
        </w:rPr>
        <w:instrText>ADDIN CSL_CITATION { "citationItems" : [ { "id" : "ITEM-1", "itemData" : { "DOI" : "10.1016/j.landurbplan.2013.06.002", "ISBN" : "0169-2046", "ISSN" : "01692046", "abstract" : "The proportion of urban population is increasing globally. Climate change, biodiversity loss, and environmental pollution are leading to the urgent need to increase sustainable development of and through cities and their components. Encouraging and enabling sustainable lifestyles of urban inhabitants can be fostered by developing sustainable urban neighborhoods as the nuclei of cities. Numerous approaches exist that define principles for guiding sustainable development processes of urban neighborhoods. However, it remains unclear if these approaches really consider the core objectives that should be achieved and key actions that are involved to move toward sustainability. This study represents the first quantitative review that evaluates the principles for sustainable urban neighborhood development based on the available literature. We thus (i) identify promising approaches that present principles close to core criteria for sustainability and (ii) provide starting points for developing a more robust set of principles by bringing together the examined literature. Furthermore (iii), sustainability aspects that are insufficiently covered are highlighted. Based on the findings (iv) a road map is outlined to encourage further research on the elaboration of a sufficient set of principles for sustainable urban neighborhood development. \u00a9 2013 Elsevier B.V.", "author" : [ { "dropping-particle" : "", "family" : "Luederitz", "given" : "Christopher", "non-dropping-particle" : "", "parse-names" : false, "suffix" : "" }, { "dropping-particle" : "", "family" : "Lang", "given" : "Daniel J.", "non-dropping-particle" : "", "parse-names" : false, "suffix" : "" }, { "dropping-particle" : "", "family" : "Wehrden", "given" : "Henrik", "non-dropping-particle" : "Von", "parse-names" : false, "suffix" : "" } ], "container-title" : "Landscape and Urban Planning", "id" : "ITEM-1", "issued" : { "date-parts" : [ [ "2013" ] ] }, "page" : "40-52", "publisher" : "Elsevier B.V.", "title" : "A systematic review of guiding principles for sustainable urban neighborhood development", "type" : "article-journal", "volume" : "118" }, "uris" : [ "http://www.mendeley.com/documents/?uuid=6bcfcece-dda2-466f-b77d-29fdaec204ad" ] } ], "mendeley" : { "formattedCitation" : "(Luederitz et al., 2013)", "plainTextFormattedCitation" : "(Luederitz et al., 2013)", "previouslyFormattedCitation" : "(Luederitz et al., 2013)" }, "properties" : { "noteIndex" : 0 }, "schema" : "https://github.com/citation-style-language/schema/raw/master/csl-citation.json" }</w:instrText>
      </w:r>
      <w:r w:rsidR="00362DE3" w:rsidRPr="000E0F90">
        <w:rPr>
          <w:rFonts w:ascii="Arial" w:hAnsi="Arial" w:cs="Arial"/>
          <w:color w:val="000000" w:themeColor="text1"/>
        </w:rPr>
        <w:fldChar w:fldCharType="separate"/>
      </w:r>
      <w:r w:rsidR="00362DE3" w:rsidRPr="000E0F90">
        <w:rPr>
          <w:rFonts w:ascii="Arial" w:hAnsi="Arial" w:cs="Arial"/>
          <w:noProof/>
          <w:color w:val="000000" w:themeColor="text1"/>
        </w:rPr>
        <w:t>(Luederitz et al., 2013)</w:t>
      </w:r>
      <w:r w:rsidR="00362DE3" w:rsidRPr="000E0F90">
        <w:rPr>
          <w:rFonts w:ascii="Arial" w:hAnsi="Arial" w:cs="Arial"/>
          <w:color w:val="000000" w:themeColor="text1"/>
        </w:rPr>
        <w:fldChar w:fldCharType="end"/>
      </w:r>
      <w:r w:rsidR="00362DE3" w:rsidRPr="000E0F90">
        <w:rPr>
          <w:rFonts w:ascii="Arial" w:hAnsi="Arial" w:cs="Arial"/>
          <w:color w:val="000000" w:themeColor="text1"/>
        </w:rPr>
        <w:t>.</w:t>
      </w:r>
    </w:p>
    <w:p w:rsidR="00D215A5" w:rsidRPr="000E0F90" w:rsidRDefault="00C4769B" w:rsidP="002B538F">
      <w:pPr>
        <w:spacing w:line="360" w:lineRule="auto"/>
        <w:rPr>
          <w:rFonts w:ascii="Arial" w:hAnsi="Arial" w:cs="Arial"/>
          <w:color w:val="000000" w:themeColor="text1"/>
        </w:rPr>
      </w:pPr>
      <w:r w:rsidRPr="000E0F90">
        <w:rPr>
          <w:rFonts w:ascii="Arial" w:hAnsi="Arial" w:cs="Arial"/>
          <w:color w:val="000000" w:themeColor="text1"/>
          <w:lang w:eastAsia="es-CL"/>
        </w:rPr>
        <w:lastRenderedPageBreak/>
        <w:t xml:space="preserve">Los principios de sostenibilidad buscan alcanzar la integridad y viabilidad del sistema, de acuerdo a limitantes medioambientales </w:t>
      </w:r>
      <w:r w:rsidRPr="000E0F90">
        <w:rPr>
          <w:rFonts w:ascii="Arial" w:hAnsi="Arial" w:cs="Arial"/>
          <w:color w:val="000000" w:themeColor="text1"/>
          <w:lang w:eastAsia="es-CL"/>
        </w:rPr>
        <w:fldChar w:fldCharType="begin" w:fldLock="1"/>
      </w:r>
      <w:r w:rsidRPr="000E0F90">
        <w:rPr>
          <w:rFonts w:ascii="Arial" w:hAnsi="Arial" w:cs="Arial"/>
          <w:color w:val="000000" w:themeColor="text1"/>
          <w:lang w:eastAsia="es-CL"/>
        </w:rPr>
        <w:instrText>ADDIN CSL_CITATION { "citationItems" : [ { "id" : "ITEM-1", "itemData" : { "DOI" : "10.1016/j.landurbplan.2013.06.002", "ISBN" : "0169-2046", "ISSN" : "01692046", "abstract" : "The proportion of urban population is increasing globally. Climate change, biodiversity loss, and environmental pollution are leading to the urgent need to increase sustainable development of and through cities and their components. Encouraging and enabling sustainable lifestyles of urban inhabitants can be fostered by developing sustainable urban neighborhoods as the nuclei of cities. Numerous approaches exist that define principles for guiding sustainable development processes of urban neighborhoods. However, it remains unclear if these approaches really consider the core objectives that should be achieved and key actions that are involved to move toward sustainability. This study represents the first quantitative review that evaluates the principles for sustainable urban neighborhood development based on the available literature. We thus (i) identify promising approaches that present principles close to core criteria for sustainability and (ii) provide starting points for developing a more robust set of principles by bringing together the examined literature. Furthermore (iii), sustainability aspects that are insufficiently covered are highlighted. Based on the findings (iv) a road map is outlined to encourage further research on the elaboration of a sufficient set of principles for sustainable urban neighborhood development. \u00a9 2013 Elsevier B.V.", "author" : [ { "dropping-particle" : "", "family" : "Luederitz", "given" : "Christopher", "non-dropping-particle" : "", "parse-names" : false, "suffix" : "" }, { "dropping-particle" : "", "family" : "Lang", "given" : "Daniel J.", "non-dropping-particle" : "", "parse-names" : false, "suffix" : "" }, { "dropping-particle" : "", "family" : "Wehrden", "given" : "Henrik", "non-dropping-particle" : "Von", "parse-names" : false, "suffix" : "" } ], "container-title" : "Landscape and Urban Planning", "id" : "ITEM-1", "issued" : { "date-parts" : [ [ "2013" ] ] }, "page" : "40-52", "publisher" : "Elsevier B.V.", "title" : "A systematic review of guiding principles for sustainable urban neighborhood development", "type" : "article-journal", "volume" : "118" }, "uris" : [ "http://www.mendeley.com/documents/?uuid=6bcfcece-dda2-466f-b77d-29fdaec204ad" ] } ], "mendeley" : { "formattedCitation" : "(Luederitz et al., 2013)", "plainTextFormattedCitation" : "(Luederitz et al., 2013)", "previouslyFormattedCitation" : "(Luederitz et al., 2013)" }, "properties" : { "noteIndex" : 0 }, "schema" : "https://github.com/citation-style-language/schema/raw/master/csl-citation.json" }</w:instrText>
      </w:r>
      <w:r w:rsidRPr="000E0F90">
        <w:rPr>
          <w:rFonts w:ascii="Arial" w:hAnsi="Arial" w:cs="Arial"/>
          <w:color w:val="000000" w:themeColor="text1"/>
          <w:lang w:eastAsia="es-CL"/>
        </w:rPr>
        <w:fldChar w:fldCharType="separate"/>
      </w:r>
      <w:r w:rsidRPr="000E0F90">
        <w:rPr>
          <w:rFonts w:ascii="Arial" w:hAnsi="Arial" w:cs="Arial"/>
          <w:noProof/>
          <w:color w:val="000000" w:themeColor="text1"/>
          <w:lang w:eastAsia="es-CL"/>
        </w:rPr>
        <w:t>(Luederitz et al., 2013)</w:t>
      </w:r>
      <w:r w:rsidRPr="000E0F90">
        <w:rPr>
          <w:rFonts w:ascii="Arial" w:hAnsi="Arial" w:cs="Arial"/>
          <w:color w:val="000000" w:themeColor="text1"/>
          <w:lang w:eastAsia="es-CL"/>
        </w:rPr>
        <w:fldChar w:fldCharType="end"/>
      </w:r>
      <w:r w:rsidR="00D07925" w:rsidRPr="000E0F90">
        <w:rPr>
          <w:rFonts w:ascii="Arial" w:hAnsi="Arial" w:cs="Arial"/>
          <w:color w:val="000000" w:themeColor="text1"/>
          <w:lang w:eastAsia="es-CL"/>
        </w:rPr>
        <w:t xml:space="preserve">. Siendo </w:t>
      </w:r>
      <w:r w:rsidR="00D215A5" w:rsidRPr="000E0F90">
        <w:rPr>
          <w:rFonts w:ascii="Arial" w:hAnsi="Arial" w:cs="Arial"/>
          <w:color w:val="000000" w:themeColor="text1"/>
        </w:rPr>
        <w:t xml:space="preserve">estatutos </w:t>
      </w:r>
      <w:r w:rsidR="001C61B7" w:rsidRPr="000E0F90">
        <w:rPr>
          <w:rFonts w:ascii="Arial" w:hAnsi="Arial" w:cs="Arial"/>
          <w:color w:val="000000" w:themeColor="text1"/>
        </w:rPr>
        <w:t>transversales</w:t>
      </w:r>
      <w:r w:rsidR="00D215A5" w:rsidRPr="000E0F90">
        <w:rPr>
          <w:rFonts w:ascii="Arial" w:hAnsi="Arial" w:cs="Arial"/>
          <w:color w:val="000000" w:themeColor="text1"/>
        </w:rPr>
        <w:t xml:space="preserve"> de cada territorio, independiente de su vocación, insensibles a las condiciones particulares y prioridades de los diferentes casos y lugares </w:t>
      </w:r>
      <w:r w:rsidR="00D215A5" w:rsidRPr="000E0F90">
        <w:rPr>
          <w:rFonts w:ascii="Arial" w:hAnsi="Arial" w:cs="Arial"/>
          <w:color w:val="000000" w:themeColor="text1"/>
        </w:rPr>
        <w:fldChar w:fldCharType="begin" w:fldLock="1"/>
      </w:r>
      <w:r w:rsidR="00D215A5" w:rsidRPr="000E0F90">
        <w:rPr>
          <w:rFonts w:ascii="Arial" w:hAnsi="Arial" w:cs="Arial"/>
          <w:color w:val="000000" w:themeColor="text1"/>
        </w:rPr>
        <w:instrText>ADDIN CSL_CITATION { "citationItems" : [ { "id" : "ITEM-1", "itemData" : { "author" : [ { "dropping-particle" : "", "family" : "Gibson", "given" : "Robert B", "non-dropping-particle" : "", "parse-names" : false, "suffix" : "" } ], "id" : "ITEM-1", "issue" : "3", "issued" : { "date-parts" : [ [ "2006" ] ] }, "page" : "259-280", "title" : "BEYOND THE PILLARS : SUSTAINABILITY ASSESSMENT AS A FRAMEWORK FOR EFFECTIVE INTEGRATION OF SOCIAL , ECONOMIC AND ECOLOGICAL CONSIDERATIONS IN SIGNIFICANT DECISION-MAKING The core argument here is quite simple . Because sustainability is an essentially int", "type" : "article-journal", "volume" : "8" }, "uris" : [ "http://www.mendeley.com/documents/?uuid=d3c97d20-f0ff-429a-8693-8b289fd7b587" ] } ], "mendeley" : { "formattedCitation" : "(Gibson, 2006)", "plainTextFormattedCitation" : "(Gibson, 2006)", "previouslyFormattedCitation" : "(Gibson, 2006)" }, "properties" : { "noteIndex" : 0 }, "schema" : "https://github.com/citation-style-language/schema/raw/master/csl-citation.json" }</w:instrText>
      </w:r>
      <w:r w:rsidR="00D215A5" w:rsidRPr="000E0F90">
        <w:rPr>
          <w:rFonts w:ascii="Arial" w:hAnsi="Arial" w:cs="Arial"/>
          <w:color w:val="000000" w:themeColor="text1"/>
        </w:rPr>
        <w:fldChar w:fldCharType="separate"/>
      </w:r>
      <w:r w:rsidR="00D215A5" w:rsidRPr="000E0F90">
        <w:rPr>
          <w:rFonts w:ascii="Arial" w:hAnsi="Arial" w:cs="Arial"/>
          <w:noProof/>
          <w:color w:val="000000" w:themeColor="text1"/>
        </w:rPr>
        <w:t>(Gibson, 2006)</w:t>
      </w:r>
      <w:r w:rsidR="00D215A5" w:rsidRPr="000E0F90">
        <w:rPr>
          <w:rFonts w:ascii="Arial" w:hAnsi="Arial" w:cs="Arial"/>
          <w:color w:val="000000" w:themeColor="text1"/>
        </w:rPr>
        <w:fldChar w:fldCharType="end"/>
      </w:r>
      <w:r w:rsidR="00D215A5" w:rsidRPr="000E0F90">
        <w:rPr>
          <w:rFonts w:ascii="Arial" w:hAnsi="Arial" w:cs="Arial"/>
          <w:color w:val="000000" w:themeColor="text1"/>
        </w:rPr>
        <w:t xml:space="preserve"> </w:t>
      </w:r>
      <w:r w:rsidR="00D215A5" w:rsidRPr="000E0F90">
        <w:rPr>
          <w:rFonts w:ascii="Arial" w:hAnsi="Arial" w:cs="Arial"/>
          <w:color w:val="000000" w:themeColor="text1"/>
        </w:rPr>
        <w:fldChar w:fldCharType="begin" w:fldLock="1"/>
      </w:r>
      <w:r w:rsidR="00D215A5" w:rsidRPr="000E0F90">
        <w:rPr>
          <w:rFonts w:ascii="Arial" w:hAnsi="Arial" w:cs="Arial"/>
          <w:color w:val="000000" w:themeColor="text1"/>
        </w:rPr>
        <w:instrText>ADDIN CSL_CITATION { "citationItems" : [ { "id" : "ITEM-1", "itemData" : { "ISSN" : "1993-3800", "abstract" : "New Urbanism New Urbanism is an urban design movement, which arose in the USA in the early 1980s, promoting walkable, mixed-use neighbourhoods and transit-oriented development, seeking to end suburban sprawl and promote community. Characteristics include narrow streets, wide sidewalks and higher densities, qualities which we can all find in the European cities. Green Urbanism Green Urbanism is a conceptual model for zero-emission and zero-waste urban design, which arose in the 1990s, promoting compact energy-efficient urban development, seeking to transform and re-engineer existing city districts and regenerate the post-industrial city centre. It promotes the development of socially and environmentally sustainable city districts. This paper will first look at the timeline of important publications that have been published on sustainable design and have emerged from different schools of thought, to exemplify how gradually the notion of Green Urbanism evolved. It then identifies the intertwined principles for achieving Green Urbanism.", "author" : [ { "dropping-particle" : "", "family" : "Lehmann", "given" : "Steffen", "non-dropping-particle" : "", "parse-names" : false, "suffix" : "" } ], "container-title" : "Survey And Perspectives Integrating Environment &amp; Society", "id" : "ITEM-1", "issue" : "October", "issued" : { "date-parts" : [ [ "2010" ] ] }, "page" : "Art. 6", "title" : "Green Urbanism: Formulating a Series of Holistic Principles.", "type" : "article-journal", "volume" : "3" }, "uris" : [ "http://www.mendeley.com/documents/?uuid=7b43f80a-d8ec-4748-a9dc-ee203f8b89d7" ] } ], "mendeley" : { "formattedCitation" : "(Lehmann, 2010)", "plainTextFormattedCitation" : "(Lehmann, 2010)", "previouslyFormattedCitation" : "(Lehmann, 2010)" }, "properties" : { "noteIndex" : 0 }, "schema" : "https://github.com/citation-style-language/schema/raw/master/csl-citation.json" }</w:instrText>
      </w:r>
      <w:r w:rsidR="00D215A5" w:rsidRPr="000E0F90">
        <w:rPr>
          <w:rFonts w:ascii="Arial" w:hAnsi="Arial" w:cs="Arial"/>
          <w:color w:val="000000" w:themeColor="text1"/>
        </w:rPr>
        <w:fldChar w:fldCharType="separate"/>
      </w:r>
      <w:r w:rsidR="00D215A5" w:rsidRPr="000E0F90">
        <w:rPr>
          <w:rFonts w:ascii="Arial" w:hAnsi="Arial" w:cs="Arial"/>
          <w:noProof/>
          <w:color w:val="000000" w:themeColor="text1"/>
        </w:rPr>
        <w:t>(Lehmann, 2010)</w:t>
      </w:r>
      <w:r w:rsidR="00D215A5" w:rsidRPr="000E0F90">
        <w:rPr>
          <w:rFonts w:ascii="Arial" w:hAnsi="Arial" w:cs="Arial"/>
          <w:color w:val="000000" w:themeColor="text1"/>
        </w:rPr>
        <w:fldChar w:fldCharType="end"/>
      </w:r>
      <w:r w:rsidR="00D215A5" w:rsidRPr="000E0F90">
        <w:rPr>
          <w:rFonts w:ascii="Arial" w:hAnsi="Arial" w:cs="Arial"/>
          <w:color w:val="000000" w:themeColor="text1"/>
        </w:rPr>
        <w:t xml:space="preserve">. Por cuanto, requieren adaptación a los aspectos </w:t>
      </w:r>
      <w:r w:rsidR="00140A5B" w:rsidRPr="000E0F90">
        <w:rPr>
          <w:rFonts w:ascii="Arial" w:hAnsi="Arial" w:cs="Arial"/>
          <w:color w:val="000000" w:themeColor="text1"/>
        </w:rPr>
        <w:t>locales</w:t>
      </w:r>
      <w:r w:rsidR="00D215A5" w:rsidRPr="000E0F90">
        <w:rPr>
          <w:rFonts w:ascii="Arial" w:hAnsi="Arial" w:cs="Arial"/>
          <w:color w:val="000000" w:themeColor="text1"/>
        </w:rPr>
        <w:t xml:space="preserve"> de cada territorio para alcanzar operatividad </w:t>
      </w:r>
      <w:r w:rsidR="00AB16D8" w:rsidRPr="000E0F90">
        <w:rPr>
          <w:rFonts w:ascii="Arial" w:hAnsi="Arial" w:cs="Arial"/>
          <w:color w:val="000000" w:themeColor="text1"/>
        </w:rPr>
        <w:fldChar w:fldCharType="begin" w:fldLock="1"/>
      </w:r>
      <w:r w:rsidR="00AB16D8" w:rsidRPr="000E0F90">
        <w:rPr>
          <w:rFonts w:ascii="Arial" w:hAnsi="Arial" w:cs="Arial"/>
          <w:color w:val="000000" w:themeColor="text1"/>
        </w:rPr>
        <w:instrText>ADDIN CSL_CITATION { "citationItems" : [ { "id" : "ITEM-1", "itemData" : { "DOI" : "10.1016/j.landurbplan.2013.06.002", "ISBN" : "0169-2046", "ISSN" : "01692046", "abstract" : "The proportion of urban population is increasing globally. Climate change, biodiversity loss, and environmental pollution are leading to the urgent need to increase sustainable development of and through cities and their components. Encouraging and enabling sustainable lifestyles of urban inhabitants can be fostered by developing sustainable urban neighborhoods as the nuclei of cities. Numerous approaches exist that define principles for guiding sustainable development processes of urban neighborhoods. However, it remains unclear if these approaches really consider the core objectives that should be achieved and key actions that are involved to move toward sustainability. This study represents the first quantitative review that evaluates the principles for sustainable urban neighborhood development based on the available literature. We thus (i) identify promising approaches that present principles close to core criteria for sustainability and (ii) provide starting points for developing a more robust set of principles by bringing together the examined literature. Furthermore (iii), sustainability aspects that are insufficiently covered are highlighted. Based on the findings (iv) a road map is outlined to encourage further research on the elaboration of a sufficient set of principles for sustainable urban neighborhood development. \u00a9 2013 Elsevier B.V.", "author" : [ { "dropping-particle" : "", "family" : "Luederitz", "given" : "Christopher", "non-dropping-particle" : "", "parse-names" : false, "suffix" : "" }, { "dropping-particle" : "", "family" : "Lang", "given" : "Daniel J.", "non-dropping-particle" : "", "parse-names" : false, "suffix" : "" }, { "dropping-particle" : "", "family" : "Wehrden", "given" : "Henrik", "non-dropping-particle" : "Von", "parse-names" : false, "suffix" : "" } ], "container-title" : "Landscape and Urban Planning", "id" : "ITEM-1", "issued" : { "date-parts" : [ [ "2013" ] ] }, "page" : "40-52", "publisher" : "Elsevier B.V.", "title" : "A systematic review of guiding principles for sustainable urban neighborhood development", "type" : "article-journal", "volume" : "118" }, "uris" : [ "http://www.mendeley.com/documents/?uuid=6bcfcece-dda2-466f-b77d-29fdaec204ad" ] } ], "mendeley" : { "formattedCitation" : "(Luederitz et al., 2013)", "plainTextFormattedCitation" : "(Luederitz et al., 2013)", "previouslyFormattedCitation" : "(Luederitz et al., 2013)" }, "properties" : { "noteIndex" : 0 }, "schema" : "https://github.com/citation-style-language/schema/raw/master/csl-citation.json" }</w:instrText>
      </w:r>
      <w:r w:rsidR="00AB16D8" w:rsidRPr="000E0F90">
        <w:rPr>
          <w:rFonts w:ascii="Arial" w:hAnsi="Arial" w:cs="Arial"/>
          <w:color w:val="000000" w:themeColor="text1"/>
        </w:rPr>
        <w:fldChar w:fldCharType="separate"/>
      </w:r>
      <w:r w:rsidR="00AB16D8" w:rsidRPr="000E0F90">
        <w:rPr>
          <w:rFonts w:ascii="Arial" w:hAnsi="Arial" w:cs="Arial"/>
          <w:noProof/>
          <w:color w:val="000000" w:themeColor="text1"/>
        </w:rPr>
        <w:t>(Luederitz et al., 2013)</w:t>
      </w:r>
      <w:r w:rsidR="00AB16D8" w:rsidRPr="000E0F90">
        <w:rPr>
          <w:rFonts w:ascii="Arial" w:hAnsi="Arial" w:cs="Arial"/>
          <w:color w:val="000000" w:themeColor="text1"/>
        </w:rPr>
        <w:fldChar w:fldCharType="end"/>
      </w:r>
      <w:r w:rsidR="00AB16D8" w:rsidRPr="000E0F90">
        <w:rPr>
          <w:rFonts w:ascii="Arial" w:hAnsi="Arial" w:cs="Arial"/>
          <w:color w:val="000000" w:themeColor="text1"/>
        </w:rPr>
        <w:t xml:space="preserve"> </w:t>
      </w:r>
      <w:r w:rsidR="00AB16D8" w:rsidRPr="000E0F90">
        <w:rPr>
          <w:rFonts w:ascii="Arial" w:hAnsi="Arial" w:cs="Arial"/>
          <w:b/>
          <w:color w:val="000000" w:themeColor="text1"/>
        </w:rPr>
        <w:fldChar w:fldCharType="begin" w:fldLock="1"/>
      </w:r>
      <w:r w:rsidR="00AB16D8" w:rsidRPr="000E0F90">
        <w:rPr>
          <w:rFonts w:ascii="Arial" w:hAnsi="Arial" w:cs="Arial"/>
          <w:b/>
          <w:color w:val="000000" w:themeColor="text1"/>
        </w:rPr>
        <w:instrText>ADDIN CSL_CITATION { "citationItems" : [ { "id" : "ITEM-1", "itemData" : { "abstract" : "In this paper we examine and elaborate on the central elements of sustainable development and governance, considering their interrelations as they have emerged from the core themes in sustainable development discourses over the past decade and a half. We argue that sustainability is best viewed as a socially instituted process of adaptive change in which innovation is a necessary element. We discuss four key elements of governance for sustainability, which are integrated into the concept of transition management. The result is a conceptual framework for policy-making and action-taking aimed at progress towards sustainability", "author" : [ { "dropping-particle" : "", "family" : "Kemp", "given" : "R", "non-dropping-particle" : "", "parse-names" : false, "suffix" : "" }, { "dropping-particle" : "", "family" : "Parto", "given" : "S", "non-dropping-particle" : "", "parse-names" : false, "suffix" : "" }, { "dropping-particle" : "", "family" : "Gibson", "given" : "Rb", "non-dropping-particle" : "", "parse-names" : false, "suffix" : "" } ], "container-title" : "Internaional Journal of Sustainable Development", "id" : "ITEM-1", "issued" : { "date-parts" : [ [ "2005" ] ] }, "page" : "12-30", "title" : "Governance for sustainable development: moving from theory to practice", "type" : "article-journal", "volume" : "8" }, "uris" : [ "http://www.mendeley.com/documents/?uuid=a5871a9c-3dc6-467f-98c6-62d56fd4968d" ] } ], "mendeley" : { "formattedCitation" : "(Kemp, Parto, &amp; Gibson, 2005)", "plainTextFormattedCitation" : "(Kemp, Parto, &amp; Gibson, 2005)", "previouslyFormattedCitation" : "(Kemp, Parto, &amp; Gibson, 2005)" }, "properties" : { "noteIndex" : 0 }, "schema" : "https://github.com/citation-style-language/schema/raw/master/csl-citation.json" }</w:instrText>
      </w:r>
      <w:r w:rsidR="00AB16D8" w:rsidRPr="000E0F90">
        <w:rPr>
          <w:rFonts w:ascii="Arial" w:hAnsi="Arial" w:cs="Arial"/>
          <w:b/>
          <w:color w:val="000000" w:themeColor="text1"/>
        </w:rPr>
        <w:fldChar w:fldCharType="separate"/>
      </w:r>
      <w:r w:rsidR="00AB16D8" w:rsidRPr="000E0F90">
        <w:rPr>
          <w:rFonts w:ascii="Arial" w:hAnsi="Arial" w:cs="Arial"/>
          <w:noProof/>
          <w:color w:val="000000" w:themeColor="text1"/>
        </w:rPr>
        <w:t>(Kemp, Parto, &amp; Gibson, 2005)</w:t>
      </w:r>
      <w:r w:rsidR="00AB16D8" w:rsidRPr="000E0F90">
        <w:rPr>
          <w:rFonts w:ascii="Arial" w:hAnsi="Arial" w:cs="Arial"/>
          <w:color w:val="000000" w:themeColor="text1"/>
        </w:rPr>
        <w:fldChar w:fldCharType="end"/>
      </w:r>
      <w:r w:rsidR="00AB16D8" w:rsidRPr="000E0F90">
        <w:rPr>
          <w:rFonts w:ascii="Arial" w:hAnsi="Arial" w:cs="Arial"/>
          <w:color w:val="000000" w:themeColor="text1"/>
        </w:rPr>
        <w:fldChar w:fldCharType="begin" w:fldLock="1"/>
      </w:r>
      <w:r w:rsidR="00AB16D8" w:rsidRPr="000E0F90">
        <w:rPr>
          <w:rFonts w:ascii="Arial" w:hAnsi="Arial" w:cs="Arial"/>
          <w:color w:val="000000" w:themeColor="text1"/>
        </w:rPr>
        <w:instrText>ADDIN CSL_CITATION { "citationItems" : [ { "id" : "ITEM-1", "itemData" : { "DOI" : "10.3152/146155110X12772982841122", "ISSN" : "1461-5517", "abstract" : "Assessments today need to help reverse trends towards deeper unsustainability and address the unavoidable interconnections, feedbacks and uncertainties that typify complex socio-ecological systems at all scales. To illustrate one promising approach, this paper describes a modest effort to integrate understandings from Gibson et al\u2019s approach to sustainability assessment with the Resilience Alliance\u2019s applications of complex systems thinking into a suite of systems and sustainability based criteria. The integrated sustainability\u2013resilience criteria were used to assess an existing small-scale biodiesel operation on Barbados that involves waste management, public health, transportation, energy security and community involvement considerations. The assessment revealed that the main benefit of this biodiesel project is in social learning rather than enhancing energy security and waste management, and the best ways of enhancing the project lie in larger scale policy initiatives. The findings suggest that the use of a sustainability\u2013resilience approach can contribute insights unlikely to emerge from more narrowly focused assessments.", "author" : [ { "dropping-particle" : "", "family" : "Gaudreau", "given" : "Kyrke", "non-dropping-particle" : "", "parse-names" : false, "suffix" : "" }, { "dropping-particle" : "", "family" : "Gibson", "given" : "Robert B.", "non-dropping-particle" : "", "parse-names" : false, "suffix" : "" } ], "container-title" : "Impact Assessment and Project Appraisal", "id" : "ITEM-1", "issue" : "December", "issued" : { "date-parts" : [ [ "2010" ] ] }, "page" : "233-243", "title" : "Illustrating integrated sustainability and resilience based assessments: a small-scale biodiesel project in Barbados", "type" : "article-journal", "volume" : "28" }, "uris" : [ "http://www.mendeley.com/documents/?uuid=fee76635-1433-4c27-9c85-bbbf459c7e59" ] } ], "mendeley" : { "formattedCitation" : "(Gaudreau &amp; Gibson, 2010)", "plainTextFormattedCitation" : "(Gaudreau &amp; Gibson, 2010)", "previouslyFormattedCitation" : "(Gaudreau &amp; Gibson, 2010)" }, "properties" : { "noteIndex" : 0 }, "schema" : "https://github.com/citation-style-language/schema/raw/master/csl-citation.json" }</w:instrText>
      </w:r>
      <w:r w:rsidR="00AB16D8" w:rsidRPr="000E0F90">
        <w:rPr>
          <w:rFonts w:ascii="Arial" w:hAnsi="Arial" w:cs="Arial"/>
          <w:color w:val="000000" w:themeColor="text1"/>
        </w:rPr>
        <w:fldChar w:fldCharType="separate"/>
      </w:r>
      <w:r w:rsidR="00AB16D8" w:rsidRPr="000E0F90">
        <w:rPr>
          <w:rFonts w:ascii="Arial" w:hAnsi="Arial" w:cs="Arial"/>
          <w:noProof/>
          <w:color w:val="000000" w:themeColor="text1"/>
        </w:rPr>
        <w:t>(Gaudreau &amp; Gibson, 2010)</w:t>
      </w:r>
      <w:r w:rsidR="00AB16D8" w:rsidRPr="000E0F90">
        <w:rPr>
          <w:rFonts w:ascii="Arial" w:hAnsi="Arial" w:cs="Arial"/>
          <w:color w:val="000000" w:themeColor="text1"/>
        </w:rPr>
        <w:fldChar w:fldCharType="end"/>
      </w:r>
      <w:r w:rsidR="00AB16D8" w:rsidRPr="000E0F90">
        <w:rPr>
          <w:rFonts w:ascii="Arial" w:hAnsi="Arial" w:cs="Arial"/>
          <w:color w:val="000000" w:themeColor="text1"/>
        </w:rPr>
        <w:t xml:space="preserve"> </w:t>
      </w:r>
      <w:r w:rsidR="00AB16D8" w:rsidRPr="000E0F90">
        <w:rPr>
          <w:rFonts w:ascii="Arial" w:hAnsi="Arial" w:cs="Arial"/>
          <w:color w:val="000000" w:themeColor="text1"/>
        </w:rPr>
        <w:fldChar w:fldCharType="begin" w:fldLock="1"/>
      </w:r>
      <w:r w:rsidR="00AB16D8" w:rsidRPr="000E0F90">
        <w:rPr>
          <w:rFonts w:ascii="Arial" w:hAnsi="Arial" w:cs="Arial"/>
          <w:color w:val="000000" w:themeColor="text1"/>
        </w:rPr>
        <w:instrText>ADDIN CSL_CITATION { "citationItems" : [ { "id" : "ITEM-1", "itemData" : { "DOI" : "10.1016/j.landurbplan.2013.07.005", "ISSN" : "01692046", "author" : [ { "dropping-particle" : "", "family" : "Pinto-Correia", "given" : "T.", "non-dropping-particle" : "", "parse-names" : false, "suffix" : "" }, { "dropping-particle" : "", "family" : "Kristensen", "given" : "L.", "non-dropping-particle" : "", "parse-names" : false, "suffix" : "" } ], "container-title" : "Landscape and Urban Planning", "id" : "ITEM-1", "issued" : { "date-parts" : [ [ "2013", "12" ] ] }, "page" : "248-256", "publisher" : "Elsevier B.V.", "title" : "Linking research to practice: The landscape as the basis for integrating social and ecological perspectives of the rural", "type" : "article-journal", "volume" : "120" }, "uris" : [ "http://www.mendeley.com/documents/?uuid=42583594-0365-406f-8689-1b5abc0d0b5f" ] } ], "mendeley" : { "formattedCitation" : "(Pinto-Correia &amp; Kristensen, 2013)", "plainTextFormattedCitation" : "(Pinto-Correia &amp; Kristensen, 2013)", "previouslyFormattedCitation" : "(Pinto-Correia &amp; Kristensen, 2013)" }, "properties" : { "noteIndex" : 0 }, "schema" : "https://github.com/citation-style-language/schema/raw/master/csl-citation.json" }</w:instrText>
      </w:r>
      <w:r w:rsidR="00AB16D8" w:rsidRPr="000E0F90">
        <w:rPr>
          <w:rFonts w:ascii="Arial" w:hAnsi="Arial" w:cs="Arial"/>
          <w:color w:val="000000" w:themeColor="text1"/>
        </w:rPr>
        <w:fldChar w:fldCharType="separate"/>
      </w:r>
      <w:r w:rsidR="00AB16D8" w:rsidRPr="000E0F90">
        <w:rPr>
          <w:rFonts w:ascii="Arial" w:hAnsi="Arial" w:cs="Arial"/>
          <w:noProof/>
          <w:color w:val="000000" w:themeColor="text1"/>
        </w:rPr>
        <w:t>(Pinto-Correia &amp; Kristensen, 2013)</w:t>
      </w:r>
      <w:r w:rsidR="00AB16D8" w:rsidRPr="000E0F90">
        <w:rPr>
          <w:rFonts w:ascii="Arial" w:hAnsi="Arial" w:cs="Arial"/>
          <w:color w:val="000000" w:themeColor="text1"/>
        </w:rPr>
        <w:fldChar w:fldCharType="end"/>
      </w:r>
      <w:r w:rsidR="00AB16D8" w:rsidRPr="000E0F90">
        <w:rPr>
          <w:rFonts w:ascii="Arial" w:hAnsi="Arial" w:cs="Arial"/>
          <w:color w:val="000000" w:themeColor="text1"/>
        </w:rPr>
        <w:t xml:space="preserve">. </w:t>
      </w:r>
    </w:p>
    <w:p w:rsidR="004453F3" w:rsidRPr="000E0F90" w:rsidRDefault="002319E7" w:rsidP="002B538F">
      <w:pPr>
        <w:spacing w:line="360" w:lineRule="auto"/>
        <w:rPr>
          <w:rFonts w:ascii="Arial" w:hAnsi="Arial" w:cs="Arial"/>
          <w:color w:val="000000" w:themeColor="text1"/>
        </w:rPr>
      </w:pPr>
      <w:r w:rsidRPr="000E0F90">
        <w:rPr>
          <w:rFonts w:ascii="Arial" w:hAnsi="Arial" w:cs="Arial"/>
          <w:color w:val="000000" w:themeColor="text1"/>
        </w:rPr>
        <w:t>Por consiguiente</w:t>
      </w:r>
      <w:r w:rsidR="00BF2CEA" w:rsidRPr="000E0F90">
        <w:rPr>
          <w:rFonts w:ascii="Arial" w:hAnsi="Arial" w:cs="Arial"/>
          <w:color w:val="000000" w:themeColor="text1"/>
        </w:rPr>
        <w:t xml:space="preserve">, </w:t>
      </w:r>
      <w:r w:rsidR="00C070C1" w:rsidRPr="000E0F90">
        <w:rPr>
          <w:rFonts w:ascii="Arial" w:hAnsi="Arial" w:cs="Arial"/>
          <w:color w:val="000000" w:themeColor="text1"/>
        </w:rPr>
        <w:t>c</w:t>
      </w:r>
      <w:r w:rsidR="00F22AA6" w:rsidRPr="000E0F90">
        <w:rPr>
          <w:rFonts w:ascii="Arial" w:hAnsi="Arial" w:cs="Arial"/>
          <w:color w:val="000000" w:themeColor="text1"/>
        </w:rPr>
        <w:t>ualquier</w:t>
      </w:r>
      <w:r w:rsidR="00D215A5" w:rsidRPr="000E0F90">
        <w:rPr>
          <w:rFonts w:ascii="Arial" w:hAnsi="Arial" w:cs="Arial"/>
          <w:color w:val="000000" w:themeColor="text1"/>
        </w:rPr>
        <w:t xml:space="preserve"> iniciativa de sostenibilidad territorial, debe elaborarse, no sólo de fuentes de información científica, sino que incorpore </w:t>
      </w:r>
      <w:r w:rsidR="004453F3" w:rsidRPr="000E0F90">
        <w:rPr>
          <w:rFonts w:ascii="Arial" w:hAnsi="Arial" w:cs="Arial"/>
          <w:color w:val="000000" w:themeColor="text1"/>
        </w:rPr>
        <w:t xml:space="preserve">múltiples </w:t>
      </w:r>
      <w:r w:rsidR="00D215A5" w:rsidRPr="000E0F90">
        <w:rPr>
          <w:rFonts w:ascii="Arial" w:hAnsi="Arial" w:cs="Arial"/>
          <w:color w:val="000000" w:themeColor="text1"/>
        </w:rPr>
        <w:t>actores sociales (i.e. comunidades, empresas privadas), es decir que confluyan lo</w:t>
      </w:r>
      <w:r w:rsidR="004453F3" w:rsidRPr="000E0F90">
        <w:rPr>
          <w:rFonts w:ascii="Arial" w:hAnsi="Arial" w:cs="Arial"/>
          <w:color w:val="000000" w:themeColor="text1"/>
        </w:rPr>
        <w:t>s enfoques</w:t>
      </w:r>
      <w:r w:rsidR="00AA2F73" w:rsidRPr="000E0F90">
        <w:rPr>
          <w:rFonts w:ascii="Arial" w:hAnsi="Arial" w:cs="Arial"/>
          <w:color w:val="000000" w:themeColor="text1"/>
        </w:rPr>
        <w:t xml:space="preserve"> desde arriba (i.e.</w:t>
      </w:r>
      <w:r w:rsidR="004453F3" w:rsidRPr="000E0F90">
        <w:rPr>
          <w:rFonts w:ascii="Arial" w:hAnsi="Arial" w:cs="Arial"/>
          <w:color w:val="000000" w:themeColor="text1"/>
        </w:rPr>
        <w:t xml:space="preserve"> </w:t>
      </w:r>
      <w:r w:rsidR="004453F3" w:rsidRPr="009F22EB">
        <w:rPr>
          <w:rFonts w:ascii="Arial" w:hAnsi="Arial" w:cs="Arial"/>
          <w:i/>
          <w:color w:val="000000" w:themeColor="text1"/>
        </w:rPr>
        <w:t>top-down</w:t>
      </w:r>
      <w:r w:rsidR="00AA2F73" w:rsidRPr="000E0F90">
        <w:rPr>
          <w:rFonts w:ascii="Arial" w:hAnsi="Arial" w:cs="Arial"/>
          <w:color w:val="000000" w:themeColor="text1"/>
        </w:rPr>
        <w:t xml:space="preserve">) y desde abajo (i.e. </w:t>
      </w:r>
      <w:r w:rsidR="004453F3" w:rsidRPr="009F22EB">
        <w:rPr>
          <w:rFonts w:ascii="Arial" w:hAnsi="Arial" w:cs="Arial"/>
          <w:i/>
          <w:color w:val="000000" w:themeColor="text1"/>
        </w:rPr>
        <w:t>bottom up</w:t>
      </w:r>
      <w:r w:rsidR="00AA2F73" w:rsidRPr="000E0F90">
        <w:rPr>
          <w:rFonts w:ascii="Arial" w:hAnsi="Arial" w:cs="Arial"/>
          <w:color w:val="000000" w:themeColor="text1"/>
        </w:rPr>
        <w:t>)</w:t>
      </w:r>
      <w:r w:rsidR="00D215A5" w:rsidRPr="000E0F90">
        <w:rPr>
          <w:rFonts w:ascii="Arial" w:hAnsi="Arial" w:cs="Arial"/>
          <w:color w:val="000000" w:themeColor="text1"/>
        </w:rPr>
        <w:t xml:space="preserve"> </w:t>
      </w:r>
      <w:r w:rsidR="004453F3" w:rsidRPr="000E0F90">
        <w:rPr>
          <w:rFonts w:ascii="Arial" w:hAnsi="Arial" w:cs="Arial"/>
          <w:color w:val="000000" w:themeColor="text1"/>
        </w:rPr>
        <w:fldChar w:fldCharType="begin" w:fldLock="1"/>
      </w:r>
      <w:r w:rsidR="005E5EE8" w:rsidRPr="000E0F90">
        <w:rPr>
          <w:rFonts w:ascii="Arial" w:hAnsi="Arial" w:cs="Arial"/>
          <w:color w:val="000000" w:themeColor="text1"/>
        </w:rPr>
        <w:instrText>ADDIN CSL_CITATION { "citationItems" : [ { "id" : "ITEM-1", "itemData" : { "DOI" : "10.1016/j.jrurstud.2006.02.006", "ISSN" : "07430167", "author" : [ { "dropping-particle" : "", "family" : "Rist", "given" : "Stephan", "non-dropping-particle" : "", "parse-names" : false, "suffix" : "" }, { "dropping-particle" : "", "family" : "Chidambaranathan", "given" : "Mani", "non-dropping-particle" : "", "parse-names" : false, "suffix" : "" }, { "dropping-particle" : "", "family" : "Escobar", "given" : "Cesar", "non-dropping-particle" : "", "parse-names" : false, "suffix" : "" }, { "dropping-particle" : "", "family" : "Wiesmann", "given" : "Urs", "non-dropping-particle" : "", "parse-names" : false, "suffix" : "" }, { "dropping-particle" : "", "family" : "Zimmermann", "given" : "Anne", "non-dropping-particle" : "", "parse-names" : false, "suffix" : "" } ], "container-title" : "Journal of Rural Studies", "id" : "ITEM-1", "issued" : { "date-parts" : [ [ "2007" ] ] }, "page" : "23-37", "title" : "Moving from sustainable management to sustainable governance of natural resources: The role of social learning processes in rural India, Bolivia and Mali", "type" : "article-journal", "volume" : "23" }, "uris" : [ "http://www.mendeley.com/documents/?uuid=7abead10-9752-491b-b796-c2a634dfdf38" ] } ], "mendeley" : { "formattedCitation" : "(Rist, Chidambaranathan, Escobar, Wiesmann, &amp; Zimmermann, 2007)", "manualFormatting" : "(Rist et al., 2007)", "plainTextFormattedCitation" : "(Rist, Chidambaranathan, Escobar, Wiesmann, &amp; Zimmermann, 2007)", "previouslyFormattedCitation" : "(Rist, Chidambaranathan, Escobar, Wiesmann, &amp; Zimmermann, 2007)" }, "properties" : { "noteIndex" : 0 }, "schema" : "https://github.com/citation-style-language/schema/raw/master/csl-citation.json" }</w:instrText>
      </w:r>
      <w:r w:rsidR="004453F3" w:rsidRPr="000E0F90">
        <w:rPr>
          <w:rFonts w:ascii="Arial" w:hAnsi="Arial" w:cs="Arial"/>
          <w:color w:val="000000" w:themeColor="text1"/>
        </w:rPr>
        <w:fldChar w:fldCharType="separate"/>
      </w:r>
      <w:r w:rsidR="004453F3" w:rsidRPr="000E0F90">
        <w:rPr>
          <w:rFonts w:ascii="Arial" w:hAnsi="Arial" w:cs="Arial"/>
          <w:noProof/>
          <w:color w:val="000000" w:themeColor="text1"/>
        </w:rPr>
        <w:t>(Rist</w:t>
      </w:r>
      <w:r w:rsidR="00083C14" w:rsidRPr="000E0F90">
        <w:rPr>
          <w:rFonts w:ascii="Arial" w:hAnsi="Arial" w:cs="Arial"/>
          <w:noProof/>
          <w:color w:val="000000" w:themeColor="text1"/>
        </w:rPr>
        <w:t xml:space="preserve"> et al., </w:t>
      </w:r>
      <w:r w:rsidR="004453F3" w:rsidRPr="000E0F90">
        <w:rPr>
          <w:rFonts w:ascii="Arial" w:hAnsi="Arial" w:cs="Arial"/>
          <w:noProof/>
          <w:color w:val="000000" w:themeColor="text1"/>
        </w:rPr>
        <w:t>2007)</w:t>
      </w:r>
      <w:r w:rsidR="004453F3" w:rsidRPr="000E0F90">
        <w:rPr>
          <w:rFonts w:ascii="Arial" w:hAnsi="Arial" w:cs="Arial"/>
          <w:color w:val="000000" w:themeColor="text1"/>
        </w:rPr>
        <w:fldChar w:fldCharType="end"/>
      </w:r>
      <w:r w:rsidR="004453F3" w:rsidRPr="000E0F90">
        <w:rPr>
          <w:rFonts w:ascii="Arial" w:hAnsi="Arial" w:cs="Arial"/>
          <w:color w:val="000000" w:themeColor="text1"/>
        </w:rPr>
        <w:t>.</w:t>
      </w:r>
      <w:r w:rsidRPr="000E0F90">
        <w:rPr>
          <w:rFonts w:ascii="Arial" w:hAnsi="Arial" w:cs="Arial"/>
          <w:color w:val="000000" w:themeColor="text1"/>
        </w:rPr>
        <w:t xml:space="preserve"> Siendo considerados </w:t>
      </w:r>
      <w:r w:rsidR="004453F3" w:rsidRPr="000E0F90">
        <w:rPr>
          <w:rFonts w:ascii="Arial" w:hAnsi="Arial" w:cs="Arial"/>
          <w:color w:val="000000" w:themeColor="text1"/>
        </w:rPr>
        <w:t xml:space="preserve">los actores sociales en la elaboración de los principios de sostenibilidad, dado que, identifican mejor su entorno local, social, económico y natural, y reconociendo sus propios intereses, pueden definir sus políticas de sostenibilidad y comprometerse a cumplir los principios </w:t>
      </w:r>
      <w:r w:rsidR="004453F3" w:rsidRPr="000E0F90">
        <w:rPr>
          <w:rFonts w:ascii="Arial" w:hAnsi="Arial" w:cs="Arial"/>
          <w:color w:val="000000" w:themeColor="text1"/>
        </w:rPr>
        <w:fldChar w:fldCharType="begin" w:fldLock="1"/>
      </w:r>
      <w:r w:rsidR="004453F3" w:rsidRPr="000E0F90">
        <w:rPr>
          <w:rFonts w:ascii="Arial" w:hAnsi="Arial" w:cs="Arial"/>
          <w:color w:val="000000" w:themeColor="text1"/>
        </w:rPr>
        <w:instrText>ADDIN CSL_CITATION { "citationItems" : [ { "id" : "ITEM-1", "itemData" : { "DOI" : "10.1016/j.eiar.2011.03.004", "ISSN" : "01959255", "author" : [ { "dropping-particle" : "", "family" : "P\u00e9ti", "given" : "M\u00e1rton", "non-dropping-particle" : "", "parse-names" : false, "suffix" : "" } ], "container-title" : "Environmental Impact Assessment Review", "id" : "ITEM-1", "issue" : "1", "issued" : { "date-parts" : [ [ "2012", "1" ] ] }, "page" : "61-73", "publisher" : "Elsevier Inc.", "title" : "A territorial understanding of sustainability in public development", "type" : "article-journal", "volume" : "32" }, "uris" : [ "http://www.mendeley.com/documents/?uuid=2c50d869-67be-4755-b16b-fcbc56b8af44" ] } ], "mendeley" : { "formattedCitation" : "(P\u00e9ti, 2012)", "plainTextFormattedCitation" : "(P\u00e9ti, 2012)", "previouslyFormattedCitation" : "(P\u00e9ti, 2012)" }, "properties" : { "noteIndex" : 0 }, "schema" : "https://github.com/citation-style-language/schema/raw/master/csl-citation.json" }</w:instrText>
      </w:r>
      <w:r w:rsidR="004453F3" w:rsidRPr="000E0F90">
        <w:rPr>
          <w:rFonts w:ascii="Arial" w:hAnsi="Arial" w:cs="Arial"/>
          <w:color w:val="000000" w:themeColor="text1"/>
        </w:rPr>
        <w:fldChar w:fldCharType="separate"/>
      </w:r>
      <w:r w:rsidR="004453F3" w:rsidRPr="000E0F90">
        <w:rPr>
          <w:rFonts w:ascii="Arial" w:hAnsi="Arial" w:cs="Arial"/>
          <w:noProof/>
          <w:color w:val="000000" w:themeColor="text1"/>
        </w:rPr>
        <w:t>(Péti, 2012)</w:t>
      </w:r>
      <w:r w:rsidR="004453F3" w:rsidRPr="000E0F90">
        <w:rPr>
          <w:rFonts w:ascii="Arial" w:hAnsi="Arial" w:cs="Arial"/>
          <w:color w:val="000000" w:themeColor="text1"/>
        </w:rPr>
        <w:fldChar w:fldCharType="end"/>
      </w:r>
      <w:r w:rsidR="004453F3" w:rsidRPr="000E0F90">
        <w:rPr>
          <w:rFonts w:ascii="Arial" w:hAnsi="Arial" w:cs="Arial"/>
          <w:color w:val="000000" w:themeColor="text1"/>
        </w:rPr>
        <w:t xml:space="preserve"> </w:t>
      </w:r>
      <w:r w:rsidR="004453F3" w:rsidRPr="000E0F90">
        <w:rPr>
          <w:rFonts w:ascii="Arial" w:hAnsi="Arial" w:cs="Arial"/>
          <w:color w:val="000000" w:themeColor="text1"/>
        </w:rPr>
        <w:fldChar w:fldCharType="begin" w:fldLock="1"/>
      </w:r>
      <w:r w:rsidR="004453F3" w:rsidRPr="000E0F90">
        <w:rPr>
          <w:rFonts w:ascii="Arial" w:hAnsi="Arial" w:cs="Arial"/>
          <w:color w:val="000000" w:themeColor="text1"/>
        </w:rPr>
        <w:instrText>ADDIN CSL_CITATION { "citationItems" : [ { "id" : "ITEM-1", "itemData" : { "DOI" : "10.1007/s11625-011-0149-x", "ISSN" : "1862-4065", "author" : [ { "dropping-particle" : "", "family" : "Lang", "given" : "Daniel J.", "non-dropping-particle" : "", "parse-names" : false, "suffix" : "" }, { "dropping-particle" : "", "family" : "Wiek", "given" : "Arnim", "non-dropping-particle" : "", "parse-names" : false, "suffix" : "" }, { "dropping-particle" : "", "family" : "Bergmann", "given" : "Matthias", "non-dropping-particle" : "", "parse-names" : false, "suffix" : "" }, { "dropping-particle" : "", "family" : "Stauffacher", "given" : "Michael", "non-dropping-particle" : "", "parse-names" : false, "suffix" : "" }, { "dropping-particle" : "", "family" : "Martens", "given" : "Pim", "non-dropping-particle" : "", "parse-names" : false, "suffix" : "" }, { "dropping-particle" : "", "family" : "Moll", "given" : "Peter", "non-dropping-particle" : "", "parse-names" : false, "suffix" : "" }, { "dropping-particle" : "", "family" : "Swilling", "given" : "Mark", "non-dropping-particle" : "", "parse-names" : false, "suffix" : "" }, { "dropping-particle" : "", "family" : "Thomas", "given" : "Christopher J.", "non-dropping-particle" : "", "parse-names" : false, "suffix" : "" } ], "container-title" : "Sustainability Science", "id" : "ITEM-1", "issue" : "S1", "issued" : { "date-parts" : [ [ "2012", "2", "4" ] ] }, "page" : "25-43", "title" : "Transdisciplinary research in sustainability science: practice, principles, and challenges", "type" : "article-journal", "volume" : "7" }, "uris" : [ "http://www.mendeley.com/documents/?uuid=55e57808-a684-48c8-96b2-6751acd4a37b" ] } ], "mendeley" : { "formattedCitation" : "(Lang et al., 2012)", "plainTextFormattedCitation" : "(Lang et al., 2012)", "previouslyFormattedCitation" : "(Lang et al., 2012)" }, "properties" : { "noteIndex" : 0 }, "schema" : "https://github.com/citation-style-language/schema/raw/master/csl-citation.json" }</w:instrText>
      </w:r>
      <w:r w:rsidR="004453F3" w:rsidRPr="000E0F90">
        <w:rPr>
          <w:rFonts w:ascii="Arial" w:hAnsi="Arial" w:cs="Arial"/>
          <w:color w:val="000000" w:themeColor="text1"/>
        </w:rPr>
        <w:fldChar w:fldCharType="separate"/>
      </w:r>
      <w:r w:rsidR="004453F3" w:rsidRPr="000E0F90">
        <w:rPr>
          <w:rFonts w:ascii="Arial" w:hAnsi="Arial" w:cs="Arial"/>
          <w:noProof/>
          <w:color w:val="000000" w:themeColor="text1"/>
        </w:rPr>
        <w:t>(Lang et al., 2012)</w:t>
      </w:r>
      <w:r w:rsidR="004453F3" w:rsidRPr="000E0F90">
        <w:rPr>
          <w:rFonts w:ascii="Arial" w:hAnsi="Arial" w:cs="Arial"/>
          <w:color w:val="000000" w:themeColor="text1"/>
        </w:rPr>
        <w:fldChar w:fldCharType="end"/>
      </w:r>
      <w:r w:rsidR="00CF6ADB" w:rsidRPr="000E0F90">
        <w:rPr>
          <w:rFonts w:ascii="Arial" w:hAnsi="Arial" w:cs="Arial"/>
          <w:color w:val="000000" w:themeColor="text1"/>
        </w:rPr>
        <w:t xml:space="preserve">. </w:t>
      </w:r>
    </w:p>
    <w:p w:rsidR="009A5F96" w:rsidRPr="000E0F90" w:rsidRDefault="00EE71B2" w:rsidP="002B538F">
      <w:pPr>
        <w:spacing w:line="360" w:lineRule="auto"/>
        <w:rPr>
          <w:rFonts w:ascii="Arial" w:eastAsiaTheme="majorEastAsia" w:hAnsi="Arial" w:cs="Arial"/>
          <w:b/>
          <w:bCs/>
          <w:color w:val="000000" w:themeColor="text1"/>
          <w:sz w:val="28"/>
          <w:szCs w:val="28"/>
        </w:rPr>
      </w:pPr>
      <w:r w:rsidRPr="000E0F90">
        <w:rPr>
          <w:rFonts w:ascii="Arial" w:hAnsi="Arial" w:cs="Arial"/>
          <w:color w:val="000000" w:themeColor="text1"/>
        </w:rPr>
        <w:t>Igual de important</w:t>
      </w:r>
      <w:r w:rsidR="004453F3" w:rsidRPr="000E0F90">
        <w:rPr>
          <w:rFonts w:ascii="Arial" w:hAnsi="Arial" w:cs="Arial"/>
          <w:color w:val="000000" w:themeColor="text1"/>
        </w:rPr>
        <w:t>e</w:t>
      </w:r>
      <w:r w:rsidRPr="000E0F90">
        <w:rPr>
          <w:rFonts w:ascii="Arial" w:hAnsi="Arial" w:cs="Arial"/>
          <w:color w:val="000000" w:themeColor="text1"/>
        </w:rPr>
        <w:t xml:space="preserve"> que la elaboración de principios de sostenibilidad territorial, es l</w:t>
      </w:r>
      <w:r w:rsidR="009A5F96" w:rsidRPr="000E0F90">
        <w:rPr>
          <w:rFonts w:ascii="Arial" w:hAnsi="Arial" w:cs="Arial"/>
          <w:color w:val="000000" w:themeColor="text1"/>
        </w:rPr>
        <w:t>a evaluación de cualquier propuesta de sostenibilidad</w:t>
      </w:r>
      <w:r w:rsidRPr="000E0F90">
        <w:rPr>
          <w:rFonts w:ascii="Arial" w:hAnsi="Arial" w:cs="Arial"/>
          <w:color w:val="000000" w:themeColor="text1"/>
        </w:rPr>
        <w:t xml:space="preserve">, </w:t>
      </w:r>
      <w:r w:rsidR="009A5F96" w:rsidRPr="000E0F90">
        <w:rPr>
          <w:rFonts w:ascii="Arial" w:hAnsi="Arial" w:cs="Arial"/>
          <w:color w:val="000000" w:themeColor="text1"/>
        </w:rPr>
        <w:t xml:space="preserve">aspecto </w:t>
      </w:r>
      <w:r w:rsidR="001C61B7" w:rsidRPr="000E0F90">
        <w:rPr>
          <w:rFonts w:ascii="Arial" w:hAnsi="Arial" w:cs="Arial"/>
          <w:color w:val="000000" w:themeColor="text1"/>
        </w:rPr>
        <w:t>esencial</w:t>
      </w:r>
      <w:r w:rsidR="009A5F96" w:rsidRPr="000E0F90">
        <w:rPr>
          <w:rFonts w:ascii="Arial" w:hAnsi="Arial" w:cs="Arial"/>
          <w:color w:val="000000" w:themeColor="text1"/>
        </w:rPr>
        <w:t xml:space="preserve"> para dirigir a los territorios hacia la sostenibilidad, </w:t>
      </w:r>
      <w:r w:rsidRPr="000E0F90">
        <w:rPr>
          <w:rFonts w:ascii="Arial" w:hAnsi="Arial" w:cs="Arial"/>
          <w:color w:val="000000" w:themeColor="text1"/>
        </w:rPr>
        <w:t>e</w:t>
      </w:r>
      <w:r w:rsidR="009A5F96" w:rsidRPr="000E0F90">
        <w:rPr>
          <w:rFonts w:ascii="Arial" w:hAnsi="Arial" w:cs="Arial"/>
          <w:color w:val="000000" w:themeColor="text1"/>
        </w:rPr>
        <w:t>stablec</w:t>
      </w:r>
      <w:r w:rsidRPr="000E0F90">
        <w:rPr>
          <w:rFonts w:ascii="Arial" w:hAnsi="Arial" w:cs="Arial"/>
          <w:color w:val="000000" w:themeColor="text1"/>
        </w:rPr>
        <w:t>iendo</w:t>
      </w:r>
      <w:r w:rsidR="009A5F96" w:rsidRPr="000E0F90">
        <w:rPr>
          <w:rFonts w:ascii="Arial" w:hAnsi="Arial" w:cs="Arial"/>
          <w:color w:val="000000" w:themeColor="text1"/>
        </w:rPr>
        <w:t xml:space="preserve"> u</w:t>
      </w:r>
      <w:r w:rsidR="00CF6ADB" w:rsidRPr="000E0F90">
        <w:rPr>
          <w:rFonts w:ascii="Arial" w:hAnsi="Arial" w:cs="Arial"/>
          <w:color w:val="000000" w:themeColor="text1"/>
        </w:rPr>
        <w:t xml:space="preserve">na </w:t>
      </w:r>
      <w:r w:rsidR="001C61B7" w:rsidRPr="000E0F90">
        <w:rPr>
          <w:rFonts w:ascii="Arial" w:hAnsi="Arial" w:cs="Arial"/>
          <w:color w:val="000000" w:themeColor="text1"/>
        </w:rPr>
        <w:t>condición</w:t>
      </w:r>
      <w:r w:rsidR="00CF6ADB" w:rsidRPr="000E0F90">
        <w:rPr>
          <w:rFonts w:ascii="Arial" w:hAnsi="Arial" w:cs="Arial"/>
          <w:color w:val="000000" w:themeColor="text1"/>
        </w:rPr>
        <w:t xml:space="preserve"> inicial</w:t>
      </w:r>
      <w:r w:rsidR="009A5F96" w:rsidRPr="000E0F90">
        <w:rPr>
          <w:rFonts w:ascii="Arial" w:hAnsi="Arial" w:cs="Arial"/>
          <w:color w:val="000000" w:themeColor="text1"/>
        </w:rPr>
        <w:t xml:space="preserve"> para monitorear el progreso e implementar las adaptaciones adecuadas de la propuesta </w:t>
      </w:r>
      <w:r w:rsidR="009A5F96" w:rsidRPr="000E0F90">
        <w:rPr>
          <w:rFonts w:ascii="Arial" w:hAnsi="Arial" w:cs="Arial"/>
          <w:color w:val="000000" w:themeColor="text1"/>
        </w:rPr>
        <w:fldChar w:fldCharType="begin" w:fldLock="1"/>
      </w:r>
      <w:r w:rsidR="0084726A" w:rsidRPr="000E0F90">
        <w:rPr>
          <w:rFonts w:ascii="Arial" w:hAnsi="Arial" w:cs="Arial"/>
          <w:color w:val="000000" w:themeColor="text1"/>
        </w:rPr>
        <w:instrText>ADDIN CSL_CITATION { "citationItems" : [ { "id" : "ITEM-1", "itemData" : { "DOI" : "10.1007/s11625-014-0281-5", "ISBN" : "1862-4065", "ISSN" : "18624057", "abstract" : "Landscape approaches are widely applied in attempts to reconcile tradeoffs amongst different actors with conflicting demands on land and water resources. Key principles for landscape approaches have been endorsed by inter-governmental processes dealing with climate change mitigation and adaptation and biodiversity conservation. We review experiences from seven landscapes located in the Congo Basin, Eastern Indonesia and Northern Australia. Landscape initiatives were applied in situations where large-scale extractive industries, local peoples\u2019 livelihoods and global biodiversity objectives were in conflict. We found that common published principles for landscape approaches are not applied systematically in the areas studied. Practitioners draw upon landscape approach principles selectively and adapt them to deal with local conditions. We consider that landscape approaches do not provide silver bullet solutions to these situations nor do they provide an operational framework for large-scale land management. Landscape approaches do, however, provide an organising framework for disentangling the complexity of the landscape and facilitating the investigation of impacts of different courses of action. They enable alternative scenarios for what future landscapes might look like to be investigated and they create the space for multi-stakeholder negotiations. Outcomes from landscape scale approaches are determined by the power differentials amongst stakeholders and the existence, or otherwise, of functional institutions to take decisions and enforce agreements. Landscape approaches cannot overcome disparities in power or entrenched interests nor can they substitute for institutions with authority to establish and legitimise property and resource rights. They can, however, provide a mechanism around which civil society can be mobilised to achieve better land use outcomes. Landscape approaches are successful when they have strong leadership, sustained long-term and facilitated processes, good governance, adequate budgets and adequate metrics for assessing progress. Private sector engagement is necessary and all parties must have sufficient shared interest in outcomes to motivate their participation.", "author" : [ { "dropping-particle" : "", "family" : "Sayer", "given" : "Jeffrey", "non-dropping-particle" : "", "parse-names" : false, "suffix" : "" }, { "dropping-particle" : "", "family" : "Margules", "given" : "Chris", "non-dropping-particle" : "", "parse-names" : false, "suffix" : "" }, { "dropping-particle" : "", "family" : "Boedhihartono", "given" : "Agni Klintuni", "non-dropping-particle" : "", "parse-names" : false, "suffix" : "" }, { "dropping-particle" : "", "family" : "Dale", "given" : "Allan", "non-dropping-particle" : "", "parse-names" : false, "suffix" : "" }, { "dropping-particle" : "", "family" : "Sunderland", "given" : "Terry", "non-dropping-particle" : "", "parse-names" : false, "suffix" : "" }, { "dropping-particle" : "", "family" : "Supriatna", "given" : "Jatna", "non-dropping-particle" : "", "parse-names" : false, "suffix" : "" }, { "dropping-particle" : "", "family" : "Saryanthi", "given" : "Ria", "non-dropping-particle" : "", "parse-names" : false, "suffix" : "" } ], "container-title" : "Sustainability Science", "id" : "ITEM-1", "issued" : { "date-parts" : [ [ "2015" ] ] }, "page" : "345-355", "title" : "Landscape approaches; what are the pre-conditions for success?", "type" : "article-journal", "volume" : "10" }, "uris" : [ "http://www.mendeley.com/documents/?uuid=3be3d6dc-2147-4a28-8936-89f73b5a5dac" ] } ], "mendeley" : { "formattedCitation" : "(Sayer et al., 2015)", "plainTextFormattedCitation" : "(Sayer et al., 2015)", "previouslyFormattedCitation" : "(Sayer et al., 2015)" }, "properties" : { "noteIndex" : 0 }, "schema" : "https://github.com/citation-style-language/schema/raw/master/csl-citation.json" }</w:instrText>
      </w:r>
      <w:r w:rsidR="009A5F96" w:rsidRPr="000E0F90">
        <w:rPr>
          <w:rFonts w:ascii="Arial" w:hAnsi="Arial" w:cs="Arial"/>
          <w:color w:val="000000" w:themeColor="text1"/>
        </w:rPr>
        <w:fldChar w:fldCharType="separate"/>
      </w:r>
      <w:r w:rsidR="009A5F96" w:rsidRPr="000E0F90">
        <w:rPr>
          <w:rFonts w:ascii="Arial" w:hAnsi="Arial" w:cs="Arial"/>
          <w:noProof/>
          <w:color w:val="000000" w:themeColor="text1"/>
        </w:rPr>
        <w:t>(Sayer et al., 2015)</w:t>
      </w:r>
      <w:r w:rsidR="009A5F96" w:rsidRPr="000E0F90">
        <w:rPr>
          <w:rFonts w:ascii="Arial" w:hAnsi="Arial" w:cs="Arial"/>
          <w:color w:val="000000" w:themeColor="text1"/>
        </w:rPr>
        <w:fldChar w:fldCharType="end"/>
      </w:r>
      <w:r w:rsidR="009A5F96" w:rsidRPr="000E0F90">
        <w:rPr>
          <w:rFonts w:ascii="Arial" w:hAnsi="Arial" w:cs="Arial"/>
          <w:color w:val="000000" w:themeColor="text1"/>
        </w:rPr>
        <w:fldChar w:fldCharType="begin" w:fldLock="1"/>
      </w:r>
      <w:r w:rsidR="009A5F96" w:rsidRPr="000E0F90">
        <w:rPr>
          <w:rFonts w:ascii="Arial" w:hAnsi="Arial" w:cs="Arial"/>
          <w:color w:val="000000" w:themeColor="text1"/>
        </w:rPr>
        <w:instrText>ADDIN CSL_CITATION { "citationItems" : [ { "id" : "ITEM-1", "itemData" : { "DOI" : "10.1016/j.ecolecon.2006.07.023", "ISBN" : "0921-8009", "ISSN" : "09218009", "abstract" : "The aim of this paper is to provide a categorisation of sustainability assessment tools within the broader objective of lifting the understanding of sustainability assessment from the environmental-focused realm to a wider interpretation of sustainability. The suggested framework is based on three main categories: indicators/indices, product-related assessment, and integrated assessment tools. There is furthermore the overarching category of monetary valuation tools that can be used as a part of many of the tools listed in the three categories. The tools are also divided by their spatial focus and the level of nature-society system integration. Discussion focuses on if and how the tools fulfil the objectives from the more current understanding of sustainability assessment. ?? 2006 Elsevier B.V. All rights reserved.", "author" : [ { "dropping-particle" : "", "family" : "Ness", "given" : "Barry", "non-dropping-particle" : "", "parse-names" : false, "suffix" : "" }, { "dropping-particle" : "", "family" : "Urbel-Piirsalu", "given" : "Evelin", "non-dropping-particle" : "", "parse-names" : false, "suffix" : "" }, { "dropping-particle" : "", "family" : "Anderberg", "given" : "Stefan", "non-dropping-particle" : "", "parse-names" : false, "suffix" : "" }, { "dropping-particle" : "", "family" : "Olsson", "given" : "Lennart", "non-dropping-particle" : "", "parse-names" : false, "suffix" : "" } ], "container-title" : "Ecological Economics", "id" : "ITEM-1", "issue" : "2005", "issued" : { "date-parts" : [ [ "2007" ] ] }, "page" : "498-508", "title" : "Categorising tools for sustainability assessment", "type" : "article-journal", "volume" : "60" }, "uris" : [ "http://www.mendeley.com/documents/?uuid=97950542-e4d8-438e-8e16-006fb98a5fc6" ] } ], "mendeley" : { "formattedCitation" : "(Ness, Urbel-Piirsalu, Anderberg, &amp; Olsson, 2007)", "plainTextFormattedCitation" : "(Ness, Urbel-Piirsalu, Anderberg, &amp; Olsson, 2007)", "previouslyFormattedCitation" : "(Ness, Urbel-Piirsalu, Anderberg, &amp; Olsson, 2007)" }, "properties" : { "noteIndex" : 0 }, "schema" : "https://github.com/citation-style-language/schema/raw/master/csl-citation.json" }</w:instrText>
      </w:r>
      <w:r w:rsidR="009A5F96" w:rsidRPr="000E0F90">
        <w:rPr>
          <w:rFonts w:ascii="Arial" w:hAnsi="Arial" w:cs="Arial"/>
          <w:color w:val="000000" w:themeColor="text1"/>
        </w:rPr>
        <w:fldChar w:fldCharType="separate"/>
      </w:r>
      <w:r w:rsidR="009A5F96" w:rsidRPr="000E0F90">
        <w:rPr>
          <w:rFonts w:ascii="Arial" w:hAnsi="Arial" w:cs="Arial"/>
          <w:noProof/>
          <w:color w:val="000000" w:themeColor="text1"/>
        </w:rPr>
        <w:t>(Ness, Urbel-Piirsalu, Anderberg, &amp; Olsson, 2007)</w:t>
      </w:r>
      <w:r w:rsidR="009A5F96" w:rsidRPr="000E0F90">
        <w:rPr>
          <w:rFonts w:ascii="Arial" w:hAnsi="Arial" w:cs="Arial"/>
          <w:color w:val="000000" w:themeColor="text1"/>
        </w:rPr>
        <w:fldChar w:fldCharType="end"/>
      </w:r>
      <w:r w:rsidR="004453F3" w:rsidRPr="000E0F90">
        <w:rPr>
          <w:rFonts w:ascii="Arial" w:hAnsi="Arial" w:cs="Arial"/>
          <w:color w:val="000000" w:themeColor="text1"/>
        </w:rPr>
        <w:t xml:space="preserve">. </w:t>
      </w:r>
    </w:p>
    <w:p w:rsidR="00F22AA6" w:rsidRPr="000E0F90" w:rsidRDefault="006F0D71" w:rsidP="002B538F">
      <w:pPr>
        <w:spacing w:line="360" w:lineRule="auto"/>
        <w:rPr>
          <w:rFonts w:ascii="Arial" w:hAnsi="Arial" w:cs="Arial"/>
          <w:color w:val="000000" w:themeColor="text1"/>
        </w:rPr>
      </w:pPr>
      <w:r w:rsidRPr="000E0F90">
        <w:rPr>
          <w:rFonts w:ascii="Arial" w:hAnsi="Arial" w:cs="Arial"/>
          <w:color w:val="000000" w:themeColor="text1"/>
        </w:rPr>
        <w:t xml:space="preserve">Dado que los actores sociales son los receptores finales del estado actual del territorio, y por tanto identifican situaciones que no necesariamente pueden ser identificadas a escalas superiores de análisis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"10.1016/j.eiar.2011.03.004", "ISSN" : "01959255", "author" : [ { "dropping-particle" : "", "family" : "P\u00e9ti", "given" : "M\u00e1rton", "non-dropping-particle" : "", "parse-names" : false, "suffix" : "" } ], "container-title" : "Environmental Impact Assessment Review", "id" : "ITEM-1", "issue" : "1", "issued" : { "date-parts" : [ [ "2012", "1" ] ] }, "page" : "61-73", "publisher" : "Elsevier Inc.", "title" : "A territorial understanding of sustainability in public development", "type" : "article-journal", "volume" : "32" }, "uris" : [ "http://www.mendeley.com/documents/?uuid=2c50d869-67be-4755-b16b-fcbc56b8af44" ] } ], "mendeley" : { "formattedCitation" : "(P\u00e9ti, 2012)", "plainTextFormattedCitation" : "(P\u00e9ti, 2012)", "previouslyFormattedCitation" : "(P\u00e9ti, 2012)"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(Péti, 2012)</w:t>
      </w:r>
      <w:r w:rsidRPr="000E0F90">
        <w:rPr>
          <w:rFonts w:ascii="Arial" w:hAnsi="Arial" w:cs="Arial"/>
          <w:color w:val="000000" w:themeColor="text1"/>
        </w:rPr>
        <w:fldChar w:fldCharType="end"/>
      </w:r>
      <w:r w:rsidRPr="000E0F90">
        <w:rPr>
          <w:rFonts w:ascii="Arial" w:hAnsi="Arial" w:cs="Arial"/>
          <w:color w:val="000000" w:themeColor="text1"/>
        </w:rPr>
        <w:t xml:space="preserve">, </w:t>
      </w:r>
      <w:r w:rsidR="009C196D" w:rsidRPr="000E0F90">
        <w:rPr>
          <w:rFonts w:ascii="Arial" w:hAnsi="Arial" w:cs="Arial"/>
          <w:color w:val="000000" w:themeColor="text1"/>
        </w:rPr>
        <w:t xml:space="preserve">la evaluación de la sostenibilidad de territorios </w:t>
      </w:r>
      <w:r w:rsidRPr="000E0F90">
        <w:rPr>
          <w:rFonts w:ascii="Arial" w:hAnsi="Arial" w:cs="Arial"/>
          <w:color w:val="000000" w:themeColor="text1"/>
        </w:rPr>
        <w:t>a esta escala</w:t>
      </w:r>
      <w:r w:rsidR="009C196D" w:rsidRPr="000E0F90">
        <w:rPr>
          <w:rFonts w:ascii="Arial" w:hAnsi="Arial" w:cs="Arial"/>
          <w:color w:val="000000" w:themeColor="text1"/>
        </w:rPr>
        <w:t xml:space="preserve"> ad</w:t>
      </w:r>
      <w:r w:rsidRPr="000E0F90">
        <w:rPr>
          <w:rFonts w:ascii="Arial" w:hAnsi="Arial" w:cs="Arial"/>
          <w:color w:val="000000" w:themeColor="text1"/>
        </w:rPr>
        <w:t xml:space="preserve">quiere gran relevancia, </w:t>
      </w:r>
      <w:r w:rsidR="00570E86" w:rsidRPr="000E0F90">
        <w:rPr>
          <w:rFonts w:ascii="Arial" w:hAnsi="Arial" w:cs="Arial"/>
          <w:color w:val="000000" w:themeColor="text1"/>
        </w:rPr>
        <w:t>como lo manifiestan</w:t>
      </w:r>
      <w:r w:rsidR="001C3711">
        <w:rPr>
          <w:rFonts w:ascii="Arial" w:hAnsi="Arial" w:cs="Arial"/>
          <w:color w:val="000000" w:themeColor="text1"/>
        </w:rPr>
        <w:t xml:space="preserve"> (Arellano et al., 2013)</w:t>
      </w:r>
      <w:r w:rsidR="00140A5B" w:rsidRPr="000E0F90">
        <w:rPr>
          <w:rFonts w:ascii="Arial" w:hAnsi="Arial" w:cs="Arial"/>
          <w:color w:val="000000" w:themeColor="text1"/>
        </w:rPr>
        <w:t xml:space="preserve">, </w:t>
      </w:r>
      <w:r w:rsidR="00F24FEB" w:rsidRPr="000E0F90">
        <w:rPr>
          <w:rFonts w:ascii="Arial" w:hAnsi="Arial" w:cs="Arial"/>
          <w:color w:val="000000" w:themeColor="text1"/>
        </w:rPr>
        <w:t xml:space="preserve">dado </w:t>
      </w:r>
      <w:r w:rsidR="00083C14" w:rsidRPr="000E0F90">
        <w:rPr>
          <w:rFonts w:ascii="Arial" w:hAnsi="Arial" w:cs="Arial"/>
          <w:color w:val="000000" w:themeColor="text1"/>
        </w:rPr>
        <w:t>que</w:t>
      </w:r>
      <w:r w:rsidR="00570E86" w:rsidRPr="000E0F90">
        <w:rPr>
          <w:rFonts w:ascii="Arial" w:hAnsi="Arial" w:cs="Arial"/>
          <w:color w:val="000000" w:themeColor="text1"/>
        </w:rPr>
        <w:t xml:space="preserve"> </w:t>
      </w:r>
      <w:r w:rsidRPr="000E0F90">
        <w:rPr>
          <w:rFonts w:ascii="Arial" w:hAnsi="Arial" w:cs="Arial"/>
          <w:color w:val="000000" w:themeColor="text1"/>
        </w:rPr>
        <w:t>tiene</w:t>
      </w:r>
      <w:r w:rsidR="00083C14" w:rsidRPr="000E0F90">
        <w:rPr>
          <w:rFonts w:ascii="Arial" w:hAnsi="Arial" w:cs="Arial"/>
          <w:color w:val="000000" w:themeColor="text1"/>
        </w:rPr>
        <w:t>n</w:t>
      </w:r>
      <w:r w:rsidRPr="000E0F90">
        <w:rPr>
          <w:rFonts w:ascii="Arial" w:hAnsi="Arial" w:cs="Arial"/>
          <w:color w:val="000000" w:themeColor="text1"/>
        </w:rPr>
        <w:t xml:space="preserve"> la capacidad de realizar </w:t>
      </w:r>
      <w:r w:rsidR="00570E86" w:rsidRPr="000E0F90">
        <w:rPr>
          <w:rFonts w:ascii="Arial" w:hAnsi="Arial" w:cs="Arial"/>
          <w:color w:val="000000" w:themeColor="text1"/>
        </w:rPr>
        <w:t>un diagnóstico del paisaje cultural, reflejando en éstos, el estado y la tendencia del paisaje.</w:t>
      </w:r>
      <w:r w:rsidR="00D9637A" w:rsidRPr="000E0F90">
        <w:rPr>
          <w:rFonts w:ascii="Arial" w:hAnsi="Arial" w:cs="Arial"/>
          <w:color w:val="000000" w:themeColor="text1"/>
        </w:rPr>
        <w:t xml:space="preserve"> </w:t>
      </w:r>
    </w:p>
    <w:p w:rsidR="00C4769B" w:rsidRPr="000E0F90" w:rsidRDefault="00C4769B" w:rsidP="002B538F">
      <w:pPr>
        <w:spacing w:line="360" w:lineRule="auto"/>
        <w:rPr>
          <w:rFonts w:ascii="Arial" w:hAnsi="Arial" w:cs="Arial"/>
          <w:color w:val="000000" w:themeColor="text1"/>
        </w:rPr>
      </w:pPr>
      <w:r w:rsidRPr="000E0F90">
        <w:rPr>
          <w:rFonts w:ascii="Arial" w:hAnsi="Arial" w:cs="Arial"/>
          <w:color w:val="000000" w:themeColor="text1"/>
        </w:rPr>
        <w:t xml:space="preserve">En Chile no se ha desarrollado un enfoque de sostenibilidad específico y adaptado los territorios mineros locales, sino que se </w:t>
      </w:r>
      <w:r w:rsidR="00042BAB" w:rsidRPr="000E0F90">
        <w:rPr>
          <w:rFonts w:ascii="Arial" w:hAnsi="Arial" w:cs="Arial"/>
          <w:color w:val="000000" w:themeColor="text1"/>
        </w:rPr>
        <w:t>ha abordado la temática desde la industria minera, donde diversos organismos gubernamentales realizan propuestas para alcanzar la sostenibilidad de la industr</w:t>
      </w:r>
      <w:r w:rsidR="008E661A" w:rsidRPr="000E0F90">
        <w:rPr>
          <w:rFonts w:ascii="Arial" w:hAnsi="Arial" w:cs="Arial"/>
          <w:color w:val="000000" w:themeColor="text1"/>
        </w:rPr>
        <w:t>ia, sin un enfoque unificado</w:t>
      </w:r>
      <w:r w:rsidR="0090165E" w:rsidRPr="000E0F90">
        <w:rPr>
          <w:rFonts w:ascii="Arial" w:hAnsi="Arial" w:cs="Arial"/>
          <w:color w:val="000000" w:themeColor="text1"/>
        </w:rPr>
        <w:t xml:space="preserve"> y a la vez contextualizado</w:t>
      </w:r>
      <w:r w:rsidR="00362DE3" w:rsidRPr="000E0F90">
        <w:rPr>
          <w:rFonts w:ascii="Arial" w:hAnsi="Arial" w:cs="Arial"/>
          <w:color w:val="000000" w:themeColor="text1"/>
        </w:rPr>
        <w:t xml:space="preserve"> </w:t>
      </w:r>
      <w:sdt>
        <w:sdtPr>
          <w:rPr>
            <w:rFonts w:ascii="Arial" w:hAnsi="Arial" w:cs="Arial"/>
            <w:color w:val="000000" w:themeColor="text1"/>
          </w:rPr>
          <w:id w:val="-680504043"/>
          <w:citation/>
        </w:sdtPr>
        <w:sdtEndPr/>
        <w:sdtContent>
          <w:r w:rsidR="00362DE3" w:rsidRPr="000E0F90">
            <w:rPr>
              <w:rFonts w:ascii="Arial" w:hAnsi="Arial" w:cs="Arial"/>
              <w:color w:val="000000" w:themeColor="text1"/>
            </w:rPr>
            <w:fldChar w:fldCharType="begin"/>
          </w:r>
          <w:r w:rsidR="00362DE3" w:rsidRPr="000E0F90">
            <w:rPr>
              <w:rFonts w:ascii="Arial" w:hAnsi="Arial" w:cs="Arial"/>
              <w:color w:val="000000" w:themeColor="text1"/>
            </w:rPr>
            <w:instrText xml:space="preserve"> CITATION Con17 \l 13322 </w:instrText>
          </w:r>
          <w:r w:rsidR="00362DE3" w:rsidRPr="000E0F90">
            <w:rPr>
              <w:rFonts w:ascii="Arial" w:hAnsi="Arial" w:cs="Arial"/>
              <w:color w:val="000000" w:themeColor="text1"/>
            </w:rPr>
            <w:fldChar w:fldCharType="separate"/>
          </w:r>
          <w:r w:rsidR="00362DE3" w:rsidRPr="000E0F90">
            <w:rPr>
              <w:rFonts w:ascii="Arial" w:hAnsi="Arial" w:cs="Arial"/>
              <w:noProof/>
              <w:color w:val="000000" w:themeColor="text1"/>
            </w:rPr>
            <w:t>(Consejo Minero, 2017)</w:t>
          </w:r>
          <w:r w:rsidR="00362DE3" w:rsidRPr="000E0F90">
            <w:rPr>
              <w:rFonts w:ascii="Arial" w:hAnsi="Arial" w:cs="Arial"/>
              <w:color w:val="000000" w:themeColor="text1"/>
            </w:rPr>
            <w:fldChar w:fldCharType="end"/>
          </w:r>
        </w:sdtContent>
      </w:sdt>
      <w:sdt>
        <w:sdtPr>
          <w:rPr>
            <w:rFonts w:ascii="Arial" w:hAnsi="Arial" w:cs="Arial"/>
            <w:color w:val="000000" w:themeColor="text1"/>
          </w:rPr>
          <w:id w:val="-1757582936"/>
          <w:citation/>
        </w:sdtPr>
        <w:sdtEndPr/>
        <w:sdtContent>
          <w:r w:rsidR="00362DE3" w:rsidRPr="000E0F90">
            <w:rPr>
              <w:rFonts w:ascii="Arial" w:hAnsi="Arial" w:cs="Arial"/>
              <w:color w:val="000000" w:themeColor="text1"/>
            </w:rPr>
            <w:fldChar w:fldCharType="begin"/>
          </w:r>
          <w:r w:rsidR="00362DE3" w:rsidRPr="000E0F90">
            <w:rPr>
              <w:rFonts w:ascii="Arial" w:hAnsi="Arial" w:cs="Arial"/>
              <w:color w:val="000000" w:themeColor="text1"/>
            </w:rPr>
            <w:instrText xml:space="preserve"> CITATION Com17 \l 13322  \m Emp17</w:instrText>
          </w:r>
          <w:r w:rsidR="00362DE3" w:rsidRPr="000E0F90">
            <w:rPr>
              <w:rFonts w:ascii="Arial" w:hAnsi="Arial" w:cs="Arial"/>
              <w:color w:val="000000" w:themeColor="text1"/>
            </w:rPr>
            <w:fldChar w:fldCharType="separate"/>
          </w:r>
          <w:r w:rsidR="00362DE3" w:rsidRPr="000E0F90">
            <w:rPr>
              <w:rFonts w:ascii="Arial" w:hAnsi="Arial" w:cs="Arial"/>
              <w:noProof/>
              <w:color w:val="000000" w:themeColor="text1"/>
            </w:rPr>
            <w:t xml:space="preserve"> (Comisión Chilena del Cobre, 2017; Empresa </w:t>
          </w:r>
          <w:r w:rsidR="00362DE3" w:rsidRPr="000E0F90">
            <w:rPr>
              <w:rFonts w:ascii="Arial" w:hAnsi="Arial" w:cs="Arial"/>
              <w:noProof/>
              <w:color w:val="000000" w:themeColor="text1"/>
            </w:rPr>
            <w:lastRenderedPageBreak/>
            <w:t>Nacional de Minería, 2017)</w:t>
          </w:r>
          <w:r w:rsidR="00362DE3" w:rsidRPr="000E0F90">
            <w:rPr>
              <w:rFonts w:ascii="Arial" w:hAnsi="Arial" w:cs="Arial"/>
              <w:color w:val="000000" w:themeColor="text1"/>
            </w:rPr>
            <w:fldChar w:fldCharType="end"/>
          </w:r>
        </w:sdtContent>
      </w:sdt>
      <w:r w:rsidR="008E661A" w:rsidRPr="000E0F90">
        <w:rPr>
          <w:rFonts w:ascii="Arial" w:hAnsi="Arial" w:cs="Arial"/>
          <w:color w:val="000000" w:themeColor="text1"/>
        </w:rPr>
        <w:t>. D</w:t>
      </w:r>
      <w:r w:rsidR="00042BAB" w:rsidRPr="000E0F90">
        <w:rPr>
          <w:rFonts w:ascii="Arial" w:hAnsi="Arial" w:cs="Arial"/>
          <w:color w:val="000000" w:themeColor="text1"/>
        </w:rPr>
        <w:t xml:space="preserve">esde la industria, </w:t>
      </w:r>
      <w:r w:rsidRPr="000E0F90">
        <w:rPr>
          <w:rFonts w:ascii="Arial" w:hAnsi="Arial" w:cs="Arial"/>
          <w:color w:val="000000" w:themeColor="text1"/>
        </w:rPr>
        <w:t>aplican enfoques provenientes de diversas iniciativas globales, sin considerar las características particulares del paí</w:t>
      </w:r>
      <w:r w:rsidR="00042BAB" w:rsidRPr="000E0F90">
        <w:rPr>
          <w:rFonts w:ascii="Arial" w:hAnsi="Arial" w:cs="Arial"/>
          <w:color w:val="000000" w:themeColor="text1"/>
        </w:rPr>
        <w:t>s</w:t>
      </w:r>
      <w:r w:rsidR="00D07925" w:rsidRPr="000E0F90">
        <w:rPr>
          <w:rFonts w:ascii="Arial" w:hAnsi="Arial" w:cs="Arial"/>
          <w:color w:val="000000" w:themeColor="text1"/>
        </w:rPr>
        <w:t xml:space="preserve"> y regiones</w:t>
      </w:r>
      <w:r w:rsidRPr="000E0F90">
        <w:rPr>
          <w:rFonts w:ascii="Arial" w:hAnsi="Arial" w:cs="Arial"/>
          <w:color w:val="000000" w:themeColor="text1"/>
        </w:rPr>
        <w:t xml:space="preserve">. Lo cual es relevante, dado que los impactos medioambientales, sociales y económicos </w:t>
      </w:r>
      <w:r w:rsidR="002319E7" w:rsidRPr="000E0F90">
        <w:rPr>
          <w:rFonts w:ascii="Arial" w:hAnsi="Arial" w:cs="Arial"/>
          <w:color w:val="000000" w:themeColor="text1"/>
        </w:rPr>
        <w:t xml:space="preserve">de la actividad, </w:t>
      </w:r>
      <w:r w:rsidRPr="000E0F90">
        <w:rPr>
          <w:rFonts w:ascii="Arial" w:hAnsi="Arial" w:cs="Arial"/>
          <w:color w:val="000000" w:themeColor="text1"/>
        </w:rPr>
        <w:t xml:space="preserve">repercuten de forma diferente, según donde se localice la operación, y por ende los lineamientos que se requiere para alcanzar la sostenibilidad son también específicos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"10.1016/j.jclepro.2017.03.047", "ISBN" : "9789289347945", "ISSN" : "09596526", "abstract" : "The mining industry has a major impact on society - from an economic, environmental and social perspective and due to a vast number of criteria. Which criteria should be given priority depends on where the mining operations take place. This paper's focus on the Nordic mining industry is partly due to the positive economic trend that the industry is currently experiencing and partly because very little research has been conducted on how the European mining industry addresses sustainability. The purpose of this study is therefore to examine the Nordic mining industry's sustainability practices and to develop guidelines for such efforts. The research methods used in the study include a literature review, a content analysis of sustainability reports, a review of existing sustainability initiatives, guidelines and tools, a stakeholder survey and interviews with mining company officials. Based on the findings, sustainability criteria guidelines for the Nordic mining industry are suggested in the areas of corporate governance, fair operating practices, economic aspects, human rights, labour practices, society and the environment. The content of the guidelines is discussed in the light of the sustainability practices performed by the studied mining companies.", "author" : [ { "dropping-particle" : "", "family" : "Ran\u00e4ngen", "given" : "Helena", "non-dropping-particle" : "", "parse-names" : false, "suffix" : "" }, { "dropping-particle" : "", "family" : "Lindman", "given" : "\u00c5sa", "non-dropping-particle" : "", "parse-names" : false, "suffix" : "" } ], "container-title" : "Journal of Cleaner Production", "id" : "ITEM-1", "issued" : { "date-parts" : [ [ "2017" ] ] }, "page" : "43-52", "title" : "A path towards sustainability for the Nordic mining industry", "type" : "article-journal", "volume" : "151" }, "uris" : [ "http://www.mendeley.com/documents/?uuid=6c35c3e3-ee0c-4b28-8acc-e8d00b36d33a" ] } ], "mendeley" : { "formattedCitation" : "(Ran\u00e4ngen &amp; Lindman, 2017)", "plainTextFormattedCitation" : "(Ran\u00e4ngen &amp; Lindman, 2017)", "previouslyFormattedCitation" : "(Ran\u00e4ngen &amp; Lindman, 2017)"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(Ranängen &amp; Lindman, 2017)</w:t>
      </w:r>
      <w:r w:rsidRPr="000E0F90">
        <w:rPr>
          <w:rFonts w:ascii="Arial" w:hAnsi="Arial" w:cs="Arial"/>
          <w:color w:val="000000" w:themeColor="text1"/>
        </w:rPr>
        <w:fldChar w:fldCharType="end"/>
      </w:r>
      <w:r w:rsidRPr="000E0F90">
        <w:rPr>
          <w:rFonts w:ascii="Arial" w:hAnsi="Arial" w:cs="Arial"/>
          <w:color w:val="000000" w:themeColor="text1"/>
        </w:rPr>
        <w:t xml:space="preserve">. </w:t>
      </w:r>
    </w:p>
    <w:p w:rsidR="008E661A" w:rsidRPr="000E0F90" w:rsidRDefault="00042BAB" w:rsidP="002B538F">
      <w:pPr>
        <w:spacing w:line="360" w:lineRule="auto"/>
        <w:rPr>
          <w:rFonts w:ascii="Arial" w:hAnsi="Arial" w:cs="Arial"/>
          <w:color w:val="000000" w:themeColor="text1"/>
        </w:rPr>
      </w:pPr>
      <w:r w:rsidRPr="000E0F90">
        <w:rPr>
          <w:rFonts w:ascii="Arial" w:hAnsi="Arial" w:cs="Arial"/>
          <w:color w:val="000000" w:themeColor="text1"/>
        </w:rPr>
        <w:t>Los territorios mineros pertenecientes al Norte Chic</w:t>
      </w:r>
      <w:r w:rsidR="008E661A" w:rsidRPr="000E0F90">
        <w:rPr>
          <w:rFonts w:ascii="Arial" w:hAnsi="Arial" w:cs="Arial"/>
          <w:color w:val="000000" w:themeColor="text1"/>
        </w:rPr>
        <w:t>o de Chile, se consideran un sitio de estudio particularmente relevante en términos de sostenibilidad, dado que emergieron a partir de</w:t>
      </w:r>
      <w:r w:rsidR="002051E6" w:rsidRPr="000E0F90">
        <w:rPr>
          <w:rFonts w:ascii="Arial" w:hAnsi="Arial" w:cs="Arial"/>
          <w:color w:val="000000" w:themeColor="text1"/>
        </w:rPr>
        <w:t xml:space="preserve">l desarrollo minero en </w:t>
      </w:r>
      <w:r w:rsidR="00246A16" w:rsidRPr="000E0F90">
        <w:rPr>
          <w:rFonts w:ascii="Arial" w:hAnsi="Arial" w:cs="Arial"/>
          <w:color w:val="000000" w:themeColor="text1"/>
        </w:rPr>
        <w:t>la época colonia</w:t>
      </w:r>
      <w:r w:rsidR="002319E7" w:rsidRPr="000E0F90">
        <w:rPr>
          <w:rFonts w:ascii="Arial" w:hAnsi="Arial" w:cs="Arial"/>
          <w:color w:val="000000" w:themeColor="text1"/>
        </w:rPr>
        <w:t>l</w:t>
      </w:r>
      <w:r w:rsidR="00083C14" w:rsidRPr="000E0F90">
        <w:rPr>
          <w:rFonts w:ascii="Arial" w:hAnsi="Arial" w:cs="Arial"/>
          <w:color w:val="000000" w:themeColor="text1"/>
        </w:rPr>
        <w:t>, alcanzando su auge y decadencia en el siglo XIX, y resurgimiento en el siglo XX</w:t>
      </w:r>
      <w:r w:rsidR="008E661A" w:rsidRPr="000E0F90">
        <w:rPr>
          <w:rFonts w:ascii="Arial" w:hAnsi="Arial" w:cs="Arial"/>
          <w:color w:val="000000" w:themeColor="text1"/>
        </w:rPr>
        <w:t xml:space="preserve">. </w:t>
      </w:r>
      <w:r w:rsidR="00EB1A34" w:rsidRPr="000E0F90">
        <w:rPr>
          <w:rFonts w:ascii="Arial" w:hAnsi="Arial" w:cs="Arial"/>
          <w:color w:val="000000" w:themeColor="text1"/>
        </w:rPr>
        <w:t xml:space="preserve">Presentan </w:t>
      </w:r>
      <w:r w:rsidRPr="000E0F90">
        <w:rPr>
          <w:rFonts w:ascii="Arial" w:hAnsi="Arial" w:cs="Arial"/>
          <w:color w:val="000000" w:themeColor="text1"/>
        </w:rPr>
        <w:t xml:space="preserve">una </w:t>
      </w:r>
      <w:r w:rsidR="001A74D1" w:rsidRPr="000E0F90">
        <w:rPr>
          <w:rFonts w:ascii="Arial" w:hAnsi="Arial" w:cs="Arial"/>
          <w:color w:val="000000" w:themeColor="text1"/>
        </w:rPr>
        <w:t>gran variabilidad en cuanto las categorías de faenas mineras existente, coexistiendo gran, mediana y pequeña minería. Por otro lado</w:t>
      </w:r>
      <w:r w:rsidR="00EB1A34" w:rsidRPr="000E0F90">
        <w:rPr>
          <w:rFonts w:ascii="Arial" w:hAnsi="Arial" w:cs="Arial"/>
          <w:color w:val="000000" w:themeColor="text1"/>
        </w:rPr>
        <w:t xml:space="preserve">, </w:t>
      </w:r>
      <w:r w:rsidR="00935A8F">
        <w:rPr>
          <w:rFonts w:ascii="Arial" w:hAnsi="Arial" w:cs="Arial"/>
          <w:color w:val="000000" w:themeColor="text1"/>
        </w:rPr>
        <w:t>es</w:t>
      </w:r>
      <w:r w:rsidR="001A74D1" w:rsidRPr="000E0F90">
        <w:rPr>
          <w:rFonts w:ascii="Arial" w:hAnsi="Arial" w:cs="Arial"/>
          <w:color w:val="000000" w:themeColor="text1"/>
        </w:rPr>
        <w:t xml:space="preserve"> una zona de transición entre el desierto árido del norte y el medio mediterráneo del centro del país, lo que aporta condiciones para desarrollar diversos usos territoriales</w:t>
      </w:r>
      <w:r w:rsidR="00EB1A34" w:rsidRPr="000E0F90">
        <w:rPr>
          <w:rFonts w:ascii="Arial" w:hAnsi="Arial" w:cs="Arial"/>
          <w:color w:val="000000" w:themeColor="text1"/>
        </w:rPr>
        <w:t>.</w:t>
      </w:r>
    </w:p>
    <w:p w:rsidR="00E952B1" w:rsidRPr="000E0F90" w:rsidRDefault="00933C7E" w:rsidP="002B538F">
      <w:pPr>
        <w:spacing w:before="240" w:line="360" w:lineRule="auto"/>
        <w:rPr>
          <w:rFonts w:ascii="Arial" w:hAnsi="Arial" w:cs="Arial"/>
          <w:color w:val="000000" w:themeColor="text1"/>
        </w:rPr>
      </w:pPr>
      <w:r w:rsidRPr="000E0F90">
        <w:rPr>
          <w:rFonts w:ascii="Arial" w:hAnsi="Arial" w:cs="Arial"/>
          <w:color w:val="000000" w:themeColor="text1"/>
        </w:rPr>
        <w:t>El objetivo de este estudio</w:t>
      </w:r>
      <w:r w:rsidR="00BF2CEA" w:rsidRPr="000E0F90">
        <w:rPr>
          <w:rFonts w:ascii="Arial" w:hAnsi="Arial" w:cs="Arial"/>
          <w:color w:val="000000" w:themeColor="text1"/>
        </w:rPr>
        <w:t xml:space="preserve"> fue</w:t>
      </w:r>
      <w:r w:rsidR="00246A16" w:rsidRPr="000E0F90">
        <w:rPr>
          <w:rFonts w:ascii="Arial" w:hAnsi="Arial" w:cs="Arial"/>
          <w:color w:val="000000" w:themeColor="text1"/>
        </w:rPr>
        <w:t xml:space="preserve"> elaborar </w:t>
      </w:r>
      <w:r w:rsidRPr="000E0F90">
        <w:rPr>
          <w:rFonts w:ascii="Arial" w:hAnsi="Arial" w:cs="Arial"/>
          <w:color w:val="000000" w:themeColor="text1"/>
        </w:rPr>
        <w:t xml:space="preserve">principios de sostenibilidad para la construcción de territorios mineros del Norte Chico de Chile. </w:t>
      </w:r>
      <w:r w:rsidR="00E952B1" w:rsidRPr="000E0F90">
        <w:rPr>
          <w:rFonts w:ascii="Arial" w:hAnsi="Arial" w:cs="Arial"/>
          <w:color w:val="000000" w:themeColor="text1"/>
        </w:rPr>
        <w:t>P</w:t>
      </w:r>
      <w:r w:rsidR="00EC6857" w:rsidRPr="000E0F90">
        <w:rPr>
          <w:rFonts w:ascii="Arial" w:hAnsi="Arial" w:cs="Arial"/>
          <w:color w:val="000000" w:themeColor="text1"/>
        </w:rPr>
        <w:t>ara ello, este estudio se enfocó</w:t>
      </w:r>
      <w:r w:rsidR="00E952B1" w:rsidRPr="000E0F90">
        <w:rPr>
          <w:rFonts w:ascii="Arial" w:hAnsi="Arial" w:cs="Arial"/>
          <w:color w:val="000000" w:themeColor="text1"/>
        </w:rPr>
        <w:t xml:space="preserve"> específicamente </w:t>
      </w:r>
      <w:r w:rsidR="00506E25" w:rsidRPr="000E0F90">
        <w:rPr>
          <w:rFonts w:ascii="Arial" w:hAnsi="Arial" w:cs="Arial"/>
          <w:color w:val="000000" w:themeColor="text1"/>
        </w:rPr>
        <w:t xml:space="preserve">en: </w:t>
      </w:r>
      <w:r w:rsidR="00E952B1" w:rsidRPr="000E0F90">
        <w:rPr>
          <w:rFonts w:ascii="Arial" w:hAnsi="Arial" w:cs="Arial"/>
          <w:color w:val="000000" w:themeColor="text1"/>
        </w:rPr>
        <w:t xml:space="preserve">(1) </w:t>
      </w:r>
      <w:r w:rsidR="002319E7" w:rsidRPr="000E0F90">
        <w:rPr>
          <w:rFonts w:ascii="Arial" w:hAnsi="Arial" w:cs="Arial"/>
          <w:color w:val="000000" w:themeColor="text1"/>
        </w:rPr>
        <w:t>Desarrollar</w:t>
      </w:r>
      <w:r w:rsidR="00E952B1" w:rsidRPr="000E0F90">
        <w:rPr>
          <w:rFonts w:ascii="Arial" w:hAnsi="Arial" w:cs="Arial"/>
          <w:color w:val="000000" w:themeColor="text1"/>
        </w:rPr>
        <w:t xml:space="preserve"> un marco conceptual en base a principios y </w:t>
      </w:r>
      <w:r w:rsidR="00EB1A34" w:rsidRPr="000E0F90">
        <w:rPr>
          <w:rFonts w:ascii="Arial" w:hAnsi="Arial" w:cs="Arial"/>
          <w:color w:val="000000" w:themeColor="text1"/>
        </w:rPr>
        <w:t>criterios</w:t>
      </w:r>
      <w:r w:rsidR="00E952B1" w:rsidRPr="000E0F90">
        <w:rPr>
          <w:rFonts w:ascii="Arial" w:hAnsi="Arial" w:cs="Arial"/>
          <w:color w:val="000000" w:themeColor="text1"/>
        </w:rPr>
        <w:t xml:space="preserve"> provenientes </w:t>
      </w:r>
      <w:r w:rsidR="002319E7" w:rsidRPr="000E0F90">
        <w:rPr>
          <w:rFonts w:ascii="Arial" w:hAnsi="Arial" w:cs="Arial"/>
          <w:color w:val="000000" w:themeColor="text1"/>
        </w:rPr>
        <w:t>de la revisión de la literatura</w:t>
      </w:r>
      <w:r w:rsidR="00E952B1" w:rsidRPr="000E0F90">
        <w:rPr>
          <w:rFonts w:ascii="Arial" w:hAnsi="Arial" w:cs="Arial"/>
          <w:color w:val="000000" w:themeColor="text1"/>
        </w:rPr>
        <w:t xml:space="preserve">; (2) </w:t>
      </w:r>
      <w:r w:rsidR="00EC6857" w:rsidRPr="000E0F90">
        <w:rPr>
          <w:rFonts w:ascii="Arial" w:hAnsi="Arial" w:cs="Arial"/>
          <w:color w:val="000000" w:themeColor="text1"/>
        </w:rPr>
        <w:t>Establecer</w:t>
      </w:r>
      <w:r w:rsidR="0090165E" w:rsidRPr="000E0F90">
        <w:rPr>
          <w:rFonts w:ascii="Arial" w:hAnsi="Arial" w:cs="Arial"/>
          <w:color w:val="000000" w:themeColor="text1"/>
        </w:rPr>
        <w:t xml:space="preserve"> el contexto de</w:t>
      </w:r>
      <w:r w:rsidR="00E952B1" w:rsidRPr="000E0F90">
        <w:rPr>
          <w:rFonts w:ascii="Arial" w:hAnsi="Arial" w:cs="Arial"/>
          <w:color w:val="000000" w:themeColor="text1"/>
        </w:rPr>
        <w:t xml:space="preserve"> los territorios mediante estudios de caso de territorios mineros </w:t>
      </w:r>
      <w:r w:rsidR="00EB1A34" w:rsidRPr="000E0F90">
        <w:rPr>
          <w:rFonts w:ascii="Arial" w:hAnsi="Arial" w:cs="Arial"/>
          <w:color w:val="000000" w:themeColor="text1"/>
        </w:rPr>
        <w:t>bajo estudio</w:t>
      </w:r>
      <w:r w:rsidR="00E952B1" w:rsidRPr="000E0F90">
        <w:rPr>
          <w:rFonts w:ascii="Arial" w:hAnsi="Arial" w:cs="Arial"/>
          <w:color w:val="000000" w:themeColor="text1"/>
        </w:rPr>
        <w:t xml:space="preserve">; (3) </w:t>
      </w:r>
      <w:r w:rsidR="00246A16" w:rsidRPr="000E0F90">
        <w:rPr>
          <w:rFonts w:ascii="Arial" w:hAnsi="Arial" w:cs="Arial"/>
          <w:color w:val="000000" w:themeColor="text1"/>
        </w:rPr>
        <w:t>Elaborar</w:t>
      </w:r>
      <w:r w:rsidR="00E952B1" w:rsidRPr="000E0F90">
        <w:rPr>
          <w:rFonts w:ascii="Arial" w:hAnsi="Arial" w:cs="Arial"/>
          <w:color w:val="000000" w:themeColor="text1"/>
        </w:rPr>
        <w:t xml:space="preserve"> principios de sostenibilidad</w:t>
      </w:r>
      <w:r w:rsidR="00EB1A34" w:rsidRPr="000E0F90">
        <w:rPr>
          <w:rFonts w:ascii="Arial" w:hAnsi="Arial" w:cs="Arial"/>
          <w:color w:val="000000" w:themeColor="text1"/>
        </w:rPr>
        <w:t xml:space="preserve"> para territorios mineros; y </w:t>
      </w:r>
      <w:r w:rsidR="00E952B1" w:rsidRPr="000E0F90">
        <w:rPr>
          <w:rFonts w:ascii="Arial" w:hAnsi="Arial" w:cs="Arial"/>
          <w:color w:val="000000" w:themeColor="text1"/>
        </w:rPr>
        <w:t>(4)</w:t>
      </w:r>
      <w:r w:rsidR="0090165E" w:rsidRPr="000E0F90">
        <w:rPr>
          <w:rFonts w:ascii="Arial" w:hAnsi="Arial" w:cs="Arial"/>
          <w:color w:val="000000" w:themeColor="text1"/>
        </w:rPr>
        <w:t xml:space="preserve"> E</w:t>
      </w:r>
      <w:r w:rsidR="00E952B1" w:rsidRPr="000E0F90">
        <w:rPr>
          <w:rFonts w:ascii="Arial" w:hAnsi="Arial" w:cs="Arial"/>
          <w:color w:val="000000" w:themeColor="text1"/>
        </w:rPr>
        <w:t xml:space="preserve">valuar el estado de </w:t>
      </w:r>
      <w:r w:rsidR="00EB1A34" w:rsidRPr="000E0F90">
        <w:rPr>
          <w:rFonts w:ascii="Arial" w:hAnsi="Arial" w:cs="Arial"/>
          <w:color w:val="000000" w:themeColor="text1"/>
        </w:rPr>
        <w:t xml:space="preserve">sostenibilidad de </w:t>
      </w:r>
      <w:r w:rsidR="00E952B1" w:rsidRPr="000E0F90">
        <w:rPr>
          <w:rFonts w:ascii="Arial" w:hAnsi="Arial" w:cs="Arial"/>
          <w:color w:val="000000" w:themeColor="text1"/>
        </w:rPr>
        <w:t xml:space="preserve">los </w:t>
      </w:r>
      <w:r w:rsidR="001C61B7" w:rsidRPr="000E0F90">
        <w:rPr>
          <w:rFonts w:ascii="Arial" w:hAnsi="Arial" w:cs="Arial"/>
          <w:color w:val="000000" w:themeColor="text1"/>
        </w:rPr>
        <w:t>territorios</w:t>
      </w:r>
      <w:r w:rsidR="00E952B1" w:rsidRPr="000E0F90">
        <w:rPr>
          <w:rFonts w:ascii="Arial" w:hAnsi="Arial" w:cs="Arial"/>
          <w:color w:val="000000" w:themeColor="text1"/>
        </w:rPr>
        <w:t xml:space="preserve"> mineros</w:t>
      </w:r>
      <w:r w:rsidR="00246A16" w:rsidRPr="000E0F90">
        <w:rPr>
          <w:rFonts w:ascii="Arial" w:hAnsi="Arial" w:cs="Arial"/>
          <w:color w:val="000000" w:themeColor="text1"/>
        </w:rPr>
        <w:t>, de acuerdo a</w:t>
      </w:r>
      <w:r w:rsidR="00E952B1" w:rsidRPr="000E0F90">
        <w:rPr>
          <w:rFonts w:ascii="Arial" w:hAnsi="Arial" w:cs="Arial"/>
          <w:color w:val="000000" w:themeColor="text1"/>
        </w:rPr>
        <w:t xml:space="preserve"> información provenie</w:t>
      </w:r>
      <w:r w:rsidR="00246A16" w:rsidRPr="000E0F90">
        <w:rPr>
          <w:rFonts w:ascii="Arial" w:hAnsi="Arial" w:cs="Arial"/>
          <w:color w:val="000000" w:themeColor="text1"/>
        </w:rPr>
        <w:t>nte de actores sociales locales.</w:t>
      </w:r>
    </w:p>
    <w:p w:rsidR="004453F3" w:rsidRPr="000E0F90" w:rsidRDefault="006F0D71" w:rsidP="002B538F">
      <w:pPr>
        <w:spacing w:line="360" w:lineRule="auto"/>
        <w:rPr>
          <w:rFonts w:ascii="Arial" w:hAnsi="Arial" w:cs="Arial"/>
          <w:color w:val="000000" w:themeColor="text1"/>
        </w:rPr>
      </w:pPr>
      <w:r w:rsidRPr="000E0F90">
        <w:rPr>
          <w:rFonts w:ascii="Arial" w:hAnsi="Arial" w:cs="Arial"/>
          <w:color w:val="000000" w:themeColor="text1"/>
        </w:rPr>
        <w:t>Este trabajo se estructura de la int</w:t>
      </w:r>
      <w:r w:rsidR="00042BAB" w:rsidRPr="000E0F90">
        <w:rPr>
          <w:rFonts w:ascii="Arial" w:hAnsi="Arial" w:cs="Arial"/>
          <w:color w:val="000000" w:themeColor="text1"/>
        </w:rPr>
        <w:t>rodu</w:t>
      </w:r>
      <w:r w:rsidRPr="000E0F90">
        <w:rPr>
          <w:rFonts w:ascii="Arial" w:hAnsi="Arial" w:cs="Arial"/>
          <w:color w:val="000000" w:themeColor="text1"/>
        </w:rPr>
        <w:t>cción, seguida del marco teórico, el cual da una descripción más profunda de las principales temáticas a tratar, as</w:t>
      </w:r>
      <w:r w:rsidR="004F62AA" w:rsidRPr="000E0F90">
        <w:rPr>
          <w:rFonts w:ascii="Arial" w:hAnsi="Arial" w:cs="Arial"/>
          <w:color w:val="000000" w:themeColor="text1"/>
        </w:rPr>
        <w:t xml:space="preserve">í como una síntesis de la situación actual. </w:t>
      </w:r>
      <w:r w:rsidR="00F24FEB" w:rsidRPr="000E0F90">
        <w:rPr>
          <w:rFonts w:ascii="Arial" w:hAnsi="Arial" w:cs="Arial"/>
          <w:color w:val="000000" w:themeColor="text1"/>
        </w:rPr>
        <w:t>A continuación</w:t>
      </w:r>
      <w:r w:rsidR="004F62AA" w:rsidRPr="000E0F90">
        <w:rPr>
          <w:rFonts w:ascii="Arial" w:hAnsi="Arial" w:cs="Arial"/>
          <w:color w:val="000000" w:themeColor="text1"/>
        </w:rPr>
        <w:t xml:space="preserve"> se presentan </w:t>
      </w:r>
      <w:r w:rsidRPr="000E0F90">
        <w:rPr>
          <w:rFonts w:ascii="Arial" w:hAnsi="Arial" w:cs="Arial"/>
          <w:color w:val="000000" w:themeColor="text1"/>
        </w:rPr>
        <w:t xml:space="preserve">los diferentes métodos utilizados para llevar </w:t>
      </w:r>
      <w:r w:rsidR="00F24FEB" w:rsidRPr="000E0F90">
        <w:rPr>
          <w:rFonts w:ascii="Arial" w:hAnsi="Arial" w:cs="Arial"/>
          <w:color w:val="000000" w:themeColor="text1"/>
        </w:rPr>
        <w:t>a cabo este estudio, además de l</w:t>
      </w:r>
      <w:r w:rsidRPr="000E0F90">
        <w:rPr>
          <w:rFonts w:ascii="Arial" w:hAnsi="Arial" w:cs="Arial"/>
          <w:color w:val="000000" w:themeColor="text1"/>
        </w:rPr>
        <w:t>a descripción del área de estudio. L</w:t>
      </w:r>
      <w:r w:rsidR="00F24FEB" w:rsidRPr="000E0F90">
        <w:rPr>
          <w:rFonts w:ascii="Arial" w:hAnsi="Arial" w:cs="Arial"/>
          <w:color w:val="000000" w:themeColor="text1"/>
        </w:rPr>
        <w:t xml:space="preserve">os resultados se ordenan: </w:t>
      </w:r>
      <w:r w:rsidR="00246A16" w:rsidRPr="000E0F90">
        <w:rPr>
          <w:rFonts w:ascii="Arial" w:hAnsi="Arial" w:cs="Arial"/>
          <w:color w:val="000000" w:themeColor="text1"/>
        </w:rPr>
        <w:t>Desarrollo de marco conceptual</w:t>
      </w:r>
      <w:r w:rsidR="004F62AA" w:rsidRPr="000E0F90">
        <w:rPr>
          <w:rFonts w:ascii="Arial" w:hAnsi="Arial" w:cs="Arial"/>
          <w:color w:val="000000" w:themeColor="text1"/>
        </w:rPr>
        <w:t xml:space="preserve"> mediante revisión de la literatura, </w:t>
      </w:r>
      <w:r w:rsidR="00EB1A34" w:rsidRPr="000E0F90">
        <w:rPr>
          <w:rFonts w:ascii="Arial" w:hAnsi="Arial" w:cs="Arial"/>
          <w:color w:val="000000" w:themeColor="text1"/>
        </w:rPr>
        <w:t>E</w:t>
      </w:r>
      <w:r w:rsidR="004F62AA" w:rsidRPr="000E0F90">
        <w:rPr>
          <w:rFonts w:ascii="Arial" w:hAnsi="Arial" w:cs="Arial"/>
          <w:color w:val="000000" w:themeColor="text1"/>
        </w:rPr>
        <w:t xml:space="preserve">studios de caso, </w:t>
      </w:r>
      <w:r w:rsidR="00EB1A34" w:rsidRPr="000E0F90">
        <w:rPr>
          <w:rFonts w:ascii="Arial" w:hAnsi="Arial" w:cs="Arial"/>
          <w:color w:val="000000" w:themeColor="text1"/>
        </w:rPr>
        <w:t>C</w:t>
      </w:r>
      <w:r w:rsidR="002319E7" w:rsidRPr="000E0F90">
        <w:rPr>
          <w:rFonts w:ascii="Arial" w:hAnsi="Arial" w:cs="Arial"/>
          <w:color w:val="000000" w:themeColor="text1"/>
        </w:rPr>
        <w:t xml:space="preserve">onstrucción de </w:t>
      </w:r>
      <w:r w:rsidR="004F62AA" w:rsidRPr="000E0F90">
        <w:rPr>
          <w:rFonts w:ascii="Arial" w:hAnsi="Arial" w:cs="Arial"/>
          <w:color w:val="000000" w:themeColor="text1"/>
        </w:rPr>
        <w:t xml:space="preserve">principios para los territorios mineros del Norte Chico y </w:t>
      </w:r>
      <w:r w:rsidR="00F24FEB" w:rsidRPr="000E0F90">
        <w:rPr>
          <w:rFonts w:ascii="Arial" w:hAnsi="Arial" w:cs="Arial"/>
          <w:color w:val="000000" w:themeColor="text1"/>
        </w:rPr>
        <w:t>E</w:t>
      </w:r>
      <w:r w:rsidR="004F62AA" w:rsidRPr="000E0F90">
        <w:rPr>
          <w:rFonts w:ascii="Arial" w:hAnsi="Arial" w:cs="Arial"/>
          <w:color w:val="000000" w:themeColor="text1"/>
        </w:rPr>
        <w:t xml:space="preserve">valuación de la sostenibilidad de los territorios mineros. </w:t>
      </w:r>
      <w:r w:rsidR="00246A16" w:rsidRPr="000E0F90">
        <w:rPr>
          <w:rFonts w:ascii="Arial" w:hAnsi="Arial" w:cs="Arial"/>
          <w:color w:val="000000" w:themeColor="text1"/>
        </w:rPr>
        <w:t>Posteriormente</w:t>
      </w:r>
      <w:r w:rsidR="004F62AA" w:rsidRPr="000E0F90">
        <w:rPr>
          <w:rFonts w:ascii="Arial" w:hAnsi="Arial" w:cs="Arial"/>
          <w:color w:val="000000" w:themeColor="text1"/>
        </w:rPr>
        <w:t xml:space="preserve"> </w:t>
      </w:r>
      <w:r w:rsidRPr="000E0F90">
        <w:rPr>
          <w:rFonts w:ascii="Arial" w:hAnsi="Arial" w:cs="Arial"/>
          <w:color w:val="000000" w:themeColor="text1"/>
        </w:rPr>
        <w:t>se discuten los principales alcances evidenciados</w:t>
      </w:r>
      <w:r w:rsidR="004F62AA" w:rsidRPr="000E0F90">
        <w:rPr>
          <w:rFonts w:ascii="Arial" w:hAnsi="Arial" w:cs="Arial"/>
          <w:color w:val="000000" w:themeColor="text1"/>
        </w:rPr>
        <w:t>, en relación a</w:t>
      </w:r>
      <w:r w:rsidR="003C40B0" w:rsidRPr="000E0F90">
        <w:rPr>
          <w:rFonts w:ascii="Arial" w:hAnsi="Arial" w:cs="Arial"/>
          <w:color w:val="000000" w:themeColor="text1"/>
        </w:rPr>
        <w:t xml:space="preserve"> diversos estudios del área</w:t>
      </w:r>
      <w:r w:rsidR="004F62AA" w:rsidRPr="000E0F90">
        <w:rPr>
          <w:rFonts w:ascii="Arial" w:hAnsi="Arial" w:cs="Arial"/>
          <w:color w:val="000000" w:themeColor="text1"/>
        </w:rPr>
        <w:t xml:space="preserve">, luego se </w:t>
      </w:r>
      <w:r w:rsidRPr="000E0F90">
        <w:rPr>
          <w:rFonts w:ascii="Arial" w:hAnsi="Arial" w:cs="Arial"/>
          <w:color w:val="000000" w:themeColor="text1"/>
        </w:rPr>
        <w:t xml:space="preserve">concluyen los resultados del trabajo de investigación. </w:t>
      </w:r>
      <w:r w:rsidR="004453F3" w:rsidRPr="000E0F90">
        <w:rPr>
          <w:rFonts w:ascii="Arial" w:hAnsi="Arial" w:cs="Arial"/>
          <w:color w:val="000000" w:themeColor="text1"/>
        </w:rPr>
        <w:t xml:space="preserve"> </w:t>
      </w:r>
    </w:p>
    <w:p w:rsidR="00CF6E1D" w:rsidRPr="000E0F90" w:rsidRDefault="002B538F" w:rsidP="00F51545">
      <w:pPr>
        <w:pStyle w:val="Ttulo1"/>
        <w:rPr>
          <w:sz w:val="36"/>
        </w:rPr>
      </w:pPr>
      <w:bookmarkStart w:id="4" w:name="_Toc488774907"/>
      <w:r>
        <w:br w:type="page"/>
      </w:r>
      <w:r w:rsidR="00CF6E1D" w:rsidRPr="000E0F90">
        <w:lastRenderedPageBreak/>
        <w:t>MARCO TEORICO</w:t>
      </w:r>
      <w:bookmarkEnd w:id="4"/>
      <w:r w:rsidR="00CF6E1D" w:rsidRPr="000E0F90">
        <w:t xml:space="preserve"> </w:t>
      </w:r>
    </w:p>
    <w:p w:rsidR="00B64699" w:rsidRPr="000E0F90" w:rsidRDefault="00B64699" w:rsidP="002B538F">
      <w:pPr>
        <w:pStyle w:val="Ttulo2"/>
        <w:spacing w:after="240" w:line="360" w:lineRule="auto"/>
        <w:rPr>
          <w:rFonts w:cs="Arial"/>
        </w:rPr>
      </w:pPr>
      <w:bookmarkStart w:id="5" w:name="_Toc488774908"/>
      <w:r w:rsidRPr="000E0F90">
        <w:rPr>
          <w:rFonts w:cs="Arial"/>
        </w:rPr>
        <w:t>Sostenibilidad y Desarrollo Sostenible</w:t>
      </w:r>
      <w:bookmarkEnd w:id="5"/>
    </w:p>
    <w:p w:rsidR="00B64699" w:rsidRPr="000E0F90" w:rsidRDefault="00B64699" w:rsidP="002B538F">
      <w:pPr>
        <w:spacing w:after="0" w:line="360" w:lineRule="auto"/>
        <w:rPr>
          <w:rFonts w:ascii="Arial" w:hAnsi="Arial" w:cs="Arial"/>
          <w:b/>
          <w:color w:val="000000" w:themeColor="text1"/>
        </w:rPr>
      </w:pPr>
      <w:r w:rsidRPr="000E0F90">
        <w:rPr>
          <w:rFonts w:ascii="Arial" w:hAnsi="Arial" w:cs="Arial"/>
          <w:b/>
          <w:color w:val="000000" w:themeColor="text1"/>
        </w:rPr>
        <w:t>Sostenibilidad</w:t>
      </w:r>
    </w:p>
    <w:p w:rsidR="00B64699" w:rsidRPr="000E0F90" w:rsidRDefault="00B64699" w:rsidP="002B538F">
      <w:pPr>
        <w:spacing w:line="360" w:lineRule="auto"/>
        <w:rPr>
          <w:rFonts w:ascii="Arial" w:hAnsi="Arial" w:cs="Arial"/>
          <w:color w:val="000000" w:themeColor="text1"/>
        </w:rPr>
      </w:pPr>
      <w:r w:rsidRPr="000E0F90">
        <w:rPr>
          <w:rFonts w:ascii="Arial" w:hAnsi="Arial" w:cs="Arial"/>
          <w:color w:val="000000" w:themeColor="text1"/>
        </w:rPr>
        <w:t>La Real Academia Española de la Lengua, define sostenible como “un proceso que puede mantenerse por sí mismo, sin la ayuda exterior ni merma de los recursos existentes”</w:t>
      </w:r>
      <w:sdt>
        <w:sdtPr>
          <w:rPr>
            <w:rFonts w:ascii="Arial" w:hAnsi="Arial" w:cs="Arial"/>
            <w:color w:val="000000" w:themeColor="text1"/>
          </w:rPr>
          <w:id w:val="154650327"/>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CITATION Rea15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 xml:space="preserve"> (RAE, 2015)</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Proceso que es capaz de continuar </w:t>
      </w:r>
      <w:r w:rsidR="00062CE8" w:rsidRPr="000E0F90">
        <w:rPr>
          <w:rFonts w:ascii="Arial" w:hAnsi="Arial" w:cs="Arial"/>
          <w:color w:val="000000" w:themeColor="text1"/>
        </w:rPr>
        <w:t xml:space="preserve">o perdurar </w:t>
      </w:r>
      <w:r w:rsidRPr="000E0F90">
        <w:rPr>
          <w:rFonts w:ascii="Arial" w:hAnsi="Arial" w:cs="Arial"/>
          <w:color w:val="000000" w:themeColor="text1"/>
        </w:rPr>
        <w:t xml:space="preserve">en el tiempo, a cierto nivel </w:t>
      </w:r>
      <w:sdt>
        <w:sdtPr>
          <w:rPr>
            <w:rFonts w:ascii="Arial" w:hAnsi="Arial" w:cs="Arial"/>
            <w:color w:val="000000" w:themeColor="text1"/>
          </w:rPr>
          <w:id w:val="-695615508"/>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Cam17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(Cambridge Dictionary, 2017)</w:t>
          </w:r>
          <w:r w:rsidRPr="000E0F90">
            <w:rPr>
              <w:rFonts w:ascii="Arial" w:hAnsi="Arial" w:cs="Arial"/>
              <w:color w:val="000000" w:themeColor="text1"/>
            </w:rPr>
            <w:fldChar w:fldCharType="end"/>
          </w:r>
        </w:sdtContent>
      </w:sdt>
      <w:sdt>
        <w:sdtPr>
          <w:rPr>
            <w:rFonts w:ascii="Arial" w:hAnsi="Arial" w:cs="Arial"/>
            <w:color w:val="000000" w:themeColor="text1"/>
          </w:rPr>
          <w:id w:val="733050274"/>
          <w:citation/>
        </w:sdtPr>
        <w:sdtEndPr/>
        <w:sdtContent>
          <w:r w:rsidRPr="000E0F90">
            <w:rPr>
              <w:rFonts w:ascii="Arial" w:hAnsi="Arial" w:cs="Arial"/>
              <w:color w:val="000000" w:themeColor="text1"/>
            </w:rPr>
            <w:fldChar w:fldCharType="begin"/>
          </w:r>
          <w:r w:rsidR="00E521C4" w:rsidRPr="000E0F90">
            <w:rPr>
              <w:rFonts w:ascii="Arial" w:hAnsi="Arial" w:cs="Arial"/>
              <w:color w:val="000000" w:themeColor="text1"/>
            </w:rPr>
            <w:instrText xml:space="preserve">CITATION Onl16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 xml:space="preserve"> (Etymonline, 2016)</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w:t>
      </w:r>
      <w:r w:rsidR="001C61B7" w:rsidRPr="000E0F90">
        <w:rPr>
          <w:rFonts w:ascii="Arial" w:hAnsi="Arial" w:cs="Arial"/>
          <w:color w:val="000000" w:themeColor="text1"/>
        </w:rPr>
        <w:t>Diferenciándose</w:t>
      </w:r>
      <w:r w:rsidRPr="000E0F90">
        <w:rPr>
          <w:rFonts w:ascii="Arial" w:hAnsi="Arial" w:cs="Arial"/>
          <w:color w:val="000000" w:themeColor="text1"/>
        </w:rPr>
        <w:t xml:space="preserve"> del concepto “sustentable”</w:t>
      </w:r>
      <w:r w:rsidR="00CB550E" w:rsidRPr="000E0F90">
        <w:rPr>
          <w:rFonts w:ascii="Arial" w:hAnsi="Arial" w:cs="Arial"/>
          <w:color w:val="000000" w:themeColor="text1"/>
        </w:rPr>
        <w:t>,</w:t>
      </w:r>
      <w:r w:rsidRPr="000E0F90">
        <w:rPr>
          <w:rFonts w:ascii="Arial" w:hAnsi="Arial" w:cs="Arial"/>
          <w:color w:val="000000" w:themeColor="text1"/>
        </w:rPr>
        <w:t xml:space="preserve"> que implica suministrar al sistema los medios de sobrevivencia y de persistencia en forma permanente </w:t>
      </w:r>
      <w:r w:rsidRPr="000E0F90">
        <w:rPr>
          <w:rFonts w:ascii="Arial" w:hAnsi="Arial" w:cs="Arial"/>
          <w:color w:val="000000" w:themeColor="text1"/>
        </w:rPr>
        <w:fldChar w:fldCharType="begin" w:fldLock="1"/>
      </w:r>
      <w:r w:rsidR="00A21008" w:rsidRPr="000E0F90">
        <w:rPr>
          <w:rFonts w:ascii="Arial" w:hAnsi="Arial" w:cs="Arial"/>
          <w:color w:val="000000" w:themeColor="text1"/>
        </w:rPr>
        <w:instrText>ADDIN CSL_CITATION { "citationItems" : [ { "id" : "ITEM-1", "itemData" : { "author" : [ { "dropping-particle" : "", "family" : "Coen", "given" : "Arrigo", "non-dropping-particle" : "", "parse-names" : false, "suffix" : "" } ], "container-title" : "Correo del Maestro", "id" : "ITEM-1", "issued" : { "date-parts" : [ [ "2006" ] ] }, "page" : "3-4", "title" : "De sostenible y sustentable", "type" : "article-journal" }, "uris" : [ "http://www.mendeley.com/documents/?uuid=5c73c094-c6c5-453a-a238-14accff2c98c" ] } ], "mendeley" : { "formattedCitation" : "(Coen, 2006)", "plainTextFormattedCitation" : "(Coen, 2006)", "previouslyFormattedCitation" : "(Coen, 2006)" }, "properties" : { "noteIndex" : 0 }, "schema" : "https://github.com/citation-style-language/schema/raw/master/csl-citation.json" }</w:instrText>
      </w:r>
      <w:r w:rsidRPr="000E0F90">
        <w:rPr>
          <w:rFonts w:ascii="Arial" w:hAnsi="Arial" w:cs="Arial"/>
          <w:color w:val="000000" w:themeColor="text1"/>
        </w:rPr>
        <w:fldChar w:fldCharType="separate"/>
      </w:r>
      <w:r w:rsidR="002051E6" w:rsidRPr="000E0F90">
        <w:rPr>
          <w:rFonts w:ascii="Arial" w:hAnsi="Arial" w:cs="Arial"/>
          <w:noProof/>
          <w:color w:val="000000" w:themeColor="text1"/>
        </w:rPr>
        <w:t>(Coen, 2006)</w:t>
      </w:r>
      <w:r w:rsidRPr="000E0F90">
        <w:rPr>
          <w:rFonts w:ascii="Arial" w:hAnsi="Arial" w:cs="Arial"/>
          <w:color w:val="000000" w:themeColor="text1"/>
        </w:rPr>
        <w:fldChar w:fldCharType="end"/>
      </w:r>
      <w:r w:rsidRPr="000E0F90">
        <w:rPr>
          <w:rFonts w:ascii="Arial" w:hAnsi="Arial" w:cs="Arial"/>
          <w:color w:val="000000" w:themeColor="text1"/>
        </w:rPr>
        <w:t xml:space="preserve">. </w:t>
      </w:r>
    </w:p>
    <w:p w:rsidR="00B64699" w:rsidRPr="000E0F90" w:rsidRDefault="00B64699" w:rsidP="002B538F">
      <w:pPr>
        <w:spacing w:line="360" w:lineRule="auto"/>
        <w:rPr>
          <w:rFonts w:ascii="Arial" w:hAnsi="Arial" w:cs="Arial"/>
          <w:color w:val="000000" w:themeColor="text1"/>
        </w:rPr>
      </w:pPr>
      <w:r w:rsidRPr="000E0F90">
        <w:rPr>
          <w:rFonts w:ascii="Arial" w:hAnsi="Arial" w:cs="Arial"/>
          <w:color w:val="000000" w:themeColor="text1"/>
        </w:rPr>
        <w:t>El tiempo es un elemento inherentemente relac</w:t>
      </w:r>
      <w:r w:rsidR="00CB550E" w:rsidRPr="000E0F90">
        <w:rPr>
          <w:rFonts w:ascii="Arial" w:hAnsi="Arial" w:cs="Arial"/>
          <w:color w:val="000000" w:themeColor="text1"/>
        </w:rPr>
        <w:t>ionado con la sostenibilidad, dado</w:t>
      </w:r>
      <w:r w:rsidR="00BA379A" w:rsidRPr="000E0F90">
        <w:rPr>
          <w:rFonts w:ascii="Arial" w:hAnsi="Arial" w:cs="Arial"/>
          <w:color w:val="000000" w:themeColor="text1"/>
        </w:rPr>
        <w:t xml:space="preserve"> que la capacidad de perdurar de un</w:t>
      </w:r>
      <w:r w:rsidRPr="000E0F90">
        <w:rPr>
          <w:rFonts w:ascii="Arial" w:hAnsi="Arial" w:cs="Arial"/>
          <w:color w:val="000000" w:themeColor="text1"/>
        </w:rPr>
        <w:t xml:space="preserve"> sistema, recursos o condiciones debe mantenerse sin declinar, a través del tiempo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"10.1016/j.ecolecon.2006.10.005", "author" : [ { "dropping-particle" : "", "family" : "Voinov", "given" : "Alexey", "non-dropping-particle" : "", "parse-names" : false, "suffix" : "" }, { "dropping-particle" : "", "family" : "Farley", "given" : "Joshua", "non-dropping-particle" : "", "parse-names" : false, "suffix" : "" } ], "id" : "ITEM-1", "issued" : { "date-parts" : [ [ "2006" ] ] }, "title" : "Reconciling sustainability , systems theory and discounting", "type" : "article-journal", "volume" : "3" }, "uris" : [ "http://www.mendeley.com/documents/?uuid=bb1049fe-92c1-4912-8839-97096c013006" ] } ], "mendeley" : { "formattedCitation" : "(Voinov &amp; Farley, 2006)", "plainTextFormattedCitation" : "(Voinov &amp; Farley, 2006)", "previouslyFormattedCitation" : "(Voinov &amp; Farley, 2006)"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(Voinov &amp; Farley, 2006)</w:t>
      </w:r>
      <w:r w:rsidRPr="000E0F90">
        <w:rPr>
          <w:rFonts w:ascii="Arial" w:hAnsi="Arial" w:cs="Arial"/>
          <w:color w:val="000000" w:themeColor="text1"/>
        </w:rPr>
        <w:fldChar w:fldCharType="end"/>
      </w:r>
      <w:r w:rsidRPr="000E0F90">
        <w:rPr>
          <w:rFonts w:ascii="Arial" w:hAnsi="Arial" w:cs="Arial"/>
          <w:color w:val="000000" w:themeColor="text1"/>
        </w:rPr>
        <w:t xml:space="preserve">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"10.1111/j.1365-2036.2008.03913.x", "ISSN" : "13652036", "PMID" : "19077107", "abstract" : ": A minimum necessary condition for sustainabil- ity is the maintenance of the total natural capital stock at or above the current level. While a lower stock of natural cap- ital may be sustainable, society can allow no further decline in natural capital given the large uncertainty and the dire consequences of guessing wrong. This \"constancy of total natural capital\" rule can thus be seen as a prudent mini- mum condition for assuring sustainability, to be relaxed only when solid evidence can be offered that it is safe to do so. We discuss methodological issues concerning the degree of substitutability tifying of manufactured for natural capital, quan- ecosystem services and natural capital, and the role of the discount rate in valuing natural capital. We differen- tiate the concepts of growth (material increase in size) and development (improvement in organization without size change). Given these definitions, able indefinitely growth cannot be sustain- on a finite planet Development may be sustainable, but even this aspect of change may have some limits. One problem is that current measures of economic well-being at the macro level (i.e., the Gross National Prod- uct) measure mainly growth, or at best conflate growth and development This urgently requires revision. Finally, we suggest some principles of sustainable devel- opment and describe why maintaining natural capital stocks is a prudent and achievable policy for insuring sus- tainable development There is disagreement between tech- nological optimists (who see technical progress as eliminat-ing all resource constraints to growth and development) and technological skeptics (who do not see as much scope for this approach and fear irreversible use of resources and damage to natural capital). By maintaining natural capital stocks (preferably by using a natural capital depletion tax), we can satisfy both the skeptics (since resources will be conserved for future generations) and the optimists (since this will raise the price of natural capital depletion and more rapidly induce the technical change they predict).", "author" : [ { "dropping-particle" : "", "family" : "Costanza", "given" : "Robert", "non-dropping-particle" : "", "parse-names" : false, "suffix" : "" }, { "dropping-particle" : "", "family" : "Daly", "given" : "Herman E", "non-dropping-particle" : "", "parse-names" : false, "suffix" : "" } ], "container-title" : "Society for Conservation Biology", "id" : "ITEM-1", "issue" : "1", "issued" : { "date-parts" : [ [ "1992" ] ] }, "page" : "37-46", "title" : "Capital Natural Development Sustainable", "type" : "article-journal", "volume" : "6" }, "uris" : [ "http://www.mendeley.com/documents/?uuid=890bd0fc-2ac8-4d47-9ce4-12945d65fd31" ] } ], "mendeley" : { "formattedCitation" : "(Costanza &amp; Daly, 1992)", "plainTextFormattedCitation" : "(Costanza &amp; Daly, 1992)", "previouslyFormattedCitation" : "(Costanza &amp; Daly, 1992)"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(Costanza &amp; Daly, 1992)</w:t>
      </w:r>
      <w:r w:rsidRPr="000E0F90">
        <w:rPr>
          <w:rFonts w:ascii="Arial" w:hAnsi="Arial" w:cs="Arial"/>
          <w:color w:val="000000" w:themeColor="text1"/>
        </w:rPr>
        <w:fldChar w:fldCharType="end"/>
      </w:r>
      <w:r w:rsidRPr="000E0F90">
        <w:rPr>
          <w:rFonts w:ascii="Arial" w:hAnsi="Arial" w:cs="Arial"/>
          <w:color w:val="000000" w:themeColor="text1"/>
        </w:rPr>
        <w:t xml:space="preserve">. Por tanto, la sostenibilidad se debe proyectar de acuerdo a la esperanza de vida de cada sistema, siendo un sistema sostenible aquel que alcanza la máxima esperanza de vida dentro del nivel organizacional donde se encuentra, lo cual dependerá de la posibilidad de que en cada rango, operen los cambios adaptativos y evolutivos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"10.1016/0921-8009(95)00048-8", "ISBN" : "0921-8009", "ISSN" : "09218009", "PMID" : "1132", "abstract" : "This paper attempts to separate the definition of sustainability (which is argued to be quite straightforward) from related issues concerning: (1) which system, subsystem, or characteristics are to be sustained; (2) for how long they are to be sustained; and (3) when we can assess whether the system has actually been sustained. We argue that because we can only assess sustainability after the fact, it is a prediction problem more than a definition problem. We also propose that in order for evolutionary adaptation to occur, there must be an ordered, hierarchical relationship between the expected (finite) life spans of systems and their space and time scales.", "author" : [ { "dropping-particle" : "", "family" : "Costanza", "given" : "Robert", "non-dropping-particle" : "", "parse-names" : false, "suffix" : "" }, { "dropping-particle" : "", "family" : "Patten", "given" : "Bernard C.", "non-dropping-particle" : "", "parse-names" : false, "suffix" : "" } ], "container-title" : "Ecological Economics", "id" : "ITEM-1", "issued" : { "date-parts" : [ [ "1995" ] ] }, "page" : "193-196", "title" : "Defining and predicting sustainability", "type" : "article-journal", "volume" : "15" }, "uris" : [ "http://www.mendeley.com/documents/?uuid=1a98332e-4ed2-4787-8008-45656d5ab424" ] } ], "mendeley" : { "formattedCitation" : "(Costanza &amp; Patten, 1995)", "plainTextFormattedCitation" : "(Costanza &amp; Patten, 1995)", "previouslyFormattedCitation" : "(Costanza &amp; Patten, 1995)"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(Costanza &amp; Patten, 1995)</w:t>
      </w:r>
      <w:r w:rsidRPr="000E0F90">
        <w:rPr>
          <w:rFonts w:ascii="Arial" w:hAnsi="Arial" w:cs="Arial"/>
          <w:color w:val="000000" w:themeColor="text1"/>
        </w:rPr>
        <w:fldChar w:fldCharType="end"/>
      </w:r>
      <w:r w:rsidRPr="000E0F90">
        <w:rPr>
          <w:rFonts w:ascii="Arial" w:hAnsi="Arial" w:cs="Arial"/>
          <w:color w:val="000000" w:themeColor="text1"/>
        </w:rPr>
        <w:t xml:space="preserve">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"10.1016/j.ecolecon.2006.10.005", "author" : [ { "dropping-particle" : "", "family" : "Voinov", "given" : "Alexey", "non-dropping-particle" : "", "parse-names" : false, "suffix" : "" }, { "dropping-particle" : "", "family" : "Farley", "given" : "Joshua", "non-dropping-particle" : "", "parse-names" : false, "suffix" : "" } ], "id" : "ITEM-1", "issued" : { "date-parts" : [ [ "2006" ] ] }, "title" : "Reconciling sustainability , systems theory and discounting", "type" : "article-journal", "volume" : "3" }, "uris" : [ "http://www.mendeley.com/documents/?uuid=bb1049fe-92c1-4912-8839-97096c013006" ] } ], "mendeley" : { "formattedCitation" : "(Voinov &amp; Farley, 2006)", "plainTextFormattedCitation" : "(Voinov &amp; Farley, 2006)", "previouslyFormattedCitation" : "(Voinov &amp; Farley, 2006)"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(Voinov &amp; Farley, 2006)</w:t>
      </w:r>
      <w:r w:rsidRPr="000E0F90">
        <w:rPr>
          <w:rFonts w:ascii="Arial" w:hAnsi="Arial" w:cs="Arial"/>
          <w:color w:val="000000" w:themeColor="text1"/>
        </w:rPr>
        <w:fldChar w:fldCharType="end"/>
      </w:r>
      <w:r w:rsidRPr="000E0F90">
        <w:rPr>
          <w:rFonts w:ascii="Arial" w:hAnsi="Arial" w:cs="Arial"/>
          <w:color w:val="000000" w:themeColor="text1"/>
        </w:rPr>
        <w:t xml:space="preserve">. </w:t>
      </w:r>
      <w:r w:rsidR="00062CE8" w:rsidRPr="000E0F90">
        <w:rPr>
          <w:rFonts w:ascii="Arial" w:hAnsi="Arial" w:cs="Arial"/>
          <w:color w:val="000000" w:themeColor="text1"/>
        </w:rPr>
        <w:t xml:space="preserve">Es por ello </w:t>
      </w:r>
      <w:r w:rsidRPr="000E0F90">
        <w:rPr>
          <w:rFonts w:ascii="Arial" w:hAnsi="Arial" w:cs="Arial"/>
          <w:color w:val="000000" w:themeColor="text1"/>
        </w:rPr>
        <w:t>i</w:t>
      </w:r>
      <w:r w:rsidR="00062CE8" w:rsidRPr="000E0F90">
        <w:rPr>
          <w:rFonts w:ascii="Arial" w:hAnsi="Arial" w:cs="Arial"/>
          <w:color w:val="000000" w:themeColor="text1"/>
        </w:rPr>
        <w:t>mportante</w:t>
      </w:r>
      <w:r w:rsidRPr="000E0F90">
        <w:rPr>
          <w:rFonts w:ascii="Arial" w:hAnsi="Arial" w:cs="Arial"/>
          <w:color w:val="000000" w:themeColor="text1"/>
        </w:rPr>
        <w:t xml:space="preserve"> diferenciar las escalas temporales de cada sistema, como el caso de los sistemas humanos y ecológicos, dado que los ecosistemas </w:t>
      </w:r>
      <w:r w:rsidR="00BA5499" w:rsidRPr="000E0F90">
        <w:rPr>
          <w:rFonts w:ascii="Arial" w:hAnsi="Arial" w:cs="Arial"/>
          <w:color w:val="000000" w:themeColor="text1"/>
        </w:rPr>
        <w:t>evolucionan</w:t>
      </w:r>
      <w:r w:rsidRPr="000E0F90">
        <w:rPr>
          <w:rFonts w:ascii="Arial" w:hAnsi="Arial" w:cs="Arial"/>
          <w:color w:val="000000" w:themeColor="text1"/>
        </w:rPr>
        <w:t xml:space="preserve"> a una tasa mayor que los sistemas sociales.  </w:t>
      </w:r>
    </w:p>
    <w:p w:rsidR="00B64699" w:rsidRPr="000E0F90" w:rsidRDefault="00B64699" w:rsidP="002B538F">
      <w:pPr>
        <w:spacing w:line="360" w:lineRule="auto"/>
        <w:rPr>
          <w:rFonts w:ascii="Arial" w:hAnsi="Arial" w:cs="Arial"/>
          <w:color w:val="000000" w:themeColor="text1"/>
        </w:rPr>
      </w:pPr>
      <w:r w:rsidRPr="000E0F90">
        <w:rPr>
          <w:rFonts w:ascii="Arial" w:hAnsi="Arial" w:cs="Arial"/>
          <w:noProof/>
          <w:color w:val="000000" w:themeColor="text1"/>
        </w:rPr>
        <w:t>Gasto et al. (2002)</w:t>
      </w:r>
      <w:r w:rsidRPr="000E0F90">
        <w:rPr>
          <w:rFonts w:ascii="Arial" w:hAnsi="Arial" w:cs="Arial"/>
          <w:color w:val="000000" w:themeColor="text1"/>
        </w:rPr>
        <w:t xml:space="preserve"> señalan que la naturaleza está organizada en niveles jerárquicos que obedecen a principios y leyes propias de cada uno, subordinados a los niveles superiores de organización. En donde el hombre y la sociedad se desarrollan cuando el ecosistema satisface las condiciones para la vida humana y el desarrollo social; y éste a su vez, se ha desarrollado dentro de los límites de la jerarquía superior </w:t>
      </w:r>
      <w:sdt>
        <w:sdtPr>
          <w:rPr>
            <w:rFonts w:ascii="Arial" w:hAnsi="Arial" w:cs="Arial"/>
            <w:color w:val="000000" w:themeColor="text1"/>
          </w:rPr>
          <w:id w:val="-1849247573"/>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CITATION Gas021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(Gasto, Rodrigo, Aránguiz, &amp; Urrutia, 2002)</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La sostenibilidad, por tanto, es propia de cada sistema y subsistema, los cuales están </w:t>
      </w:r>
      <w:r w:rsidR="001C61B7" w:rsidRPr="000E0F90">
        <w:rPr>
          <w:rFonts w:ascii="Arial" w:hAnsi="Arial" w:cs="Arial"/>
          <w:color w:val="000000" w:themeColor="text1"/>
        </w:rPr>
        <w:t>interconectados</w:t>
      </w:r>
      <w:r w:rsidRPr="000E0F90">
        <w:rPr>
          <w:rFonts w:ascii="Arial" w:hAnsi="Arial" w:cs="Arial"/>
          <w:color w:val="000000" w:themeColor="text1"/>
        </w:rPr>
        <w:t xml:space="preserve"> temporal y espacialmente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"10.1016/0921-8009(95)00048-8", "ISBN" : "0921-8009", "ISSN" : "09218009", "PMID" : "1132", "abstract" : "This paper attempts to separate the definition of sustainability (which is argued to be quite straightforward) from related issues concerning: (1) which system, subsystem, or characteristics are to be sustained; (2) for how long they are to be sustained; and (3) when we can assess whether the system has actually been sustained. We argue that because we can only assess sustainability after the fact, it is a prediction problem more than a definition problem. We also propose that in order for evolutionary adaptation to occur, there must be an ordered, hierarchical relationship between the expected (finite) life spans of systems and their space and time scales.", "author" : [ { "dropping-particle" : "", "family" : "Costanza", "given" : "Robert", "non-dropping-particle" : "", "parse-names" : false, "suffix" : "" }, { "dropping-particle" : "", "family" : "Patten", "given" : "Bernard C.", "non-dropping-particle" : "", "parse-names" : false, "suffix" : "" } ], "container-title" : "Ecological Economics", "id" : "ITEM-1", "issued" : { "date-parts" : [ [ "1995" ] ] }, "page" : "193-196", "title" : "Defining and predicting sustainability", "type" : "article-journal", "volume" : "15" }, "uris" : [ "http://www.mendeley.com/documents/?uuid=1a98332e-4ed2-4787-8008-45656d5ab424" ] } ], "mendeley" : { "formattedCitation" : "(Costanza &amp; Patten, 1995)", "plainTextFormattedCitation" : "(Costanza &amp; Patten, 1995)", "previouslyFormattedCitation" : "(Costanza &amp; Patten, 1995)"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(Costanza &amp; Patten, 1995)</w:t>
      </w:r>
      <w:r w:rsidRPr="000E0F90">
        <w:rPr>
          <w:rFonts w:ascii="Arial" w:hAnsi="Arial" w:cs="Arial"/>
          <w:color w:val="000000" w:themeColor="text1"/>
        </w:rPr>
        <w:fldChar w:fldCharType="end"/>
      </w:r>
      <w:r w:rsidRPr="000E0F90">
        <w:rPr>
          <w:rFonts w:ascii="Arial" w:hAnsi="Arial" w:cs="Arial"/>
          <w:color w:val="000000" w:themeColor="text1"/>
        </w:rPr>
        <w:t xml:space="preserve">. Por consiguiente, un sistema aislado no puede ser sostenible, sin que el sistema donde está inmerso sea también sostenible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"10.1016/j.futures.2005.04.005", "ISBN" : "0016-3287", "ISSN" : "00163287", "abstract" : "Traditional fragmented and mechanistic science is unable to cope with issues about sustainability, as these are often related to complex, self-organizing systems. In the paper, sustainable development is seen as an unending process defined neither by fixed goals nor by specific means of achieving them. It is argued that, in order to understand the sources of and the solutions to modern problems, linear and mechanistic thinking must give way to non-linear and organic thinking, more commonly referred to as systems thinking. System Dynamics, which operates in a whole-system fashion, is put forward as a powerful methodology to deal with issues of sustainability. Examples of successful applications are given. Any system in which humans are involved is characterized by the following essential system properties: Bounded rationality, limited certainty, limited predictability, indeterminate causality, and evolutionary change. We need to resort to an adaptive approach, where we go through a learning process and modify our decision rules and our mental models of the real world as we go along. This will enable us to improve system performance by setting dynamic improvement goals (moving targets) for it. Finally, it is demonstrated how causal loop diagrams can be used to find the leverage points of a system. ?? 2005 Elsevier Ltd. All rights reserved.", "author" : [ { "dropping-particle" : "", "family" : "Hjorth", "given" : "Peder", "non-dropping-particle" : "", "parse-names" : false, "suffix" : "" }, { "dropping-particle" : "", "family" : "Bagheri", "given" : "Ali", "non-dropping-particle" : "", "parse-names" : false, "suffix" : "" } ], "container-title" : "Futures", "id" : "ITEM-1", "issued" : { "date-parts" : [ [ "2006" ] ] }, "page" : "74-92", "title" : "Navigating towards sustainable development: A system dynamics approach", "type" : "article-journal", "volume" : "38" }, "uris" : [ "http://www.mendeley.com/documents/?uuid=7f03e4d3-3f78-4d0f-94d2-e47d11ab1abd" ] } ], "mendeley" : { "formattedCitation" : "(Hjorth &amp; Bagheri, 2006)", "plainTextFormattedCitation" : "(Hjorth &amp; Bagheri, 2006)", "previouslyFormattedCitation" : "(Hjorth &amp; Bagheri, 2006)"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(Hjorth &amp; Bagheri, 2006)</w:t>
      </w:r>
      <w:r w:rsidRPr="000E0F90">
        <w:rPr>
          <w:rFonts w:ascii="Arial" w:hAnsi="Arial" w:cs="Arial"/>
          <w:color w:val="000000" w:themeColor="text1"/>
        </w:rPr>
        <w:fldChar w:fldCharType="end"/>
      </w:r>
      <w:r w:rsidRPr="000E0F90">
        <w:rPr>
          <w:rFonts w:ascii="Arial" w:hAnsi="Arial" w:cs="Arial"/>
          <w:color w:val="000000" w:themeColor="text1"/>
        </w:rPr>
        <w:t>.</w:t>
      </w:r>
    </w:p>
    <w:p w:rsidR="00B64699" w:rsidRPr="000E0F90" w:rsidRDefault="00BA5499" w:rsidP="002B538F">
      <w:pPr>
        <w:spacing w:line="360" w:lineRule="auto"/>
        <w:rPr>
          <w:rFonts w:ascii="Arial" w:hAnsi="Arial" w:cs="Arial"/>
          <w:color w:val="000000" w:themeColor="text1"/>
        </w:rPr>
      </w:pPr>
      <w:r w:rsidRPr="000E0F90">
        <w:rPr>
          <w:rFonts w:ascii="Arial" w:hAnsi="Arial" w:cs="Arial"/>
          <w:color w:val="000000" w:themeColor="text1"/>
        </w:rPr>
        <w:lastRenderedPageBreak/>
        <w:t>L</w:t>
      </w:r>
      <w:r w:rsidR="00B64699" w:rsidRPr="000E0F90">
        <w:rPr>
          <w:rFonts w:ascii="Arial" w:hAnsi="Arial" w:cs="Arial"/>
          <w:color w:val="000000" w:themeColor="text1"/>
        </w:rPr>
        <w:t xml:space="preserve">a sostenibilidad impone límites al sistema, los cuales se relacionan con la viabilidad, actual y futura del mismo, y que dependen de </w:t>
      </w:r>
      <w:r w:rsidRPr="000E0F90">
        <w:rPr>
          <w:rFonts w:ascii="Arial" w:hAnsi="Arial" w:cs="Arial"/>
          <w:color w:val="000000" w:themeColor="text1"/>
        </w:rPr>
        <w:t>las</w:t>
      </w:r>
      <w:r w:rsidR="00B64699" w:rsidRPr="000E0F90">
        <w:rPr>
          <w:rFonts w:ascii="Arial" w:hAnsi="Arial" w:cs="Arial"/>
          <w:color w:val="000000" w:themeColor="text1"/>
        </w:rPr>
        <w:t xml:space="preserve"> c</w:t>
      </w:r>
      <w:r w:rsidRPr="000E0F90">
        <w:rPr>
          <w:rFonts w:ascii="Arial" w:hAnsi="Arial" w:cs="Arial"/>
          <w:color w:val="000000" w:themeColor="text1"/>
        </w:rPr>
        <w:t xml:space="preserve">ondiciones </w:t>
      </w:r>
      <w:r w:rsidR="00B64699" w:rsidRPr="000E0F90">
        <w:rPr>
          <w:rFonts w:ascii="Arial" w:hAnsi="Arial" w:cs="Arial"/>
          <w:color w:val="000000" w:themeColor="text1"/>
        </w:rPr>
        <w:t>de estabilidad y resiliencia</w:t>
      </w:r>
      <w:r w:rsidRPr="000E0F90">
        <w:rPr>
          <w:rFonts w:ascii="Arial" w:hAnsi="Arial" w:cs="Arial"/>
          <w:color w:val="000000" w:themeColor="text1"/>
        </w:rPr>
        <w:t xml:space="preserve"> del sistema</w:t>
      </w:r>
      <w:r w:rsidR="00B64699" w:rsidRPr="000E0F90">
        <w:rPr>
          <w:rFonts w:ascii="Arial" w:hAnsi="Arial" w:cs="Arial"/>
          <w:color w:val="000000" w:themeColor="text1"/>
        </w:rPr>
        <w:t xml:space="preserve"> (Holling, 1986). </w:t>
      </w:r>
      <w:bookmarkStart w:id="6" w:name="_Toc439950831"/>
      <w:r w:rsidRPr="000E0F90">
        <w:rPr>
          <w:rFonts w:ascii="Arial" w:hAnsi="Arial" w:cs="Arial"/>
          <w:color w:val="000000" w:themeColor="text1"/>
        </w:rPr>
        <w:t xml:space="preserve"> Por consiguiente, u</w:t>
      </w:r>
      <w:r w:rsidR="00B64699" w:rsidRPr="000E0F90">
        <w:rPr>
          <w:rFonts w:ascii="Arial" w:hAnsi="Arial" w:cs="Arial"/>
          <w:color w:val="000000" w:themeColor="text1"/>
        </w:rPr>
        <w:t xml:space="preserve">n sistema sostenible es aquel en donde existe evolución y adaptación continua de los componentes internos que permiten ajuste a las condiciones cambiantes de los sistemas externos o de jerarquía superior a través del tiempo, sin generar efectos perjudiciales mutuos, de forma que el equilibrio de la sostenibilidad se alcance espacial y temporalmente </w:t>
      </w:r>
      <w:r w:rsidR="00B64699" w:rsidRPr="000E0F90">
        <w:rPr>
          <w:rFonts w:ascii="Arial" w:hAnsi="Arial" w:cs="Arial"/>
          <w:color w:val="000000" w:themeColor="text1"/>
        </w:rPr>
        <w:fldChar w:fldCharType="begin" w:fldLock="1"/>
      </w:r>
      <w:r w:rsidR="00B64699" w:rsidRPr="000E0F90">
        <w:rPr>
          <w:rFonts w:ascii="Arial" w:hAnsi="Arial" w:cs="Arial"/>
          <w:color w:val="000000" w:themeColor="text1"/>
        </w:rPr>
        <w:instrText>ADDIN CSL_CITATION { "citationItems" : [ { "id" : "ITEM-1", "itemData" : { "DOI" : "10.1142/S1464333205001955", "ISSN" : "1464-3332", "abstract" : "The newchallenge for organisations is to deal with the complex issue of sustainability.How- ever, the confusion surrounding sustainability hinders its implementation. This article for- mulates a framework consisting of three aspects to analyse the conceptual developments that underlie sustainability: the artefact (what), goal orientation (relative versus absolute) and (behavioural) interaction (static versus dynamic). The study of conceptual founda- tions underpins the framework. Contributions in both the theoretical (definitions) and the practical (indicators) spheres are analysed. The discussion about sustainability takes place in firms. Therefore, organisational developments are used as a reference timeline. Based on observations and analyses, this article suggests a new course for the sustainability discus- sion and its implications for the organisational context: a knowledge approach focussing on transparency and dialogue. This also implies that the emphasis in the sustainability discus- sion is changing from a merely environmental to an organisational and societal perspective", "author" : [ { "dropping-particle" : "", "family" : "Faber", "given" : "Niels", "non-dropping-particle" : "", "parse-names" : false, "suffix" : "" }, { "dropping-particle" : "", "family" : "Jorna", "given" : "Ren\u00e9", "non-dropping-particle" : "", "parse-names" : false, "suffix" : "" }, { "dropping-particle" : "", "family" : "Engelen", "given" : "Jo", "non-dropping-particle" : "Van", "parse-names" : false, "suffix" : "" } ], "container-title" : "Journal of Environmental Assessment Policy and Management", "id" : "ITEM-1", "issue" : "1", "issued" : { "date-parts" : [ [ "2005" ] ] }, "page" : "1-33", "title" : "the Sustainability of \"Sustainability\" \u2014 a Study Into the Conceptual Foundations of the Notion of \"Sustainability\"", "type" : "article-journal", "volume" : "07" }, "uris" : [ "http://www.mendeley.com/documents/?uuid=0a72b741-86f2-4df3-9a50-dcf6fdf3492e" ] } ], "mendeley" : { "formattedCitation" : "(Faber, Jorna, &amp; Van Engelen, 2005)", "plainTextFormattedCitation" : "(Faber, Jorna, &amp; Van Engelen, 2005)", "previouslyFormattedCitation" : "(Faber, Jorna, &amp; Van Engelen, 2005)" }, "properties" : { "noteIndex" : 0 }, "schema" : "https://github.com/citation-style-language/schema/raw/master/csl-citation.json" }</w:instrText>
      </w:r>
      <w:r w:rsidR="00B64699" w:rsidRPr="000E0F90">
        <w:rPr>
          <w:rFonts w:ascii="Arial" w:hAnsi="Arial" w:cs="Arial"/>
          <w:color w:val="000000" w:themeColor="text1"/>
        </w:rPr>
        <w:fldChar w:fldCharType="separate"/>
      </w:r>
      <w:r w:rsidR="00B64699" w:rsidRPr="000E0F90">
        <w:rPr>
          <w:rFonts w:ascii="Arial" w:hAnsi="Arial" w:cs="Arial"/>
          <w:noProof/>
          <w:color w:val="000000" w:themeColor="text1"/>
        </w:rPr>
        <w:t>(Faber, Jorna, &amp; Van Engelen, 2005)</w:t>
      </w:r>
      <w:r w:rsidR="00B64699" w:rsidRPr="000E0F90">
        <w:rPr>
          <w:rFonts w:ascii="Arial" w:hAnsi="Arial" w:cs="Arial"/>
          <w:color w:val="000000" w:themeColor="text1"/>
        </w:rPr>
        <w:fldChar w:fldCharType="end"/>
      </w:r>
      <w:r w:rsidR="00B64699" w:rsidRPr="000E0F90">
        <w:rPr>
          <w:rFonts w:ascii="Arial" w:hAnsi="Arial" w:cs="Arial"/>
          <w:color w:val="000000" w:themeColor="text1"/>
        </w:rPr>
        <w:t xml:space="preserve"> </w:t>
      </w:r>
      <w:r w:rsidR="00B64699" w:rsidRPr="000E0F90">
        <w:rPr>
          <w:rFonts w:ascii="Arial" w:hAnsi="Arial" w:cs="Arial"/>
          <w:color w:val="000000" w:themeColor="text1"/>
        </w:rPr>
        <w:fldChar w:fldCharType="begin" w:fldLock="1"/>
      </w:r>
      <w:r w:rsidR="00B64699" w:rsidRPr="000E0F90">
        <w:rPr>
          <w:rFonts w:ascii="Arial" w:hAnsi="Arial" w:cs="Arial"/>
          <w:color w:val="000000" w:themeColor="text1"/>
        </w:rPr>
        <w:instrText>ADDIN CSL_CITATION { "citationItems" : [ { "id" : "ITEM-1", "itemData" : { "DOI" : "10.1016/j.ecolecon.2006.10.005", "author" : [ { "dropping-particle" : "", "family" : "Voinov", "given" : "Alexey", "non-dropping-particle" : "", "parse-names" : false, "suffix" : "" }, { "dropping-particle" : "", "family" : "Farley", "given" : "Joshua", "non-dropping-particle" : "", "parse-names" : false, "suffix" : "" } ], "id" : "ITEM-1", "issued" : { "date-parts" : [ [ "2006" ] ] }, "title" : "Reconciling sustainability , systems theory and discounting", "type" : "article-journal", "volume" : "3" }, "uris" : [ "http://www.mendeley.com/documents/?uuid=bb1049fe-92c1-4912-8839-97096c013006" ] } ], "mendeley" : { "formattedCitation" : "(Voinov &amp; Farley, 2006)", "plainTextFormattedCitation" : "(Voinov &amp; Farley, 2006)", "previouslyFormattedCitation" : "(Voinov &amp; Farley, 2006)" }, "properties" : { "noteIndex" : 0 }, "schema" : "https://github.com/citation-style-language/schema/raw/master/csl-citation.json" }</w:instrText>
      </w:r>
      <w:r w:rsidR="00B64699" w:rsidRPr="000E0F90">
        <w:rPr>
          <w:rFonts w:ascii="Arial" w:hAnsi="Arial" w:cs="Arial"/>
          <w:color w:val="000000" w:themeColor="text1"/>
        </w:rPr>
        <w:fldChar w:fldCharType="separate"/>
      </w:r>
      <w:r w:rsidR="00B64699" w:rsidRPr="000E0F90">
        <w:rPr>
          <w:rFonts w:ascii="Arial" w:hAnsi="Arial" w:cs="Arial"/>
          <w:noProof/>
          <w:color w:val="000000" w:themeColor="text1"/>
        </w:rPr>
        <w:t>(Voinov &amp; Farley, 2006)</w:t>
      </w:r>
      <w:r w:rsidR="00B64699" w:rsidRPr="000E0F90">
        <w:rPr>
          <w:rFonts w:ascii="Arial" w:hAnsi="Arial" w:cs="Arial"/>
          <w:color w:val="000000" w:themeColor="text1"/>
        </w:rPr>
        <w:fldChar w:fldCharType="end"/>
      </w:r>
      <w:r w:rsidR="00B64699" w:rsidRPr="000E0F90">
        <w:rPr>
          <w:rFonts w:ascii="Arial" w:hAnsi="Arial" w:cs="Arial"/>
          <w:color w:val="000000" w:themeColor="text1"/>
        </w:rPr>
        <w:t xml:space="preserve"> (Holling, 2000). </w:t>
      </w:r>
    </w:p>
    <w:p w:rsidR="00B64699" w:rsidRPr="000E0F90" w:rsidRDefault="00B64699" w:rsidP="002B538F">
      <w:pPr>
        <w:spacing w:before="240" w:after="0" w:line="360" w:lineRule="auto"/>
        <w:rPr>
          <w:rFonts w:ascii="Arial" w:hAnsi="Arial" w:cs="Arial"/>
          <w:b/>
          <w:color w:val="000000" w:themeColor="text1"/>
        </w:rPr>
      </w:pPr>
      <w:r w:rsidRPr="000E0F90">
        <w:rPr>
          <w:rFonts w:ascii="Arial" w:hAnsi="Arial" w:cs="Arial"/>
          <w:b/>
          <w:color w:val="000000" w:themeColor="text1"/>
        </w:rPr>
        <w:t>Desarrollo Sostenible</w:t>
      </w:r>
      <w:bookmarkEnd w:id="6"/>
    </w:p>
    <w:p w:rsidR="000740DF" w:rsidRPr="000E0F90" w:rsidRDefault="00B64699" w:rsidP="002B538F">
      <w:pPr>
        <w:spacing w:line="360" w:lineRule="auto"/>
        <w:rPr>
          <w:rFonts w:ascii="Arial" w:hAnsi="Arial" w:cs="Arial"/>
          <w:color w:val="000000" w:themeColor="text1"/>
        </w:rPr>
      </w:pPr>
      <w:r w:rsidRPr="000E0F90">
        <w:rPr>
          <w:rFonts w:ascii="Arial" w:hAnsi="Arial" w:cs="Arial"/>
          <w:color w:val="000000" w:themeColor="text1"/>
        </w:rPr>
        <w:t>Producto que la interacción entre los sistemas sociales y los sistemas ecológicos ha generado situaciones de deterioro en ambos sistemas, com</w:t>
      </w:r>
      <w:r w:rsidR="00CB550E" w:rsidRPr="000E0F90">
        <w:rPr>
          <w:rFonts w:ascii="Arial" w:hAnsi="Arial" w:cs="Arial"/>
          <w:color w:val="000000" w:themeColor="text1"/>
        </w:rPr>
        <w:t>o la degradación medioambiental,</w:t>
      </w:r>
      <w:r w:rsidRPr="000E0F90">
        <w:rPr>
          <w:rFonts w:ascii="Arial" w:hAnsi="Arial" w:cs="Arial"/>
          <w:color w:val="000000" w:themeColor="text1"/>
        </w:rPr>
        <w:t xml:space="preserve"> la escasez de recursos, los problemas socioeconómicos, de pobreza e inequidad (i.e. conflictos distribucionales), afectando la viabilidad actual y futura de la humanidad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"author" : [ { "dropping-particle" : "", "family" : "Hopwood", "given" : "Bill", "non-dropping-particle" : "", "parse-names" : false, "suffix" : "" }, { "dropping-particle" : "", "family" : "Mellor", "given" : "Mary", "non-dropping-particle" : "", "parse-names" : false, "suffix" : "" }, { "dropping-particle" : "", "family" : "Brien", "given" : "Geoff O", "non-dropping-particle" : "", "parse-names" : false, "suffix" : "" } ], "id" : "ITEM-1", "issued" : { "date-parts" : [ [ "2005" ] ] }, "page" : "38-52", "title" : "Sustainable Development : Mapping Different Approaches", "type" : "article-journal", "volume" : "52" }, "uris" : [ "http://www.mendeley.com/documents/?uuid=711b2b23-602e-480d-9efa-d22f42fcd819" ] }, { "id" : "ITEM-2", "itemData" : { "DOI" : "10.1016/j.ecolecon.2003.10.017", "ISSN" : "09218009", "author" : [ { "dropping-particle" : "", "family" : "Robinson", "given" : "John", "non-dropping-particle" : "", "parse-names" : false, "suffix" : "" } ], "container-title" : "Ecological Economics", "id" : "ITEM-2", "issue" : "4", "issued" : { "date-parts" : [ [ "2004", "4" ] ] }, "page" : "369-384", "title" : "Squaring the circle? Some thoughts on the idea of sustainable development", "type" : "article-journal", "volume" : "48" }, "uris" : [ "http://www.mendeley.com/documents/?uuid=25c28cbb-01a4-4575-8b81-33ffc25e06c3" ] } ], "mendeley" : { "formattedCitation" : "(Hopwood, Mellor, &amp; Brien, 2005; Robinson, 2004)", "plainTextFormattedCitation" : "(Hopwood, Mellor, &amp; Brien, 2005; Robinson, 2004)", "previouslyFormattedCitation" : "(Hopwood, Mellor, &amp; Brien, 2005; Robinson, 2004)"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(Hopwood, Mellor, &amp; Brien, 2005; Robinson, 2004)</w:t>
      </w:r>
      <w:r w:rsidRPr="000E0F90">
        <w:rPr>
          <w:rFonts w:ascii="Arial" w:hAnsi="Arial" w:cs="Arial"/>
          <w:color w:val="000000" w:themeColor="text1"/>
        </w:rPr>
        <w:fldChar w:fldCharType="end"/>
      </w:r>
      <w:r w:rsidRPr="000E0F90">
        <w:rPr>
          <w:rFonts w:ascii="Arial" w:hAnsi="Arial" w:cs="Arial"/>
          <w:color w:val="000000" w:themeColor="text1"/>
        </w:rPr>
        <w:t>. Emerge un nuevo paradigma de desarrollo, denominado</w:t>
      </w:r>
      <w:r w:rsidR="000740DF" w:rsidRPr="000E0F90">
        <w:rPr>
          <w:rFonts w:ascii="Arial" w:hAnsi="Arial" w:cs="Arial"/>
          <w:color w:val="000000" w:themeColor="text1"/>
        </w:rPr>
        <w:t xml:space="preserve"> Desarrollo Sostenible que se define como el desarrollo que satisface las necesidades actuales, sin comprometer la habilidad de satisfacer las necesidades de las generaciones futuras </w:t>
      </w:r>
      <w:sdt>
        <w:sdtPr>
          <w:rPr>
            <w:rFonts w:ascii="Arial" w:hAnsi="Arial" w:cs="Arial"/>
            <w:color w:val="000000" w:themeColor="text1"/>
          </w:rPr>
          <w:id w:val="-1218592405"/>
          <w:citation/>
        </w:sdtPr>
        <w:sdtEndPr/>
        <w:sdtContent>
          <w:r w:rsidR="000740DF" w:rsidRPr="000E0F90">
            <w:rPr>
              <w:rFonts w:ascii="Arial" w:hAnsi="Arial" w:cs="Arial"/>
              <w:color w:val="000000" w:themeColor="text1"/>
            </w:rPr>
            <w:fldChar w:fldCharType="begin"/>
          </w:r>
          <w:r w:rsidR="000740DF" w:rsidRPr="000E0F90">
            <w:rPr>
              <w:rFonts w:ascii="Arial" w:hAnsi="Arial" w:cs="Arial"/>
              <w:color w:val="000000" w:themeColor="text1"/>
            </w:rPr>
            <w:instrText xml:space="preserve"> CITATION WCE87 \l 13322 </w:instrText>
          </w:r>
          <w:r w:rsidR="000740DF" w:rsidRPr="000E0F90">
            <w:rPr>
              <w:rFonts w:ascii="Arial" w:hAnsi="Arial" w:cs="Arial"/>
              <w:color w:val="000000" w:themeColor="text1"/>
            </w:rPr>
            <w:fldChar w:fldCharType="separate"/>
          </w:r>
          <w:r w:rsidR="008D0261" w:rsidRPr="000E0F90">
            <w:rPr>
              <w:rFonts w:ascii="Arial" w:hAnsi="Arial" w:cs="Arial"/>
              <w:noProof/>
              <w:color w:val="000000" w:themeColor="text1"/>
            </w:rPr>
            <w:t>(WCED, 1987)</w:t>
          </w:r>
          <w:r w:rsidR="000740DF" w:rsidRPr="000E0F90">
            <w:rPr>
              <w:rFonts w:ascii="Arial" w:hAnsi="Arial" w:cs="Arial"/>
              <w:color w:val="000000" w:themeColor="text1"/>
            </w:rPr>
            <w:fldChar w:fldCharType="end"/>
          </w:r>
        </w:sdtContent>
      </w:sdt>
      <w:r w:rsidR="000740DF" w:rsidRPr="000E0F90">
        <w:rPr>
          <w:rFonts w:ascii="Arial" w:hAnsi="Arial" w:cs="Arial"/>
          <w:color w:val="000000" w:themeColor="text1"/>
        </w:rPr>
        <w:t>.</w:t>
      </w:r>
    </w:p>
    <w:p w:rsidR="00B64699" w:rsidRPr="000E0F90" w:rsidRDefault="00B64699" w:rsidP="002B538F">
      <w:pPr>
        <w:spacing w:line="360" w:lineRule="auto"/>
        <w:rPr>
          <w:rFonts w:ascii="Arial" w:hAnsi="Arial" w:cs="Arial"/>
          <w:color w:val="000000" w:themeColor="text1"/>
        </w:rPr>
      </w:pPr>
      <w:r w:rsidRPr="000E0F90">
        <w:rPr>
          <w:rFonts w:ascii="Arial" w:hAnsi="Arial" w:cs="Arial"/>
          <w:color w:val="000000" w:themeColor="text1"/>
        </w:rPr>
        <w:t xml:space="preserve">Reconoce la dependencia de los humanos con el medio ambiente, en un sentido mucho más amplio que exclusivamente explotar sus recursos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"author" : [ { "dropping-particle" : "", "family" : "Hopwood", "given" : "Bill", "non-dropping-particle" : "", "parse-names" : false, "suffix" : "" }, { "dropping-particle" : "", "family" : "Mellor", "given" : "Mary", "non-dropping-particle" : "", "parse-names" : false, "suffix" : "" }, { "dropping-particle" : "", "family" : "Brien", "given" : "Geoff O", "non-dropping-particle" : "", "parse-names" : false, "suffix" : "" } ], "id" : "ITEM-1", "issued" : { "date-parts" : [ [ "2005" ] ] }, "page" : "38-52", "title" : "Sustainable Development : Mapping Different Approaches", "type" : "article-journal", "volume" : "52" }, "uris" : [ "http://www.mendeley.com/documents/?uuid=711b2b23-602e-480d-9efa-d22f42fcd819" ] } ], "mendeley" : { "formattedCitation" : "(Hopwood et al., 2005)", "plainTextFormattedCitation" : "(Hopwood et al., 2005)", "previouslyFormattedCitation" : "(Hopwood et al., 2005)"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(Hopwood et al., 2005)</w:t>
      </w:r>
      <w:r w:rsidRPr="000E0F90">
        <w:rPr>
          <w:rFonts w:ascii="Arial" w:hAnsi="Arial" w:cs="Arial"/>
          <w:color w:val="000000" w:themeColor="text1"/>
        </w:rPr>
        <w:fldChar w:fldCharType="end"/>
      </w:r>
      <w:r w:rsidRPr="000E0F90">
        <w:rPr>
          <w:rFonts w:ascii="Arial" w:hAnsi="Arial" w:cs="Arial"/>
          <w:color w:val="000000" w:themeColor="text1"/>
        </w:rPr>
        <w:t xml:space="preserve">, incorporando aspectos calidad de vida y bienestar, así como la viabilidad futura de la humanidad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"10.1007/s10980-013-9894-9", "ISBN" : "0921-2973", "ISSN" : "09212973", "abstract" : "The main objectives of this paper are: (1) to elucidate key definitions and concepts of sustainability, including the Brundtland definition, the triple bottom line, weak and strong sustainability, resilience, human well-being, and ecosystem services; (2) to examine key definitions and concepts of landscape sustainability, including those derived from general concepts and those developed for specific landscapes; and (3) to propose a framework for developing a science of landscape sustainability. Landscape sustainability is defined as the capacity of a landscape to consistently provide long-term, landscape-specific ecosystem services essential for maintaining and improving human well-being. Fundamentally, well-being is a journey, not a destination. Landscape sustainability science is a place-based, use-inspired science of understanding and improving the dynamic relationship between ecosystem services and human well-being in changing landscapes under uncertainties arising from internal feedbacks and external disturbances. While landscape sustainability science emphasizes place-based research on landscape and regional scales, significant between landscape interactions and hierarchical linkages to both finer and broader scales (or externalities) must not be ignored. To advance landscape sustainability science, spatially explicit methods are essential, especially experimental approaches that take advantage of designed landscapes and multi-scaled simulation models that couple the dynamics of landscape services (ecosystem services provided by multiple landscape elements in combination as emergent properties) and human well-being.", "author" : [ { "dropping-particle" : "", "family" : "Wu", "given" : "Jianguo", "non-dropping-particle" : "", "parse-names" : false, "suffix" : "" } ], "container-title" : "Landscape Ecology", "id" : "ITEM-1", "issued" : { "date-parts" : [ [ "2013" ] ] }, "page" : "999-1023", "title" : "Landscape sustainability science: Ecosystem services and human well-being in changing landscapes", "type" : "article-journal", "volume" : "28" }, "uris" : [ "http://www.mendeley.com/documents/?uuid=a6145fc0-a12a-4983-87bf-a0ea269e4a91" ] } ], "mendeley" : { "formattedCitation" : "(Wu, 2013)", "plainTextFormattedCitation" : "(Wu, 2013)", "previouslyFormattedCitation" : "(Wu, 2013)"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(Wu, 2013)</w:t>
      </w:r>
      <w:r w:rsidRPr="000E0F90">
        <w:rPr>
          <w:rFonts w:ascii="Arial" w:hAnsi="Arial" w:cs="Arial"/>
          <w:color w:val="000000" w:themeColor="text1"/>
        </w:rPr>
        <w:fldChar w:fldCharType="end"/>
      </w:r>
      <w:r w:rsidRPr="000E0F90">
        <w:rPr>
          <w:rFonts w:ascii="Arial" w:hAnsi="Arial" w:cs="Arial"/>
          <w:color w:val="000000" w:themeColor="text1"/>
        </w:rPr>
        <w:t xml:space="preserve">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"author" : [ { "dropping-particle" : "", "family" : "Hopwood", "given" : "Bill", "non-dropping-particle" : "", "parse-names" : false, "suffix" : "" }, { "dropping-particle" : "", "family" : "Mellor", "given" : "Mary", "non-dropping-particle" : "", "parse-names" : false, "suffix" : "" }, { "dropping-particle" : "", "family" : "Brien", "given" : "Geoff O", "non-dropping-particle" : "", "parse-names" : false, "suffix" : "" } ], "id" : "ITEM-1", "issued" : { "date-parts" : [ [ "2005" ] ] }, "page" : "38-52", "title" : "Sustainable Development : Mapping Different Approaches", "type" : "article-journal", "volume" : "52" }, "uris" : [ "http://www.mendeley.com/documents/?uuid=711b2b23-602e-480d-9efa-d22f42fcd819" ] }, { "id" : "ITEM-2", "itemData" : { "DOI" : "10.1016/j.ecolecon.2003.10.017", "ISSN" : "09218009", "author" : [ { "dropping-particle" : "", "family" : "Robinson", "given" : "John", "non-dropping-particle" : "", "parse-names" : false, "suffix" : "" } ], "container-title" : "Ecological Economics", "id" : "ITEM-2", "issue" : "4", "issued" : { "date-parts" : [ [ "2004", "4" ] ] }, "page" : "369-384", "title" : "Squaring the circle? Some thoughts on the idea of sustainable development", "type" : "article-journal", "volume" : "48" }, "uris" : [ "http://www.mendeley.com/documents/?uuid=25c28cbb-01a4-4575-8b81-33ffc25e06c3" ] } ], "mendeley" : { "formattedCitation" : "(Hopwood et al., 2005; Robinson, 2004)", "plainTextFormattedCitation" : "(Hopwood et al., 2005; Robinson, 2004)", "previouslyFormattedCitation" : "(Hopwood et al., 2005; Robinson, 2004)"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(Hopwood et al., 2005; Robinson, 2004)</w:t>
      </w:r>
      <w:r w:rsidRPr="000E0F90">
        <w:rPr>
          <w:rFonts w:ascii="Arial" w:hAnsi="Arial" w:cs="Arial"/>
          <w:color w:val="000000" w:themeColor="text1"/>
        </w:rPr>
        <w:fldChar w:fldCharType="end"/>
      </w:r>
      <w:r w:rsidRPr="000E0F90">
        <w:rPr>
          <w:rFonts w:ascii="Arial" w:hAnsi="Arial" w:cs="Arial"/>
          <w:color w:val="000000" w:themeColor="text1"/>
        </w:rPr>
        <w:t xml:space="preserve">. Abordando en conjunto aspectos de deterioro ambiental como de desarrollo humano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"author" : [ { "dropping-particle" : "", "family" : "Gibson", "given" : "Robert B", "non-dropping-particle" : "", "parse-names" : false, "suffix" : "" } ], "id" : "ITEM-1", "issue" : "3", "issued" : { "date-parts" : [ [ "2006" ] ] }, "page" : "259-280", "title" : "BEYOND THE PILLARS : SUSTAINABILITY ASSESSMENT AS A FRAMEWORK FOR EFFECTIVE INTEGRATION OF SOCIAL , ECONOMIC AND ECOLOGICAL CONSIDERATIONS IN SIGNIFICANT DECISION-MAKING The core argument here is quite simple . Because sustainability is an essentially int", "type" : "article-journal", "volume" : "8" }, "uris" : [ "http://www.mendeley.com/documents/?uuid=d3c97d20-f0ff-429a-8693-8b289fd7b587" ] } ], "mendeley" : { "formattedCitation" : "(Gibson, 2006)", "plainTextFormattedCitation" : "(Gibson, 2006)", "previouslyFormattedCitation" : "(Gibson, 2006)"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(Gibson, 2006)</w:t>
      </w:r>
      <w:r w:rsidRPr="000E0F90">
        <w:rPr>
          <w:rFonts w:ascii="Arial" w:hAnsi="Arial" w:cs="Arial"/>
          <w:color w:val="000000" w:themeColor="text1"/>
        </w:rPr>
        <w:fldChar w:fldCharType="end"/>
      </w:r>
      <w:r w:rsidRPr="000E0F90">
        <w:rPr>
          <w:rFonts w:ascii="Arial" w:hAnsi="Arial" w:cs="Arial"/>
          <w:color w:val="000000" w:themeColor="text1"/>
        </w:rPr>
        <w:t xml:space="preserve">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"10.1016/j.ecolecon.2003.10.017", "ISSN" : "09218009", "author" : [ { "dropping-particle" : "", "family" : "Robinson", "given" : "John", "non-dropping-particle" : "", "parse-names" : false, "suffix" : "" } ], "container-title" : "Ecological Economics", "id" : "ITEM-1", "issue" : "4", "issued" : { "date-parts" : [ [ "2004", "4" ] ] }, "page" : "369-384", "title" : "Squaring the circle? Some thoughts on the idea of sustainable development", "type" : "article-journal", "volume" : "48" }, "uris" : [ "http://www.mendeley.com/documents/?uuid=25c28cbb-01a4-4575-8b81-33ffc25e06c3" ] } ], "mendeley" : { "formattedCitation" : "(Robinson, 2004)", "plainTextFormattedCitation" : "(Robinson, 2004)", "previouslyFormattedCitation" : "(Robinson, 2004)"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(Robinson, 2004)</w:t>
      </w:r>
      <w:r w:rsidRPr="000E0F90">
        <w:rPr>
          <w:rFonts w:ascii="Arial" w:hAnsi="Arial" w:cs="Arial"/>
          <w:color w:val="000000" w:themeColor="text1"/>
        </w:rPr>
        <w:fldChar w:fldCharType="end"/>
      </w:r>
      <w:r w:rsidRPr="000E0F90">
        <w:rPr>
          <w:rFonts w:ascii="Arial" w:hAnsi="Arial" w:cs="Arial"/>
          <w:color w:val="000000" w:themeColor="text1"/>
        </w:rPr>
        <w:t xml:space="preserve">. </w:t>
      </w:r>
    </w:p>
    <w:p w:rsidR="00B64699" w:rsidRPr="000E0F90" w:rsidRDefault="00B64699" w:rsidP="002B538F">
      <w:pPr>
        <w:spacing w:line="360" w:lineRule="auto"/>
        <w:rPr>
          <w:rFonts w:ascii="Arial" w:hAnsi="Arial" w:cs="Arial"/>
          <w:color w:val="000000" w:themeColor="text1"/>
        </w:rPr>
      </w:pPr>
      <w:r w:rsidRPr="000E0F90">
        <w:rPr>
          <w:rFonts w:ascii="Arial" w:hAnsi="Arial" w:cs="Arial"/>
          <w:color w:val="000000" w:themeColor="text1"/>
        </w:rPr>
        <w:t>Si bien el concepto desarrollo, en el ámbito de una comunidad humana se define como</w:t>
      </w:r>
      <w:r w:rsidR="002B2E0B" w:rsidRPr="000E0F90">
        <w:rPr>
          <w:rFonts w:ascii="Arial" w:hAnsi="Arial" w:cs="Arial"/>
          <w:color w:val="000000" w:themeColor="text1"/>
        </w:rPr>
        <w:t xml:space="preserve"> “aumento de contenido de información del sistema”, se diferencia de la definición de crecimiento</w:t>
      </w:r>
      <w:r w:rsidRPr="000E0F90">
        <w:rPr>
          <w:rFonts w:ascii="Arial" w:hAnsi="Arial" w:cs="Arial"/>
          <w:color w:val="000000" w:themeColor="text1"/>
        </w:rPr>
        <w:t>:</w:t>
      </w:r>
      <w:r w:rsidR="002B2E0B" w:rsidRPr="000E0F90">
        <w:rPr>
          <w:rFonts w:ascii="Arial" w:hAnsi="Arial" w:cs="Arial"/>
          <w:color w:val="000000" w:themeColor="text1"/>
        </w:rPr>
        <w:t xml:space="preserve"> “aumento de tamaño de </w:t>
      </w:r>
      <w:r w:rsidR="00B65411" w:rsidRPr="000E0F90">
        <w:rPr>
          <w:rFonts w:ascii="Arial" w:hAnsi="Arial" w:cs="Arial"/>
          <w:color w:val="000000" w:themeColor="text1"/>
        </w:rPr>
        <w:t xml:space="preserve">los </w:t>
      </w:r>
      <w:r w:rsidR="002B2E0B" w:rsidRPr="000E0F90">
        <w:rPr>
          <w:rFonts w:ascii="Arial" w:hAnsi="Arial" w:cs="Arial"/>
          <w:color w:val="000000" w:themeColor="text1"/>
        </w:rPr>
        <w:t xml:space="preserve">sistemas” (Margalef, </w:t>
      </w:r>
      <w:r w:rsidR="00404DD6" w:rsidRPr="000E0F90">
        <w:rPr>
          <w:rFonts w:ascii="Arial" w:hAnsi="Arial" w:cs="Arial"/>
          <w:color w:val="000000" w:themeColor="text1"/>
        </w:rPr>
        <w:t>1957)</w:t>
      </w:r>
      <w:r w:rsidR="00F52BA9" w:rsidRPr="000E0F90">
        <w:rPr>
          <w:rFonts w:ascii="Arial" w:hAnsi="Arial" w:cs="Arial"/>
          <w:color w:val="000000" w:themeColor="text1"/>
        </w:rPr>
        <w:t xml:space="preserve">. </w:t>
      </w:r>
      <w:r w:rsidRPr="000E0F90">
        <w:rPr>
          <w:rFonts w:ascii="Arial" w:hAnsi="Arial" w:cs="Arial"/>
          <w:color w:val="000000" w:themeColor="text1"/>
        </w:rPr>
        <w:t>El concepto de desarrollo no siempre es interpretado de es</w:t>
      </w:r>
      <w:r w:rsidR="00B04E35" w:rsidRPr="000E0F90">
        <w:rPr>
          <w:rFonts w:ascii="Arial" w:hAnsi="Arial" w:cs="Arial"/>
          <w:color w:val="000000" w:themeColor="text1"/>
        </w:rPr>
        <w:t>t</w:t>
      </w:r>
      <w:r w:rsidRPr="000E0F90">
        <w:rPr>
          <w:rFonts w:ascii="Arial" w:hAnsi="Arial" w:cs="Arial"/>
          <w:color w:val="000000" w:themeColor="text1"/>
        </w:rPr>
        <w:t xml:space="preserve">a forma, por el contrario, se considera desarrollo como sinónimo de crecimiento económico, buscando solamente metas económicas cuantitativas unilaterales, y no como progreso y mejoramiento cualitativo universal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"author" : [ { "dropping-particle" : "", "family" : "Johnston", "given" : "Paul", "non-dropping-particle" : "", "parse-names" : false, "suffix" : "" }, { "dropping-particle" : "", "family" : "Everard", "given" : "Mark", "non-dropping-particle" : "", "parse-names" : false, "suffix" : "" }, { "dropping-particle" : "", "family" : "Santillo", "given" : "David", "non-dropping-particle" : "", "parse-names" : false, "suffix" : "" }, { "dropping-particle" : "", "family" : "Rob\u00e8rt", "given" : "Karl-henrik", "non-dropping-particle" : "", "parse-names" : false, "suffix" : "" } ], "id" : "ITEM-1", "issue" : "1", "issued" : { "date-parts" : [ [ "2007" ] ] }, "page" : "60-66", "title" : "Discussion Articles Reclaiming the Definition of Sustainability", "type" : "article-journal", "volume" : "14" }, "uris" : [ "http://www.mendeley.com/documents/?uuid=9a75d3ab-d5f3-4f3e-9be6-d4f11eb949d9" ] } ], "mendeley" : { "formattedCitation" : "(Johnston, Everard, Santillo, &amp; Rob\u00e8rt, 2007)", "plainTextFormattedCitation" : "(Johnston, Everard, Santillo, &amp; Rob\u00e8rt, 2007)", "previouslyFormattedCitation" : "(Johnston, Everard, Santillo, &amp; Rob\u00e8rt, 2007)"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(Johnston, Everard, Santillo, &amp; Robèrt, 2007)</w:t>
      </w:r>
      <w:r w:rsidRPr="000E0F90">
        <w:rPr>
          <w:rFonts w:ascii="Arial" w:hAnsi="Arial" w:cs="Arial"/>
          <w:color w:val="000000" w:themeColor="text1"/>
        </w:rPr>
        <w:fldChar w:fldCharType="end"/>
      </w:r>
      <w:r w:rsidRPr="000E0F90">
        <w:rPr>
          <w:rFonts w:ascii="Arial" w:hAnsi="Arial" w:cs="Arial"/>
          <w:color w:val="000000" w:themeColor="text1"/>
        </w:rPr>
        <w:t xml:space="preserve">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"10.1007/s10980-007-9171-x", "ISBN" : "0921-2973\\r1572-9761", "ISSN" : "09212973", "author" : [ { "dropping-particle" : "", "family" : "Naveh", "given" : "Zev", "non-dropping-particle" : "", "parse-names" : false, "suffix" : "" } ], "container-title" : "Landscape Ecology", "id" : "ITEM-1", "issued" : { "date-parts" : [ [ "2007" ] ] }, "page" : "1437-1440", "title" : "Landscape ecology and sustainability", "type" : "article-journal", "volume" : "22" }, "uris" : [ "http://www.mendeley.com/documents/?uuid=02b47021-d449-42a3-ae9c-34948dd6ee50" ] } ], "mendeley" : { "formattedCitation" : "(Naveh, 2007)", "plainTextFormattedCitation" : "(Naveh, 2007)", "previouslyFormattedCitation" : "(Naveh, 2007)"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(Naveh, 2007)</w:t>
      </w:r>
      <w:r w:rsidRPr="000E0F90">
        <w:rPr>
          <w:rFonts w:ascii="Arial" w:hAnsi="Arial" w:cs="Arial"/>
          <w:color w:val="000000" w:themeColor="text1"/>
        </w:rPr>
        <w:fldChar w:fldCharType="end"/>
      </w:r>
      <w:r w:rsidRPr="000E0F90">
        <w:rPr>
          <w:rFonts w:ascii="Arial" w:hAnsi="Arial" w:cs="Arial"/>
          <w:color w:val="000000" w:themeColor="text1"/>
        </w:rPr>
        <w:t>.</w:t>
      </w:r>
    </w:p>
    <w:p w:rsidR="00B64699" w:rsidRPr="000E0F90" w:rsidRDefault="00B64699" w:rsidP="002B538F">
      <w:pPr>
        <w:spacing w:line="360" w:lineRule="auto"/>
        <w:rPr>
          <w:rFonts w:ascii="Arial" w:hAnsi="Arial" w:cs="Arial"/>
          <w:color w:val="000000" w:themeColor="text1"/>
        </w:rPr>
      </w:pPr>
      <w:r w:rsidRPr="000E0F90">
        <w:rPr>
          <w:rFonts w:ascii="Arial" w:hAnsi="Arial" w:cs="Arial"/>
          <w:color w:val="000000" w:themeColor="text1"/>
        </w:rPr>
        <w:lastRenderedPageBreak/>
        <w:t xml:space="preserve">Para alcanzar un verdadero desarrollo sostenible, éste debe ser entendido como un proceso de evolución holística de la sociedad, considerando dimensiones biológicas, ecológicas, culturales, estéticas, materiales y espirituales, que se centre en la calidad de vida y en la felicidad de las personas, en el presente y futuro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"author" : [ { "dropping-particle" : "", "family" : "Johnston", "given" : "Paul", "non-dropping-particle" : "", "parse-names" : false, "suffix" : "" }, { "dropping-particle" : "", "family" : "Everard", "given" : "Mark", "non-dropping-particle" : "", "parse-names" : false, "suffix" : "" }, { "dropping-particle" : "", "family" : "Santillo", "given" : "David", "non-dropping-particle" : "", "parse-names" : false, "suffix" : "" }, { "dropping-particle" : "", "family" : "Rob\u00e8rt", "given" : "Karl-henrik", "non-dropping-particle" : "", "parse-names" : false, "suffix" : "" } ], "id" : "ITEM-1", "issue" : "1", "issued" : { "date-parts" : [ [ "2007" ] ] }, "page" : "60-66", "title" : "Discussion Articles Reclaiming the Definition of Sustainability", "type" : "article-journal", "volume" : "14" }, "uris" : [ "http://www.mendeley.com/documents/?uuid=9a75d3ab-d5f3-4f3e-9be6-d4f11eb949d9" ] } ], "mendeley" : { "formattedCitation" : "(Johnston et al., 2007)", "plainTextFormattedCitation" : "(Johnston et al., 2007)", "previouslyFormattedCitation" : "(Johnston et al., 2007)"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(Johnston et al., 2007)</w:t>
      </w:r>
      <w:r w:rsidRPr="000E0F90">
        <w:rPr>
          <w:rFonts w:ascii="Arial" w:hAnsi="Arial" w:cs="Arial"/>
          <w:color w:val="000000" w:themeColor="text1"/>
        </w:rPr>
        <w:fldChar w:fldCharType="end"/>
      </w:r>
      <w:r w:rsidRPr="000E0F90">
        <w:rPr>
          <w:rFonts w:ascii="Arial" w:hAnsi="Arial" w:cs="Arial"/>
          <w:color w:val="000000" w:themeColor="text1"/>
        </w:rPr>
        <w:t xml:space="preserve">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"author" : [ { "dropping-particle" : "", "family" : "Guimar\u00e3es", "given" : "Roberto P", "non-dropping-particle" : "", "parse-names" : false, "suffix" : "" } ], "id" : "ITEM-1", "issued" : { "date-parts" : [ [ "1998" ] ] }, "title" : "ATERRIZANDO UNA COMETA: INDICADORES TERRITORIALES DE SUSTENTABILIDAD", "type" : "report" }, "uris" : [ "http://www.mendeley.com/documents/?uuid=bbf2a4e8-4d6f-457e-b93f-9da017b5e5f5" ] } ], "mendeley" : { "formattedCitation" : "(Guimar\u00e3es, 1998)", "plainTextFormattedCitation" : "(Guimar\u00e3es, 1998)", "previouslyFormattedCitation" : "(Guimar\u00e3es, 1998)"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(Guimarães, 1998)</w:t>
      </w:r>
      <w:r w:rsidRPr="000E0F90">
        <w:rPr>
          <w:rFonts w:ascii="Arial" w:hAnsi="Arial" w:cs="Arial"/>
          <w:color w:val="000000" w:themeColor="text1"/>
        </w:rPr>
        <w:fldChar w:fldCharType="end"/>
      </w:r>
      <w:r w:rsidRPr="000E0F90">
        <w:rPr>
          <w:rFonts w:ascii="Arial" w:hAnsi="Arial" w:cs="Arial"/>
          <w:color w:val="000000" w:themeColor="text1"/>
        </w:rPr>
        <w:t xml:space="preserve">. Enfocándose en el bienestar de la sociedad como un todo, donde los procesos de toma de decisión colectivos pasan a ser centrales para alcanzar este objetivo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"10.1016/j.jclepro.2014.06.041", "ISSN" : "09596526", "abstract" : "The concept of sustainable development still needs more scientific discussion to be useful for decision-making processes. The polysemy of the term sustainability has undermined the credibility of the concept, leading, among other effects, to the inability to translate discourse into practical actions and to distortive appropriations of the term. The purpose of this article is to propose a basis for discussion to demarcate the concept. In this context, a literature review was conducted on the theme, encompassing an exploratory approach and a systematic hermeneutics analysis of the literature. Based on a structured discussion of the evidence collected in papers and books, we developed a conceptual model named Sustainable Development with an Axiological Perspective, encompassing three dimensions: satisfaction of human needs (including social and economic aspects), natural resources (making explicit Earth's limitations) and decision-making perspective (from an axiological point of view). The model proposes that sustainable development can be seen as development aimed at improving the well-being of society as a whole (including future generations), enabled by an axiological perspective in decision-making processes, considering the limitations of environmental resources. The model explicitly includes a value-based mindset in the concept of sustainable development, as pointed out by the axiological perspective. This perspective is intrinsic to the main definitions of sustainability, but is not explicit in the models and in the literature on sustainable development. \u00a9 2014 Elsevier Ltd.", "author" : [ { "dropping-particle" : "", "family" : "Bolis", "given" : "Ivan", "non-dropping-particle" : "", "parse-names" : false, "suffix" : "" }, { "dropping-particle" : "", "family" : "Morioka", "given" : "Sandra N.", "non-dropping-particle" : "", "parse-names" : false, "suffix" : "" }, { "dropping-particle" : "", "family" : "Sznelwar", "given" : "Laerte I.", "non-dropping-particle" : "", "parse-names" : false, "suffix" : "" } ], "container-title" : "Journal of Cleaner Production", "id" : "ITEM-1", "issued" : { "date-parts" : [ [ "2013" ] ] }, "page" : "7-20", "publisher" : "Elsevier Ltd", "title" : "When sustainable development risks losing its meaning. Delimiting the concept with a comprehensive literature review and a conceptual model", "type" : "article-journal", "volume" : "83" }, "uris" : [ "http://www.mendeley.com/documents/?uuid=b6ff25a8-9740-4f90-af50-40250da5c92c" ] } ], "mendeley" : { "formattedCitation" : "(Bolis, Morioka, &amp; Sznelwar, 2013)", "plainTextFormattedCitation" : "(Bolis, Morioka, &amp; Sznelwar, 2013)", "previouslyFormattedCitation" : "(Bolis, Morioka, &amp; Sznelwar, 2013)"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(Bolis, Morioka, &amp; Sznelwar, 2013)</w:t>
      </w:r>
      <w:r w:rsidRPr="000E0F90">
        <w:rPr>
          <w:rFonts w:ascii="Arial" w:hAnsi="Arial" w:cs="Arial"/>
          <w:color w:val="000000" w:themeColor="text1"/>
        </w:rPr>
        <w:fldChar w:fldCharType="end"/>
      </w:r>
      <w:r w:rsidRPr="000E0F90">
        <w:rPr>
          <w:rFonts w:ascii="Arial" w:hAnsi="Arial" w:cs="Arial"/>
          <w:color w:val="000000" w:themeColor="text1"/>
        </w:rPr>
        <w:t xml:space="preserve">. </w:t>
      </w:r>
    </w:p>
    <w:p w:rsidR="00B64699" w:rsidRPr="000E0F90" w:rsidRDefault="00B64699" w:rsidP="002B538F">
      <w:pPr>
        <w:spacing w:line="360" w:lineRule="auto"/>
        <w:rPr>
          <w:rFonts w:ascii="Arial" w:hAnsi="Arial" w:cs="Arial"/>
          <w:color w:val="000000" w:themeColor="text1"/>
        </w:rPr>
      </w:pPr>
      <w:r w:rsidRPr="000E0F90">
        <w:rPr>
          <w:rFonts w:ascii="Arial" w:hAnsi="Arial" w:cs="Arial"/>
          <w:color w:val="000000" w:themeColor="text1"/>
        </w:rPr>
        <w:t xml:space="preserve">En definitiva el desarrollo sostenible se debe enfocar en la satisfacción de necesidades humanas y bienestar, condiciones medioambientales para el largo plazo, y equidad entre y dentro de generaciones. Donde los sistemas de toma de decisión públicos y participativos o gobernanza, pasan a ser medio y resultado de la sostenibilidad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"ISBN" : "9781844070503", "author" : [ { "dropping-particle" : "", "family" : "Gibson", "given" : "Robert B.", "non-dropping-particle" : "", "parse-names" : false, "suffix" : "" } ], "id" : "ITEM-1", "issued" : { "date-parts" : [ [ "2005" ] ] }, "page" : "269", "publisher" : "Earthscan", "title" : "Sustainability Assessment. Criteria, Processes and Applications", "type" : "book" }, "uris" : [ "http://www.mendeley.com/documents/?uuid=566b52ab-35b0-4a0c-b91f-1bf25d523ac7" ] } ], "mendeley" : { "formattedCitation" : "(Gibson, 2005)", "plainTextFormattedCitation" : "(Gibson, 2005)", "previouslyFormattedCitation" : "(Gibson, 2005)"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(Gibson, 2005)</w:t>
      </w:r>
      <w:r w:rsidRPr="000E0F90">
        <w:rPr>
          <w:rFonts w:ascii="Arial" w:hAnsi="Arial" w:cs="Arial"/>
          <w:color w:val="000000" w:themeColor="text1"/>
        </w:rPr>
        <w:fldChar w:fldCharType="end"/>
      </w:r>
      <w:r w:rsidRPr="000E0F90">
        <w:rPr>
          <w:rFonts w:ascii="Arial" w:hAnsi="Arial" w:cs="Arial"/>
          <w:color w:val="000000" w:themeColor="text1"/>
        </w:rPr>
        <w:t xml:space="preserve">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"10.1016/j.gloenvcha.2014.04.006", "ISSN" : "09593780", "author" : [ { "dropping-particle" : "", "family" : "Holden", "given" : "Erling", "non-dropping-particle" : "", "parse-names" : false, "suffix" : "" }, { "dropping-particle" : "", "family" : "Linnerud", "given" : "Kristin", "non-dropping-particle" : "", "parse-names" : false, "suffix" : "" }, { "dropping-particle" : "", "family" : "Banister", "given" : "David", "non-dropping-particle" : "", "parse-names" : false, "suffix" : "" } ], "container-title" : "Global Environmental Change", "id" : "ITEM-1", "issued" : { "date-parts" : [ [ "2014", "5" ] ] }, "page" : "130-139", "publisher" : "Elsevier Ltd", "title" : "Sustainable development: Our Common Future revisited", "type" : "article-journal", "volume" : "26" }, "uris" : [ "http://www.mendeley.com/documents/?uuid=437da27e-cc08-4ca6-bf2b-bc4679cde397" ] } ], "mendeley" : { "formattedCitation" : "(Holden, Linnerud, &amp; Banister, 2014)", "plainTextFormattedCitation" : "(Holden, Linnerud, &amp; Banister, 2014)", "previouslyFormattedCitation" : "(Holden, Linnerud, &amp; Banister, 2014)"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(Holden, Linnerud, &amp; Banister, 2014)</w:t>
      </w:r>
      <w:r w:rsidRPr="000E0F90">
        <w:rPr>
          <w:rFonts w:ascii="Arial" w:hAnsi="Arial" w:cs="Arial"/>
          <w:color w:val="000000" w:themeColor="text1"/>
        </w:rPr>
        <w:fldChar w:fldCharType="end"/>
      </w:r>
      <w:r w:rsidRPr="000E0F90">
        <w:rPr>
          <w:rFonts w:ascii="Arial" w:hAnsi="Arial" w:cs="Arial"/>
          <w:color w:val="000000" w:themeColor="text1"/>
        </w:rPr>
        <w:t xml:space="preserve">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"10.1016/j.jclepro.2014.06.041", "ISSN" : "09596526", "abstract" : "The concept of sustainable development still needs more scientific discussion to be useful for decision-making processes. The polysemy of the term sustainability has undermined the credibility of the concept, leading, among other effects, to the inability to translate discourse into practical actions and to distortive appropriations of the term. The purpose of this article is to propose a basis for discussion to demarcate the concept. In this context, a literature review was conducted on the theme, encompassing an exploratory approach and a systematic hermeneutics analysis of the literature. Based on a structured discussion of the evidence collected in papers and books, we developed a conceptual model named Sustainable Development with an Axiological Perspective, encompassing three dimensions: satisfaction of human needs (including social and economic aspects), natural resources (making explicit Earth's limitations) and decision-making perspective (from an axiological point of view). The model proposes that sustainable development can be seen as development aimed at improving the well-being of society as a whole (including future generations), enabled by an axiological perspective in decision-making processes, considering the limitations of environmental resources. The model explicitly includes a value-based mindset in the concept of sustainable development, as pointed out by the axiological perspective. This perspective is intrinsic to the main definitions of sustainability, but is not explicit in the models and in the literature on sustainable development. \u00a9 2014 Elsevier Ltd.", "author" : [ { "dropping-particle" : "", "family" : "Bolis", "given" : "Ivan", "non-dropping-particle" : "", "parse-names" : false, "suffix" : "" }, { "dropping-particle" : "", "family" : "Morioka", "given" : "Sandra N.", "non-dropping-particle" : "", "parse-names" : false, "suffix" : "" }, { "dropping-particle" : "", "family" : "Sznelwar", "given" : "Laerte I.", "non-dropping-particle" : "", "parse-names" : false, "suffix" : "" } ], "container-title" : "Journal of Cleaner Production", "id" : "ITEM-1", "issued" : { "date-parts" : [ [ "2013" ] ] }, "page" : "7-20", "publisher" : "Elsevier Ltd", "title" : "When sustainable development risks losing its meaning. Delimiting the concept with a comprehensive literature review and a conceptual model", "type" : "article-journal", "volume" : "83" }, "uris" : [ "http://www.mendeley.com/documents/?uuid=b6ff25a8-9740-4f90-af50-40250da5c92c" ] } ], "mendeley" : { "formattedCitation" : "(Bolis et al., 2013)", "plainTextFormattedCitation" : "(Bolis et al., 2013)", "previouslyFormattedCitation" : "(Bolis et al., 2013)"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(Bolis et al., 2013)</w:t>
      </w:r>
      <w:r w:rsidRPr="000E0F90">
        <w:rPr>
          <w:rFonts w:ascii="Arial" w:hAnsi="Arial" w:cs="Arial"/>
          <w:color w:val="000000" w:themeColor="text1"/>
        </w:rPr>
        <w:fldChar w:fldCharType="end"/>
      </w:r>
      <w:r w:rsidRPr="000E0F90">
        <w:rPr>
          <w:rFonts w:ascii="Arial" w:hAnsi="Arial" w:cs="Arial"/>
          <w:color w:val="000000" w:themeColor="text1"/>
        </w:rPr>
        <w:t xml:space="preserve">. Y el crecimiento económico en conjunto con la tecnología, son mecanismos, para alcanzar estas dimensiones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"10.1016/j.gloenvcha.2014.04.006", "ISSN" : "09593780", "author" : [ { "dropping-particle" : "", "family" : "Holden", "given" : "Erling", "non-dropping-particle" : "", "parse-names" : false, "suffix" : "" }, { "dropping-particle" : "", "family" : "Linnerud", "given" : "Kristin", "non-dropping-particle" : "", "parse-names" : false, "suffix" : "" }, { "dropping-particle" : "", "family" : "Banister", "given" : "David", "non-dropping-particle" : "", "parse-names" : false, "suffix" : "" } ], "container-title" : "Global Environmental Change", "id" : "ITEM-1", "issued" : { "date-parts" : [ [ "2014", "5" ] ] }, "page" : "130-139", "publisher" : "Elsevier Ltd", "title" : "Sustainable development: Our Common Future revisited", "type" : "article-journal", "volume" : "26" }, "uris" : [ "http://www.mendeley.com/documents/?uuid=437da27e-cc08-4ca6-bf2b-bc4679cde397" ] } ], "mendeley" : { "formattedCitation" : "(Holden et al., 2014)", "plainTextFormattedCitation" : "(Holden et al., 2014)", "previouslyFormattedCitation" : "(Holden et al., 2014)"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(Holden et al., 2014)</w:t>
      </w:r>
      <w:r w:rsidRPr="000E0F90">
        <w:rPr>
          <w:rFonts w:ascii="Arial" w:hAnsi="Arial" w:cs="Arial"/>
          <w:color w:val="000000" w:themeColor="text1"/>
        </w:rPr>
        <w:fldChar w:fldCharType="end"/>
      </w:r>
      <w:r w:rsidR="00B35339">
        <w:rPr>
          <w:rFonts w:ascii="Arial" w:hAnsi="Arial" w:cs="Arial"/>
          <w:color w:val="000000" w:themeColor="text1"/>
        </w:rPr>
        <w:t xml:space="preserve"> (Figura 1)</w:t>
      </w:r>
      <w:r w:rsidRPr="000E0F90">
        <w:rPr>
          <w:rFonts w:ascii="Arial" w:hAnsi="Arial" w:cs="Arial"/>
          <w:color w:val="000000" w:themeColor="text1"/>
        </w:rPr>
        <w:t xml:space="preserve">. </w:t>
      </w:r>
    </w:p>
    <w:p w:rsidR="00B35339" w:rsidRDefault="0031605E" w:rsidP="00B35339">
      <w:pPr>
        <w:jc w:val="left"/>
      </w:pPr>
      <w:r>
        <w:rPr>
          <w:noProof/>
          <w:lang w:eastAsia="es-CL"/>
        </w:rPr>
        <mc:AlternateContent>
          <mc:Choice Requires="wps">
            <w:drawing>
              <wp:anchor distT="0" distB="0" distL="114300" distR="114300" simplePos="0" relativeHeight="251984896" behindDoc="0" locked="0" layoutInCell="1" allowOverlap="1" wp14:anchorId="65E5310A" wp14:editId="24972D11">
                <wp:simplePos x="0" y="0"/>
                <wp:positionH relativeFrom="column">
                  <wp:posOffset>803275</wp:posOffset>
                </wp:positionH>
                <wp:positionV relativeFrom="paragraph">
                  <wp:posOffset>2247900</wp:posOffset>
                </wp:positionV>
                <wp:extent cx="899795" cy="456565"/>
                <wp:effectExtent l="0" t="0" r="14605" b="19685"/>
                <wp:wrapNone/>
                <wp:docPr id="110" name="302 Rectángulo redondeado"/>
                <wp:cNvGraphicFramePr/>
                <a:graphic xmlns:a="http://schemas.openxmlformats.org/drawingml/2006/main">
                  <a:graphicData uri="http://schemas.microsoft.com/office/word/2010/wordprocessingShape">
                    <wps:wsp>
                      <wps:cNvSpPr/>
                      <wps:spPr>
                        <a:xfrm>
                          <a:off x="0" y="0"/>
                          <a:ext cx="899795" cy="456565"/>
                        </a:xfrm>
                        <a:prstGeom prst="roundRect">
                          <a:avLst/>
                        </a:prstGeom>
                        <a:solidFill>
                          <a:sysClr val="window" lastClr="FFFFFF"/>
                        </a:solidFill>
                        <a:ln w="25400" cap="flat" cmpd="sng" algn="ctr">
                          <a:solidFill>
                            <a:sysClr val="windowText" lastClr="000000"/>
                          </a:solidFill>
                          <a:prstDash val="solid"/>
                        </a:ln>
                        <a:effectLst/>
                      </wps:spPr>
                      <wps:txbx>
                        <w:txbxContent>
                          <w:p w:rsidR="002A21E4" w:rsidRDefault="002A21E4" w:rsidP="0031605E">
                            <w:pPr>
                              <w:spacing w:after="0"/>
                              <w:jc w:val="center"/>
                            </w:pPr>
                            <w:r>
                              <w:t>Estética</w:t>
                            </w:r>
                          </w:p>
                        </w:txbxContent>
                      </wps:txbx>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302 Rectángulo redondeado" o:spid="_x0000_s1026" style="position:absolute;margin-left:63.25pt;margin-top:177pt;width:70.85pt;height:35.95pt;z-index:25198489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" fillcolor="window" strokecolor="windowText" strokeweight="2pt">
                <v:textbox>
                  <w:txbxContent>
                    <w:p w:rsidR="002A21E4" w:rsidRDefault="002A21E4" w:rsidP="0031605E">
                      <w:pPr>
                        <w:spacing w:after="0"/>
                        <w:jc w:val="center"/>
                      </w:pPr>
                      <w:r>
                        <w:t>Estética</w:t>
                      </w:r>
                    </w:p>
                  </w:txbxContent>
                </v:textbox>
              </v:roundrect>
            </w:pict>
          </mc:Fallback>
        </mc:AlternateContent>
      </w:r>
      <w:r>
        <w:rPr>
          <w:noProof/>
          <w:lang w:eastAsia="es-CL"/>
        </w:rPr>
        <mc:AlternateContent>
          <mc:Choice Requires="wps">
            <w:drawing>
              <wp:anchor distT="0" distB="0" distL="114300" distR="114300" simplePos="0" relativeHeight="251985920" behindDoc="0" locked="0" layoutInCell="1" allowOverlap="1" wp14:anchorId="56A8B63F" wp14:editId="21647D42">
                <wp:simplePos x="0" y="0"/>
                <wp:positionH relativeFrom="column">
                  <wp:posOffset>2488565</wp:posOffset>
                </wp:positionH>
                <wp:positionV relativeFrom="paragraph">
                  <wp:posOffset>2983230</wp:posOffset>
                </wp:positionV>
                <wp:extent cx="899795" cy="456565"/>
                <wp:effectExtent l="0" t="0" r="14605" b="19685"/>
                <wp:wrapNone/>
                <wp:docPr id="111" name="303 Rectángulo redondeado"/>
                <wp:cNvGraphicFramePr/>
                <a:graphic xmlns:a="http://schemas.openxmlformats.org/drawingml/2006/main">
                  <a:graphicData uri="http://schemas.microsoft.com/office/word/2010/wordprocessingShape">
                    <wps:wsp>
                      <wps:cNvSpPr/>
                      <wps:spPr>
                        <a:xfrm>
                          <a:off x="0" y="0"/>
                          <a:ext cx="899795" cy="456565"/>
                        </a:xfrm>
                        <a:prstGeom prst="roundRect">
                          <a:avLst/>
                        </a:prstGeom>
                      </wps:spPr>
                      <wps:style>
                        <a:lnRef idx="2">
                          <a:schemeClr val="dk1"/>
                        </a:lnRef>
                        <a:fillRef idx="1">
                          <a:schemeClr val="lt1"/>
                        </a:fillRef>
                        <a:effectRef idx="0">
                          <a:schemeClr val="dk1"/>
                        </a:effectRef>
                        <a:fontRef idx="minor">
                          <a:schemeClr val="dk1"/>
                        </a:fontRef>
                      </wps:style>
                      <wps:txbx>
                        <w:txbxContent>
                          <w:p w:rsidR="002A21E4" w:rsidRDefault="002A21E4" w:rsidP="0031605E">
                            <w:pPr>
                              <w:spacing w:after="0"/>
                              <w:jc w:val="center"/>
                            </w:pPr>
                            <w:r>
                              <w:t>Material</w:t>
                            </w:r>
                          </w:p>
                        </w:txbxContent>
                      </wps:txbx>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303 Rectángulo redondeado" o:spid="_x0000_s1027" style="position:absolute;margin-left:195.95pt;margin-top:234.9pt;width:70.85pt;height:35.95pt;z-index:25198592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" fillcolor="white [3201]" strokecolor="black [3200]" strokeweight="2pt">
                <v:textbox>
                  <w:txbxContent>
                    <w:p w:rsidR="002A21E4" w:rsidRDefault="002A21E4" w:rsidP="0031605E">
                      <w:pPr>
                        <w:spacing w:after="0"/>
                        <w:jc w:val="center"/>
                      </w:pPr>
                      <w:r>
                        <w:t>Material</w:t>
                      </w:r>
                    </w:p>
                  </w:txbxContent>
                </v:textbox>
              </v:roundrect>
            </w:pict>
          </mc:Fallback>
        </mc:AlternateContent>
      </w:r>
      <w:r>
        <w:rPr>
          <w:noProof/>
          <w:lang w:eastAsia="es-CL"/>
        </w:rPr>
        <mc:AlternateContent>
          <mc:Choice Requires="wps">
            <w:drawing>
              <wp:anchor distT="0" distB="0" distL="114300" distR="114300" simplePos="0" relativeHeight="251980800" behindDoc="0" locked="0" layoutInCell="1" allowOverlap="1" wp14:anchorId="272615CF" wp14:editId="7B1F6EF4">
                <wp:simplePos x="0" y="0"/>
                <wp:positionH relativeFrom="column">
                  <wp:posOffset>4037965</wp:posOffset>
                </wp:positionH>
                <wp:positionV relativeFrom="paragraph">
                  <wp:posOffset>2397125</wp:posOffset>
                </wp:positionV>
                <wp:extent cx="899795" cy="456565"/>
                <wp:effectExtent l="0" t="0" r="14605" b="19685"/>
                <wp:wrapNone/>
                <wp:docPr id="106" name="51 Rectángulo redondeado"/>
                <wp:cNvGraphicFramePr/>
                <a:graphic xmlns:a="http://schemas.openxmlformats.org/drawingml/2006/main">
                  <a:graphicData uri="http://schemas.microsoft.com/office/word/2010/wordprocessingShape">
                    <wps:wsp>
                      <wps:cNvSpPr/>
                      <wps:spPr>
                        <a:xfrm>
                          <a:off x="0" y="0"/>
                          <a:ext cx="899795" cy="456565"/>
                        </a:xfrm>
                        <a:prstGeom prst="roundRect">
                          <a:avLst/>
                        </a:prstGeom>
                      </wps:spPr>
                      <wps:style>
                        <a:lnRef idx="2">
                          <a:schemeClr val="dk1"/>
                        </a:lnRef>
                        <a:fillRef idx="1">
                          <a:schemeClr val="lt1"/>
                        </a:fillRef>
                        <a:effectRef idx="0">
                          <a:schemeClr val="dk1"/>
                        </a:effectRef>
                        <a:fontRef idx="minor">
                          <a:schemeClr val="dk1"/>
                        </a:fontRef>
                      </wps:style>
                      <wps:txbx>
                        <w:txbxContent>
                          <w:p w:rsidR="002A21E4" w:rsidRDefault="002A21E4" w:rsidP="0031605E">
                            <w:pPr>
                              <w:spacing w:after="0"/>
                              <w:jc w:val="center"/>
                            </w:pPr>
                            <w:r>
                              <w:t>Económica</w:t>
                            </w:r>
                          </w:p>
                        </w:txbxContent>
                      </wps:txbx>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51 Rectángulo redondeado" o:spid="_x0000_s1028" style="position:absolute;margin-left:317.95pt;margin-top:188.75pt;width:70.85pt;height:35.95pt;z-index:25198080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" fillcolor="white [3201]" strokecolor="black [3200]" strokeweight="2pt">
                <v:textbox>
                  <w:txbxContent>
                    <w:p w:rsidR="002A21E4" w:rsidRDefault="002A21E4" w:rsidP="0031605E">
                      <w:pPr>
                        <w:spacing w:after="0"/>
                        <w:jc w:val="center"/>
                      </w:pPr>
                      <w:r>
                        <w:t>Económica</w:t>
                      </w:r>
                    </w:p>
                  </w:txbxContent>
                </v:textbox>
              </v:roundrect>
            </w:pict>
          </mc:Fallback>
        </mc:AlternateContent>
      </w:r>
      <w:r>
        <w:rPr>
          <w:noProof/>
          <w:lang w:eastAsia="es-CL"/>
        </w:rPr>
        <mc:AlternateContent>
          <mc:Choice Requires="wps">
            <w:drawing>
              <wp:anchor distT="0" distB="0" distL="114300" distR="114300" simplePos="0" relativeHeight="251981824" behindDoc="0" locked="0" layoutInCell="1" allowOverlap="1" wp14:anchorId="7FF06ECA" wp14:editId="45D727A7">
                <wp:simplePos x="0" y="0"/>
                <wp:positionH relativeFrom="column">
                  <wp:posOffset>3805555</wp:posOffset>
                </wp:positionH>
                <wp:positionV relativeFrom="paragraph">
                  <wp:posOffset>400685</wp:posOffset>
                </wp:positionV>
                <wp:extent cx="899795" cy="456565"/>
                <wp:effectExtent l="0" t="0" r="14605" b="19685"/>
                <wp:wrapNone/>
                <wp:docPr id="107" name="52 Rectángulo redondeado"/>
                <wp:cNvGraphicFramePr/>
                <a:graphic xmlns:a="http://schemas.openxmlformats.org/drawingml/2006/main">
                  <a:graphicData uri="http://schemas.microsoft.com/office/word/2010/wordprocessingShape">
                    <wps:wsp>
                      <wps:cNvSpPr/>
                      <wps:spPr>
                        <a:xfrm>
                          <a:off x="0" y="0"/>
                          <a:ext cx="899795" cy="456565"/>
                        </a:xfrm>
                        <a:prstGeom prst="roundRect">
                          <a:avLst/>
                        </a:prstGeom>
                      </wps:spPr>
                      <wps:style>
                        <a:lnRef idx="2">
                          <a:schemeClr val="dk1"/>
                        </a:lnRef>
                        <a:fillRef idx="1">
                          <a:schemeClr val="lt1"/>
                        </a:fillRef>
                        <a:effectRef idx="0">
                          <a:schemeClr val="dk1"/>
                        </a:effectRef>
                        <a:fontRef idx="minor">
                          <a:schemeClr val="dk1"/>
                        </a:fontRef>
                      </wps:style>
                      <wps:txbx>
                        <w:txbxContent>
                          <w:p w:rsidR="002A21E4" w:rsidRDefault="002A21E4" w:rsidP="0031605E">
                            <w:pPr>
                              <w:spacing w:after="0"/>
                              <w:jc w:val="center"/>
                            </w:pPr>
                            <w:r>
                              <w:t>Cultural</w:t>
                            </w:r>
                          </w:p>
                        </w:txbxContent>
                      </wps:txbx>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52 Rectángulo redondeado" o:spid="_x0000_s1029" style="position:absolute;margin-left:299.65pt;margin-top:31.55pt;width:70.85pt;height:35.95pt;z-index:25198182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" fillcolor="white [3201]" strokecolor="black [3200]" strokeweight="2pt">
                <v:textbox>
                  <w:txbxContent>
                    <w:p w:rsidR="002A21E4" w:rsidRDefault="002A21E4" w:rsidP="0031605E">
                      <w:pPr>
                        <w:spacing w:after="0"/>
                        <w:jc w:val="center"/>
                      </w:pPr>
                      <w:r>
                        <w:t>Cultural</w:t>
                      </w:r>
                    </w:p>
                  </w:txbxContent>
                </v:textbox>
              </v:roundrect>
            </w:pict>
          </mc:Fallback>
        </mc:AlternateContent>
      </w:r>
      <w:r>
        <w:rPr>
          <w:noProof/>
          <w:lang w:eastAsia="es-CL"/>
        </w:rPr>
        <mc:AlternateContent>
          <mc:Choice Requires="wps">
            <w:drawing>
              <wp:anchor distT="0" distB="0" distL="114300" distR="114300" simplePos="0" relativeHeight="251983872" behindDoc="0" locked="0" layoutInCell="1" allowOverlap="1" wp14:anchorId="6A191DA3" wp14:editId="6092EC9A">
                <wp:simplePos x="0" y="0"/>
                <wp:positionH relativeFrom="column">
                  <wp:posOffset>1012190</wp:posOffset>
                </wp:positionH>
                <wp:positionV relativeFrom="paragraph">
                  <wp:posOffset>360045</wp:posOffset>
                </wp:positionV>
                <wp:extent cx="899795" cy="456565"/>
                <wp:effectExtent l="0" t="0" r="14605" b="19685"/>
                <wp:wrapNone/>
                <wp:docPr id="109" name="53 Rectángulo redondeado"/>
                <wp:cNvGraphicFramePr/>
                <a:graphic xmlns:a="http://schemas.openxmlformats.org/drawingml/2006/main">
                  <a:graphicData uri="http://schemas.microsoft.com/office/word/2010/wordprocessingShape">
                    <wps:wsp>
                      <wps:cNvSpPr/>
                      <wps:spPr>
                        <a:xfrm>
                          <a:off x="0" y="0"/>
                          <a:ext cx="899795" cy="456565"/>
                        </a:xfrm>
                        <a:prstGeom prst="roundRect">
                          <a:avLst/>
                        </a:prstGeom>
                      </wps:spPr>
                      <wps:style>
                        <a:lnRef idx="2">
                          <a:schemeClr val="dk1"/>
                        </a:lnRef>
                        <a:fillRef idx="1">
                          <a:schemeClr val="lt1"/>
                        </a:fillRef>
                        <a:effectRef idx="0">
                          <a:schemeClr val="dk1"/>
                        </a:effectRef>
                        <a:fontRef idx="minor">
                          <a:schemeClr val="dk1"/>
                        </a:fontRef>
                      </wps:style>
                      <wps:txbx>
                        <w:txbxContent>
                          <w:p w:rsidR="002A21E4" w:rsidRDefault="002A21E4" w:rsidP="0031605E">
                            <w:pPr>
                              <w:spacing w:after="0"/>
                              <w:jc w:val="center"/>
                            </w:pPr>
                            <w:r>
                              <w:t>Biológica</w:t>
                            </w:r>
                          </w:p>
                        </w:txbxContent>
                      </wps:txbx>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53 Rectángulo redondeado" o:spid="_x0000_s1030" style="position:absolute;margin-left:79.7pt;margin-top:28.35pt;width:70.85pt;height:35.95pt;z-index:25198387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" fillcolor="white [3201]" strokecolor="black [3200]" strokeweight="2pt">
                <v:textbox>
                  <w:txbxContent>
                    <w:p w:rsidR="002A21E4" w:rsidRDefault="002A21E4" w:rsidP="0031605E">
                      <w:pPr>
                        <w:spacing w:after="0"/>
                        <w:jc w:val="center"/>
                      </w:pPr>
                      <w:r>
                        <w:t>Biológica</w:t>
                      </w:r>
                    </w:p>
                  </w:txbxContent>
                </v:textbox>
              </v:roundrect>
            </w:pict>
          </mc:Fallback>
        </mc:AlternateContent>
      </w:r>
      <w:r>
        <w:rPr>
          <w:noProof/>
          <w:lang w:eastAsia="es-CL"/>
        </w:rPr>
        <mc:AlternateContent>
          <mc:Choice Requires="wps">
            <w:drawing>
              <wp:anchor distT="0" distB="0" distL="114300" distR="114300" simplePos="0" relativeHeight="251881471" behindDoc="0" locked="0" layoutInCell="1" allowOverlap="1" wp14:anchorId="7F8BA97B" wp14:editId="2BF1D636">
                <wp:simplePos x="0" y="0"/>
                <wp:positionH relativeFrom="column">
                  <wp:posOffset>1411472</wp:posOffset>
                </wp:positionH>
                <wp:positionV relativeFrom="paragraph">
                  <wp:posOffset>360927</wp:posOffset>
                </wp:positionV>
                <wp:extent cx="2968617" cy="2731325"/>
                <wp:effectExtent l="0" t="0" r="22860" b="12065"/>
                <wp:wrapNone/>
                <wp:docPr id="8" name="310 Elipse"/>
                <wp:cNvGraphicFramePr/>
                <a:graphic xmlns:a="http://schemas.openxmlformats.org/drawingml/2006/main">
                  <a:graphicData uri="http://schemas.microsoft.com/office/word/2010/wordprocessingShape">
                    <wps:wsp>
                      <wps:cNvSpPr/>
                      <wps:spPr>
                        <a:xfrm>
                          <a:off x="0" y="0"/>
                          <a:ext cx="2968617" cy="2731325"/>
                        </a:xfrm>
                        <a:prstGeom prst="ellipse">
                          <a:avLst/>
                        </a:prstGeom>
                        <a:solidFill>
                          <a:schemeClr val="bg1">
                            <a:lumMod val="8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310 Elipse" o:spid="_x0000_s1026" style="position:absolute;margin-left:111.15pt;margin-top:28.4pt;width:233.75pt;height:215.05pt;z-index:25188147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" fillcolor="#d8d8d8 [2732]" strokecolor="#243f60 [1604]" strokeweight="2pt"/>
            </w:pict>
          </mc:Fallback>
        </mc:AlternateContent>
      </w:r>
      <w:r>
        <w:rPr>
          <w:noProof/>
          <w:lang w:eastAsia="es-CL"/>
        </w:rPr>
        <mc:AlternateContent>
          <mc:Choice Requires="wps">
            <w:drawing>
              <wp:anchor distT="0" distB="0" distL="114300" distR="114300" simplePos="0" relativeHeight="251986944" behindDoc="0" locked="0" layoutInCell="1" allowOverlap="1" wp14:anchorId="77B39920" wp14:editId="400653B7">
                <wp:simplePos x="0" y="0"/>
                <wp:positionH relativeFrom="column">
                  <wp:posOffset>1704975</wp:posOffset>
                </wp:positionH>
                <wp:positionV relativeFrom="paragraph">
                  <wp:posOffset>1403350</wp:posOffset>
                </wp:positionV>
                <wp:extent cx="868680" cy="414655"/>
                <wp:effectExtent l="0" t="0" r="6033" b="0"/>
                <wp:wrapNone/>
                <wp:docPr id="11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868680" cy="414655"/>
                        </a:xfrm>
                        <a:prstGeom prst="rect">
                          <a:avLst/>
                        </a:prstGeom>
                        <a:noFill/>
                        <a:ln w="9525">
                          <a:noFill/>
                          <a:miter lim="800000"/>
                          <a:headEnd/>
                          <a:tailEnd/>
                        </a:ln>
                      </wps:spPr>
                      <wps:txbx>
                        <w:txbxContent>
                          <w:p w:rsidR="002A21E4" w:rsidRDefault="002A21E4" w:rsidP="0031605E">
                            <w:pPr>
                              <w:spacing w:after="0" w:line="240" w:lineRule="auto"/>
                              <w:jc w:val="center"/>
                              <w:rPr>
                                <w:sz w:val="20"/>
                              </w:rPr>
                            </w:pPr>
                            <w:r>
                              <w:rPr>
                                <w:sz w:val="20"/>
                              </w:rPr>
                              <w:t>Sistemas</w:t>
                            </w:r>
                          </w:p>
                          <w:p w:rsidR="002A21E4" w:rsidRDefault="002A21E4" w:rsidP="0031605E">
                            <w:pPr>
                              <w:jc w:val="center"/>
                              <w:rPr>
                                <w:sz w:val="20"/>
                              </w:rPr>
                            </w:pPr>
                            <w:r>
                              <w:rPr>
                                <w:sz w:val="20"/>
                              </w:rPr>
                              <w:t>Económicos</w:t>
                            </w:r>
                          </w:p>
                        </w:txbxContent>
                      </wps:txbx>
                      <wps:bodyPr rot="0" vert="horz" wrap="square" lIns="91440" tIns="45720" rIns="91440" bIns="45720" anchor="ctr" anchorCtr="0">
                        <a:noAutofit/>
                      </wps:bodyPr>
                    </wps:wsp>
                  </a:graphicData>
                </a:graphic>
              </wp:anchor>
            </w:drawing>
          </mc:Choice>
          <mc:Fallback>
            <w:pict>
              <v:shapetype id="_x0000_t202" coordsize="21600,21600" o:spt="202" path="m,l,21600r21600,l21600,xe">
                <v:stroke joinstyle="miter"/>
                <v:path gradientshapeok="t" o:connecttype="rect"/>
              </v:shapetype>
              <v:shape id="Cuadro de texto 2" o:spid="_x0000_s1031" type="#_x0000_t202" style="position:absolute;margin-left:134.25pt;margin-top:110.5pt;width:68.4pt;height:32.65pt;rotation:90;z-index:2519869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" filled="f" stroked="f">
                <v:textbox>
                  <w:txbxContent>
                    <w:p w:rsidR="002A21E4" w:rsidRDefault="002A21E4" w:rsidP="0031605E">
                      <w:pPr>
                        <w:spacing w:after="0" w:line="240" w:lineRule="auto"/>
                        <w:jc w:val="center"/>
                        <w:rPr>
                          <w:sz w:val="20"/>
                        </w:rPr>
                      </w:pPr>
                      <w:r>
                        <w:rPr>
                          <w:sz w:val="20"/>
                        </w:rPr>
                        <w:t>Sistemas</w:t>
                      </w:r>
                    </w:p>
                    <w:p w:rsidR="002A21E4" w:rsidRDefault="002A21E4" w:rsidP="0031605E">
                      <w:pPr>
                        <w:jc w:val="center"/>
                        <w:rPr>
                          <w:sz w:val="20"/>
                        </w:rPr>
                      </w:pPr>
                      <w:r>
                        <w:rPr>
                          <w:sz w:val="20"/>
                        </w:rPr>
                        <w:t>Económicos</w:t>
                      </w:r>
                    </w:p>
                  </w:txbxContent>
                </v:textbox>
              </v:shape>
            </w:pict>
          </mc:Fallback>
        </mc:AlternateContent>
      </w:r>
      <w:r>
        <w:rPr>
          <w:noProof/>
          <w:lang w:eastAsia="es-CL"/>
        </w:rPr>
        <mc:AlternateContent>
          <mc:Choice Requires="wps">
            <w:drawing>
              <wp:anchor distT="0" distB="0" distL="114300" distR="114300" simplePos="0" relativeHeight="251992064" behindDoc="0" locked="0" layoutInCell="1" allowOverlap="1" wp14:anchorId="4DC66D52" wp14:editId="505CB476">
                <wp:simplePos x="0" y="0"/>
                <wp:positionH relativeFrom="column">
                  <wp:posOffset>2415350</wp:posOffset>
                </wp:positionH>
                <wp:positionV relativeFrom="paragraph">
                  <wp:posOffset>359410</wp:posOffset>
                </wp:positionV>
                <wp:extent cx="868680" cy="414655"/>
                <wp:effectExtent l="0" t="0" r="0" b="4445"/>
                <wp:wrapNone/>
                <wp:docPr id="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8680" cy="414655"/>
                        </a:xfrm>
                        <a:prstGeom prst="rect">
                          <a:avLst/>
                        </a:prstGeom>
                        <a:noFill/>
                        <a:ln w="9525">
                          <a:noFill/>
                          <a:miter lim="800000"/>
                          <a:headEnd/>
                          <a:tailEnd/>
                        </a:ln>
                      </wps:spPr>
                      <wps:txbx>
                        <w:txbxContent>
                          <w:p w:rsidR="002A21E4" w:rsidRPr="0031605E" w:rsidRDefault="002A21E4" w:rsidP="0031605E">
                            <w:pPr>
                              <w:spacing w:after="0" w:line="240" w:lineRule="auto"/>
                              <w:jc w:val="center"/>
                              <w:rPr>
                                <w:b/>
                                <w:sz w:val="20"/>
                              </w:rPr>
                            </w:pPr>
                            <w:r w:rsidRPr="0031605E">
                              <w:rPr>
                                <w:b/>
                                <w:sz w:val="20"/>
                              </w:rPr>
                              <w:t>Sistemas</w:t>
                            </w:r>
                          </w:p>
                          <w:p w:rsidR="002A21E4" w:rsidRPr="0031605E" w:rsidRDefault="002A21E4" w:rsidP="0031605E">
                            <w:pPr>
                              <w:jc w:val="center"/>
                              <w:rPr>
                                <w:b/>
                                <w:sz w:val="20"/>
                              </w:rPr>
                            </w:pPr>
                            <w:r w:rsidRPr="0031605E">
                              <w:rPr>
                                <w:b/>
                                <w:sz w:val="20"/>
                              </w:rPr>
                              <w:t>Ecológicos</w:t>
                            </w:r>
                          </w:p>
                        </w:txbxContent>
                      </wps:txbx>
                      <wps:bodyPr rot="0" vert="horz" wrap="square" lIns="91440" tIns="45720" rIns="91440" bIns="45720" anchor="ctr" anchorCtr="0">
                        <a:noAutofit/>
                      </wps:bodyPr>
                    </wps:wsp>
                  </a:graphicData>
                </a:graphic>
              </wp:anchor>
            </w:drawing>
          </mc:Choice>
          <mc:Fallback>
            <w:pict>
              <v:shape id="_x0000_s1032" type="#_x0000_t202" style="position:absolute;margin-left:190.2pt;margin-top:28.3pt;width:68.4pt;height:32.65pt;z-index:2519920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" filled="f" stroked="f">
                <v:textbox>
                  <w:txbxContent>
                    <w:p w:rsidR="002A21E4" w:rsidRPr="0031605E" w:rsidRDefault="002A21E4" w:rsidP="0031605E">
                      <w:pPr>
                        <w:spacing w:after="0" w:line="240" w:lineRule="auto"/>
                        <w:jc w:val="center"/>
                        <w:rPr>
                          <w:b/>
                          <w:sz w:val="20"/>
                        </w:rPr>
                      </w:pPr>
                      <w:r w:rsidRPr="0031605E">
                        <w:rPr>
                          <w:b/>
                          <w:sz w:val="20"/>
                        </w:rPr>
                        <w:t>Sistemas</w:t>
                      </w:r>
                    </w:p>
                    <w:p w:rsidR="002A21E4" w:rsidRPr="0031605E" w:rsidRDefault="002A21E4" w:rsidP="0031605E">
                      <w:pPr>
                        <w:jc w:val="center"/>
                        <w:rPr>
                          <w:b/>
                          <w:sz w:val="20"/>
                        </w:rPr>
                      </w:pPr>
                      <w:r w:rsidRPr="0031605E">
                        <w:rPr>
                          <w:b/>
                          <w:sz w:val="20"/>
                        </w:rPr>
                        <w:t>Ecológicos</w:t>
                      </w:r>
                    </w:p>
                  </w:txbxContent>
                </v:textbox>
              </v:shape>
            </w:pict>
          </mc:Fallback>
        </mc:AlternateContent>
      </w:r>
      <w:r>
        <w:rPr>
          <w:noProof/>
          <w:lang w:eastAsia="es-CL"/>
        </w:rPr>
        <mc:AlternateContent>
          <mc:Choice Requires="wps">
            <w:drawing>
              <wp:anchor distT="0" distB="0" distL="114300" distR="114300" simplePos="0" relativeHeight="251977728" behindDoc="0" locked="0" layoutInCell="1" allowOverlap="1" wp14:anchorId="0F83EC43" wp14:editId="530B6E33">
                <wp:simplePos x="0" y="0"/>
                <wp:positionH relativeFrom="column">
                  <wp:posOffset>1851660</wp:posOffset>
                </wp:positionH>
                <wp:positionV relativeFrom="paragraph">
                  <wp:posOffset>764540</wp:posOffset>
                </wp:positionV>
                <wp:extent cx="2076450" cy="1923415"/>
                <wp:effectExtent l="0" t="0" r="19050" b="19685"/>
                <wp:wrapNone/>
                <wp:docPr id="103" name="310 Elipse"/>
                <wp:cNvGraphicFramePr/>
                <a:graphic xmlns:a="http://schemas.openxmlformats.org/drawingml/2006/main">
                  <a:graphicData uri="http://schemas.microsoft.com/office/word/2010/wordprocessingShape">
                    <wps:wsp>
                      <wps:cNvSpPr/>
                      <wps:spPr>
                        <a:xfrm>
                          <a:off x="0" y="0"/>
                          <a:ext cx="2076450" cy="1923415"/>
                        </a:xfrm>
                        <a:prstGeom prst="ellipse">
                          <a:avLst/>
                        </a:prstGeom>
                        <a:solidFill>
                          <a:schemeClr val="bg1">
                            <a:lumMod val="9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310 Elipse" o:spid="_x0000_s1026" style="position:absolute;margin-left:145.8pt;margin-top:60.2pt;width:163.5pt;height:151.45pt;z-index:25197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" fillcolor="#f2f2f2 [3052]" strokecolor="#243f60 [1604]" strokeweight="2pt"/>
            </w:pict>
          </mc:Fallback>
        </mc:AlternateContent>
      </w:r>
      <w:r>
        <w:rPr>
          <w:noProof/>
          <w:lang w:eastAsia="es-CL"/>
        </w:rPr>
        <mc:AlternateContent>
          <mc:Choice Requires="wps">
            <w:drawing>
              <wp:anchor distT="0" distB="0" distL="114300" distR="114300" simplePos="0" relativeHeight="251990016" behindDoc="0" locked="0" layoutInCell="1" allowOverlap="1" wp14:anchorId="788F8CA4" wp14:editId="361361EB">
                <wp:simplePos x="0" y="0"/>
                <wp:positionH relativeFrom="column">
                  <wp:posOffset>2288540</wp:posOffset>
                </wp:positionH>
                <wp:positionV relativeFrom="paragraph">
                  <wp:posOffset>940435</wp:posOffset>
                </wp:positionV>
                <wp:extent cx="1128395" cy="250825"/>
                <wp:effectExtent l="0" t="0" r="0" b="0"/>
                <wp:wrapNone/>
                <wp:docPr id="343" name="Cuadro de texto 3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8395" cy="250825"/>
                        </a:xfrm>
                        <a:prstGeom prst="rect">
                          <a:avLst/>
                        </a:prstGeom>
                        <a:noFill/>
                        <a:ln w="9525">
                          <a:noFill/>
                          <a:miter lim="800000"/>
                          <a:headEnd/>
                          <a:tailEnd/>
                        </a:ln>
                      </wps:spPr>
                      <wps:txbx>
                        <w:txbxContent>
                          <w:p w:rsidR="002A21E4" w:rsidRDefault="002A21E4" w:rsidP="0031605E">
                            <w:pPr>
                              <w:spacing w:after="0"/>
                              <w:jc w:val="center"/>
                              <w:rPr>
                                <w:sz w:val="20"/>
                              </w:rPr>
                            </w:pPr>
                            <w:r>
                              <w:rPr>
                                <w:sz w:val="20"/>
                              </w:rPr>
                              <w:t>Institucionalidad</w:t>
                            </w:r>
                          </w:p>
                        </w:txbxContent>
                      </wps:txbx>
                      <wps:bodyPr rot="0" vert="horz" wrap="square" lIns="91440" tIns="45720" rIns="91440" bIns="45720" anchor="t" anchorCtr="0">
                        <a:noAutofit/>
                      </wps:bodyPr>
                    </wps:wsp>
                  </a:graphicData>
                </a:graphic>
                <wp14:sizeRelH relativeFrom="margin">
                  <wp14:pctWidth>0</wp14:pctWidth>
                </wp14:sizeRelH>
                <wp14:sizeRelV relativeFrom="page">
                  <wp14:pctHeight>0</wp14:pctHeight>
                </wp14:sizeRelV>
              </wp:anchor>
            </w:drawing>
          </mc:Choice>
          <mc:Fallback>
            <w:pict>
              <v:shape id="Cuadro de texto 343" o:spid="_x0000_s1033" type="#_x0000_t202" style="position:absolute;margin-left:180.2pt;margin-top:74.05pt;width:88.85pt;height:19.75pt;z-index:25199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" filled="f" stroked="f">
                <v:textbox>
                  <w:txbxContent>
                    <w:p w:rsidR="002A21E4" w:rsidRDefault="002A21E4" w:rsidP="0031605E">
                      <w:pPr>
                        <w:spacing w:after="0"/>
                        <w:jc w:val="center"/>
                        <w:rPr>
                          <w:sz w:val="20"/>
                        </w:rPr>
                      </w:pPr>
                      <w:r>
                        <w:rPr>
                          <w:sz w:val="20"/>
                        </w:rPr>
                        <w:t>Institucionalidad</w:t>
                      </w:r>
                    </w:p>
                  </w:txbxContent>
                </v:textbox>
              </v:shape>
            </w:pict>
          </mc:Fallback>
        </mc:AlternateContent>
      </w:r>
      <w:r>
        <w:rPr>
          <w:noProof/>
          <w:lang w:eastAsia="es-CL"/>
        </w:rPr>
        <mc:AlternateContent>
          <mc:Choice Requires="wps">
            <w:drawing>
              <wp:anchor distT="0" distB="0" distL="114300" distR="114300" simplePos="0" relativeHeight="251987968" behindDoc="0" locked="0" layoutInCell="1" allowOverlap="1" wp14:anchorId="20A05541" wp14:editId="41F37322">
                <wp:simplePos x="0" y="0"/>
                <wp:positionH relativeFrom="column">
                  <wp:posOffset>3052445</wp:posOffset>
                </wp:positionH>
                <wp:positionV relativeFrom="paragraph">
                  <wp:posOffset>1564005</wp:posOffset>
                </wp:positionV>
                <wp:extent cx="1031875" cy="250825"/>
                <wp:effectExtent l="9525" t="0" r="6350" b="0"/>
                <wp:wrapNone/>
                <wp:docPr id="11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350735">
                          <a:off x="0" y="0"/>
                          <a:ext cx="1031875" cy="250825"/>
                        </a:xfrm>
                        <a:prstGeom prst="rect">
                          <a:avLst/>
                        </a:prstGeom>
                        <a:noFill/>
                        <a:ln w="9525">
                          <a:noFill/>
                          <a:miter lim="800000"/>
                          <a:headEnd/>
                          <a:tailEnd/>
                        </a:ln>
                      </wps:spPr>
                      <wps:txbx>
                        <w:txbxContent>
                          <w:p w:rsidR="002A21E4" w:rsidRDefault="002A21E4" w:rsidP="0031605E">
                            <w:pPr>
                              <w:spacing w:after="0"/>
                              <w:jc w:val="center"/>
                              <w:rPr>
                                <w:sz w:val="20"/>
                              </w:rPr>
                            </w:pPr>
                            <w:r>
                              <w:rPr>
                                <w:sz w:val="20"/>
                              </w:rPr>
                              <w:t>Tecnologías</w:t>
                            </w:r>
                          </w:p>
                        </w:txbxContent>
                      </wps:txbx>
                      <wps:bodyPr rot="0" vert="horz" wrap="square" lIns="91440" tIns="45720" rIns="91440" bIns="45720" anchor="ctr" anchorCtr="0">
                        <a:noAutofit/>
                      </wps:bodyPr>
                    </wps:wsp>
                  </a:graphicData>
                </a:graphic>
              </wp:anchor>
            </w:drawing>
          </mc:Choice>
          <mc:Fallback>
            <w:pict>
              <v:shape id="_x0000_s1034" type="#_x0000_t202" style="position:absolute;margin-left:240.35pt;margin-top:123.15pt;width:81.25pt;height:19.75pt;rotation:-5733597fd;z-index:2519879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" filled="f" stroked="f">
                <v:textbox>
                  <w:txbxContent>
                    <w:p w:rsidR="002A21E4" w:rsidRDefault="002A21E4" w:rsidP="0031605E">
                      <w:pPr>
                        <w:spacing w:after="0"/>
                        <w:jc w:val="center"/>
                        <w:rPr>
                          <w:sz w:val="20"/>
                        </w:rPr>
                      </w:pPr>
                      <w:r>
                        <w:rPr>
                          <w:sz w:val="20"/>
                        </w:rPr>
                        <w:t>Tecnologías</w:t>
                      </w:r>
                    </w:p>
                  </w:txbxContent>
                </v:textbox>
              </v:shape>
            </w:pict>
          </mc:Fallback>
        </mc:AlternateContent>
      </w:r>
      <w:r>
        <w:rPr>
          <w:noProof/>
          <w:lang w:eastAsia="es-CL"/>
        </w:rPr>
        <mc:AlternateContent>
          <mc:Choice Requires="wps">
            <w:drawing>
              <wp:anchor distT="0" distB="0" distL="114300" distR="114300" simplePos="0" relativeHeight="251976704" behindDoc="0" locked="0" layoutInCell="1" allowOverlap="1" wp14:anchorId="3394B4FF" wp14:editId="6AF065B6">
                <wp:simplePos x="0" y="0"/>
                <wp:positionH relativeFrom="column">
                  <wp:posOffset>473322</wp:posOffset>
                </wp:positionH>
                <wp:positionV relativeFrom="paragraph">
                  <wp:posOffset>1382258</wp:posOffset>
                </wp:positionV>
                <wp:extent cx="4659630" cy="460318"/>
                <wp:effectExtent l="0" t="19050" r="45720" b="35560"/>
                <wp:wrapNone/>
                <wp:docPr id="102" name="28 Flecha derecha"/>
                <wp:cNvGraphicFramePr/>
                <a:graphic xmlns:a="http://schemas.openxmlformats.org/drawingml/2006/main">
                  <a:graphicData uri="http://schemas.microsoft.com/office/word/2010/wordprocessingShape">
                    <wps:wsp>
                      <wps:cNvSpPr/>
                      <wps:spPr>
                        <a:xfrm>
                          <a:off x="0" y="0"/>
                          <a:ext cx="4659630" cy="460318"/>
                        </a:xfrm>
                        <a:prstGeom prst="rightArrow">
                          <a:avLst/>
                        </a:prstGeom>
                        <a:solidFill>
                          <a:schemeClr val="accent1">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28 Flecha derecha" o:spid="_x0000_s1026" type="#_x0000_t13" style="position:absolute;margin-left:37.25pt;margin-top:108.85pt;width:366.9pt;height:36.25pt;z-index:2519767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" adj="20533" fillcolor="#95b3d7 [1940]" strokecolor="#243f60 [1604]" strokeweight="2pt"/>
            </w:pict>
          </mc:Fallback>
        </mc:AlternateContent>
      </w:r>
      <w:r>
        <w:rPr>
          <w:noProof/>
          <w:lang w:eastAsia="es-CL"/>
        </w:rPr>
        <mc:AlternateContent>
          <mc:Choice Requires="wps">
            <w:drawing>
              <wp:anchor distT="0" distB="0" distL="114300" distR="114300" simplePos="0" relativeHeight="251978752" behindDoc="0" locked="0" layoutInCell="1" allowOverlap="1" wp14:anchorId="237AF779" wp14:editId="3F749647">
                <wp:simplePos x="0" y="0"/>
                <wp:positionH relativeFrom="column">
                  <wp:posOffset>2316753</wp:posOffset>
                </wp:positionH>
                <wp:positionV relativeFrom="paragraph">
                  <wp:posOffset>1228657</wp:posOffset>
                </wp:positionV>
                <wp:extent cx="1070548" cy="994922"/>
                <wp:effectExtent l="0" t="0" r="15875" b="15240"/>
                <wp:wrapNone/>
                <wp:docPr id="104" name="21 Elipse"/>
                <wp:cNvGraphicFramePr/>
                <a:graphic xmlns:a="http://schemas.openxmlformats.org/drawingml/2006/main">
                  <a:graphicData uri="http://schemas.microsoft.com/office/word/2010/wordprocessingShape">
                    <wps:wsp>
                      <wps:cNvSpPr/>
                      <wps:spPr>
                        <a:xfrm>
                          <a:off x="0" y="0"/>
                          <a:ext cx="1070548" cy="994922"/>
                        </a:xfrm>
                        <a:prstGeom prst="ellipse">
                          <a:avLst/>
                        </a:prstGeom>
                        <a:solidFill>
                          <a:schemeClr val="bg1"/>
                        </a:solidFill>
                        <a:ln w="12700"/>
                      </wps:spPr>
                      <wps:style>
                        <a:lnRef idx="2">
                          <a:schemeClr val="dk1"/>
                        </a:lnRef>
                        <a:fillRef idx="1">
                          <a:schemeClr val="lt1"/>
                        </a:fillRef>
                        <a:effectRef idx="0">
                          <a:schemeClr val="dk1"/>
                        </a:effectRef>
                        <a:fontRef idx="minor">
                          <a:schemeClr val="dk1"/>
                        </a:fontRef>
                      </wps:style>
                      <wps:txbx>
                        <w:txbxContent>
                          <w:p w:rsidR="002A21E4" w:rsidRDefault="002A21E4" w:rsidP="0031605E">
                            <w:pPr>
                              <w:spacing w:after="0" w:line="240" w:lineRule="auto"/>
                              <w:jc w:val="center"/>
                              <w:rPr>
                                <w:b/>
                                <w:sz w:val="20"/>
                              </w:rPr>
                            </w:pPr>
                            <w:r>
                              <w:rPr>
                                <w:b/>
                                <w:sz w:val="20"/>
                              </w:rPr>
                              <w:t>Calidad de vida universal</w:t>
                            </w:r>
                          </w:p>
                        </w:txbxContent>
                      </wps:txbx>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21 Elipse" o:spid="_x0000_s1035" style="position:absolute;margin-left:182.4pt;margin-top:96.75pt;width:84.3pt;height:78.35pt;z-index:2519787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" fillcolor="white [3212]" strokecolor="black [3200]" strokeweight="1pt">
                <v:textbox>
                  <w:txbxContent>
                    <w:p w:rsidR="002A21E4" w:rsidRDefault="002A21E4" w:rsidP="0031605E">
                      <w:pPr>
                        <w:spacing w:after="0" w:line="240" w:lineRule="auto"/>
                        <w:jc w:val="center"/>
                        <w:rPr>
                          <w:b/>
                          <w:sz w:val="20"/>
                        </w:rPr>
                      </w:pPr>
                      <w:r>
                        <w:rPr>
                          <w:b/>
                          <w:sz w:val="20"/>
                        </w:rPr>
                        <w:t>Calidad de vida universal</w:t>
                      </w:r>
                    </w:p>
                  </w:txbxContent>
                </v:textbox>
              </v:oval>
            </w:pict>
          </mc:Fallback>
        </mc:AlternateContent>
      </w:r>
      <w:r>
        <w:rPr>
          <w:noProof/>
          <w:lang w:eastAsia="es-CL"/>
        </w:rPr>
        <mc:AlternateContent>
          <mc:Choice Requires="wps">
            <w:drawing>
              <wp:anchor distT="0" distB="0" distL="114300" distR="114300" simplePos="0" relativeHeight="251982848" behindDoc="0" locked="0" layoutInCell="1" allowOverlap="1" wp14:anchorId="76B5F9E8" wp14:editId="3E412A80">
                <wp:simplePos x="0" y="0"/>
                <wp:positionH relativeFrom="column">
                  <wp:posOffset>2316753</wp:posOffset>
                </wp:positionH>
                <wp:positionV relativeFrom="paragraph">
                  <wp:posOffset>2361430</wp:posOffset>
                </wp:positionV>
                <wp:extent cx="1032450" cy="250874"/>
                <wp:effectExtent l="0" t="0" r="0" b="0"/>
                <wp:wrapNone/>
                <wp:docPr id="10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2450" cy="250874"/>
                        </a:xfrm>
                        <a:prstGeom prst="rect">
                          <a:avLst/>
                        </a:prstGeom>
                        <a:noFill/>
                        <a:ln w="9525">
                          <a:noFill/>
                          <a:miter lim="800000"/>
                          <a:headEnd/>
                          <a:tailEnd/>
                        </a:ln>
                      </wps:spPr>
                      <wps:txbx>
                        <w:txbxContent>
                          <w:p w:rsidR="002A21E4" w:rsidRDefault="002A21E4" w:rsidP="0031605E">
                            <w:pPr>
                              <w:spacing w:after="0"/>
                              <w:jc w:val="center"/>
                              <w:rPr>
                                <w:sz w:val="20"/>
                              </w:rPr>
                            </w:pPr>
                            <w:r>
                              <w:rPr>
                                <w:sz w:val="20"/>
                              </w:rPr>
                              <w:t>Gobernanza</w:t>
                            </w:r>
                          </w:p>
                        </w:txbxContent>
                      </wps:txbx>
                      <wps:bodyPr rot="0" vert="horz" wrap="square" lIns="91440" tIns="45720" rIns="91440" bIns="45720" anchor="ctr" anchorCtr="0">
                        <a:noAutofit/>
                      </wps:bodyPr>
                    </wps:wsp>
                  </a:graphicData>
                </a:graphic>
              </wp:anchor>
            </w:drawing>
          </mc:Choice>
          <mc:Fallback>
            <w:pict>
              <v:shape id="_x0000_s1036" type="#_x0000_t202" style="position:absolute;margin-left:182.4pt;margin-top:185.95pt;width:81.3pt;height:19.75pt;z-index:2519828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" filled="f" stroked="f">
                <v:textbox>
                  <w:txbxContent>
                    <w:p w:rsidR="002A21E4" w:rsidRDefault="002A21E4" w:rsidP="0031605E">
                      <w:pPr>
                        <w:spacing w:after="0"/>
                        <w:jc w:val="center"/>
                        <w:rPr>
                          <w:sz w:val="20"/>
                        </w:rPr>
                      </w:pPr>
                      <w:r>
                        <w:rPr>
                          <w:sz w:val="20"/>
                        </w:rPr>
                        <w:t>Gobernanza</w:t>
                      </w:r>
                    </w:p>
                  </w:txbxContent>
                </v:textbox>
              </v:shape>
            </w:pict>
          </mc:Fallback>
        </mc:AlternateContent>
      </w:r>
      <w:r>
        <w:rPr>
          <w:noProof/>
          <w:lang w:eastAsia="es-CL"/>
        </w:rPr>
        <mc:AlternateContent>
          <mc:Choice Requires="wps">
            <w:drawing>
              <wp:anchor distT="0" distB="0" distL="114300" distR="114300" simplePos="0" relativeHeight="251988992" behindDoc="0" locked="0" layoutInCell="1" allowOverlap="1" wp14:anchorId="650835A8" wp14:editId="06FF60FA">
                <wp:simplePos x="0" y="0"/>
                <wp:positionH relativeFrom="column">
                  <wp:posOffset>386715</wp:posOffset>
                </wp:positionH>
                <wp:positionV relativeFrom="paragraph">
                  <wp:posOffset>1474470</wp:posOffset>
                </wp:positionV>
                <wp:extent cx="636270" cy="277495"/>
                <wp:effectExtent l="0" t="0" r="0" b="0"/>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270" cy="277495"/>
                        </a:xfrm>
                        <a:prstGeom prst="rect">
                          <a:avLst/>
                        </a:prstGeom>
                        <a:noFill/>
                        <a:ln w="9525">
                          <a:noFill/>
                          <a:miter lim="800000"/>
                          <a:headEnd/>
                          <a:tailEnd/>
                        </a:ln>
                      </wps:spPr>
                      <wps:txbx>
                        <w:txbxContent>
                          <w:p w:rsidR="002A21E4" w:rsidRDefault="002A21E4" w:rsidP="0031605E">
                            <w:pPr>
                              <w:rPr>
                                <w:b/>
                              </w:rPr>
                            </w:pPr>
                            <w:r>
                              <w:rPr>
                                <w:b/>
                              </w:rPr>
                              <w:t>Tiempo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Cuadro de texto 3" o:spid="_x0000_s1037" type="#_x0000_t202" style="position:absolute;margin-left:30.45pt;margin-top:116.1pt;width:50.1pt;height:21.85pt;z-index:25198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" filled="f" stroked="f">
                <v:textbox>
                  <w:txbxContent>
                    <w:p w:rsidR="002A21E4" w:rsidRDefault="002A21E4" w:rsidP="0031605E">
                      <w:pPr>
                        <w:rPr>
                          <w:b/>
                        </w:rPr>
                      </w:pPr>
                      <w:r>
                        <w:rPr>
                          <w:b/>
                        </w:rPr>
                        <w:t>Tiempo</w:t>
                      </w:r>
                    </w:p>
                  </w:txbxContent>
                </v:textbox>
              </v:shape>
            </w:pict>
          </mc:Fallback>
        </mc:AlternateContent>
      </w:r>
      <w:bookmarkStart w:id="7" w:name="_Toc488774909"/>
    </w:p>
    <w:p w:rsidR="00B35339" w:rsidRDefault="00B35339" w:rsidP="00B35339">
      <w:pPr>
        <w:jc w:val="left"/>
      </w:pPr>
    </w:p>
    <w:p w:rsidR="00B35339" w:rsidRDefault="00B35339" w:rsidP="00B35339">
      <w:pPr>
        <w:jc w:val="left"/>
      </w:pPr>
    </w:p>
    <w:p w:rsidR="00B35339" w:rsidRDefault="00B35339" w:rsidP="00B35339">
      <w:pPr>
        <w:jc w:val="left"/>
      </w:pPr>
    </w:p>
    <w:p w:rsidR="00B35339" w:rsidRDefault="00B35339" w:rsidP="00B35339">
      <w:pPr>
        <w:jc w:val="left"/>
      </w:pPr>
    </w:p>
    <w:p w:rsidR="00B35339" w:rsidRDefault="00B35339" w:rsidP="00B35339">
      <w:pPr>
        <w:jc w:val="left"/>
      </w:pPr>
    </w:p>
    <w:p w:rsidR="00B35339" w:rsidRDefault="00B35339" w:rsidP="00B35339">
      <w:pPr>
        <w:jc w:val="left"/>
      </w:pPr>
    </w:p>
    <w:p w:rsidR="00B35339" w:rsidRDefault="00B35339" w:rsidP="00B35339">
      <w:pPr>
        <w:jc w:val="left"/>
      </w:pPr>
    </w:p>
    <w:p w:rsidR="00B35339" w:rsidRDefault="00B35339" w:rsidP="00B35339">
      <w:pPr>
        <w:jc w:val="left"/>
      </w:pPr>
    </w:p>
    <w:p w:rsidR="00B35339" w:rsidRDefault="00B35339" w:rsidP="00B35339">
      <w:pPr>
        <w:jc w:val="left"/>
      </w:pPr>
    </w:p>
    <w:p w:rsidR="00B35339" w:rsidRPr="00B35339" w:rsidRDefault="00B35339" w:rsidP="00B35339">
      <w:pPr>
        <w:jc w:val="left"/>
        <w:rPr>
          <w:rFonts w:ascii="Arial" w:hAnsi="Arial" w:cs="Arial"/>
        </w:rPr>
      </w:pPr>
    </w:p>
    <w:p w:rsidR="00B35339" w:rsidRPr="00B35339" w:rsidRDefault="00B35339" w:rsidP="00B35339">
      <w:pPr>
        <w:jc w:val="center"/>
        <w:rPr>
          <w:rFonts w:ascii="Arial" w:eastAsiaTheme="majorEastAsia" w:hAnsi="Arial" w:cs="Arial"/>
          <w:bCs/>
          <w:noProof/>
          <w:color w:val="000000" w:themeColor="text1"/>
          <w:sz w:val="24"/>
          <w:szCs w:val="26"/>
          <w:lang w:eastAsia="es-CL"/>
        </w:rPr>
      </w:pPr>
      <w:r w:rsidRPr="00B35339">
        <w:rPr>
          <w:rFonts w:ascii="Arial" w:hAnsi="Arial" w:cs="Arial"/>
          <w:color w:val="000000" w:themeColor="text1"/>
        </w:rPr>
        <w:t xml:space="preserve">Figura </w:t>
      </w:r>
      <w:r w:rsidRPr="00B35339">
        <w:rPr>
          <w:rFonts w:ascii="Arial" w:hAnsi="Arial" w:cs="Arial"/>
          <w:color w:val="000000" w:themeColor="text1"/>
        </w:rPr>
        <w:fldChar w:fldCharType="begin"/>
      </w:r>
      <w:r w:rsidRPr="00B35339">
        <w:rPr>
          <w:rFonts w:ascii="Arial" w:hAnsi="Arial" w:cs="Arial"/>
          <w:color w:val="000000" w:themeColor="text1"/>
        </w:rPr>
        <w:instrText xml:space="preserve"> SEQ Figura \* ARABIC </w:instrText>
      </w:r>
      <w:r w:rsidRPr="00B35339">
        <w:rPr>
          <w:rFonts w:ascii="Arial" w:hAnsi="Arial" w:cs="Arial"/>
          <w:color w:val="000000" w:themeColor="text1"/>
        </w:rPr>
        <w:fldChar w:fldCharType="separate"/>
      </w:r>
      <w:r w:rsidR="00225844">
        <w:rPr>
          <w:rFonts w:ascii="Arial" w:hAnsi="Arial" w:cs="Arial"/>
          <w:noProof/>
          <w:color w:val="000000" w:themeColor="text1"/>
        </w:rPr>
        <w:t>1</w:t>
      </w:r>
      <w:r w:rsidRPr="00B35339">
        <w:rPr>
          <w:rFonts w:ascii="Arial" w:hAnsi="Arial" w:cs="Arial"/>
          <w:color w:val="000000" w:themeColor="text1"/>
        </w:rPr>
        <w:fldChar w:fldCharType="end"/>
      </w:r>
      <w:r w:rsidRPr="00B35339">
        <w:rPr>
          <w:rFonts w:ascii="Arial" w:hAnsi="Arial" w:cs="Arial"/>
          <w:color w:val="000000" w:themeColor="text1"/>
        </w:rPr>
        <w:t>: Esquema Conceptual de Desarrollo</w:t>
      </w:r>
      <w:r w:rsidRPr="00B35339">
        <w:rPr>
          <w:rFonts w:ascii="Arial" w:hAnsi="Arial" w:cs="Arial"/>
        </w:rPr>
        <w:t xml:space="preserve"> Sostenible</w:t>
      </w:r>
    </w:p>
    <w:p w:rsidR="00B35339" w:rsidRDefault="00B35339" w:rsidP="00B35339">
      <w:pPr>
        <w:jc w:val="left"/>
      </w:pPr>
    </w:p>
    <w:p w:rsidR="00B35339" w:rsidRDefault="00B35339">
      <w:pPr>
        <w:jc w:val="left"/>
      </w:pPr>
      <w:r>
        <w:br w:type="page"/>
      </w:r>
    </w:p>
    <w:p w:rsidR="00B04E35" w:rsidRPr="00B35339" w:rsidRDefault="00B04E35" w:rsidP="00B35339">
      <w:pPr>
        <w:jc w:val="left"/>
        <w:rPr>
          <w:rFonts w:eastAsiaTheme="majorEastAsia" w:cstheme="majorBidi"/>
          <w:b/>
          <w:bCs/>
          <w:color w:val="000000" w:themeColor="text1"/>
          <w:sz w:val="24"/>
          <w:szCs w:val="26"/>
        </w:rPr>
      </w:pPr>
      <w:r w:rsidRPr="000E0F90">
        <w:lastRenderedPageBreak/>
        <w:t>Territorio y su progresión hacia la sostenibilidad</w:t>
      </w:r>
      <w:bookmarkEnd w:id="7"/>
    </w:p>
    <w:p w:rsidR="00B04E35" w:rsidRPr="000E0F90" w:rsidRDefault="00B04E35" w:rsidP="002B538F">
      <w:pPr>
        <w:spacing w:before="240" w:after="0" w:line="360" w:lineRule="auto"/>
        <w:rPr>
          <w:rFonts w:ascii="Arial" w:hAnsi="Arial" w:cs="Arial"/>
          <w:b/>
          <w:color w:val="000000" w:themeColor="text1"/>
        </w:rPr>
      </w:pPr>
      <w:r w:rsidRPr="000E0F90">
        <w:rPr>
          <w:rFonts w:ascii="Arial" w:hAnsi="Arial" w:cs="Arial"/>
          <w:b/>
          <w:color w:val="000000" w:themeColor="text1"/>
        </w:rPr>
        <w:t xml:space="preserve">Territorio </w:t>
      </w:r>
    </w:p>
    <w:p w:rsidR="00B04E35" w:rsidRPr="000E0F90" w:rsidRDefault="00B04E35" w:rsidP="002B538F">
      <w:pPr>
        <w:spacing w:line="360" w:lineRule="auto"/>
        <w:rPr>
          <w:rFonts w:ascii="Arial" w:hAnsi="Arial" w:cs="Arial"/>
          <w:color w:val="000000" w:themeColor="text1"/>
        </w:rPr>
      </w:pPr>
      <w:r w:rsidRPr="000E0F90">
        <w:rPr>
          <w:rFonts w:ascii="Arial" w:hAnsi="Arial" w:cs="Arial"/>
          <w:color w:val="000000" w:themeColor="text1"/>
        </w:rPr>
        <w:t xml:space="preserve">Proviene del latín </w:t>
      </w:r>
      <w:r w:rsidRPr="000E0F90">
        <w:rPr>
          <w:rFonts w:ascii="Arial" w:hAnsi="Arial" w:cs="Arial"/>
          <w:i/>
          <w:color w:val="000000" w:themeColor="text1"/>
        </w:rPr>
        <w:t xml:space="preserve">territorium </w:t>
      </w:r>
      <w:r w:rsidRPr="000E0F90">
        <w:rPr>
          <w:rFonts w:ascii="Arial" w:hAnsi="Arial" w:cs="Arial"/>
          <w:color w:val="000000" w:themeColor="text1"/>
        </w:rPr>
        <w:t>que quiere decir “tierra alrededor de una ciudad, dominio, o distrito”</w:t>
      </w:r>
      <w:sdt>
        <w:sdtPr>
          <w:rPr>
            <w:rFonts w:ascii="Arial" w:hAnsi="Arial" w:cs="Arial"/>
            <w:color w:val="000000" w:themeColor="text1"/>
          </w:rPr>
          <w:id w:val="-1530560741"/>
          <w:citation/>
        </w:sdtPr>
        <w:sdtEndPr/>
        <w:sdtContent>
          <w:r w:rsidRPr="000E0F90">
            <w:rPr>
              <w:rFonts w:ascii="Arial" w:hAnsi="Arial" w:cs="Arial"/>
              <w:color w:val="000000" w:themeColor="text1"/>
            </w:rPr>
            <w:fldChar w:fldCharType="begin"/>
          </w:r>
          <w:r w:rsidR="00E521C4" w:rsidRPr="000E0F90">
            <w:rPr>
              <w:rFonts w:ascii="Arial" w:hAnsi="Arial" w:cs="Arial"/>
              <w:color w:val="000000" w:themeColor="text1"/>
            </w:rPr>
            <w:instrText xml:space="preserve">CITATION Onl16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 xml:space="preserve"> (Etymonline, 2016)</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Es una porción de superficie terrestre administrada por grupos sociales con la finalidad de asegurar la satisfacción de sus necesidades vitales </w:t>
      </w:r>
      <w:sdt>
        <w:sdtPr>
          <w:rPr>
            <w:rFonts w:ascii="Arial" w:hAnsi="Arial" w:cs="Arial"/>
            <w:color w:val="000000" w:themeColor="text1"/>
          </w:rPr>
          <w:id w:val="-613666231"/>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Jea73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(Gottmann, 1973)</w:t>
          </w:r>
          <w:r w:rsidRPr="000E0F90">
            <w:rPr>
              <w:rFonts w:ascii="Arial" w:hAnsi="Arial" w:cs="Arial"/>
              <w:color w:val="000000" w:themeColor="text1"/>
            </w:rPr>
            <w:fldChar w:fldCharType="end"/>
          </w:r>
        </w:sdtContent>
      </w:sdt>
      <w:sdt>
        <w:sdtPr>
          <w:rPr>
            <w:rFonts w:ascii="Arial" w:hAnsi="Arial" w:cs="Arial"/>
            <w:color w:val="000000" w:themeColor="text1"/>
          </w:rPr>
          <w:id w:val="223340971"/>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LeB92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 xml:space="preserve"> (Le Berre, 1992)</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"ISBN" : "2701143241", "author" : [ { "dropping-particle" : "", "family" : "Moine", "given" : "A.", "non-dropping-particle" : "", "parse-names" : false, "suffix" : "" } ], "container-title" : "L\u2019Espace G\u00e9ographique", "id" : "ITEM-1", "issue" : "35", "issued" : { "date-parts" : [ [ "2006" ] ] }, "page" : "115-132", "title" : "Le territoire comme un syst\u00e8me complexe : un concept op\u00e9ratoire pour l'am\u00e9nagement et la g\u00e9ographie", "type" : "article-journal", "volume" : "2" }, "uris" : [ "http://www.mendeley.com/documents/?uuid=8cbefb58-c3c3-4582-96db-75ccd6c6f061" ] } ], "mendeley" : { "formattedCitation" : "(Moine, 2006)", "plainTextFormattedCitation" : "(Moine, 2006)", "previouslyFormattedCitation" : "(Moine, 2006)"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(Moine, 2006)</w:t>
      </w:r>
      <w:r w:rsidRPr="000E0F90">
        <w:rPr>
          <w:rFonts w:ascii="Arial" w:hAnsi="Arial" w:cs="Arial"/>
          <w:color w:val="000000" w:themeColor="text1"/>
        </w:rPr>
        <w:fldChar w:fldCharType="end"/>
      </w:r>
      <w:r w:rsidRPr="000E0F90">
        <w:rPr>
          <w:rFonts w:ascii="Arial" w:hAnsi="Arial" w:cs="Arial"/>
          <w:color w:val="000000" w:themeColor="text1"/>
        </w:rPr>
        <w:t xml:space="preserve"> </w:t>
      </w:r>
      <w:sdt>
        <w:sdtPr>
          <w:rPr>
            <w:rFonts w:ascii="Arial" w:hAnsi="Arial" w:cs="Arial"/>
            <w:color w:val="000000" w:themeColor="text1"/>
          </w:rPr>
          <w:id w:val="1736199838"/>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Sto12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(Storey, 2012)</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Estableciendo por una parte, una referencia espacial del concepto, así como también una relación de dominio o apropiación de los habitantes sobre dicho espacio geográfico, atributo que lo distingue de otras escalas espaciales </w:t>
      </w:r>
      <w:sdt>
        <w:sdtPr>
          <w:rPr>
            <w:rFonts w:ascii="Arial" w:hAnsi="Arial" w:cs="Arial"/>
            <w:color w:val="000000" w:themeColor="text1"/>
          </w:rPr>
          <w:id w:val="837818717"/>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Del05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(Delaney, 2005)</w:t>
          </w:r>
          <w:r w:rsidRPr="000E0F90">
            <w:rPr>
              <w:rFonts w:ascii="Arial" w:hAnsi="Arial" w:cs="Arial"/>
              <w:color w:val="000000" w:themeColor="text1"/>
            </w:rPr>
            <w:fldChar w:fldCharType="end"/>
          </w:r>
        </w:sdtContent>
      </w:sdt>
      <w:r w:rsidRPr="000E0F90">
        <w:rPr>
          <w:rFonts w:ascii="Arial" w:hAnsi="Arial" w:cs="Arial"/>
          <w:color w:val="000000" w:themeColor="text1"/>
        </w:rPr>
        <w:t>.</w:t>
      </w:r>
    </w:p>
    <w:p w:rsidR="00B04E35" w:rsidRPr="000E0F90" w:rsidRDefault="00B04E35" w:rsidP="002B538F">
      <w:pPr>
        <w:spacing w:line="360" w:lineRule="auto"/>
        <w:rPr>
          <w:rFonts w:ascii="Arial" w:hAnsi="Arial" w:cs="Arial"/>
          <w:color w:val="000000" w:themeColor="text1"/>
        </w:rPr>
      </w:pPr>
      <w:r w:rsidRPr="000E0F90">
        <w:rPr>
          <w:rFonts w:ascii="Arial" w:hAnsi="Arial" w:cs="Arial"/>
          <w:color w:val="000000" w:themeColor="text1"/>
        </w:rPr>
        <w:t xml:space="preserve">Esta idea de apropiación, permite generar y asignar significado a determinadas características del espacio geográfico, transformando la superficie desarrollable en territorio, resultando en formas de vidas diversas y singulares, arraigadas a este espacio, proceso que se conoce como territorialidad </w:t>
      </w:r>
      <w:sdt>
        <w:sdtPr>
          <w:rPr>
            <w:rFonts w:ascii="Arial" w:hAnsi="Arial" w:cs="Arial"/>
            <w:color w:val="000000" w:themeColor="text1"/>
          </w:rPr>
          <w:id w:val="-580990125"/>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Del05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(Delaney, 2005)</w:t>
          </w:r>
          <w:r w:rsidRPr="000E0F90">
            <w:rPr>
              <w:rFonts w:ascii="Arial" w:hAnsi="Arial" w:cs="Arial"/>
              <w:color w:val="000000" w:themeColor="text1"/>
            </w:rPr>
            <w:fldChar w:fldCharType="end"/>
          </w:r>
        </w:sdtContent>
      </w:sdt>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"author" : [ { "dropping-particle" : "", "family" : "Ginet", "given" : "Pierre", "non-dropping-particle" : "", "parse-names" : false, "suffix" : "" } ], "container-title" : "Documentaliste-Sciences de l'Information", "id" : "ITEM-1", "issued" : { "date-parts" : [ [ "2012" ] ] }, "title" : "Le territoire, un concept op\u00e9ratoire pour la G\u00e9ographie appliqu\u00e9e (\u00e0 l'am\u00e9nagement)", "type" : "article-journal" }, "uris" : [ "http://www.mendeley.com/documents/?uuid=32e5616e-88d3-499d-bf29-a7b2c4ff26e1" ] } ], "mendeley" : { "formattedCitation" : "(Ginet, 2012)", "plainTextFormattedCitation" : "(Ginet, 2012)", "previouslyFormattedCitation" : "(Ginet, 2012)"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(Ginet, 2012)</w:t>
      </w:r>
      <w:r w:rsidRPr="000E0F90">
        <w:rPr>
          <w:rFonts w:ascii="Arial" w:hAnsi="Arial" w:cs="Arial"/>
          <w:color w:val="000000" w:themeColor="text1"/>
        </w:rPr>
        <w:fldChar w:fldCharType="end"/>
      </w:r>
      <w:r w:rsidRPr="000E0F90">
        <w:rPr>
          <w:rFonts w:ascii="Arial" w:hAnsi="Arial" w:cs="Arial"/>
          <w:color w:val="000000" w:themeColor="text1"/>
        </w:rPr>
        <w:t xml:space="preserve">. </w:t>
      </w:r>
    </w:p>
    <w:p w:rsidR="00B04E35" w:rsidRPr="000E0F90" w:rsidRDefault="00B04E35" w:rsidP="002B538F">
      <w:pPr>
        <w:spacing w:line="360" w:lineRule="auto"/>
        <w:rPr>
          <w:rFonts w:ascii="Arial" w:hAnsi="Arial" w:cs="Arial"/>
          <w:color w:val="000000" w:themeColor="text1"/>
        </w:rPr>
      </w:pPr>
      <w:r w:rsidRPr="000E0F90">
        <w:rPr>
          <w:rFonts w:ascii="Arial" w:hAnsi="Arial" w:cs="Arial"/>
          <w:color w:val="000000" w:themeColor="text1"/>
        </w:rPr>
        <w:t>La territorialidad es la expresión material de la apropiación</w:t>
      </w:r>
      <w:r w:rsidR="007E6B21" w:rsidRPr="000E0F90">
        <w:rPr>
          <w:rFonts w:ascii="Arial" w:hAnsi="Arial" w:cs="Arial"/>
          <w:color w:val="000000" w:themeColor="text1"/>
        </w:rPr>
        <w:t>,</w:t>
      </w:r>
      <w:r w:rsidRPr="000E0F90">
        <w:rPr>
          <w:rFonts w:ascii="Arial" w:hAnsi="Arial" w:cs="Arial"/>
          <w:color w:val="000000" w:themeColor="text1"/>
        </w:rPr>
        <w:t xml:space="preserve"> y desencadena en la construcción y transformación del territorio</w:t>
      </w:r>
      <w:sdt>
        <w:sdtPr>
          <w:rPr>
            <w:rFonts w:ascii="Arial" w:hAnsi="Arial" w:cs="Arial"/>
            <w:color w:val="000000" w:themeColor="text1"/>
          </w:rPr>
          <w:id w:val="-1556698773"/>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Sto12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 xml:space="preserve"> (Storey, 2012)</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w:t>
      </w:r>
      <w:sdt>
        <w:sdtPr>
          <w:rPr>
            <w:rFonts w:ascii="Arial" w:hAnsi="Arial" w:cs="Arial"/>
            <w:color w:val="000000" w:themeColor="text1"/>
          </w:rPr>
          <w:id w:val="-1877527459"/>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Sac86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(Sack, 1986)</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w:t>
      </w:r>
      <w:sdt>
        <w:sdtPr>
          <w:rPr>
            <w:rFonts w:ascii="Arial" w:hAnsi="Arial" w:cs="Arial"/>
            <w:color w:val="000000" w:themeColor="text1"/>
          </w:rPr>
          <w:id w:val="1938937649"/>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Del05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(Delaney, 2005)</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Proceso que depende de las condiciones particulares de época y lugar, las cuales influyen poderosamente en las diversas interpretaciones que puede tener el orden social del espacio geográfico (Sacks, 1986) (Sosa, 2012) (Gasto, 2001) </w:t>
      </w:r>
      <w:sdt>
        <w:sdtPr>
          <w:rPr>
            <w:rFonts w:ascii="Arial" w:hAnsi="Arial" w:cs="Arial"/>
            <w:color w:val="000000" w:themeColor="text1"/>
          </w:rPr>
          <w:id w:val="229886033"/>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Del05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(Delaney, 2005)</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w:t>
      </w:r>
      <w:sdt>
        <w:sdtPr>
          <w:rPr>
            <w:rFonts w:ascii="Arial" w:hAnsi="Arial" w:cs="Arial"/>
            <w:color w:val="000000" w:themeColor="text1"/>
          </w:rPr>
          <w:id w:val="541483408"/>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Sto12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(Storey, 2012)</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w:t>
      </w:r>
      <w:r w:rsidR="00403179" w:rsidRPr="000E0F90">
        <w:rPr>
          <w:rFonts w:ascii="Arial" w:hAnsi="Arial" w:cs="Arial"/>
          <w:color w:val="000000" w:themeColor="text1"/>
        </w:rPr>
        <w:t>Por tanto, es una r</w:t>
      </w:r>
      <w:r w:rsidRPr="000E0F90">
        <w:rPr>
          <w:rFonts w:ascii="Arial" w:hAnsi="Arial" w:cs="Arial"/>
          <w:color w:val="000000" w:themeColor="text1"/>
        </w:rPr>
        <w:t xml:space="preserve">elación mediada por la cultura, la cual en conjunto con las posibilidades tecnológicas disponibles, determina la dinámica evolutiva de los sistemas territoriales </w:t>
      </w:r>
      <w:r w:rsidRPr="000E0F90">
        <w:rPr>
          <w:rFonts w:ascii="Arial" w:hAnsi="Arial" w:cs="Arial"/>
          <w:color w:val="000000" w:themeColor="text1"/>
        </w:rPr>
        <w:fldChar w:fldCharType="begin" w:fldLock="1"/>
      </w:r>
      <w:r w:rsidR="00380FC7" w:rsidRPr="000E0F90">
        <w:rPr>
          <w:rFonts w:ascii="Arial" w:hAnsi="Arial" w:cs="Arial"/>
          <w:color w:val="000000" w:themeColor="text1"/>
        </w:rPr>
        <w:instrText>ADDIN CSL_CITATION { "citationItems" : [ { "id" : "ITEM-1", "itemData" : { "author" : [ { "dropping-particle" : "", "family" : "Gast\u00f3", "given" : "Juan", "non-dropping-particle" : "", "parse-names" : false, "suffix" : "" }, { "dropping-particle" : "", "family" : "Subercaseaux", "given" : "Diego", "non-dropping-particle" : "", "parse-names" : false, "suffix" : "" }, { "dropping-particle" : "", "family" : "Vera", "given" : "Leonardo", "non-dropping-particle" : "", "parse-names" : false, "suffix" : "" }, { "dropping-particle" : "", "family" : "Tomic", "given" : "Tomic", "non-dropping-particle" : "", "parse-names" : false, "suffix" : "" } ], "container-title" : "Landscape Planning", "id" : "ITEM-1", "issued" : { "date-parts" : [ [ "2012" ] ] }, "page" : "151-178", "title" : "Agriculture and Rurality as Constructor of Sustainable Cultural Landscape", "type" : "article-journal", "volume" : "7" }, "uris" : [ "http://www.mendeley.com/documents/?uuid=1af77292-9cd7-4b30-855c-c125546423ec" ] } ], "mendeley" : { "formattedCitation" : "(Gast\u00f3 et al., 2012)", "plainTextFormattedCitation" : "(Gast\u00f3 et al., 2012)", "previouslyFormattedCitation" : "(Gast\u00f3 et al., 2012)" }, "properties" : { "noteIndex" : 0 }, "schema" : "https://github.com/citation-style-language/schema/raw/master/csl-citation.json" }</w:instrText>
      </w:r>
      <w:r w:rsidRPr="000E0F90">
        <w:rPr>
          <w:rFonts w:ascii="Arial" w:hAnsi="Arial" w:cs="Arial"/>
          <w:color w:val="000000" w:themeColor="text1"/>
        </w:rPr>
        <w:fldChar w:fldCharType="separate"/>
      </w:r>
      <w:r w:rsidR="00380FC7" w:rsidRPr="000E0F90">
        <w:rPr>
          <w:rFonts w:ascii="Arial" w:hAnsi="Arial" w:cs="Arial"/>
          <w:noProof/>
          <w:color w:val="000000" w:themeColor="text1"/>
        </w:rPr>
        <w:t>(Gastó et al., 2012)</w:t>
      </w:r>
      <w:r w:rsidRPr="000E0F90">
        <w:rPr>
          <w:rFonts w:ascii="Arial" w:hAnsi="Arial" w:cs="Arial"/>
          <w:color w:val="000000" w:themeColor="text1"/>
        </w:rPr>
        <w:fldChar w:fldCharType="end"/>
      </w:r>
      <w:r w:rsidRPr="000E0F90">
        <w:rPr>
          <w:rFonts w:ascii="Arial" w:hAnsi="Arial" w:cs="Arial"/>
          <w:color w:val="000000" w:themeColor="text1"/>
        </w:rPr>
        <w:t xml:space="preserve">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"ISBN" : "9789801116035", "author" : [ { "dropping-particle" : "", "family" : "Salas", "given" : "Mar\u00eda Andre\u00edna", "non-dropping-particle" : "", "parse-names" : false, "suffix" : "" } ], "id" : "ITEM-1", "issued" : { "date-parts" : [ [ "2013" ] ] }, "page" : "174", "title" : "Prospectiva Territorial. Aproximaci\u00f3n a una base conceptual y metodol\u00f3gica", "type" : "thesis" }, "uris" : [ "http://www.mendeley.com/documents/?uuid=22f41c2e-c7fe-437b-9bee-4a54b7864259" ] } ], "mendeley" : { "formattedCitation" : "(Salas, 2013)", "plainTextFormattedCitation" : "(Salas, 2013)", "previouslyFormattedCitation" : "(Salas, 2013)"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(Salas, 2013)</w:t>
      </w:r>
      <w:r w:rsidRPr="000E0F90">
        <w:rPr>
          <w:rFonts w:ascii="Arial" w:hAnsi="Arial" w:cs="Arial"/>
          <w:color w:val="000000" w:themeColor="text1"/>
        </w:rPr>
        <w:fldChar w:fldCharType="end"/>
      </w:r>
      <w:r w:rsidRPr="000E0F90">
        <w:rPr>
          <w:rFonts w:ascii="Arial" w:hAnsi="Arial" w:cs="Arial"/>
          <w:color w:val="000000" w:themeColor="text1"/>
        </w:rPr>
        <w:t xml:space="preserve">. </w:t>
      </w:r>
    </w:p>
    <w:p w:rsidR="00403179" w:rsidRPr="000E0F90" w:rsidRDefault="00403179" w:rsidP="002B538F">
      <w:pPr>
        <w:spacing w:before="120" w:after="0" w:line="360" w:lineRule="auto"/>
        <w:rPr>
          <w:rFonts w:ascii="Arial" w:hAnsi="Arial" w:cs="Arial"/>
          <w:color w:val="000000" w:themeColor="text1"/>
        </w:rPr>
      </w:pPr>
      <w:r w:rsidRPr="000E0F90">
        <w:rPr>
          <w:rFonts w:ascii="Arial" w:hAnsi="Arial" w:cs="Arial"/>
          <w:color w:val="000000" w:themeColor="text1"/>
        </w:rPr>
        <w:t>Esta acción es</w:t>
      </w:r>
      <w:r w:rsidR="00C90FA7" w:rsidRPr="000E0F90">
        <w:rPr>
          <w:rFonts w:ascii="Arial" w:hAnsi="Arial" w:cs="Arial"/>
          <w:color w:val="000000" w:themeColor="text1"/>
        </w:rPr>
        <w:t xml:space="preserve"> llevada a cabo </w:t>
      </w:r>
      <w:r w:rsidR="00A03606" w:rsidRPr="000E0F90">
        <w:rPr>
          <w:rFonts w:ascii="Arial" w:hAnsi="Arial" w:cs="Arial"/>
          <w:color w:val="000000" w:themeColor="text1"/>
        </w:rPr>
        <w:t xml:space="preserve">por los actores sociales, es decir, grupos que tienen la capacidad de accionar e intervenir en el espacio, para el bienestar y desarrollo colectivo, satisfaciendo intereses comunes y privados, locales y globales, configurando la identidad y cultura local, mediante el uso de los recursos locales bajo cierta significancia (Salas, 2013) </w:t>
      </w:r>
      <w:sdt>
        <w:sdtPr>
          <w:rPr>
            <w:rFonts w:ascii="Arial" w:hAnsi="Arial" w:cs="Arial"/>
            <w:color w:val="000000" w:themeColor="text1"/>
          </w:rPr>
          <w:id w:val="1386222666"/>
          <w:citation/>
        </w:sdtPr>
        <w:sdtEndPr/>
        <w:sdtContent>
          <w:r w:rsidR="00A03606" w:rsidRPr="000E0F90">
            <w:rPr>
              <w:rFonts w:ascii="Arial" w:hAnsi="Arial" w:cs="Arial"/>
              <w:color w:val="000000" w:themeColor="text1"/>
            </w:rPr>
            <w:fldChar w:fldCharType="begin"/>
          </w:r>
          <w:r w:rsidR="00A03606" w:rsidRPr="000E0F90">
            <w:rPr>
              <w:rFonts w:ascii="Arial" w:hAnsi="Arial" w:cs="Arial"/>
              <w:color w:val="000000" w:themeColor="text1"/>
            </w:rPr>
            <w:instrText xml:space="preserve"> CITATION Del05 \l 13322 </w:instrText>
          </w:r>
          <w:r w:rsidR="00A03606" w:rsidRPr="000E0F90">
            <w:rPr>
              <w:rFonts w:ascii="Arial" w:hAnsi="Arial" w:cs="Arial"/>
              <w:color w:val="000000" w:themeColor="text1"/>
            </w:rPr>
            <w:fldChar w:fldCharType="separate"/>
          </w:r>
          <w:r w:rsidR="008D0261" w:rsidRPr="000E0F90">
            <w:rPr>
              <w:rFonts w:ascii="Arial" w:hAnsi="Arial" w:cs="Arial"/>
              <w:noProof/>
              <w:color w:val="000000" w:themeColor="text1"/>
            </w:rPr>
            <w:t>(Delaney, 2005)</w:t>
          </w:r>
          <w:r w:rsidR="00A03606" w:rsidRPr="000E0F90">
            <w:rPr>
              <w:rFonts w:ascii="Arial" w:hAnsi="Arial" w:cs="Arial"/>
              <w:color w:val="000000" w:themeColor="text1"/>
            </w:rPr>
            <w:fldChar w:fldCharType="end"/>
          </w:r>
        </w:sdtContent>
      </w:sdt>
      <w:sdt>
        <w:sdtPr>
          <w:rPr>
            <w:rFonts w:ascii="Arial" w:hAnsi="Arial" w:cs="Arial"/>
            <w:color w:val="000000" w:themeColor="text1"/>
          </w:rPr>
          <w:id w:val="-1225136938"/>
          <w:citation/>
        </w:sdtPr>
        <w:sdtEndPr/>
        <w:sdtContent>
          <w:r w:rsidR="00A03606" w:rsidRPr="000E0F90">
            <w:rPr>
              <w:rFonts w:ascii="Arial" w:hAnsi="Arial" w:cs="Arial"/>
              <w:color w:val="000000" w:themeColor="text1"/>
            </w:rPr>
            <w:fldChar w:fldCharType="begin"/>
          </w:r>
          <w:r w:rsidR="00A03606" w:rsidRPr="000E0F90">
            <w:rPr>
              <w:rFonts w:ascii="Arial" w:hAnsi="Arial" w:cs="Arial"/>
              <w:color w:val="000000" w:themeColor="text1"/>
            </w:rPr>
            <w:instrText xml:space="preserve"> CITATION Sto12 \l 13322 </w:instrText>
          </w:r>
          <w:r w:rsidR="00A03606" w:rsidRPr="000E0F90">
            <w:rPr>
              <w:rFonts w:ascii="Arial" w:hAnsi="Arial" w:cs="Arial"/>
              <w:color w:val="000000" w:themeColor="text1"/>
            </w:rPr>
            <w:fldChar w:fldCharType="separate"/>
          </w:r>
          <w:r w:rsidR="008D0261" w:rsidRPr="000E0F90">
            <w:rPr>
              <w:rFonts w:ascii="Arial" w:hAnsi="Arial" w:cs="Arial"/>
              <w:noProof/>
              <w:color w:val="000000" w:themeColor="text1"/>
            </w:rPr>
            <w:t xml:space="preserve"> (Storey, 2012)</w:t>
          </w:r>
          <w:r w:rsidR="00A03606" w:rsidRPr="000E0F90">
            <w:rPr>
              <w:rFonts w:ascii="Arial" w:hAnsi="Arial" w:cs="Arial"/>
              <w:color w:val="000000" w:themeColor="text1"/>
            </w:rPr>
            <w:fldChar w:fldCharType="end"/>
          </w:r>
        </w:sdtContent>
      </w:sdt>
      <w:r w:rsidR="00A03606" w:rsidRPr="000E0F90">
        <w:rPr>
          <w:rFonts w:ascii="Arial" w:hAnsi="Arial" w:cs="Arial"/>
          <w:color w:val="000000" w:themeColor="text1"/>
        </w:rPr>
        <w:t xml:space="preserve"> </w:t>
      </w:r>
      <w:sdt>
        <w:sdtPr>
          <w:rPr>
            <w:rFonts w:ascii="Arial" w:hAnsi="Arial" w:cs="Arial"/>
            <w:color w:val="000000" w:themeColor="text1"/>
          </w:rPr>
          <w:id w:val="1290408866"/>
          <w:citation/>
        </w:sdtPr>
        <w:sdtEndPr/>
        <w:sdtContent>
          <w:r w:rsidR="00A03606" w:rsidRPr="000E0F90">
            <w:rPr>
              <w:rFonts w:ascii="Arial" w:hAnsi="Arial" w:cs="Arial"/>
              <w:color w:val="000000" w:themeColor="text1"/>
            </w:rPr>
            <w:fldChar w:fldCharType="begin"/>
          </w:r>
          <w:r w:rsidR="00A03606" w:rsidRPr="000E0F90">
            <w:rPr>
              <w:rFonts w:ascii="Arial" w:hAnsi="Arial" w:cs="Arial"/>
              <w:color w:val="000000" w:themeColor="text1"/>
            </w:rPr>
            <w:instrText xml:space="preserve"> CITATION Sac86 \l 13322 </w:instrText>
          </w:r>
          <w:r w:rsidR="00A03606" w:rsidRPr="000E0F90">
            <w:rPr>
              <w:rFonts w:ascii="Arial" w:hAnsi="Arial" w:cs="Arial"/>
              <w:color w:val="000000" w:themeColor="text1"/>
            </w:rPr>
            <w:fldChar w:fldCharType="separate"/>
          </w:r>
          <w:r w:rsidR="008D0261" w:rsidRPr="000E0F90">
            <w:rPr>
              <w:rFonts w:ascii="Arial" w:hAnsi="Arial" w:cs="Arial"/>
              <w:noProof/>
              <w:color w:val="000000" w:themeColor="text1"/>
            </w:rPr>
            <w:t>(Sack, 1986)</w:t>
          </w:r>
          <w:r w:rsidR="00A03606" w:rsidRPr="000E0F90">
            <w:rPr>
              <w:rFonts w:ascii="Arial" w:hAnsi="Arial" w:cs="Arial"/>
              <w:color w:val="000000" w:themeColor="text1"/>
            </w:rPr>
            <w:fldChar w:fldCharType="end"/>
          </w:r>
        </w:sdtContent>
      </w:sdt>
      <w:sdt>
        <w:sdtPr>
          <w:rPr>
            <w:rFonts w:ascii="Arial" w:hAnsi="Arial" w:cs="Arial"/>
            <w:color w:val="000000" w:themeColor="text1"/>
          </w:rPr>
          <w:id w:val="-1837291559"/>
          <w:citation/>
        </w:sdtPr>
        <w:sdtEndPr/>
        <w:sdtContent>
          <w:r w:rsidR="00A03606" w:rsidRPr="000E0F90">
            <w:rPr>
              <w:rFonts w:ascii="Arial" w:hAnsi="Arial" w:cs="Arial"/>
              <w:color w:val="000000" w:themeColor="text1"/>
            </w:rPr>
            <w:fldChar w:fldCharType="begin"/>
          </w:r>
          <w:r w:rsidR="00A03606" w:rsidRPr="000E0F90">
            <w:rPr>
              <w:rFonts w:ascii="Arial" w:hAnsi="Arial" w:cs="Arial"/>
              <w:color w:val="000000" w:themeColor="text1"/>
            </w:rPr>
            <w:instrText xml:space="preserve">CITATION Are13 \t  \l 13322 </w:instrText>
          </w:r>
          <w:r w:rsidR="00A03606" w:rsidRPr="000E0F90">
            <w:rPr>
              <w:rFonts w:ascii="Arial" w:hAnsi="Arial" w:cs="Arial"/>
              <w:color w:val="000000" w:themeColor="text1"/>
            </w:rPr>
            <w:fldChar w:fldCharType="separate"/>
          </w:r>
          <w:r w:rsidR="008D0261" w:rsidRPr="000E0F90">
            <w:rPr>
              <w:rFonts w:ascii="Arial" w:hAnsi="Arial" w:cs="Arial"/>
              <w:noProof/>
              <w:color w:val="000000" w:themeColor="text1"/>
            </w:rPr>
            <w:t xml:space="preserve"> (Arellano, Gastó, Gálvez, Subercauseaux, Toledo, &amp; Miranda, 2013)</w:t>
          </w:r>
          <w:r w:rsidR="00A03606" w:rsidRPr="000E0F90">
            <w:rPr>
              <w:rFonts w:ascii="Arial" w:hAnsi="Arial" w:cs="Arial"/>
              <w:color w:val="000000" w:themeColor="text1"/>
            </w:rPr>
            <w:fldChar w:fldCharType="end"/>
          </w:r>
        </w:sdtContent>
      </w:sdt>
      <w:r w:rsidR="00AB3D4B" w:rsidRPr="000E0F90">
        <w:rPr>
          <w:rFonts w:ascii="Arial" w:hAnsi="Arial" w:cs="Arial"/>
          <w:color w:val="000000" w:themeColor="text1"/>
        </w:rPr>
        <w:t>. La cual proviene</w:t>
      </w:r>
      <w:r w:rsidR="00AB628A" w:rsidRPr="000E0F90">
        <w:rPr>
          <w:rFonts w:ascii="Arial" w:hAnsi="Arial" w:cs="Arial"/>
          <w:color w:val="000000" w:themeColor="text1"/>
        </w:rPr>
        <w:t xml:space="preserve"> </w:t>
      </w:r>
      <w:r w:rsidR="00B04E35" w:rsidRPr="000E0F90">
        <w:rPr>
          <w:rFonts w:ascii="Arial" w:hAnsi="Arial" w:cs="Arial"/>
          <w:color w:val="000000" w:themeColor="text1"/>
        </w:rPr>
        <w:t xml:space="preserve">de diversos ámbitos, económico, político, medioambiental, social, histórico por una parte, como mítico, cultural, simbólico, religioso, étnico; como forma de alcanzar el bienestar humano tanto instrumental como metafísico </w:t>
      </w:r>
      <w:r w:rsidR="00B04E35" w:rsidRPr="000E0F90">
        <w:rPr>
          <w:rFonts w:ascii="Arial" w:hAnsi="Arial" w:cs="Arial"/>
          <w:color w:val="000000" w:themeColor="text1"/>
        </w:rPr>
        <w:fldChar w:fldCharType="begin" w:fldLock="1"/>
      </w:r>
      <w:r w:rsidR="00B04E35" w:rsidRPr="000E0F90">
        <w:rPr>
          <w:rFonts w:ascii="Arial" w:hAnsi="Arial" w:cs="Arial"/>
          <w:color w:val="000000" w:themeColor="text1"/>
        </w:rPr>
        <w:instrText>ADDIN CSL_CITATION { "citationItems" : [ { "id" : "ITEM-1", "itemData" : { "ISBN" : "978-9929-54-002-6", "author" : [ { "dropping-particle" : "", "family" : "Sosa", "given" : "Mario", "non-dropping-particle" : "", "parse-names" : false, "suffix" : "" } ], "container-title" : "Colecci\u00f3n Documentos para el debate y la formaci\u00f3n, N\u00b04", "edition" : "Editroial ", "editor" : [ { "dropping-particle" : "", "family" : "Ramos", "given" : "Belinda", "non-dropping-particle" : "", "parse-names" : false, "suffix" : "" } ], "id" : "ITEM-1", "issued" : { "date-parts" : [ [ "2012" ] ] }, "page" : "131", "publisher-place" : "Guatemala", "title" : "\u00bfC\u00f3mo entender el territorio?", "type" : "book" }, "uris" : [ "http://www.mendeley.com/documents/?uuid=1a631898-f4d0-4996-9263-c6b4d1b0e7c0" ] } ], "mendeley" : { "formattedCitation" : "(Sosa, 2012)", "plainTextFormattedCitation" : "(Sosa, 2012)", "previouslyFormattedCitation" : "(Sosa, 2012)" }, "properties" : { "noteIndex" : 0 }, "schema" : "https://github.com/citation-style-language/schema/raw/master/csl-citation.json" }</w:instrText>
      </w:r>
      <w:r w:rsidR="00B04E35" w:rsidRPr="000E0F90">
        <w:rPr>
          <w:rFonts w:ascii="Arial" w:hAnsi="Arial" w:cs="Arial"/>
          <w:color w:val="000000" w:themeColor="text1"/>
        </w:rPr>
        <w:fldChar w:fldCharType="separate"/>
      </w:r>
      <w:r w:rsidR="00B04E35" w:rsidRPr="000E0F90">
        <w:rPr>
          <w:rFonts w:ascii="Arial" w:hAnsi="Arial" w:cs="Arial"/>
          <w:noProof/>
          <w:color w:val="000000" w:themeColor="text1"/>
        </w:rPr>
        <w:t>(Sosa, 2012)</w:t>
      </w:r>
      <w:r w:rsidR="00B04E35" w:rsidRPr="000E0F90">
        <w:rPr>
          <w:rFonts w:ascii="Arial" w:hAnsi="Arial" w:cs="Arial"/>
          <w:color w:val="000000" w:themeColor="text1"/>
        </w:rPr>
        <w:fldChar w:fldCharType="end"/>
      </w:r>
      <w:r w:rsidR="00B04E35" w:rsidRPr="000E0F90">
        <w:rPr>
          <w:rFonts w:ascii="Arial" w:hAnsi="Arial" w:cs="Arial"/>
          <w:color w:val="000000" w:themeColor="text1"/>
        </w:rPr>
        <w:t xml:space="preserve"> (Spielmann, 2002) </w:t>
      </w:r>
      <w:r w:rsidR="00B04E35" w:rsidRPr="000E0F90">
        <w:rPr>
          <w:rFonts w:ascii="Arial" w:hAnsi="Arial" w:cs="Arial"/>
          <w:color w:val="000000" w:themeColor="text1"/>
        </w:rPr>
        <w:fldChar w:fldCharType="begin" w:fldLock="1"/>
      </w:r>
      <w:r w:rsidR="00B04E35" w:rsidRPr="000E0F90">
        <w:rPr>
          <w:rFonts w:ascii="Arial" w:hAnsi="Arial" w:cs="Arial"/>
          <w:color w:val="000000" w:themeColor="text1"/>
        </w:rPr>
        <w:instrText>ADDIN CSL_CITATION { "citationItems" : [ { "id" : "ITEM-1", "itemData" : { "ISBN" : "2701143241", "author" : [ { "dropping-particle" : "", "family" : "Moine", "given" : "A.", "non-dropping-particle" : "", "parse-names" : false, "suffix" : "" } ], "container-title" : "L\u2019Espace G\u00e9ographique", "id" : "ITEM-1", "issue" : "35", "issued" : { "date-parts" : [ [ "2006" ] ] }, "page" : "115-132", "title" : "Le territoire comme un syst\u00e8me complexe : un concept op\u00e9ratoire pour l'am\u00e9nagement et la g\u00e9ographie", "type" : "article-journal", "volume" : "2" }, "uris" : [ "http://www.mendeley.com/documents/?uuid=8cbefb58-c3c3-4582-96db-75ccd6c6f061" ] } ], "mendeley" : { "formattedCitation" : "(Moine, 2006)", "plainTextFormattedCitation" : "(Moine, 2006)", "previouslyFormattedCitation" : "(Moine, 2006)" }, "properties" : { "noteIndex" : 0 }, "schema" : "https://github.com/citation-style-language/schema/raw/master/csl-citation.json" }</w:instrText>
      </w:r>
      <w:r w:rsidR="00B04E35" w:rsidRPr="000E0F90">
        <w:rPr>
          <w:rFonts w:ascii="Arial" w:hAnsi="Arial" w:cs="Arial"/>
          <w:color w:val="000000" w:themeColor="text1"/>
        </w:rPr>
        <w:fldChar w:fldCharType="separate"/>
      </w:r>
      <w:r w:rsidR="00B04E35" w:rsidRPr="000E0F90">
        <w:rPr>
          <w:rFonts w:ascii="Arial" w:hAnsi="Arial" w:cs="Arial"/>
          <w:noProof/>
          <w:color w:val="000000" w:themeColor="text1"/>
        </w:rPr>
        <w:t>(Moine, 2006)</w:t>
      </w:r>
      <w:r w:rsidR="00B04E35" w:rsidRPr="000E0F90">
        <w:rPr>
          <w:rFonts w:ascii="Arial" w:hAnsi="Arial" w:cs="Arial"/>
          <w:color w:val="000000" w:themeColor="text1"/>
        </w:rPr>
        <w:fldChar w:fldCharType="end"/>
      </w:r>
      <w:r w:rsidR="00B04E35" w:rsidRPr="000E0F90">
        <w:rPr>
          <w:rFonts w:ascii="Arial" w:hAnsi="Arial" w:cs="Arial"/>
          <w:color w:val="000000" w:themeColor="text1"/>
        </w:rPr>
        <w:t xml:space="preserve"> </w:t>
      </w:r>
      <w:sdt>
        <w:sdtPr>
          <w:rPr>
            <w:rFonts w:ascii="Arial" w:hAnsi="Arial" w:cs="Arial"/>
            <w:color w:val="000000" w:themeColor="text1"/>
          </w:rPr>
          <w:id w:val="686641040"/>
          <w:citation/>
        </w:sdtPr>
        <w:sdtEndPr/>
        <w:sdtContent>
          <w:r w:rsidR="00B04E35" w:rsidRPr="000E0F90">
            <w:rPr>
              <w:rFonts w:ascii="Arial" w:hAnsi="Arial" w:cs="Arial"/>
              <w:color w:val="000000" w:themeColor="text1"/>
            </w:rPr>
            <w:fldChar w:fldCharType="begin"/>
          </w:r>
          <w:r w:rsidR="00B04E35" w:rsidRPr="000E0F90">
            <w:rPr>
              <w:rFonts w:ascii="Arial" w:hAnsi="Arial" w:cs="Arial"/>
              <w:color w:val="000000" w:themeColor="text1"/>
            </w:rPr>
            <w:instrText xml:space="preserve"> CITATION Del05 \l 13322 </w:instrText>
          </w:r>
          <w:r w:rsidR="00B04E35" w:rsidRPr="000E0F90">
            <w:rPr>
              <w:rFonts w:ascii="Arial" w:hAnsi="Arial" w:cs="Arial"/>
              <w:color w:val="000000" w:themeColor="text1"/>
            </w:rPr>
            <w:fldChar w:fldCharType="separate"/>
          </w:r>
          <w:r w:rsidR="008D0261" w:rsidRPr="000E0F90">
            <w:rPr>
              <w:rFonts w:ascii="Arial" w:hAnsi="Arial" w:cs="Arial"/>
              <w:noProof/>
              <w:color w:val="000000" w:themeColor="text1"/>
            </w:rPr>
            <w:t>(Delaney, 2005)</w:t>
          </w:r>
          <w:r w:rsidR="00B04E35" w:rsidRPr="000E0F90">
            <w:rPr>
              <w:rFonts w:ascii="Arial" w:hAnsi="Arial" w:cs="Arial"/>
              <w:color w:val="000000" w:themeColor="text1"/>
            </w:rPr>
            <w:fldChar w:fldCharType="end"/>
          </w:r>
        </w:sdtContent>
      </w:sdt>
      <w:r w:rsidR="00B04E35" w:rsidRPr="000E0F90">
        <w:rPr>
          <w:rFonts w:ascii="Arial" w:hAnsi="Arial" w:cs="Arial"/>
          <w:color w:val="000000" w:themeColor="text1"/>
        </w:rPr>
        <w:t xml:space="preserve">. </w:t>
      </w:r>
    </w:p>
    <w:p w:rsidR="00403179" w:rsidRPr="000E0F90" w:rsidRDefault="00B04E35" w:rsidP="002B538F">
      <w:pPr>
        <w:spacing w:before="120" w:after="0" w:line="360" w:lineRule="auto"/>
        <w:rPr>
          <w:rFonts w:ascii="Arial" w:hAnsi="Arial" w:cs="Arial"/>
          <w:color w:val="000000" w:themeColor="text1"/>
        </w:rPr>
      </w:pPr>
      <w:r w:rsidRPr="000E0F90">
        <w:rPr>
          <w:rFonts w:ascii="Arial" w:hAnsi="Arial" w:cs="Arial"/>
          <w:color w:val="000000" w:themeColor="text1"/>
        </w:rPr>
        <w:lastRenderedPageBreak/>
        <w:t>Resultando el espacio geográfico en un espacio con múltiples atri</w:t>
      </w:r>
      <w:r w:rsidR="000E02F8" w:rsidRPr="000E0F90">
        <w:rPr>
          <w:rFonts w:ascii="Arial" w:hAnsi="Arial" w:cs="Arial"/>
          <w:color w:val="000000" w:themeColor="text1"/>
        </w:rPr>
        <w:t>butos, funciones y expectativas,</w:t>
      </w:r>
      <w:r w:rsidR="00403179" w:rsidRPr="000E0F90">
        <w:rPr>
          <w:rFonts w:ascii="Arial" w:hAnsi="Arial" w:cs="Arial"/>
          <w:color w:val="000000" w:themeColor="text1"/>
        </w:rPr>
        <w:t xml:space="preserve"> </w:t>
      </w:r>
      <w:r w:rsidRPr="000E0F90">
        <w:rPr>
          <w:rFonts w:ascii="Arial" w:hAnsi="Arial" w:cs="Arial"/>
          <w:color w:val="000000" w:themeColor="text1"/>
        </w:rPr>
        <w:t>produciéndose una evolución continua y conjunta entre el territorio y el orden social, desplegando un sentido de pertenencia entre el hombre y el territorio</w:t>
      </w:r>
      <w:r w:rsidR="000E02F8" w:rsidRPr="000E0F90">
        <w:rPr>
          <w:rFonts w:ascii="Arial" w:hAnsi="Arial" w:cs="Arial"/>
          <w:color w:val="000000" w:themeColor="text1"/>
        </w:rPr>
        <w:t>, base para el desarrollo de la cultura e identidad (Sosa, 2012)</w:t>
      </w:r>
      <w:r w:rsidRPr="000E0F90">
        <w:rPr>
          <w:rFonts w:ascii="Arial" w:hAnsi="Arial" w:cs="Arial"/>
          <w:color w:val="000000" w:themeColor="text1"/>
        </w:rPr>
        <w:t xml:space="preserve"> </w:t>
      </w:r>
      <w:sdt>
        <w:sdtPr>
          <w:rPr>
            <w:rFonts w:ascii="Arial" w:hAnsi="Arial" w:cs="Arial"/>
            <w:color w:val="000000" w:themeColor="text1"/>
          </w:rPr>
          <w:id w:val="-1435517947"/>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Sto12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(Storey, 2012)</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w:t>
      </w:r>
      <w:sdt>
        <w:sdtPr>
          <w:rPr>
            <w:rFonts w:ascii="Arial" w:hAnsi="Arial" w:cs="Arial"/>
            <w:color w:val="000000" w:themeColor="text1"/>
          </w:rPr>
          <w:id w:val="85815493"/>
          <w:citation/>
        </w:sdtPr>
        <w:sdtEndPr/>
        <w:sdtContent>
          <w:r w:rsidR="000E02F8" w:rsidRPr="000E0F90">
            <w:rPr>
              <w:rFonts w:ascii="Arial" w:hAnsi="Arial" w:cs="Arial"/>
              <w:color w:val="000000" w:themeColor="text1"/>
            </w:rPr>
            <w:fldChar w:fldCharType="begin"/>
          </w:r>
          <w:r w:rsidR="000E02F8" w:rsidRPr="000E0F90">
            <w:rPr>
              <w:rFonts w:ascii="Arial" w:hAnsi="Arial" w:cs="Arial"/>
              <w:color w:val="000000" w:themeColor="text1"/>
            </w:rPr>
            <w:instrText xml:space="preserve"> CITATION Sac86 \l 13322 </w:instrText>
          </w:r>
          <w:r w:rsidR="000E02F8" w:rsidRPr="000E0F90">
            <w:rPr>
              <w:rFonts w:ascii="Arial" w:hAnsi="Arial" w:cs="Arial"/>
              <w:color w:val="000000" w:themeColor="text1"/>
            </w:rPr>
            <w:fldChar w:fldCharType="separate"/>
          </w:r>
          <w:r w:rsidR="008D0261" w:rsidRPr="000E0F90">
            <w:rPr>
              <w:rFonts w:ascii="Arial" w:hAnsi="Arial" w:cs="Arial"/>
              <w:noProof/>
              <w:color w:val="000000" w:themeColor="text1"/>
            </w:rPr>
            <w:t>(Sack, 1986)</w:t>
          </w:r>
          <w:r w:rsidR="000E02F8" w:rsidRPr="000E0F90">
            <w:rPr>
              <w:rFonts w:ascii="Arial" w:hAnsi="Arial" w:cs="Arial"/>
              <w:color w:val="000000" w:themeColor="text1"/>
            </w:rPr>
            <w:fldChar w:fldCharType="end"/>
          </w:r>
        </w:sdtContent>
      </w:sdt>
      <w:r w:rsidRPr="000E0F90">
        <w:rPr>
          <w:rFonts w:ascii="Arial" w:hAnsi="Arial" w:cs="Arial"/>
          <w:color w:val="000000" w:themeColor="text1"/>
        </w:rPr>
        <w:t xml:space="preserve">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"author" : [ { "dropping-particle" : "", "family" : "Ginet", "given" : "Pierre", "non-dropping-particle" : "", "parse-names" : false, "suffix" : "" } ], "container-title" : "Documentaliste-Sciences de l'Information", "id" : "ITEM-1", "issued" : { "date-parts" : [ [ "2012" ] ] }, "title" : "Le territoire, un concept op\u00e9ratoire pour la G\u00e9ographie appliqu\u00e9e (\u00e0 l'am\u00e9nagement)", "type" : "article-journal" }, "uris" : [ "http://www.mendeley.com/documents/?uuid=32e5616e-88d3-499d-bf29-a7b2c4ff26e1" ] } ], "mendeley" : { "formattedCitation" : "(Ginet, 2012)", "plainTextFormattedCitation" : "(Ginet, 2012)", "previouslyFormattedCitation" : "(Ginet, 2012)"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(Ginet, 2012)</w:t>
      </w:r>
      <w:r w:rsidRPr="000E0F90">
        <w:rPr>
          <w:rFonts w:ascii="Arial" w:hAnsi="Arial" w:cs="Arial"/>
          <w:color w:val="000000" w:themeColor="text1"/>
        </w:rPr>
        <w:fldChar w:fldCharType="end"/>
      </w:r>
      <w:r w:rsidR="00A03606" w:rsidRPr="000E0F90">
        <w:rPr>
          <w:rFonts w:ascii="Arial" w:hAnsi="Arial" w:cs="Arial"/>
          <w:color w:val="000000" w:themeColor="text1"/>
        </w:rPr>
        <w:t>.</w:t>
      </w:r>
      <w:r w:rsidR="00403179" w:rsidRPr="000E0F90">
        <w:rPr>
          <w:rFonts w:ascii="Arial" w:hAnsi="Arial" w:cs="Arial"/>
          <w:color w:val="000000" w:themeColor="text1"/>
        </w:rPr>
        <w:t xml:space="preserve"> </w:t>
      </w:r>
      <w:r w:rsidR="000E02F8" w:rsidRPr="000E0F90">
        <w:rPr>
          <w:rFonts w:ascii="Arial" w:hAnsi="Arial" w:cs="Arial"/>
          <w:color w:val="000000" w:themeColor="text1"/>
        </w:rPr>
        <w:t xml:space="preserve">Pasando a ser los </w:t>
      </w:r>
      <w:r w:rsidR="00403179" w:rsidRPr="000E0F90">
        <w:rPr>
          <w:rFonts w:ascii="Arial" w:hAnsi="Arial" w:cs="Arial"/>
          <w:color w:val="000000" w:themeColor="text1"/>
        </w:rPr>
        <w:t xml:space="preserve">territorios constructos antrópicos, resultantes de la acción humana sobre el espacio natural y humanizado </w:t>
      </w:r>
      <w:sdt>
        <w:sdtPr>
          <w:rPr>
            <w:rFonts w:ascii="Arial" w:hAnsi="Arial" w:cs="Arial"/>
            <w:color w:val="000000" w:themeColor="text1"/>
          </w:rPr>
          <w:id w:val="-1083607953"/>
          <w:citation/>
        </w:sdtPr>
        <w:sdtEndPr/>
        <w:sdtContent>
          <w:r w:rsidR="00403179" w:rsidRPr="000E0F90">
            <w:rPr>
              <w:rFonts w:ascii="Arial" w:hAnsi="Arial" w:cs="Arial"/>
              <w:color w:val="000000" w:themeColor="text1"/>
            </w:rPr>
            <w:fldChar w:fldCharType="begin"/>
          </w:r>
          <w:r w:rsidR="00403179" w:rsidRPr="000E0F90">
            <w:rPr>
              <w:rFonts w:ascii="Arial" w:hAnsi="Arial" w:cs="Arial"/>
              <w:color w:val="000000" w:themeColor="text1"/>
            </w:rPr>
            <w:instrText xml:space="preserve">CITATION Del05 \l 13322 </w:instrText>
          </w:r>
          <w:r w:rsidR="00403179" w:rsidRPr="000E0F90">
            <w:rPr>
              <w:rFonts w:ascii="Arial" w:hAnsi="Arial" w:cs="Arial"/>
              <w:color w:val="000000" w:themeColor="text1"/>
            </w:rPr>
            <w:fldChar w:fldCharType="separate"/>
          </w:r>
          <w:r w:rsidR="008D0261" w:rsidRPr="000E0F90">
            <w:rPr>
              <w:rFonts w:ascii="Arial" w:hAnsi="Arial" w:cs="Arial"/>
              <w:noProof/>
              <w:color w:val="000000" w:themeColor="text1"/>
            </w:rPr>
            <w:t>(Delaney, 2005)</w:t>
          </w:r>
          <w:r w:rsidR="00403179" w:rsidRPr="000E0F90">
            <w:rPr>
              <w:rFonts w:ascii="Arial" w:hAnsi="Arial" w:cs="Arial"/>
              <w:color w:val="000000" w:themeColor="text1"/>
            </w:rPr>
            <w:fldChar w:fldCharType="end"/>
          </w:r>
        </w:sdtContent>
      </w:sdt>
      <w:r w:rsidR="00403179" w:rsidRPr="000E0F90">
        <w:rPr>
          <w:rFonts w:ascii="Arial" w:hAnsi="Arial" w:cs="Arial"/>
          <w:color w:val="000000" w:themeColor="text1"/>
        </w:rPr>
        <w:t xml:space="preserve"> (Sack, 1986) </w:t>
      </w:r>
      <w:r w:rsidR="00403179" w:rsidRPr="000E0F90">
        <w:rPr>
          <w:rFonts w:ascii="Arial" w:hAnsi="Arial" w:cs="Arial"/>
          <w:color w:val="000000" w:themeColor="text1"/>
        </w:rPr>
        <w:fldChar w:fldCharType="begin" w:fldLock="1"/>
      </w:r>
      <w:r w:rsidR="00403179" w:rsidRPr="000E0F90">
        <w:rPr>
          <w:rFonts w:ascii="Arial" w:hAnsi="Arial" w:cs="Arial"/>
          <w:color w:val="000000" w:themeColor="text1"/>
        </w:rPr>
        <w:instrText>ADDIN CSL_CITATION { "citationItems" : [ { "id" : "ITEM-1", "itemData" : { "author" : [ { "dropping-particle" : "", "family" : "Ginet", "given" : "Pierre", "non-dropping-particle" : "", "parse-names" : false, "suffix" : "" } ], "container-title" : "Documentaliste-Sciences de l'Information", "id" : "ITEM-1", "issued" : { "date-parts" : [ [ "2012" ] ] }, "title" : "Le territoire, un concept op\u00e9ratoire pour la G\u00e9ographie appliqu\u00e9e (\u00e0 l'am\u00e9nagement)", "type" : "article-journal" }, "uris" : [ "http://www.mendeley.com/documents/?uuid=32e5616e-88d3-499d-bf29-a7b2c4ff26e1" ] } ], "mendeley" : { "formattedCitation" : "(Ginet, 2012)", "plainTextFormattedCitation" : "(Ginet, 2012)", "previouslyFormattedCitation" : "(Ginet, 2012)" }, "properties" : { "noteIndex" : 0 }, "schema" : "https://github.com/citation-style-language/schema/raw/master/csl-citation.json" }</w:instrText>
      </w:r>
      <w:r w:rsidR="00403179" w:rsidRPr="000E0F90">
        <w:rPr>
          <w:rFonts w:ascii="Arial" w:hAnsi="Arial" w:cs="Arial"/>
          <w:color w:val="000000" w:themeColor="text1"/>
        </w:rPr>
        <w:fldChar w:fldCharType="separate"/>
      </w:r>
      <w:r w:rsidR="00403179" w:rsidRPr="000E0F90">
        <w:rPr>
          <w:rFonts w:ascii="Arial" w:hAnsi="Arial" w:cs="Arial"/>
          <w:noProof/>
          <w:color w:val="000000" w:themeColor="text1"/>
        </w:rPr>
        <w:t>(Ginet, 2012)</w:t>
      </w:r>
      <w:r w:rsidR="00403179" w:rsidRPr="000E0F90">
        <w:rPr>
          <w:rFonts w:ascii="Arial" w:hAnsi="Arial" w:cs="Arial"/>
          <w:color w:val="000000" w:themeColor="text1"/>
        </w:rPr>
        <w:fldChar w:fldCharType="end"/>
      </w:r>
      <w:r w:rsidR="00403179" w:rsidRPr="000E0F90">
        <w:rPr>
          <w:rFonts w:ascii="Arial" w:hAnsi="Arial" w:cs="Arial"/>
          <w:color w:val="000000" w:themeColor="text1"/>
        </w:rPr>
        <w:t xml:space="preserve">. </w:t>
      </w:r>
    </w:p>
    <w:p w:rsidR="00174035" w:rsidRPr="000E0F90" w:rsidRDefault="00B04E35" w:rsidP="002B538F">
      <w:pPr>
        <w:spacing w:before="120" w:after="0" w:line="360" w:lineRule="auto"/>
        <w:rPr>
          <w:rFonts w:ascii="Arial" w:hAnsi="Arial" w:cs="Arial"/>
          <w:color w:val="000000" w:themeColor="text1"/>
        </w:rPr>
      </w:pPr>
      <w:r w:rsidRPr="000E0F90">
        <w:rPr>
          <w:rFonts w:ascii="Arial" w:hAnsi="Arial" w:cs="Arial"/>
          <w:color w:val="000000" w:themeColor="text1"/>
        </w:rPr>
        <w:t xml:space="preserve">Bajo la territorialidad, los componentes bióticos y abióticos de un territorio, como la hidrología, geomorfología y edafología así como interacciones bióticas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"10.1016/j.landurbplan.2013.07.005", "ISSN" : "01692046", "author" : [ { "dropping-particle" : "", "family" : "Pinto-Correia", "given" : "T.", "non-dropping-particle" : "", "parse-names" : false, "suffix" : "" }, { "dropping-particle" : "", "family" : "Kristensen", "given" : "L.", "non-dropping-particle" : "", "parse-names" : false, "suffix" : "" } ], "container-title" : "Landscape and Urban Planning", "id" : "ITEM-1", "issued" : { "date-parts" : [ [ "2013", "12" ] ] }, "page" : "248-256", "publisher" : "Elsevier B.V.", "title" : "Linking research to practice: The landscape as the basis for integrating social and ecological perspectives of the rural", "type" : "article-journal", "volume" : "120" }, "uris" : [ "http://www.mendeley.com/documents/?uuid=42583594-0365-406f-8689-1b5abc0d0b5f" ] } ], "mendeley" : { "formattedCitation" : "(Pinto-Correia &amp; Kristensen, 2013)", "plainTextFormattedCitation" : "(Pinto-Correia &amp; Kristensen, 2013)", "previouslyFormattedCitation" : "(Pinto-Correia &amp; Kristensen, 2013)"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(Pinto-Correia &amp; Kristensen, 2013)</w:t>
      </w:r>
      <w:r w:rsidRPr="000E0F90">
        <w:rPr>
          <w:rFonts w:ascii="Arial" w:hAnsi="Arial" w:cs="Arial"/>
          <w:color w:val="000000" w:themeColor="text1"/>
        </w:rPr>
        <w:fldChar w:fldCharType="end"/>
      </w:r>
      <w:r w:rsidRPr="000E0F90">
        <w:rPr>
          <w:rFonts w:ascii="Arial" w:hAnsi="Arial" w:cs="Arial"/>
          <w:color w:val="000000" w:themeColor="text1"/>
        </w:rPr>
        <w:t xml:space="preserve"> </w:t>
      </w:r>
      <w:r w:rsidRPr="000E0F90">
        <w:rPr>
          <w:rFonts w:ascii="Arial" w:hAnsi="Arial" w:cs="Arial"/>
          <w:b/>
          <w:color w:val="000000" w:themeColor="text1"/>
        </w:rPr>
        <w:fldChar w:fldCharType="begin" w:fldLock="1"/>
      </w:r>
      <w:r w:rsidR="005E5EE8" w:rsidRPr="000E0F90">
        <w:rPr>
          <w:rFonts w:ascii="Arial" w:hAnsi="Arial" w:cs="Arial"/>
          <w:b/>
          <w:color w:val="000000" w:themeColor="text1"/>
        </w:rPr>
        <w:instrText>ADDIN CSL_CITATION { "citationItems" : [ { "id" : "ITEM-1", "itemData" : { "DOI" : "10.1890/0012-9623(2000)081[0272:EPCOE]2.0.CO;2", "ISBN" : "1051-0761", "ISSN" : "0012-9623", "PMID" : "2641032", "abstract" : "The many ways that people have used and managed land throughout history has emerged as a primary cause of land-cover change around the world. Thus, land use and land management increasingly represent a fundamental source of change in the global environment. Despite their global importance, however, many decisions about the management and use of land are made with scant attention to ecological impacts. Thus, ecologists\u2019 knowledge of the functioning of Earth\u2019s ecosystems is needed to broaden the scientific basis of decisions on land use and management. In response to this need, the Ecological Society of America established a committee to examine the ways that land-use decisions are made and the ways that ecologists could help inform those decisions. This paper reports the scientific findings of that committee. Five principles of ecological science have particular implications for land use and can assure that fundamental processes of Earth\u2019s ecosystems are sustained. These ecological principles deal with time, species, place, dis- turbance, and the landscape. The recognition that ecological processes occur within a temporal setting and change over time is fundamental to analyzing the effects of land use. In addition, individual species and networks of interacting species have strong and far-reaching effects on ecological processes. Furthermore, each site or region has a unique set of organisms and abiotic conditions influencing and constraining ecological processes. Distur- bances are important and ubiquitous ecological events whose effects may strongly influence population, com- munity, and ecosystem dynamics. Finally, the size, shape, and spatial relationships of habitat patches on the landscape affect the structure and function of ecosystems. The responses of the land to changes in use and management by people depend on expressions of these fundamental principles in nature. These principles dictate several guidelines for land use. The guidelines give practical rules of thumb for incorporating ecological principles into land-use decision making. These guidelines suggest that land managers should: (1) examine impacts of local decisions in a regional context, (2) plan for long-termchange and unexpected events, (3) preserve rare landscape elements and associated species, (4) avoid land uses that deplete natural resources, (5) retain large contiguous or connected areas that contain critical habitats, (6) minimize the intro- duction and spread of nonnative sp\u2026", "author" : [ { "dropping-particle" : "", "family" : "Dale", "given" : "Vh", "non-dropping-particle" : "", "parse-names" : false, "suffix" : "" }, { "dropping-particle" : "", "family" : "Brown", "given" : "S", "non-dropping-particle" : "", "parse-names" : false, "suffix" : "" }, { "dropping-particle" : "", "family" : "Haeuber", "given" : "Ra", "non-dropping-particle" : "", "parse-names" : false, "suffix" : "" } ], "container-title" : "Ecological Applications", "id" : "ITEM-1", "issue" : "3", "issued" : { "date-parts" : [ [ "2000" ] ] }, "page" : "639-670", "title" : "Ecological Principles and Guidelines for Managing the use of Land", "type" : "article-journal", "volume" : "10" }, "uris" : [ "http://www.mendeley.com/documents/?uuid=bc0e4508-68ba-43f1-b8ad-4ce0d03c2491" ] } ], "mendeley" : { "formattedCitation" : "(Dale, Brown, &amp; Haeuber, 2000)", "plainTextFormattedCitation" : "(Dale, Brown, &amp; Haeuber, 2000)", "previouslyFormattedCitation" : "(Dale, Brown, &amp; Haeuber, 2000)" }, "properties" : { "noteIndex" : 0 }, "schema" : "https://github.com/citation-style-language/schema/raw/master/csl-citation.json" }</w:instrText>
      </w:r>
      <w:r w:rsidRPr="000E0F90">
        <w:rPr>
          <w:rFonts w:ascii="Arial" w:hAnsi="Arial" w:cs="Arial"/>
          <w:b/>
          <w:color w:val="000000" w:themeColor="text1"/>
        </w:rPr>
        <w:fldChar w:fldCharType="separate"/>
      </w:r>
      <w:r w:rsidR="00CF11BB" w:rsidRPr="000E0F90">
        <w:rPr>
          <w:rFonts w:ascii="Arial" w:hAnsi="Arial" w:cs="Arial"/>
          <w:noProof/>
          <w:color w:val="000000" w:themeColor="text1"/>
        </w:rPr>
        <w:t>(Dale, Brown, &amp; Haeuber, 2000)</w:t>
      </w:r>
      <w:r w:rsidRPr="000E0F90">
        <w:rPr>
          <w:rFonts w:ascii="Arial" w:hAnsi="Arial" w:cs="Arial"/>
          <w:b/>
          <w:color w:val="000000" w:themeColor="text1"/>
        </w:rPr>
        <w:fldChar w:fldCharType="end"/>
      </w:r>
      <w:r w:rsidRPr="000E0F90">
        <w:rPr>
          <w:rFonts w:ascii="Arial" w:hAnsi="Arial" w:cs="Arial"/>
          <w:color w:val="000000" w:themeColor="text1"/>
        </w:rPr>
        <w:t xml:space="preserve">, son administrados por la estructura social, propiciando la canalización antropogénica de bienes y servicios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"author" : [ { "dropping-particle" : "", "family" : "Gast\u00f3", "given" : "Juan", "non-dropping-particle" : "", "parse-names" : false, "suffix" : "" }, { "dropping-particle" : "", "family" : "Subercaseaux", "given" : "Diego", "non-dropping-particle" : "", "parse-names" : false, "suffix" : "" }, { "dropping-particle" : "", "family" : "Vera", "given" : "Leonardo", "non-dropping-particle" : "", "parse-names" : false, "suffix" : "" }, { "dropping-particle" : "", "family" : "Tomic", "given" : "Tomic", "non-dropping-particle" : "", "parse-names" : false, "suffix" : "" } ], "container-title" : "Landscape Planning", "id" : "ITEM-1", "issued" : { "date-parts" : [ [ "2012" ] ] }, "page" : "151-178", "title" : "Agriculture and Rurality as Constructor of Sustainable Cultural Landscape", "type" : "article-journal", "volume" : "7" }, "uris" : [ "http://www.mendeley.com/documents/?uuid=1af77292-9cd7-4b30-855c-c125546423ec" ] } ], "mendeley" : { "formattedCitation" : "(Gast\u00f3 et al., 2012)", "plainTextFormattedCitation" : "(Gast\u00f3 et al., 2012)", "previouslyFormattedCitation" : "(Gast\u00f3 et al., 2012)"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(Gastó et al., 2012)</w:t>
      </w:r>
      <w:r w:rsidRPr="000E0F90">
        <w:rPr>
          <w:rFonts w:ascii="Arial" w:hAnsi="Arial" w:cs="Arial"/>
          <w:color w:val="000000" w:themeColor="text1"/>
        </w:rPr>
        <w:fldChar w:fldCharType="end"/>
      </w:r>
      <w:r w:rsidRPr="000E0F90">
        <w:rPr>
          <w:rFonts w:ascii="Arial" w:hAnsi="Arial" w:cs="Arial"/>
          <w:color w:val="000000" w:themeColor="text1"/>
        </w:rPr>
        <w:t>, resultando en una organización característica de los elementos territoriales, tanto espacial como temporalmente (Sosa, 2012).</w:t>
      </w:r>
      <w:r w:rsidR="00174035" w:rsidRPr="000E0F90">
        <w:rPr>
          <w:rFonts w:ascii="Arial" w:hAnsi="Arial" w:cs="Arial"/>
          <w:color w:val="000000" w:themeColor="text1"/>
        </w:rPr>
        <w:t xml:space="preserve"> </w:t>
      </w:r>
    </w:p>
    <w:p w:rsidR="00174035" w:rsidRPr="000E0F90" w:rsidRDefault="000E02F8" w:rsidP="002B538F">
      <w:pPr>
        <w:spacing w:before="120" w:after="0" w:line="360" w:lineRule="auto"/>
        <w:rPr>
          <w:rFonts w:ascii="Arial" w:hAnsi="Arial" w:cs="Arial"/>
          <w:color w:val="000000" w:themeColor="text1"/>
        </w:rPr>
      </w:pPr>
      <w:r w:rsidRPr="000E0F90">
        <w:rPr>
          <w:rFonts w:ascii="Arial" w:hAnsi="Arial" w:cs="Arial"/>
          <w:color w:val="000000" w:themeColor="text1"/>
        </w:rPr>
        <w:t>D</w:t>
      </w:r>
      <w:r w:rsidR="00B04E35" w:rsidRPr="000E0F90">
        <w:rPr>
          <w:rFonts w:ascii="Arial" w:hAnsi="Arial" w:cs="Arial"/>
          <w:color w:val="000000" w:themeColor="text1"/>
        </w:rPr>
        <w:t>isponiendo del territorio para alcanzar diversos fines</w:t>
      </w:r>
      <w:r w:rsidR="00AB628A" w:rsidRPr="000E0F90">
        <w:rPr>
          <w:rFonts w:ascii="Arial" w:hAnsi="Arial" w:cs="Arial"/>
          <w:color w:val="000000" w:themeColor="text1"/>
        </w:rPr>
        <w:t xml:space="preserve"> en forma simultánea</w:t>
      </w:r>
      <w:r w:rsidR="00B04E35" w:rsidRPr="000E0F90">
        <w:rPr>
          <w:rFonts w:ascii="Arial" w:hAnsi="Arial" w:cs="Arial"/>
          <w:color w:val="000000" w:themeColor="text1"/>
        </w:rPr>
        <w:t xml:space="preserve">, resultando en la ocupación, utilización, organización, preservación, entre otras, del espacio geográfico; con posiciones coordinadas o conflictivas respecto al uso de los recursos y funciones del territorio entre los usuarios del sistema </w:t>
      </w:r>
      <w:r w:rsidR="00B04E35" w:rsidRPr="000E0F90">
        <w:rPr>
          <w:rFonts w:ascii="Arial" w:hAnsi="Arial" w:cs="Arial"/>
          <w:color w:val="000000" w:themeColor="text1"/>
        </w:rPr>
        <w:fldChar w:fldCharType="begin" w:fldLock="1"/>
      </w:r>
      <w:r w:rsidR="00B04E35" w:rsidRPr="000E0F90">
        <w:rPr>
          <w:rFonts w:ascii="Arial" w:hAnsi="Arial" w:cs="Arial"/>
          <w:color w:val="000000" w:themeColor="text1"/>
        </w:rPr>
        <w:instrText>ADDIN CSL_CITATION { "citationItems" : [ { "id" : "ITEM-1", "itemData" : { "ISBN" : "978-9929-54-002-6", "author" : [ { "dropping-particle" : "", "family" : "Sosa", "given" : "Mario", "non-dropping-particle" : "", "parse-names" : false, "suffix" : "" } ], "container-title" : "Colecci\u00f3n Documentos para el debate y la formaci\u00f3n, N\u00b04", "edition" : "Editroial ", "editor" : [ { "dropping-particle" : "", "family" : "Ramos", "given" : "Belinda", "non-dropping-particle" : "", "parse-names" : false, "suffix" : "" } ], "id" : "ITEM-1", "issued" : { "date-parts" : [ [ "2012" ] ] }, "page" : "131", "publisher-place" : "Guatemala", "title" : "\u00bfC\u00f3mo entender el territorio?", "type" : "book" }, "uris" : [ "http://www.mendeley.com/documents/?uuid=1a631898-f4d0-4996-9263-c6b4d1b0e7c0" ] } ], "mendeley" : { "formattedCitation" : "(Sosa, 2012)", "plainTextFormattedCitation" : "(Sosa, 2012)", "previouslyFormattedCitation" : "(Sosa, 2012)" }, "properties" : { "noteIndex" : 0 }, "schema" : "https://github.com/citation-style-language/schema/raw/master/csl-citation.json" }</w:instrText>
      </w:r>
      <w:r w:rsidR="00B04E35" w:rsidRPr="000E0F90">
        <w:rPr>
          <w:rFonts w:ascii="Arial" w:hAnsi="Arial" w:cs="Arial"/>
          <w:color w:val="000000" w:themeColor="text1"/>
        </w:rPr>
        <w:fldChar w:fldCharType="separate"/>
      </w:r>
      <w:r w:rsidR="00B04E35" w:rsidRPr="000E0F90">
        <w:rPr>
          <w:rFonts w:ascii="Arial" w:hAnsi="Arial" w:cs="Arial"/>
          <w:noProof/>
          <w:color w:val="000000" w:themeColor="text1"/>
        </w:rPr>
        <w:t>(Sosa, 2012)</w:t>
      </w:r>
      <w:r w:rsidR="00B04E35" w:rsidRPr="000E0F90">
        <w:rPr>
          <w:rFonts w:ascii="Arial" w:hAnsi="Arial" w:cs="Arial"/>
          <w:color w:val="000000" w:themeColor="text1"/>
        </w:rPr>
        <w:fldChar w:fldCharType="end"/>
      </w:r>
      <w:r w:rsidR="00B04E35" w:rsidRPr="000E0F90">
        <w:rPr>
          <w:rFonts w:ascii="Arial" w:hAnsi="Arial" w:cs="Arial"/>
          <w:color w:val="000000" w:themeColor="text1"/>
        </w:rPr>
        <w:t xml:space="preserve"> </w:t>
      </w:r>
      <w:r w:rsidR="00B04E35" w:rsidRPr="000E0F90">
        <w:rPr>
          <w:rFonts w:ascii="Arial" w:hAnsi="Arial" w:cs="Arial"/>
          <w:color w:val="000000" w:themeColor="text1"/>
        </w:rPr>
        <w:fldChar w:fldCharType="begin" w:fldLock="1"/>
      </w:r>
      <w:r w:rsidR="00B04E35" w:rsidRPr="000E0F90">
        <w:rPr>
          <w:rFonts w:ascii="Arial" w:hAnsi="Arial" w:cs="Arial"/>
          <w:color w:val="000000" w:themeColor="text1"/>
        </w:rPr>
        <w:instrText>ADDIN CSL_CITATION { "citationItems" : [ { "id" : "ITEM-1", "itemData" : { "ISBN" : "2701143241", "author" : [ { "dropping-particle" : "", "family" : "Moine", "given" : "A.", "non-dropping-particle" : "", "parse-names" : false, "suffix" : "" } ], "container-title" : "L\u2019Espace G\u00e9ographique", "id" : "ITEM-1", "issue" : "35", "issued" : { "date-parts" : [ [ "2006" ] ] }, "page" : "115-132", "title" : "Le territoire comme un syst\u00e8me complexe : un concept op\u00e9ratoire pour l'am\u00e9nagement et la g\u00e9ographie", "type" : "article-journal", "volume" : "2" }, "uris" : [ "http://www.mendeley.com/documents/?uuid=8cbefb58-c3c3-4582-96db-75ccd6c6f061" ] } ], "mendeley" : { "formattedCitation" : "(Moine, 2006)", "plainTextFormattedCitation" : "(Moine, 2006)", "previouslyFormattedCitation" : "(Moine, 2006)" }, "properties" : { "noteIndex" : 0 }, "schema" : "https://github.com/citation-style-language/schema/raw/master/csl-citation.json" }</w:instrText>
      </w:r>
      <w:r w:rsidR="00B04E35" w:rsidRPr="000E0F90">
        <w:rPr>
          <w:rFonts w:ascii="Arial" w:hAnsi="Arial" w:cs="Arial"/>
          <w:color w:val="000000" w:themeColor="text1"/>
        </w:rPr>
        <w:fldChar w:fldCharType="separate"/>
      </w:r>
      <w:r w:rsidR="00B04E35" w:rsidRPr="000E0F90">
        <w:rPr>
          <w:rFonts w:ascii="Arial" w:hAnsi="Arial" w:cs="Arial"/>
          <w:noProof/>
          <w:color w:val="000000" w:themeColor="text1"/>
        </w:rPr>
        <w:t>(Moine, 2006)</w:t>
      </w:r>
      <w:r w:rsidR="00B04E35" w:rsidRPr="000E0F90">
        <w:rPr>
          <w:rFonts w:ascii="Arial" w:hAnsi="Arial" w:cs="Arial"/>
          <w:color w:val="000000" w:themeColor="text1"/>
        </w:rPr>
        <w:fldChar w:fldCharType="end"/>
      </w:r>
      <w:r w:rsidR="00AB628A" w:rsidRPr="000E0F90">
        <w:rPr>
          <w:rFonts w:ascii="Arial" w:hAnsi="Arial" w:cs="Arial"/>
          <w:color w:val="000000" w:themeColor="text1"/>
        </w:rPr>
        <w:t xml:space="preserve"> </w:t>
      </w:r>
      <w:sdt>
        <w:sdtPr>
          <w:rPr>
            <w:rFonts w:ascii="Arial" w:hAnsi="Arial" w:cs="Arial"/>
            <w:color w:val="000000" w:themeColor="text1"/>
          </w:rPr>
          <w:id w:val="291483709"/>
          <w:citation/>
        </w:sdtPr>
        <w:sdtEndPr/>
        <w:sdtContent>
          <w:r w:rsidR="00AB628A" w:rsidRPr="000E0F90">
            <w:rPr>
              <w:rFonts w:ascii="Arial" w:hAnsi="Arial" w:cs="Arial"/>
              <w:color w:val="000000" w:themeColor="text1"/>
            </w:rPr>
            <w:fldChar w:fldCharType="begin"/>
          </w:r>
          <w:r w:rsidR="00AB628A" w:rsidRPr="000E0F90">
            <w:rPr>
              <w:rFonts w:ascii="Arial" w:hAnsi="Arial" w:cs="Arial"/>
              <w:color w:val="000000" w:themeColor="text1"/>
            </w:rPr>
            <w:instrText xml:space="preserve"> CITATION Gas021 \l 13322 </w:instrText>
          </w:r>
          <w:r w:rsidR="00AB628A" w:rsidRPr="000E0F90">
            <w:rPr>
              <w:rFonts w:ascii="Arial" w:hAnsi="Arial" w:cs="Arial"/>
              <w:color w:val="000000" w:themeColor="text1"/>
            </w:rPr>
            <w:fldChar w:fldCharType="separate"/>
          </w:r>
          <w:r w:rsidR="008D0261" w:rsidRPr="000E0F90">
            <w:rPr>
              <w:rFonts w:ascii="Arial" w:hAnsi="Arial" w:cs="Arial"/>
              <w:noProof/>
              <w:color w:val="000000" w:themeColor="text1"/>
            </w:rPr>
            <w:t>(Gasto, Rodrigo, Aránguiz, &amp; Urrutia, 2002)</w:t>
          </w:r>
          <w:r w:rsidR="00AB628A" w:rsidRPr="000E0F90">
            <w:rPr>
              <w:rFonts w:ascii="Arial" w:hAnsi="Arial" w:cs="Arial"/>
              <w:color w:val="000000" w:themeColor="text1"/>
            </w:rPr>
            <w:fldChar w:fldCharType="end"/>
          </w:r>
        </w:sdtContent>
      </w:sdt>
      <w:r w:rsidR="00AB628A" w:rsidRPr="000E0F90">
        <w:rPr>
          <w:rFonts w:ascii="Arial" w:hAnsi="Arial" w:cs="Arial"/>
          <w:color w:val="000000" w:themeColor="text1"/>
        </w:rPr>
        <w:t>.</w:t>
      </w:r>
      <w:r w:rsidR="00B04E35" w:rsidRPr="000E0F90">
        <w:rPr>
          <w:rFonts w:ascii="Arial" w:hAnsi="Arial" w:cs="Arial"/>
          <w:color w:val="000000" w:themeColor="text1"/>
        </w:rPr>
        <w:t xml:space="preserve"> </w:t>
      </w:r>
      <w:r w:rsidR="00174035" w:rsidRPr="000E0F90">
        <w:rPr>
          <w:rFonts w:ascii="Arial" w:hAnsi="Arial" w:cs="Arial"/>
          <w:color w:val="000000" w:themeColor="text1"/>
        </w:rPr>
        <w:t xml:space="preserve">Con diferentes condiciones y tendencias respecto a la sostenibilidad y calidad de vida </w:t>
      </w:r>
      <w:r w:rsidR="00174035" w:rsidRPr="000E0F90">
        <w:rPr>
          <w:rFonts w:ascii="Arial" w:hAnsi="Arial" w:cs="Arial"/>
          <w:color w:val="000000" w:themeColor="text1"/>
        </w:rPr>
        <w:fldChar w:fldCharType="begin" w:fldLock="1"/>
      </w:r>
      <w:r w:rsidR="00174035" w:rsidRPr="000E0F90">
        <w:rPr>
          <w:rFonts w:ascii="Arial" w:hAnsi="Arial" w:cs="Arial"/>
          <w:color w:val="000000" w:themeColor="text1"/>
        </w:rPr>
        <w:instrText>ADDIN CSL_CITATION { "citationItems" : [ { "id" : "ITEM-1", "itemData" : { "author" : [ { "dropping-particle" : "", "family" : "Gast\u00f3", "given" : "Juan", "non-dropping-particle" : "", "parse-names" : false, "suffix" : "" }, { "dropping-particle" : "", "family" : "Subercaseaux", "given" : "Diego", "non-dropping-particle" : "", "parse-names" : false, "suffix" : "" }, { "dropping-particle" : "", "family" : "Vera", "given" : "Leonardo", "non-dropping-particle" : "", "parse-names" : false, "suffix" : "" }, { "dropping-particle" : "", "family" : "Tomic", "given" : "Tomic", "non-dropping-particle" : "", "parse-names" : false, "suffix" : "" } ], "container-title" : "Landscape Planning", "id" : "ITEM-1", "issued" : { "date-parts" : [ [ "2012" ] ] }, "page" : "151-178", "title" : "Agriculture and Rurality as Constructor of Sustainable Cultural Landscape", "type" : "article-journal", "volume" : "7" }, "uris" : [ "http://www.mendeley.com/documents/?uuid=1af77292-9cd7-4b30-855c-c125546423ec" ] } ], "mendeley" : { "formattedCitation" : "(Gast\u00f3 et al., 2012)", "plainTextFormattedCitation" : "(Gast\u00f3 et al., 2012)", "previouslyFormattedCitation" : "(Gast\u00f3 et al., 2012)" }, "properties" : { "noteIndex" : 0 }, "schema" : "https://github.com/citation-style-language/schema/raw/master/csl-citation.json" }</w:instrText>
      </w:r>
      <w:r w:rsidR="00174035" w:rsidRPr="000E0F90">
        <w:rPr>
          <w:rFonts w:ascii="Arial" w:hAnsi="Arial" w:cs="Arial"/>
          <w:color w:val="000000" w:themeColor="text1"/>
        </w:rPr>
        <w:fldChar w:fldCharType="separate"/>
      </w:r>
      <w:r w:rsidR="00174035" w:rsidRPr="000E0F90">
        <w:rPr>
          <w:rFonts w:ascii="Arial" w:hAnsi="Arial" w:cs="Arial"/>
          <w:noProof/>
          <w:color w:val="000000" w:themeColor="text1"/>
        </w:rPr>
        <w:t>(Gastó et al., 2012)</w:t>
      </w:r>
      <w:r w:rsidR="00174035" w:rsidRPr="000E0F90">
        <w:rPr>
          <w:rFonts w:ascii="Arial" w:hAnsi="Arial" w:cs="Arial"/>
          <w:color w:val="000000" w:themeColor="text1"/>
        </w:rPr>
        <w:fldChar w:fldCharType="end"/>
      </w:r>
      <w:r w:rsidR="00174035" w:rsidRPr="000E0F90">
        <w:rPr>
          <w:rFonts w:ascii="Arial" w:hAnsi="Arial" w:cs="Arial"/>
          <w:color w:val="000000" w:themeColor="text1"/>
        </w:rPr>
        <w:t xml:space="preserve">. Como señala (Vera y Gastó, 2011), en una nueva configuración territorial de limitantes y potencialidades de desarrollo, actual y futuro.   </w:t>
      </w:r>
    </w:p>
    <w:p w:rsidR="00A03606" w:rsidRPr="000E0F90" w:rsidRDefault="00A03606" w:rsidP="002B538F">
      <w:pPr>
        <w:spacing w:before="240" w:line="360" w:lineRule="auto"/>
        <w:rPr>
          <w:rFonts w:ascii="Arial" w:hAnsi="Arial" w:cs="Arial"/>
          <w:color w:val="000000" w:themeColor="text1"/>
        </w:rPr>
      </w:pPr>
      <w:r w:rsidRPr="000E0F90">
        <w:rPr>
          <w:rFonts w:ascii="Arial" w:hAnsi="Arial" w:cs="Arial"/>
          <w:color w:val="000000" w:themeColor="text1"/>
        </w:rPr>
        <w:t>Es</w:t>
      </w:r>
      <w:r w:rsidR="000E02F8" w:rsidRPr="000E0F90">
        <w:rPr>
          <w:rFonts w:ascii="Arial" w:hAnsi="Arial" w:cs="Arial"/>
          <w:color w:val="000000" w:themeColor="text1"/>
        </w:rPr>
        <w:t xml:space="preserve"> así como la</w:t>
      </w:r>
      <w:r w:rsidRPr="000E0F90">
        <w:rPr>
          <w:rFonts w:ascii="Arial" w:hAnsi="Arial" w:cs="Arial"/>
          <w:color w:val="000000" w:themeColor="text1"/>
        </w:rPr>
        <w:t xml:space="preserve"> intervención humana, ha ampliado el rango de actividades que se desempeñan en un territorio,</w:t>
      </w:r>
      <w:r w:rsidR="000E02F8" w:rsidRPr="000E0F90">
        <w:rPr>
          <w:rFonts w:ascii="Arial" w:hAnsi="Arial" w:cs="Arial"/>
          <w:color w:val="000000" w:themeColor="text1"/>
        </w:rPr>
        <w:t xml:space="preserve"> aunque</w:t>
      </w:r>
      <w:r w:rsidRPr="000E0F90">
        <w:rPr>
          <w:rFonts w:ascii="Arial" w:hAnsi="Arial" w:cs="Arial"/>
          <w:color w:val="000000" w:themeColor="text1"/>
        </w:rPr>
        <w:t xml:space="preserve"> sin lograr cambiar completamente las condiciones del lugar, desarrollando ciertos usos en desmedro de otros, que no necesariamente tienen que ver con las potencialidades y limitantes de entorno natural </w:t>
      </w:r>
      <w:r w:rsidRPr="000E0F90">
        <w:rPr>
          <w:rFonts w:ascii="Arial" w:hAnsi="Arial" w:cs="Arial"/>
          <w:b/>
          <w:color w:val="000000" w:themeColor="text1"/>
        </w:rPr>
        <w:fldChar w:fldCharType="begin" w:fldLock="1"/>
      </w:r>
      <w:r w:rsidRPr="000E0F90">
        <w:rPr>
          <w:rFonts w:ascii="Arial" w:hAnsi="Arial" w:cs="Arial"/>
          <w:b/>
          <w:color w:val="000000" w:themeColor="text1"/>
        </w:rPr>
        <w:instrText>ADDIN CSL_CITATION { "citationItems" : [ { "id" : "ITEM-1", "itemData" : { "DOI" : "10.1890/0012-9623(2000)081[0272:EPCOE]2.0.CO;2", "ISBN" : "1051-0761", "ISSN" : "0012-9623", "PMID" : "2641032", "abstract" : "The many ways that people have used and managed land throughout history has emerged as a primary cause of land-cover change around the world. Thus, land use and land management increasingly represent a fundamental source of change in the global environment. Despite their global importance, however, many decisions about the management and use of land are made with scant attention to ecological impacts. Thus, ecologists\u2019 knowledge of the functioning of Earth\u2019s ecosystems is needed to broaden the scientific basis of decisions on land use and management. In response to this need, the Ecological Society of America established a committee to examine the ways that land-use decisions are made and the ways that ecologists could help inform those decisions. This paper reports the scientific findings of that committee. Five principles of ecological science have particular implications for land use and can assure that fundamental processes of Earth\u2019s ecosystems are sustained. These ecological principles deal with time, species, place, dis- turbance, and the landscape. The recognition that ecological processes occur within a temporal setting and change over time is fundamental to analyzing the effects of land use. In addition, individual species and networks of interacting species have strong and far-reaching effects on ecological processes. Furthermore, each site or region has a unique set of organisms and abiotic conditions influencing and constraining ecological processes. Distur- bances are important and ubiquitous ecological events whose effects may strongly influence population, com- munity, and ecosystem dynamics. Finally, the size, shape, and spatial relationships of habitat patches on the landscape affect the structure and function of ecosystems. The responses of the land to changes in use and management by people depend on expressions of these fundamental principles in nature. These principles dictate several guidelines for land use. The guidelines give practical rules of thumb for incorporating ecological principles into land-use decision making. These guidelines suggest that land managers should: (1) examine impacts of local decisions in a regional context, (2) plan for long-termchange and unexpected events, (3) preserve rare landscape elements and associated species, (4) avoid land uses that deplete natural resources, (5) retain large contiguous or connected areas that contain critical habitats, (6) minimize the intro- duction and spread of nonnative sp\u2026", "author" : [ { "dropping-particle" : "", "family" : "Dale", "given" : "Vh", "non-dropping-particle" : "", "parse-names" : false, "suffix" : "" }, { "dropping-particle" : "", "family" : "Brown", "given" : "S", "non-dropping-particle" : "", "parse-names" : false, "suffix" : "" }, { "dropping-particle" : "", "family" : "Haeuber", "given" : "Ra", "non-dropping-particle" : "", "parse-names" : false, "suffix" : "" } ], "container-title" : "Ecological Applications", "id" : "ITEM-1", "issue" : "3", "issued" : { "date-parts" : [ [ "2000" ] ] }, "page" : "639-670", "title" : "Ecological Principles and Guidelines for Managing the use of Land", "type" : "article-journal", "volume" : "10" }, "uris" : [ "http://www.mendeley.com/documents/?uuid=bc0e4508-68ba-43f1-b8ad-4ce0d03c2491" ] } ], "mendeley" : { "formattedCitation" : "(Dale et al., 2000)", "plainTextFormattedCitation" : "(Dale et al., 2000)", "previouslyFormattedCitation" : "(Dale et al., 2000)" }, "properties" : { "noteIndex" : 0 }, "schema" : "https://github.com/citation-style-language/schema/raw/master/csl-citation.json" }</w:instrText>
      </w:r>
      <w:r w:rsidRPr="000E0F90">
        <w:rPr>
          <w:rFonts w:ascii="Arial" w:hAnsi="Arial" w:cs="Arial"/>
          <w:b/>
          <w:color w:val="000000" w:themeColor="text1"/>
        </w:rPr>
        <w:fldChar w:fldCharType="separate"/>
      </w:r>
      <w:r w:rsidRPr="000E0F90">
        <w:rPr>
          <w:rFonts w:ascii="Arial" w:hAnsi="Arial" w:cs="Arial"/>
          <w:noProof/>
          <w:color w:val="000000" w:themeColor="text1"/>
        </w:rPr>
        <w:t>(Dale et al., 2000)</w:t>
      </w:r>
      <w:r w:rsidRPr="000E0F90">
        <w:rPr>
          <w:rFonts w:ascii="Arial" w:hAnsi="Arial" w:cs="Arial"/>
          <w:b/>
          <w:color w:val="000000" w:themeColor="text1"/>
        </w:rPr>
        <w:fldChar w:fldCharType="end"/>
      </w:r>
      <w:r w:rsidRPr="000E0F90">
        <w:rPr>
          <w:rFonts w:ascii="Arial" w:hAnsi="Arial" w:cs="Arial"/>
          <w:color w:val="000000" w:themeColor="text1"/>
        </w:rPr>
        <w:t xml:space="preserve">. </w:t>
      </w:r>
      <w:r w:rsidR="001C61B7" w:rsidRPr="000E0F90">
        <w:rPr>
          <w:rFonts w:ascii="Arial" w:hAnsi="Arial" w:cs="Arial"/>
          <w:color w:val="000000" w:themeColor="text1"/>
        </w:rPr>
        <w:t>Evidenciándose</w:t>
      </w:r>
      <w:r w:rsidR="00403179" w:rsidRPr="000E0F90">
        <w:rPr>
          <w:rFonts w:ascii="Arial" w:hAnsi="Arial" w:cs="Arial"/>
          <w:color w:val="000000" w:themeColor="text1"/>
        </w:rPr>
        <w:t xml:space="preserve"> actividades de extracción de recursos, como actividad forestal, agricultura, pastoreo, minería; infraestructura para asentamientos humanos como viviendas, transporte, centros industriales; actividades recreativas; servicios entregados por sistemas ecológicos, control de inundaciones, provisión de agua, infiltración; actividades culturales, estéticas y religiosas; </w:t>
      </w:r>
      <w:r w:rsidR="000E02F8" w:rsidRPr="000E0F90">
        <w:rPr>
          <w:rFonts w:ascii="Arial" w:hAnsi="Arial" w:cs="Arial"/>
          <w:color w:val="000000" w:themeColor="text1"/>
        </w:rPr>
        <w:t xml:space="preserve">debiendo ser sostenidos por  la complejidad composicional y estructural los sistemas ecológicos locales </w:t>
      </w:r>
      <w:r w:rsidR="00403179" w:rsidRPr="000E0F90">
        <w:rPr>
          <w:rFonts w:ascii="Arial" w:hAnsi="Arial" w:cs="Arial"/>
          <w:color w:val="000000" w:themeColor="text1"/>
        </w:rPr>
        <w:fldChar w:fldCharType="begin" w:fldLock="1"/>
      </w:r>
      <w:r w:rsidR="00403179" w:rsidRPr="000E0F90">
        <w:rPr>
          <w:rFonts w:ascii="Arial" w:hAnsi="Arial" w:cs="Arial"/>
          <w:color w:val="000000" w:themeColor="text1"/>
        </w:rPr>
        <w:instrText>ADDIN CSL_CITATION { "citationItems" : [ { "id" : "ITEM-1", "itemData" : { "DOI" : "10.1890/0012-9623(2000)081[0272:EPCOE]2.0.CO;2", "ISBN" : "1051-0761", "ISSN" : "0012-9623", "PMID" : "2641032", "abstract" : "The many ways that people have used and managed land throughout history has emerged as a primary cause of land-cover change around the world. Thus, land use and land management increasingly represent a fundamental source of change in the global environment. Despite their global importance, however, many decisions about the management and use of land are made with scant attention to ecological impacts. Thus, ecologists\u2019 knowledge of the functioning of Earth\u2019s ecosystems is needed to broaden the scientific basis of decisions on land use and management. In response to this need, the Ecological Society of America established a committee to examine the ways that land-use decisions are made and the ways that ecologists could help inform those decisions. This paper reports the scientific findings of that committee. Five principles of ecological science have particular implications for land use and can assure that fundamental processes of Earth\u2019s ecosystems are sustained. These ecological principles deal with time, species, place, dis- turbance, and the landscape. The recognition that ecological processes occur within a temporal setting and change over time is fundamental to analyzing the effects of land use. In addition, individual species and networks of interacting species have strong and far-reaching effects on ecological processes. Furthermore, each site or region has a unique set of organisms and abiotic conditions influencing and constraining ecological processes. Distur- bances are important and ubiquitous ecological events whose effects may strongly influence population, com- munity, and ecosystem dynamics. Finally, the size, shape, and spatial relationships of habitat patches on the landscape affect the structure and function of ecosystems. The responses of the land to changes in use and management by people depend on expressions of these fundamental principles in nature. These principles dictate several guidelines for land use. The guidelines give practical rules of thumb for incorporating ecological principles into land-use decision making. These guidelines suggest that land managers should: (1) examine impacts of local decisions in a regional context, (2) plan for long-termchange and unexpected events, (3) preserve rare landscape elements and associated species, (4) avoid land uses that deplete natural resources, (5) retain large contiguous or connected areas that contain critical habitats, (6) minimize the intro- duction and spread of nonnative sp\u2026", "author" : [ { "dropping-particle" : "", "family" : "Dale", "given" : "Vh", "non-dropping-particle" : "", "parse-names" : false, "suffix" : "" }, { "dropping-particle" : "", "family" : "Brown", "given" : "S", "non-dropping-particle" : "", "parse-names" : false, "suffix" : "" }, { "dropping-particle" : "", "family" : "Haeuber", "given" : "Ra", "non-dropping-particle" : "", "parse-names" : false, "suffix" : "" } ], "container-title" : "Ecological Applications", "id" : "ITEM-1", "issue" : "3", "issued" : { "date-parts" : [ [ "2000" ] ] }, "page" : "639-670", "title" : "Ecological Principles and Guidelines for Managing the use of Land", "type" : "article-journal", "volume" : "10" }, "uris" : [ "http://www.mendeley.com/documents/?uuid=bc0e4508-68ba-43f1-b8ad-4ce0d03c2491" ] } ], "mendeley" : { "formattedCitation" : "(Dale et al., 2000)", "plainTextFormattedCitation" : "(Dale et al., 2000)", "previouslyFormattedCitation" : "(Dale et al., 2000)" }, "properties" : { "noteIndex" : 0 }, "schema" : "https://github.com/citation-style-language/schema/raw/master/csl-citation.json" }</w:instrText>
      </w:r>
      <w:r w:rsidR="00403179" w:rsidRPr="000E0F90">
        <w:rPr>
          <w:rFonts w:ascii="Arial" w:hAnsi="Arial" w:cs="Arial"/>
          <w:color w:val="000000" w:themeColor="text1"/>
        </w:rPr>
        <w:fldChar w:fldCharType="separate"/>
      </w:r>
      <w:r w:rsidR="00403179" w:rsidRPr="000E0F90">
        <w:rPr>
          <w:rFonts w:ascii="Arial" w:hAnsi="Arial" w:cs="Arial"/>
          <w:noProof/>
          <w:color w:val="000000" w:themeColor="text1"/>
        </w:rPr>
        <w:t>(Dale et al., 2000)</w:t>
      </w:r>
      <w:r w:rsidR="00403179" w:rsidRPr="000E0F90">
        <w:rPr>
          <w:rFonts w:ascii="Arial" w:hAnsi="Arial" w:cs="Arial"/>
          <w:color w:val="000000" w:themeColor="text1"/>
        </w:rPr>
        <w:fldChar w:fldCharType="end"/>
      </w:r>
      <w:r w:rsidR="00403179" w:rsidRPr="000E0F90">
        <w:rPr>
          <w:rFonts w:ascii="Arial" w:hAnsi="Arial" w:cs="Arial"/>
          <w:color w:val="000000" w:themeColor="text1"/>
        </w:rPr>
        <w:t>.</w:t>
      </w:r>
    </w:p>
    <w:p w:rsidR="00174035" w:rsidRPr="000E0F90" w:rsidRDefault="000E02F8" w:rsidP="002B538F">
      <w:pPr>
        <w:spacing w:before="120" w:after="0" w:line="360" w:lineRule="auto"/>
        <w:rPr>
          <w:rFonts w:ascii="Arial" w:hAnsi="Arial" w:cs="Arial"/>
          <w:color w:val="000000" w:themeColor="text1"/>
        </w:rPr>
      </w:pPr>
      <w:r w:rsidRPr="000E0F90">
        <w:rPr>
          <w:rFonts w:ascii="Arial" w:hAnsi="Arial" w:cs="Arial"/>
          <w:color w:val="000000" w:themeColor="text1"/>
        </w:rPr>
        <w:lastRenderedPageBreak/>
        <w:t>P</w:t>
      </w:r>
      <w:r w:rsidR="00174035" w:rsidRPr="000E0F90">
        <w:rPr>
          <w:rFonts w:ascii="Arial" w:hAnsi="Arial" w:cs="Arial"/>
          <w:color w:val="000000" w:themeColor="text1"/>
        </w:rPr>
        <w:t>rovocan</w:t>
      </w:r>
      <w:r w:rsidRPr="000E0F90">
        <w:rPr>
          <w:rFonts w:ascii="Arial" w:hAnsi="Arial" w:cs="Arial"/>
          <w:color w:val="000000" w:themeColor="text1"/>
        </w:rPr>
        <w:t>do en algunos casos,</w:t>
      </w:r>
      <w:r w:rsidR="00174035" w:rsidRPr="000E0F90">
        <w:rPr>
          <w:rFonts w:ascii="Arial" w:hAnsi="Arial" w:cs="Arial"/>
          <w:color w:val="000000" w:themeColor="text1"/>
        </w:rPr>
        <w:t xml:space="preserve"> un estrés permanente sobre la matriz natural, conduciendo hacia una inestabilidad del sistema o estado de insostenibilidad. Este es el caso de los suelos erosionados, la desertificación, pérdida de biodiversidad, contaminación de suelo, agua y aire, por nombrar algunos </w:t>
      </w:r>
      <w:sdt>
        <w:sdtPr>
          <w:rPr>
            <w:rFonts w:ascii="Arial" w:hAnsi="Arial" w:cs="Arial"/>
            <w:color w:val="000000" w:themeColor="text1"/>
          </w:rPr>
          <w:id w:val="137776336"/>
          <w:citation/>
        </w:sdtPr>
        <w:sdtEndPr/>
        <w:sdtContent>
          <w:r w:rsidR="00174035" w:rsidRPr="000E0F90">
            <w:rPr>
              <w:rFonts w:ascii="Arial" w:hAnsi="Arial" w:cs="Arial"/>
              <w:color w:val="000000" w:themeColor="text1"/>
            </w:rPr>
            <w:fldChar w:fldCharType="begin"/>
          </w:r>
          <w:r w:rsidR="00174035" w:rsidRPr="000E0F90">
            <w:rPr>
              <w:rFonts w:ascii="Arial" w:hAnsi="Arial" w:cs="Arial"/>
              <w:color w:val="000000" w:themeColor="text1"/>
            </w:rPr>
            <w:instrText xml:space="preserve"> CITATION Gas16 \l 13322 </w:instrText>
          </w:r>
          <w:r w:rsidR="00174035" w:rsidRPr="000E0F90">
            <w:rPr>
              <w:rFonts w:ascii="Arial" w:hAnsi="Arial" w:cs="Arial"/>
              <w:color w:val="000000" w:themeColor="text1"/>
            </w:rPr>
            <w:fldChar w:fldCharType="separate"/>
          </w:r>
          <w:r w:rsidR="008D0261" w:rsidRPr="000E0F90">
            <w:rPr>
              <w:rFonts w:ascii="Arial" w:hAnsi="Arial" w:cs="Arial"/>
              <w:noProof/>
              <w:color w:val="000000" w:themeColor="text1"/>
            </w:rPr>
            <w:t>(Gastó, Gálvez, Subercauseaux, &amp; Fuentes, 2015)</w:t>
          </w:r>
          <w:r w:rsidR="00174035" w:rsidRPr="000E0F90">
            <w:rPr>
              <w:rFonts w:ascii="Arial" w:hAnsi="Arial" w:cs="Arial"/>
              <w:color w:val="000000" w:themeColor="text1"/>
            </w:rPr>
            <w:fldChar w:fldCharType="end"/>
          </w:r>
        </w:sdtContent>
      </w:sdt>
      <w:r w:rsidR="00174035" w:rsidRPr="000E0F90">
        <w:rPr>
          <w:rFonts w:ascii="Arial" w:hAnsi="Arial" w:cs="Arial"/>
          <w:color w:val="000000" w:themeColor="text1"/>
        </w:rPr>
        <w:t xml:space="preserve">. Estado de inestabilidad que depende tanto de las características propias del ecosistema de soporte (i.e. vulnerabilidad del sistema), como de las presiones que impone el orden social sobre ese ecosistema (i.e. aspiraciones y prioridades) </w:t>
      </w:r>
      <w:sdt>
        <w:sdtPr>
          <w:rPr>
            <w:rFonts w:ascii="Arial" w:hAnsi="Arial" w:cs="Arial"/>
            <w:color w:val="000000" w:themeColor="text1"/>
          </w:rPr>
          <w:id w:val="-639875864"/>
          <w:citation/>
        </w:sdtPr>
        <w:sdtEndPr/>
        <w:sdtContent>
          <w:r w:rsidR="00174035" w:rsidRPr="000E0F90">
            <w:rPr>
              <w:rFonts w:ascii="Arial" w:hAnsi="Arial" w:cs="Arial"/>
              <w:color w:val="000000" w:themeColor="text1"/>
            </w:rPr>
            <w:fldChar w:fldCharType="begin"/>
          </w:r>
          <w:r w:rsidR="00174035" w:rsidRPr="000E0F90">
            <w:rPr>
              <w:rFonts w:ascii="Arial" w:hAnsi="Arial" w:cs="Arial"/>
              <w:color w:val="000000" w:themeColor="text1"/>
            </w:rPr>
            <w:instrText xml:space="preserve"> CITATION Gas16 \l 13322 </w:instrText>
          </w:r>
          <w:r w:rsidR="00174035" w:rsidRPr="000E0F90">
            <w:rPr>
              <w:rFonts w:ascii="Arial" w:hAnsi="Arial" w:cs="Arial"/>
              <w:color w:val="000000" w:themeColor="text1"/>
            </w:rPr>
            <w:fldChar w:fldCharType="separate"/>
          </w:r>
          <w:r w:rsidR="008D0261" w:rsidRPr="000E0F90">
            <w:rPr>
              <w:rFonts w:ascii="Arial" w:hAnsi="Arial" w:cs="Arial"/>
              <w:noProof/>
              <w:color w:val="000000" w:themeColor="text1"/>
            </w:rPr>
            <w:t>(Gastó, Gálvez, Subercauseaux, &amp; Fuentes, 2015)</w:t>
          </w:r>
          <w:r w:rsidR="00174035" w:rsidRPr="000E0F90">
            <w:rPr>
              <w:rFonts w:ascii="Arial" w:hAnsi="Arial" w:cs="Arial"/>
              <w:color w:val="000000" w:themeColor="text1"/>
            </w:rPr>
            <w:fldChar w:fldCharType="end"/>
          </w:r>
        </w:sdtContent>
      </w:sdt>
      <w:r w:rsidR="00174035" w:rsidRPr="000E0F90">
        <w:rPr>
          <w:rFonts w:ascii="Arial" w:hAnsi="Arial" w:cs="Arial"/>
          <w:color w:val="000000" w:themeColor="text1"/>
        </w:rPr>
        <w:t xml:space="preserve">. </w:t>
      </w:r>
    </w:p>
    <w:p w:rsidR="00B04E35" w:rsidRPr="000E0F90" w:rsidRDefault="00B04E35" w:rsidP="002B538F">
      <w:pPr>
        <w:spacing w:before="360" w:after="0" w:line="360" w:lineRule="auto"/>
        <w:rPr>
          <w:rFonts w:ascii="Arial" w:hAnsi="Arial" w:cs="Arial"/>
          <w:b/>
          <w:color w:val="000000" w:themeColor="text1"/>
        </w:rPr>
      </w:pPr>
      <w:r w:rsidRPr="000E0F90">
        <w:rPr>
          <w:rFonts w:ascii="Arial" w:hAnsi="Arial" w:cs="Arial"/>
          <w:b/>
          <w:color w:val="000000" w:themeColor="text1"/>
        </w:rPr>
        <w:t>Territorio Sostenible</w:t>
      </w:r>
    </w:p>
    <w:p w:rsidR="00B04E35" w:rsidRPr="000E0F90" w:rsidRDefault="00B04E35" w:rsidP="002B538F">
      <w:pPr>
        <w:spacing w:line="360" w:lineRule="auto"/>
        <w:rPr>
          <w:rFonts w:ascii="Arial" w:hAnsi="Arial" w:cs="Arial"/>
          <w:color w:val="000000" w:themeColor="text1"/>
        </w:rPr>
      </w:pPr>
      <w:r w:rsidRPr="000E0F90">
        <w:rPr>
          <w:rFonts w:ascii="Arial" w:hAnsi="Arial" w:cs="Arial"/>
          <w:color w:val="000000" w:themeColor="text1"/>
        </w:rPr>
        <w:t xml:space="preserve">De acuerdo al informe Bruntland, el desarrollo sostenible de un territorio debe ser ecuánime, vivible y viable </w:t>
      </w:r>
      <w:sdt>
        <w:sdtPr>
          <w:rPr>
            <w:rFonts w:ascii="Arial" w:hAnsi="Arial" w:cs="Arial"/>
            <w:color w:val="000000" w:themeColor="text1"/>
          </w:rPr>
          <w:id w:val="-1883551407"/>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WCE87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(WCED, 1987)</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esto quiere decir que el territorio, debe proveer de las posibilidades de satisfacer las necesidades humanas y alcanzar el bienestar social de forma igualitaria y universal, a través del tiempo, vale decir, cumpliendo las expectativas de las generaciones actuales y futuras, y conservando a la vez la integridad de los sistemas ecológicos y sociales, de los cuales depende la sobrevida y desarrollo de la humanidad. </w:t>
      </w:r>
    </w:p>
    <w:p w:rsidR="00B04E35" w:rsidRPr="000E0F90" w:rsidRDefault="000E02F8" w:rsidP="002B538F">
      <w:pPr>
        <w:spacing w:before="240" w:line="360" w:lineRule="auto"/>
        <w:rPr>
          <w:rFonts w:ascii="Arial" w:hAnsi="Arial" w:cs="Arial"/>
          <w:color w:val="000000" w:themeColor="text1"/>
        </w:rPr>
      </w:pPr>
      <w:r w:rsidRPr="000E0F90">
        <w:rPr>
          <w:rFonts w:ascii="Arial" w:hAnsi="Arial" w:cs="Arial"/>
          <w:color w:val="000000" w:themeColor="text1"/>
        </w:rPr>
        <w:t>Para ello, e</w:t>
      </w:r>
      <w:r w:rsidR="00B04E35" w:rsidRPr="000E0F90">
        <w:rPr>
          <w:rFonts w:ascii="Arial" w:hAnsi="Arial" w:cs="Arial"/>
          <w:color w:val="000000" w:themeColor="text1"/>
        </w:rPr>
        <w:t xml:space="preserve">l desarrollo territorial sostenible debe armonizar la aptitud o vocación del territorio con las expectativas de los actores sociales a través de los diversos usos del territorio, siendo éstos, guiados por las limitantes y potencialidades de la matriz natural, es decir, compatibilizando las condiciones biofísicas locales, con las aspiraciones socioeconómicas, culturales y políticas locales y globales, y el contexto histórico; de forma de que el territorio continúe siendo el sustrato y soporte para mantener la vida humana, a través de la preservación de la integridad de los sistemas </w:t>
      </w:r>
      <w:r w:rsidR="00AB3D4B" w:rsidRPr="000E0F90">
        <w:rPr>
          <w:rFonts w:ascii="Arial" w:hAnsi="Arial" w:cs="Arial"/>
          <w:color w:val="000000" w:themeColor="text1"/>
        </w:rPr>
        <w:t xml:space="preserve">que permiten la sobrevida y desarrollo humano </w:t>
      </w:r>
      <w:r w:rsidR="00B04E35" w:rsidRPr="000E0F90">
        <w:rPr>
          <w:rFonts w:ascii="Arial" w:hAnsi="Arial" w:cs="Arial"/>
          <w:color w:val="000000" w:themeColor="text1"/>
        </w:rPr>
        <w:t xml:space="preserve">en el contexto actual y futuro </w:t>
      </w:r>
      <w:r w:rsidR="00B04E35" w:rsidRPr="000E0F90">
        <w:rPr>
          <w:rFonts w:ascii="Arial" w:hAnsi="Arial" w:cs="Arial"/>
          <w:color w:val="000000" w:themeColor="text1"/>
        </w:rPr>
        <w:fldChar w:fldCharType="begin" w:fldLock="1"/>
      </w:r>
      <w:r w:rsidR="00B04E35" w:rsidRPr="000E0F90">
        <w:rPr>
          <w:rFonts w:ascii="Arial" w:hAnsi="Arial" w:cs="Arial"/>
          <w:color w:val="000000" w:themeColor="text1"/>
        </w:rPr>
        <w:instrText>ADDIN CSL_CITATION { "citationItems" : [ { "id" : "ITEM-1", "itemData" : { "DOI" : "10.1016/j.landurbplan.2013.06.002", "ISBN" : "0169-2046", "ISSN" : "01692046", "abstract" : "The proportion of urban population is increasing globally. Climate change, biodiversity loss, and environmental pollution are leading to the urgent need to increase sustainable development of and through cities and their components. Encouraging and enabling sustainable lifestyles of urban inhabitants can be fostered by developing sustainable urban neighborhoods as the nuclei of cities. Numerous approaches exist that define principles for guiding sustainable development processes of urban neighborhoods. However, it remains unclear if these approaches really consider the core objectives that should be achieved and key actions that are involved to move toward sustainability. This study represents the first quantitative review that evaluates the principles for sustainable urban neighborhood development based on the available literature. We thus (i) identify promising approaches that present principles close to core criteria for sustainability and (ii) provide starting points for developing a more robust set of principles by bringing together the examined literature. Furthermore (iii), sustainability aspects that are insufficiently covered are highlighted. Based on the findings (iv) a road map is outlined to encourage further research on the elaboration of a sufficient set of principles for sustainable urban neighborhood development. \u00a9 2013 Elsevier B.V.", "author" : [ { "dropping-particle" : "", "family" : "Luederitz", "given" : "Christopher", "non-dropping-particle" : "", "parse-names" : false, "suffix" : "" }, { "dropping-particle" : "", "family" : "Lang", "given" : "Daniel J.", "non-dropping-particle" : "", "parse-names" : false, "suffix" : "" }, { "dropping-particle" : "", "family" : "Wehrden", "given" : "Henrik", "non-dropping-particle" : "Von", "parse-names" : false, "suffix" : "" } ], "container-title" : "Landscape and Urban Planning", "id" : "ITEM-1", "issued" : { "date-parts" : [ [ "2013" ] ] }, "page" : "40-52", "publisher" : "Elsevier B.V.", "title" : "A systematic review of guiding principles for sustainable urban neighborhood development", "type" : "article-journal", "volume" : "118" }, "uris" : [ "http://www.mendeley.com/documents/?uuid=6bcfcece-dda2-466f-b77d-29fdaec204ad" ] } ], "mendeley" : { "formattedCitation" : "(Luederitz et al., 2013)", "plainTextFormattedCitation" : "(Luederitz et al., 2013)", "previouslyFormattedCitation" : "(Luederitz et al., 2013)" }, "properties" : { "noteIndex" : 0 }, "schema" : "https://github.com/citation-style-language/schema/raw/master/csl-citation.json" }</w:instrText>
      </w:r>
      <w:r w:rsidR="00B04E35" w:rsidRPr="000E0F90">
        <w:rPr>
          <w:rFonts w:ascii="Arial" w:hAnsi="Arial" w:cs="Arial"/>
          <w:color w:val="000000" w:themeColor="text1"/>
        </w:rPr>
        <w:fldChar w:fldCharType="separate"/>
      </w:r>
      <w:r w:rsidR="00B04E35" w:rsidRPr="000E0F90">
        <w:rPr>
          <w:rFonts w:ascii="Arial" w:hAnsi="Arial" w:cs="Arial"/>
          <w:noProof/>
          <w:color w:val="000000" w:themeColor="text1"/>
        </w:rPr>
        <w:t>(Luederitz et al., 2013)</w:t>
      </w:r>
      <w:r w:rsidR="00B04E35" w:rsidRPr="000E0F90">
        <w:rPr>
          <w:rFonts w:ascii="Arial" w:hAnsi="Arial" w:cs="Arial"/>
          <w:color w:val="000000" w:themeColor="text1"/>
        </w:rPr>
        <w:fldChar w:fldCharType="end"/>
      </w:r>
      <w:r w:rsidR="00B04E35" w:rsidRPr="000E0F90">
        <w:rPr>
          <w:rFonts w:ascii="Arial" w:hAnsi="Arial" w:cs="Arial"/>
          <w:color w:val="000000" w:themeColor="text1"/>
        </w:rPr>
        <w:t xml:space="preserve"> </w:t>
      </w:r>
      <w:r w:rsidR="00B04E35" w:rsidRPr="000E0F90">
        <w:rPr>
          <w:rFonts w:ascii="Arial" w:hAnsi="Arial" w:cs="Arial"/>
          <w:color w:val="000000" w:themeColor="text1"/>
        </w:rPr>
        <w:fldChar w:fldCharType="begin" w:fldLock="1"/>
      </w:r>
      <w:r w:rsidR="00B04E35" w:rsidRPr="000E0F90">
        <w:rPr>
          <w:rFonts w:ascii="Arial" w:hAnsi="Arial" w:cs="Arial"/>
          <w:color w:val="000000" w:themeColor="text1"/>
        </w:rPr>
        <w:instrText>ADDIN CSL_CITATION { "citationItems" : [ { "id" : "ITEM-1", "itemData" : { "DOI" : "10.1016/j.landurbplan.2013.07.005", "ISSN" : "01692046", "author" : [ { "dropping-particle" : "", "family" : "Pinto-Correia", "given" : "T.", "non-dropping-particle" : "", "parse-names" : false, "suffix" : "" }, { "dropping-particle" : "", "family" : "Kristensen", "given" : "L.", "non-dropping-particle" : "", "parse-names" : false, "suffix" : "" } ], "container-title" : "Landscape and Urban Planning", "id" : "ITEM-1", "issued" : { "date-parts" : [ [ "2013", "12" ] ] }, "page" : "248-256", "publisher" : "Elsevier B.V.", "title" : "Linking research to practice: The landscape as the basis for integrating social and ecological perspectives of the rural", "type" : "article-journal", "volume" : "120" }, "uris" : [ "http://www.mendeley.com/documents/?uuid=42583594-0365-406f-8689-1b5abc0d0b5f" ] } ], "mendeley" : { "formattedCitation" : "(Pinto-Correia &amp; Kristensen, 2013)", "plainTextFormattedCitation" : "(Pinto-Correia &amp; Kristensen, 2013)", "previouslyFormattedCitation" : "(Pinto-Correia &amp; Kristensen, 2013)" }, "properties" : { "noteIndex" : 0 }, "schema" : "https://github.com/citation-style-language/schema/raw/master/csl-citation.json" }</w:instrText>
      </w:r>
      <w:r w:rsidR="00B04E35" w:rsidRPr="000E0F90">
        <w:rPr>
          <w:rFonts w:ascii="Arial" w:hAnsi="Arial" w:cs="Arial"/>
          <w:color w:val="000000" w:themeColor="text1"/>
        </w:rPr>
        <w:fldChar w:fldCharType="separate"/>
      </w:r>
      <w:r w:rsidR="00B04E35" w:rsidRPr="000E0F90">
        <w:rPr>
          <w:rFonts w:ascii="Arial" w:hAnsi="Arial" w:cs="Arial"/>
          <w:noProof/>
          <w:color w:val="000000" w:themeColor="text1"/>
        </w:rPr>
        <w:t>(Pinto-Correia &amp; Kristensen, 2013)</w:t>
      </w:r>
      <w:r w:rsidR="00B04E35" w:rsidRPr="000E0F90">
        <w:rPr>
          <w:rFonts w:ascii="Arial" w:hAnsi="Arial" w:cs="Arial"/>
          <w:color w:val="000000" w:themeColor="text1"/>
        </w:rPr>
        <w:fldChar w:fldCharType="end"/>
      </w:r>
      <w:r w:rsidR="00B04E35" w:rsidRPr="000E0F90">
        <w:rPr>
          <w:rFonts w:ascii="Arial" w:hAnsi="Arial" w:cs="Arial"/>
          <w:color w:val="000000" w:themeColor="text1"/>
        </w:rPr>
        <w:t xml:space="preserve"> </w:t>
      </w:r>
      <w:sdt>
        <w:sdtPr>
          <w:rPr>
            <w:rFonts w:ascii="Arial" w:hAnsi="Arial" w:cs="Arial"/>
            <w:color w:val="000000" w:themeColor="text1"/>
          </w:rPr>
          <w:id w:val="-2122681682"/>
          <w:citation/>
        </w:sdtPr>
        <w:sdtEndPr/>
        <w:sdtContent>
          <w:r w:rsidR="00B04E35" w:rsidRPr="000E0F90">
            <w:rPr>
              <w:rFonts w:ascii="Arial" w:hAnsi="Arial" w:cs="Arial"/>
              <w:color w:val="000000" w:themeColor="text1"/>
            </w:rPr>
            <w:fldChar w:fldCharType="begin"/>
          </w:r>
          <w:r w:rsidR="00B04E35" w:rsidRPr="000E0F90">
            <w:rPr>
              <w:rFonts w:ascii="Arial" w:hAnsi="Arial" w:cs="Arial"/>
              <w:color w:val="000000" w:themeColor="text1"/>
            </w:rPr>
            <w:instrText xml:space="preserve"> CITATION Gas16 \l 13322 </w:instrText>
          </w:r>
          <w:r w:rsidR="00B04E35" w:rsidRPr="000E0F90">
            <w:rPr>
              <w:rFonts w:ascii="Arial" w:hAnsi="Arial" w:cs="Arial"/>
              <w:color w:val="000000" w:themeColor="text1"/>
            </w:rPr>
            <w:fldChar w:fldCharType="separate"/>
          </w:r>
          <w:r w:rsidR="008D0261" w:rsidRPr="000E0F90">
            <w:rPr>
              <w:rFonts w:ascii="Arial" w:hAnsi="Arial" w:cs="Arial"/>
              <w:noProof/>
              <w:color w:val="000000" w:themeColor="text1"/>
            </w:rPr>
            <w:t>(Gastó, Gálvez, Subercauseaux, &amp; Fuentes, 2015)</w:t>
          </w:r>
          <w:r w:rsidR="00B04E35" w:rsidRPr="000E0F90">
            <w:rPr>
              <w:rFonts w:ascii="Arial" w:hAnsi="Arial" w:cs="Arial"/>
              <w:color w:val="000000" w:themeColor="text1"/>
            </w:rPr>
            <w:fldChar w:fldCharType="end"/>
          </w:r>
        </w:sdtContent>
      </w:sdt>
      <w:r w:rsidR="00B04E35" w:rsidRPr="000E0F90">
        <w:rPr>
          <w:rFonts w:ascii="Arial" w:hAnsi="Arial" w:cs="Arial"/>
          <w:color w:val="000000" w:themeColor="text1"/>
        </w:rPr>
        <w:t>(Gastó, 2003) (Gasto et al, 2013).</w:t>
      </w:r>
    </w:p>
    <w:p w:rsidR="00B04E35" w:rsidRPr="000E0F90" w:rsidRDefault="000E02F8" w:rsidP="002B538F">
      <w:pPr>
        <w:spacing w:line="360" w:lineRule="auto"/>
        <w:rPr>
          <w:rFonts w:ascii="Arial" w:hAnsi="Arial" w:cs="Arial"/>
          <w:color w:val="000000" w:themeColor="text1"/>
        </w:rPr>
      </w:pPr>
      <w:r w:rsidRPr="000E0F90">
        <w:rPr>
          <w:rFonts w:ascii="Arial" w:hAnsi="Arial" w:cs="Arial"/>
          <w:color w:val="000000" w:themeColor="text1"/>
        </w:rPr>
        <w:t>En otras palabras, r</w:t>
      </w:r>
      <w:r w:rsidR="00A03606" w:rsidRPr="000E0F90">
        <w:rPr>
          <w:rFonts w:ascii="Arial" w:hAnsi="Arial" w:cs="Arial"/>
          <w:color w:val="000000" w:themeColor="text1"/>
        </w:rPr>
        <w:t xml:space="preserve">esultando en un territorio con </w:t>
      </w:r>
      <w:r w:rsidR="00B04E35" w:rsidRPr="000E0F90">
        <w:rPr>
          <w:rFonts w:ascii="Arial" w:hAnsi="Arial" w:cs="Arial"/>
          <w:color w:val="000000" w:themeColor="text1"/>
        </w:rPr>
        <w:t xml:space="preserve">reducción de los impactos negativos en el componente natural, equidad en el componente social y una mayor productividad del componente tecnológico, lo que se traduce en una mejora de la calidad de vida en el corto y largo plazo. </w:t>
      </w:r>
      <w:r w:rsidRPr="000E0F90">
        <w:rPr>
          <w:rFonts w:ascii="Arial" w:hAnsi="Arial" w:cs="Arial"/>
          <w:color w:val="000000" w:themeColor="text1"/>
        </w:rPr>
        <w:t>Evitando seguir la trayectoria de</w:t>
      </w:r>
      <w:r w:rsidR="00B04E35" w:rsidRPr="000E0F90">
        <w:rPr>
          <w:rFonts w:ascii="Arial" w:hAnsi="Arial" w:cs="Arial"/>
          <w:color w:val="000000" w:themeColor="text1"/>
        </w:rPr>
        <w:t xml:space="preserve"> un territorio insostenible, </w:t>
      </w:r>
      <w:r w:rsidRPr="000E0F90">
        <w:rPr>
          <w:rFonts w:ascii="Arial" w:hAnsi="Arial" w:cs="Arial"/>
          <w:color w:val="000000" w:themeColor="text1"/>
        </w:rPr>
        <w:t xml:space="preserve">que </w:t>
      </w:r>
      <w:r w:rsidR="00B04E35" w:rsidRPr="000E0F90">
        <w:rPr>
          <w:rFonts w:ascii="Arial" w:hAnsi="Arial" w:cs="Arial"/>
          <w:color w:val="000000" w:themeColor="text1"/>
        </w:rPr>
        <w:t xml:space="preserve">conlleva el deterioro del territorio en términos de merma de recursos y servicios </w:t>
      </w:r>
      <w:r w:rsidR="00B04E35" w:rsidRPr="000E0F90">
        <w:rPr>
          <w:rFonts w:ascii="Arial" w:hAnsi="Arial" w:cs="Arial"/>
          <w:color w:val="000000" w:themeColor="text1"/>
        </w:rPr>
        <w:lastRenderedPageBreak/>
        <w:t xml:space="preserve">territoriales, distribución desigual de costos y beneficios, deterioro del componente ambiental, pérdida de calidad de vida, disrupción de formas de vida, entre otros (Gasto et al., 2015) </w:t>
      </w:r>
    </w:p>
    <w:p w:rsidR="002E571C" w:rsidRPr="000E0F90" w:rsidRDefault="002E571C" w:rsidP="002B538F">
      <w:pPr>
        <w:pStyle w:val="Ttulo3"/>
        <w:spacing w:after="0" w:line="360" w:lineRule="auto"/>
        <w:rPr>
          <w:rFonts w:ascii="Arial" w:hAnsi="Arial" w:cs="Arial"/>
        </w:rPr>
      </w:pPr>
      <w:r w:rsidRPr="000E0F90">
        <w:rPr>
          <w:rFonts w:ascii="Arial" w:hAnsi="Arial" w:cs="Arial"/>
        </w:rPr>
        <w:t xml:space="preserve">Territorio Minero </w:t>
      </w:r>
    </w:p>
    <w:p w:rsidR="002E571C" w:rsidRPr="000E0F90" w:rsidRDefault="002E571C" w:rsidP="002B538F">
      <w:pPr>
        <w:spacing w:line="360" w:lineRule="auto"/>
        <w:rPr>
          <w:rFonts w:ascii="Arial" w:hAnsi="Arial" w:cs="Arial"/>
          <w:color w:val="000000" w:themeColor="text1"/>
        </w:rPr>
      </w:pPr>
      <w:r w:rsidRPr="000E0F90">
        <w:rPr>
          <w:rFonts w:ascii="Arial" w:hAnsi="Arial" w:cs="Arial"/>
          <w:color w:val="000000" w:themeColor="text1"/>
        </w:rPr>
        <w:t>Los territorios mineros corresponden a espacios geográficos, en donde la acción humana ha transformado esta superficie desarrollable hacia el uso minero; dada por la vocación minera de ésta, siendo el resultado de procesos históricos y culturales. La acción territorial que ha guiado la construcción de territorios mineros, surge de la interpretación y apropiación del espacio geográfico que ha realizado el orden social, de acuerdo a la cultura y época del lugar, favoreciendo la visualización de un objetivo de uso minero, por sobre otros fines.</w:t>
      </w:r>
    </w:p>
    <w:p w:rsidR="002E571C" w:rsidRPr="000E0F90" w:rsidRDefault="002E571C" w:rsidP="002B538F">
      <w:pPr>
        <w:spacing w:line="360" w:lineRule="auto"/>
        <w:rPr>
          <w:rFonts w:ascii="Arial" w:hAnsi="Arial" w:cs="Arial"/>
          <w:color w:val="000000" w:themeColor="text1"/>
        </w:rPr>
      </w:pPr>
      <w:r w:rsidRPr="000E0F90">
        <w:rPr>
          <w:rFonts w:ascii="Arial" w:hAnsi="Arial" w:cs="Arial"/>
          <w:color w:val="000000" w:themeColor="text1"/>
        </w:rPr>
        <w:t xml:space="preserve">Esta construcción territorial, ha ido generando cambios en la matriz natural, como forma de satisfacer las necesidades de los actores sociales locales, inicialmente, a nacionales y globales actualmente. Cambios que se asocian la extracción progresiva de recursos minerales con utilización complementaria de recursos naturales y humanos, y el desarrollo conjunto de otros usos (i.e. agrícola, ganadero, pesquero, entre otros). Resultando también en una estructura social particular, influenciando formas de vida, cultura e identidad local a través del tiempo. Lo cual contribuye al carácter del territorio, proveniente de los propios actores sociales, quienes reconocen los usos territoriales como parte de su identidad, y por tanto los desarrollan y perpetúan. Espacio que delimitado geográfica, climática, geomorfológica, ecológica, cultural e históricamente determina una configuración territorial particular (Gasto et al., 2015). </w:t>
      </w:r>
    </w:p>
    <w:p w:rsidR="002B538F" w:rsidRDefault="002B538F">
      <w:pPr>
        <w:jc w:val="left"/>
        <w:rPr>
          <w:rFonts w:ascii="Arial" w:eastAsiaTheme="majorEastAsia" w:hAnsi="Arial" w:cs="Arial"/>
          <w:b/>
          <w:bCs/>
          <w:color w:val="000000" w:themeColor="text1"/>
        </w:rPr>
      </w:pPr>
      <w:r>
        <w:rPr>
          <w:rFonts w:ascii="Arial" w:hAnsi="Arial" w:cs="Arial"/>
        </w:rPr>
        <w:br w:type="page"/>
      </w:r>
    </w:p>
    <w:p w:rsidR="00F70089" w:rsidRPr="000E0F90" w:rsidRDefault="008D6193" w:rsidP="002B538F">
      <w:pPr>
        <w:pStyle w:val="Ttulo3"/>
        <w:spacing w:after="0" w:line="360" w:lineRule="auto"/>
        <w:rPr>
          <w:rFonts w:ascii="Arial" w:hAnsi="Arial" w:cs="Arial"/>
        </w:rPr>
      </w:pPr>
      <w:r>
        <w:rPr>
          <w:rFonts w:ascii="Arial" w:hAnsi="Arial" w:cs="Arial"/>
        </w:rPr>
        <w:lastRenderedPageBreak/>
        <w:t>Actividad Minera y</w:t>
      </w:r>
      <w:r w:rsidR="00F70089" w:rsidRPr="000E0F90">
        <w:rPr>
          <w:rFonts w:ascii="Arial" w:hAnsi="Arial" w:cs="Arial"/>
        </w:rPr>
        <w:t xml:space="preserve"> Territorio </w:t>
      </w:r>
    </w:p>
    <w:p w:rsidR="003135A4" w:rsidRPr="000E0F90" w:rsidRDefault="003135A4" w:rsidP="002B538F">
      <w:pPr>
        <w:spacing w:line="360" w:lineRule="auto"/>
        <w:rPr>
          <w:rFonts w:ascii="Arial" w:hAnsi="Arial" w:cs="Arial"/>
          <w:color w:val="000000" w:themeColor="text1"/>
        </w:rPr>
      </w:pPr>
      <w:r w:rsidRPr="000E0F90">
        <w:rPr>
          <w:rFonts w:ascii="Arial" w:hAnsi="Arial" w:cs="Arial"/>
          <w:color w:val="000000" w:themeColor="text1"/>
        </w:rPr>
        <w:t xml:space="preserve">La minería implica remoción de substancias de la corteza terrestre, con la finalidad de satisfacer las necesidades humanas y crear bienestar. Presenta una gran capacidad de transformar los territorios, dado por la forma en que se accede a los recursos, la generación y distribución de los beneficios, así como la forma como se manejan los desechos generados, afectando tanto el componente humano como natural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"10.1146/annurev.energy.28.011503.163434", "ISSN" : "1543-5938", "author" : [ { "dropping-particle" : "", "family" : "Bridge", "given" : "Gavin", "non-dropping-particle" : "", "parse-names" : false, "suffix" : "" } ], "container-title" : "Annual Review of Environment and Resources", "id" : "ITEM-1", "issue" : "1", "issued" : { "date-parts" : [ [ "2004", "11", "21" ] ] }, "page" : "205-259", "title" : "CONTESTED TERRAIN: Mining and the Environment", "type" : "article-journal", "volume" : "29" }, "uris" : [ "http://www.mendeley.com/documents/?uuid=3856b087-468f-47e0-aa60-26b2415a5e72" ] } ], "mendeley" : { "formattedCitation" : "(Bridge, 2004)", "plainTextFormattedCitation" : "(Bridge, 2004)", "previouslyFormattedCitation" : "(Bridge, 2004)"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(Bridge, 2004)</w:t>
      </w:r>
      <w:r w:rsidRPr="000E0F90">
        <w:rPr>
          <w:rFonts w:ascii="Arial" w:hAnsi="Arial" w:cs="Arial"/>
          <w:color w:val="000000" w:themeColor="text1"/>
        </w:rPr>
        <w:fldChar w:fldCharType="end"/>
      </w:r>
      <w:r w:rsidRPr="000E0F90">
        <w:rPr>
          <w:rFonts w:ascii="Arial" w:hAnsi="Arial" w:cs="Arial"/>
          <w:color w:val="000000" w:themeColor="text1"/>
        </w:rPr>
        <w:t xml:space="preserve">. </w:t>
      </w:r>
    </w:p>
    <w:p w:rsidR="00B64699" w:rsidRPr="000E0F90" w:rsidRDefault="00B64699" w:rsidP="002B538F">
      <w:pPr>
        <w:spacing w:after="0" w:line="360" w:lineRule="auto"/>
        <w:jc w:val="left"/>
        <w:rPr>
          <w:rFonts w:ascii="Arial" w:eastAsiaTheme="majorEastAsia" w:hAnsi="Arial" w:cs="Arial"/>
          <w:b/>
          <w:bCs/>
          <w:i/>
          <w:color w:val="000000" w:themeColor="text1"/>
        </w:rPr>
      </w:pPr>
      <w:r w:rsidRPr="000E0F90">
        <w:rPr>
          <w:rFonts w:ascii="Arial" w:eastAsiaTheme="majorEastAsia" w:hAnsi="Arial" w:cs="Arial"/>
          <w:b/>
          <w:bCs/>
          <w:i/>
          <w:color w:val="000000" w:themeColor="text1"/>
        </w:rPr>
        <w:t>Minería y medioambiente</w:t>
      </w:r>
    </w:p>
    <w:p w:rsidR="00B64699" w:rsidRPr="000E0F90" w:rsidRDefault="00B64699" w:rsidP="002B538F">
      <w:pPr>
        <w:spacing w:line="360" w:lineRule="auto"/>
        <w:rPr>
          <w:rFonts w:ascii="Arial" w:hAnsi="Arial" w:cs="Arial"/>
          <w:color w:val="000000" w:themeColor="text1"/>
        </w:rPr>
      </w:pPr>
      <w:r w:rsidRPr="000E0F90">
        <w:rPr>
          <w:rFonts w:ascii="Arial" w:hAnsi="Arial" w:cs="Arial"/>
          <w:color w:val="000000" w:themeColor="text1"/>
        </w:rPr>
        <w:t>La actividad minera desde sus inicios se ha asociado a los impactos medioambientales en los territorios donde opera</w:t>
      </w:r>
      <w:r w:rsidR="00341DA0" w:rsidRPr="000E0F90">
        <w:rPr>
          <w:rFonts w:ascii="Arial" w:hAnsi="Arial" w:cs="Arial"/>
          <w:color w:val="000000" w:themeColor="text1"/>
        </w:rPr>
        <w:t>,</w:t>
      </w:r>
      <w:r w:rsidRPr="000E0F90">
        <w:rPr>
          <w:rFonts w:ascii="Arial" w:hAnsi="Arial" w:cs="Arial"/>
          <w:color w:val="000000" w:themeColor="text1"/>
        </w:rPr>
        <w:t xml:space="preserve"> con consecuencias en el agua, suelo, aire y biota, o incluso todos ellos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"author" : [ { "dropping-particle" : "", "family" : "Amezaga", "given" : "Jaime M", "non-dropping-particle" : "", "parse-names" : false, "suffix" : "" }, { "dropping-particle" : "", "family" : "Younger", "given" : "Paul L", "non-dropping-particle" : "", "parse-names" : false, "suffix" : "" }, { "dropping-particle" : "", "family" : "U", "given" : "Ricardo Oyarz", "non-dropping-particle" : "", "parse-names" : false, "suffix" : "" }, { "dropping-particle" : "", "family" : "Mayor", "given" : "Universidad", "non-dropping-particle" : "", "parse-names" : false, "suffix" : "" }, { "dropping-particle" : "", "family" : "Andre", "given" : "De San", "non-dropping-particle" : "", "parse-names" : false, "suffix" : "" } ], "id" : "ITEM-1", "issued" : { "date-parts" : [ [ "2011" ] ] }, "page" : "21-26", "title" : "A Rich Vein ? Mining and the Pursuit of Sustainability \u2020", "type" : "article-journal" }, "uris" : [ "http://www.mendeley.com/documents/?uuid=23d694c8-9bfc-4f5f-a048-d902336bb8e3" ] } ], "mendeley" : { "formattedCitation" : "(Amezaga et al., 2011)", "plainTextFormattedCitation" : "(Amezaga et al., 2011)", "previouslyFormattedCitation" : "(Amezaga et al., 2011)"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(Amezaga et al., 2011)</w:t>
      </w:r>
      <w:r w:rsidRPr="000E0F90">
        <w:rPr>
          <w:rFonts w:ascii="Arial" w:hAnsi="Arial" w:cs="Arial"/>
          <w:color w:val="000000" w:themeColor="text1"/>
        </w:rPr>
        <w:fldChar w:fldCharType="end"/>
      </w:r>
      <w:r w:rsidRPr="000E0F90">
        <w:rPr>
          <w:rFonts w:ascii="Arial" w:hAnsi="Arial" w:cs="Arial"/>
          <w:color w:val="000000" w:themeColor="text1"/>
        </w:rPr>
        <w:t>. En la literatura, diversos trabajos han evidenciado los impactos ambientales de la actividad minera, entre los cuales se encuentra</w:t>
      </w:r>
      <w:r w:rsidR="00341DA0" w:rsidRPr="000E0F90">
        <w:rPr>
          <w:rFonts w:ascii="Arial" w:hAnsi="Arial" w:cs="Arial"/>
          <w:color w:val="000000" w:themeColor="text1"/>
        </w:rPr>
        <w:t>n</w:t>
      </w:r>
      <w:r w:rsidRPr="000E0F90">
        <w:rPr>
          <w:rFonts w:ascii="Arial" w:hAnsi="Arial" w:cs="Arial"/>
          <w:color w:val="000000" w:themeColor="text1"/>
        </w:rPr>
        <w:t xml:space="preserve">: </w:t>
      </w:r>
      <w:r w:rsidR="001C61B7" w:rsidRPr="000E0F90">
        <w:rPr>
          <w:rFonts w:ascii="Arial" w:hAnsi="Arial" w:cs="Arial"/>
          <w:color w:val="000000" w:themeColor="text1"/>
        </w:rPr>
        <w:t>alteraciones</w:t>
      </w:r>
      <w:r w:rsidR="00E74605" w:rsidRPr="000E0F90">
        <w:rPr>
          <w:rFonts w:ascii="Arial" w:hAnsi="Arial" w:cs="Arial"/>
          <w:color w:val="000000" w:themeColor="text1"/>
        </w:rPr>
        <w:t xml:space="preserve"> de geomorfología, </w:t>
      </w:r>
      <w:r w:rsidRPr="000E0F90">
        <w:rPr>
          <w:rFonts w:ascii="Arial" w:hAnsi="Arial" w:cs="Arial"/>
          <w:color w:val="000000" w:themeColor="text1"/>
        </w:rPr>
        <w:t>incremento de desechos mineros, por tamaño y envergadura de la mina, intensidad de uso energético, declinación de aguas freáticas, contaminación del agua (drenaje ácido de rocas, sobrecarga con metales pesados), contaminación de suelo, agua y aire asociada al establecimiento de relaves, devastación de sistemas fluviales y costeros por los residuos vertidos, aumento de emisiones de CO</w:t>
      </w:r>
      <w:r w:rsidRPr="000E0F90">
        <w:rPr>
          <w:rFonts w:ascii="Arial" w:hAnsi="Arial" w:cs="Arial"/>
          <w:color w:val="000000" w:themeColor="text1"/>
          <w:vertAlign w:val="subscript"/>
        </w:rPr>
        <w:t>2</w:t>
      </w:r>
      <w:r w:rsidRPr="000E0F90">
        <w:rPr>
          <w:rFonts w:ascii="Arial" w:hAnsi="Arial" w:cs="Arial"/>
          <w:color w:val="000000" w:themeColor="text1"/>
        </w:rPr>
        <w:t xml:space="preserve">, </w:t>
      </w:r>
      <w:r w:rsidR="00E74605" w:rsidRPr="000E0F90">
        <w:rPr>
          <w:rFonts w:ascii="Arial" w:hAnsi="Arial" w:cs="Arial"/>
          <w:color w:val="000000" w:themeColor="text1"/>
        </w:rPr>
        <w:t xml:space="preserve">ruido, </w:t>
      </w:r>
      <w:r w:rsidRPr="000E0F90">
        <w:rPr>
          <w:rFonts w:ascii="Arial" w:hAnsi="Arial" w:cs="Arial"/>
          <w:color w:val="000000" w:themeColor="text1"/>
        </w:rPr>
        <w:t xml:space="preserve">contaminación y erosión de suelo, pérdida de vegetación y destrucción de hábitats, entre otros </w:t>
      </w:r>
      <w:r w:rsidRPr="000E0F90">
        <w:rPr>
          <w:rFonts w:ascii="Arial" w:hAnsi="Arial" w:cs="Arial"/>
          <w:noProof/>
          <w:color w:val="000000" w:themeColor="text1"/>
        </w:rPr>
        <w:fldChar w:fldCharType="begin" w:fldLock="1"/>
      </w:r>
      <w:r w:rsidRPr="000E0F90">
        <w:rPr>
          <w:rFonts w:ascii="Arial" w:hAnsi="Arial" w:cs="Arial"/>
          <w:noProof/>
          <w:color w:val="000000" w:themeColor="text1"/>
        </w:rPr>
        <w:instrText>ADDIN CSL_CITATION { "citationItems" : [ { "id" : "ITEM-1", "itemData" : { "DOI" : "10.1016/j.gloenvcha.2011.08.009", "ISSN" : "09593780", "author" : [ { "dropping-particle" : "", "family" : "Prior", "given" : "T.", "non-dropping-particle" : "", "parse-names" : false, "suffix" : "" }, { "dropping-particle" : "", "family" : "Giurco", "given" : "D.", "non-dropping-particle" : "", "parse-names" : false, "suffix" : "" }, { "dropping-particle" : "", "family" : "Mudd", "given" : "G.", "non-dropping-particle" : "", "parse-names" : false, "suffix" : "" }, { "dropping-particle" : "", "family" : "Mason", "given" : "L.", "non-dropping-particle" : "", "parse-names" : false, "suffix" : "" }, { "dropping-particle" : "", "family" : "Behrisch", "given" : "J.", "non-dropping-particle" : "", "parse-names" : false, "suffix" : "" } ], "container-title" : "Global Environmental Change", "id" : "ITEM-1", "issue" : "3", "issued" : { "date-parts" : [ [ "2012", "8" ] ] }, "page" : "577-587", "publisher" : "Elsevier Ltd", "title" : "Resource depletion, peak minerals and the implications for sustainable resource management", "type" : "article-journal", "volume" : "22" }, "uris" : [ "http://www.mendeley.com/documents/?uuid=2b8380be-be24-4e89-8599-74078f32fe15" ] }, { "id" : "ITEM-2", "itemData" : { "author" : [ { "dropping-particle" : "", "family" : "Hilson", "given" : "Gavin", "non-dropping-particle" : "", "parse-names" : false, "suffix" : "" }, { "dropping-particle" : "", "family" : "Murck", "given" : "Barbara", "non-dropping-particle" : "", "parse-names" : false, "suffix" : "" } ], "id" : "ITEM-2", "issue" : "2000", "issued" : { "date-parts" : [ [ "2000" ] ] }, "page" : "227-238", "title" : "Sustainable development in the mining industry : clarifying the corporate perspective", "type" : "article-journal", "volume" : "26" }, "uris" : [ "http://www.mendeley.com/documents/?uuid=f8aeb7a1-70d0-42bd-ae96-6e53b2ce6cb4" ] }, { "id" : "ITEM-3", "itemData" : { "author" : [ { "dropping-particle" : "", "family" : "Amezaga", "given" : "Jaime M", "non-dropping-particle" : "", "parse-names" : false, "suffix" : "" }, { "dropping-particle" : "", "family" : "Younger", "given" : "Paul L", "non-dropping-particle" : "", "parse-names" : false, "suffix" : "" }, { "dropping-particle" : "", "family" : "U", "given" : "Ricardo Oyarz", "non-dropping-particle" : "", "parse-names" : false, "suffix" : "" }, { "dropping-particle" : "", "family" : "Mayor", "given" : "Universidad", "non-dropping-particle" : "", "parse-names" : false, "suffix" : "" }, { "dropping-particle" : "", "family" : "Andre", "given" : "De San", "non-dropping-particle" : "", "parse-names" : false, "suffix" : "" } ], "id" : "ITEM-3", "issued" : { "date-parts" : [ [ "2011" ] ] }, "page" : "21-26", "title" : "A Rich Vein ? Mining and the Pursuit of Sustainability \u2020", "type" : "article-journal" }, "uris" : [ "http://www.mendeley.com/documents/?uuid=23d694c8-9bfc-4f5f-a048-d902336bb8e3" ] }, { "id" : "ITEM-4", "itemData" : { "DOI" : "10.1146/annurev.energy.28.011503.163434", "ISSN" : "1543-5938", "author" : [ { "dropping-particle" : "", "family" : "Bridge", "given" : "Gavin", "non-dropping-particle" : "", "parse-names" : false, "suffix" : "" } ], "container-title" : "Annual Review of Environment and Resources", "id" : "ITEM-4", "issue" : "1", "issued" : { "date-parts" : [ [ "2004", "11", "21" ] ] }, "page" : "205-259", "title" : "CONTESTED TERRAIN: Mining and the Environment", "type" : "article-journal", "volume" : "29" }, "uris" : [ "http://www.mendeley.com/documents/?uuid=3856b087-468f-47e0-aa60-26b2415a5e72" ] }, { "id" : "ITEM-5", "itemData" : { "DOI" : "10.1080/10643389.2012.672086", "ISSN" : "1064-3389", "author" : [ { "dropping-particle" : "", "family" : "Pokhrel", "given" : "Lok R.", "non-dropping-particle" : "", "parse-names" : false, "suffix" : "" }, { "dropping-particle" : "", "family" : "Dubey", "given" : "Brajesh", "non-dropping-particle" : "", "parse-names" : false, "suffix" : "" } ], "container-title" : "Critical Reviews in Environmental Science and Technology", "id" : "ITEM-5", "issue" : "21", "issued" : { "date-parts" : [ [ "2013", "1" ] ] }, "page" : "2352-2388", "title" : "Global Scenarios of Metal Mining, Environmental R</w:instrText>
      </w:r>
      <w:r w:rsidRPr="000E0F90">
        <w:rPr>
          <w:rFonts w:ascii="Arial" w:hAnsi="Arial" w:cs="Arial"/>
          <w:noProof/>
          <w:color w:val="000000" w:themeColor="text1"/>
          <w:lang w:val="en-US"/>
        </w:rPr>
        <w:instrText>epercussions, Public Policies, and Sustainability: A Review", "type" : "article-journal", "volume" : "43" }, "uris" : [ "http://www.mendeley.com/documents/?uuid=14ca50ec-28b7-4b2c-8a70-269b84b94b1c" ] }, { "id" : "ITEM-6", "itemData" : { "author" : [ { "dropping-particle" : "", "family" : "Mudd", "given" : "G M", "non-dropping-particle" : "", "parse-names" : false, "suffix" : "" }, { "dropping-particle" : "", "family" : "Ward", "given" : "J D", "non-dropping-particle" : "", "parse-names" : false, "suffix" : "" } ], "id" : "ITEM-6", "issued" : { "date-parts" : [ [ "0" ] ] }, "page" : "1-10", "title" : "Will Sustainability Constraints Cause \u2018 Peak Minerals \u2019 ?", "type" : "article-journal" }, "uris" : [ "http://www.mendeley.com/documents/?uuid=81f17c00-017f-461c-8d60-bc147e19e633" ] } ], "mendeley" : { "formattedCitation" : "(Amezaga et al., 2011; Bridge, 2004; Hilson &amp; Murck, 2000; G M Mudd &amp; Ward, n.d.; Pokhrel &amp; Dubey, 2013; Prior, Giurco, Mudd, Mason, &amp; Behrisch, 2012)", "plainTextFormattedCitation" : "(Amezaga et al., 2011; Bridge, 2004; Hilson &amp; Murck, 2000; G M Mudd &amp; Ward, n.d.; Pokhrel &amp; Dubey, 2013; Prior, Giurco, Mudd, Mason, &amp; Behrisch, 2012)", "previouslyFormattedCitation" : "(Amezaga et al., 2011; Bridge, 2004; Hilson &amp; Murck, 2000; G M Mudd &amp; Ward, n.d.; Pokhrel &amp; Dubey, 2013; Prior, Giurco, Mudd, Mason, &amp; Behrisch, 2012)" }, "properties" : { "noteIndex" : 0 }, "schema" : "https://github.com/citation-style-language/schema/raw/master/csl-citation.json" }</w:instrText>
      </w:r>
      <w:r w:rsidRPr="000E0F90">
        <w:rPr>
          <w:rFonts w:ascii="Arial" w:hAnsi="Arial" w:cs="Arial"/>
          <w:noProof/>
          <w:color w:val="000000" w:themeColor="text1"/>
        </w:rPr>
        <w:fldChar w:fldCharType="separate"/>
      </w:r>
      <w:r w:rsidRPr="000E0F90">
        <w:rPr>
          <w:rFonts w:ascii="Arial" w:hAnsi="Arial" w:cs="Arial"/>
          <w:noProof/>
          <w:color w:val="000000" w:themeColor="text1"/>
          <w:lang w:val="en-US"/>
        </w:rPr>
        <w:t>(Amezaga et al., 2011; Bridge, 2004; Hilson &amp; Murck, 2000; G M Mudd &amp; Ward, n.d.; Pokhrel &amp; Dubey, 2013; Prior, Giurco, Mudd, Mason, &amp; Behrisch, 2012)</w:t>
      </w:r>
      <w:r w:rsidRPr="000E0F90">
        <w:rPr>
          <w:rFonts w:ascii="Arial" w:hAnsi="Arial" w:cs="Arial"/>
          <w:noProof/>
          <w:color w:val="000000" w:themeColor="text1"/>
        </w:rPr>
        <w:fldChar w:fldCharType="end"/>
      </w:r>
      <w:r w:rsidRPr="000E0F90">
        <w:rPr>
          <w:rFonts w:ascii="Arial" w:hAnsi="Arial" w:cs="Arial"/>
          <w:color w:val="000000" w:themeColor="text1"/>
          <w:lang w:val="en-US"/>
        </w:rPr>
        <w:t xml:space="preserve"> (Moody, 2005)</w:t>
      </w:r>
      <w:r w:rsidR="00E74605" w:rsidRPr="000E0F90">
        <w:rPr>
          <w:rFonts w:ascii="Arial" w:hAnsi="Arial" w:cs="Arial"/>
          <w:color w:val="000000" w:themeColor="text1"/>
          <w:lang w:val="en-US"/>
        </w:rPr>
        <w:t xml:space="preserve"> </w:t>
      </w:r>
      <w:r w:rsidR="00E74605" w:rsidRPr="000E0F90">
        <w:rPr>
          <w:rFonts w:ascii="Arial" w:hAnsi="Arial" w:cs="Arial"/>
          <w:color w:val="000000" w:themeColor="text1"/>
        </w:rPr>
        <w:fldChar w:fldCharType="begin" w:fldLock="1"/>
      </w:r>
      <w:r w:rsidR="00EF5950" w:rsidRPr="000E0F90">
        <w:rPr>
          <w:rFonts w:ascii="Arial" w:hAnsi="Arial" w:cs="Arial"/>
          <w:color w:val="000000" w:themeColor="text1"/>
          <w:lang w:val="en-US"/>
        </w:rPr>
        <w:instrText>ADDIN CSL_CITATION { "citationItems" : [ { "id" : "ITEM-1", "itemData" : { "DOI" : "10.1016/j.mineng.2014.10.024", "ISSN" : "08926875", "abstract" : "Keeping a high mineral production rate while protecting the environment requires a mining framework where several perspectives are considered and weighed up. The concept of sustainability provides just such a framework. Social and financial needs determine mineral production rates, resulting in a global demand for minerals. To ensure effective environmental protection, different tools and techniques have been developed. One of the most widespread is the so-called Environmental Impact Assessment (EIA). This technique is extremely useful but there are also drawbacks. For instance, subjectivity in initial value choices makes model comparison difficult. To over</w:instrText>
      </w:r>
      <w:r w:rsidR="00EF5950" w:rsidRPr="00B17364">
        <w:rPr>
          <w:rFonts w:ascii="Arial" w:hAnsi="Arial" w:cs="Arial"/>
          <w:color w:val="000000" w:themeColor="text1"/>
          <w:lang w:val="en-US"/>
        </w:rPr>
        <w:instrText>come some of these problems, this paper sets out a methodology to establish an environmental analysis, focusing on the evolution of environmental impacts over time. This analysis provides a dynamic tool which could be included as part of any EIA-based techniques. The proposed methodology is general enough to apply to different mine project designs since the model includes a typical mining operation layout together with adaptive parameters.", "author" : [ { "dropping-particle" : "", "family" : "Castilla-G\u00f3mez</w:instrText>
      </w:r>
      <w:r w:rsidR="00EF5950" w:rsidRPr="000E0F90">
        <w:rPr>
          <w:rFonts w:ascii="Arial" w:hAnsi="Arial" w:cs="Arial"/>
          <w:color w:val="000000" w:themeColor="text1"/>
        </w:rPr>
        <w:instrText>", "given" : "Jorge", "non-dropping-particle" : "", "parse-names" : false, "suffix" : "" }, { "dropping-particle" : "", "family" : "Herrera-Herbert", "given" : "Juan", "non-dropping-particle" : "", "parse-names" : false, "suffix" : "" } ], "container-title" : "Minerals Engineering", "id" : "ITEM-1", "issued" : { "date-parts" : [ [ "2015" ] ] }, "page" : "87-96", "title" : "Environmental analysis of mining operations: Dynamic tools for impact assessment", "type" : "article-journal", "volume" : "76" }, "uris" : [ "http://www.mendeley.com/documents/?uuid=6d57291e-479b-41c0-b697-48236abf8b0d" ] } ], "mendeley" : { "formattedCitation" : "(Castilla-G\u00f3mez &amp; Herrera-Herbert, 2015)", "plainTextFormattedCitation" : "(Castilla-G\u00f3mez &amp; Herrera-Herbert, 2015)", "previouslyFormattedCitation" : "(Castilla-G\u00f3mez &amp; Herrera-Herbert, 2015)" }, "properties" : { "noteIndex" : 0 }, "schema" : "https://github.com/citation-style-language/schema/raw/master/csl-citation.json" }</w:instrText>
      </w:r>
      <w:r w:rsidR="00E74605" w:rsidRPr="000E0F90">
        <w:rPr>
          <w:rFonts w:ascii="Arial" w:hAnsi="Arial" w:cs="Arial"/>
          <w:color w:val="000000" w:themeColor="text1"/>
        </w:rPr>
        <w:fldChar w:fldCharType="separate"/>
      </w:r>
      <w:r w:rsidR="00E74605" w:rsidRPr="000E0F90">
        <w:rPr>
          <w:rFonts w:ascii="Arial" w:hAnsi="Arial" w:cs="Arial"/>
          <w:noProof/>
          <w:color w:val="000000" w:themeColor="text1"/>
        </w:rPr>
        <w:t>(Castilla-Gómez &amp; Herrera-Herbert, 2015)</w:t>
      </w:r>
      <w:r w:rsidR="00E74605" w:rsidRPr="000E0F90">
        <w:rPr>
          <w:rFonts w:ascii="Arial" w:hAnsi="Arial" w:cs="Arial"/>
          <w:color w:val="000000" w:themeColor="text1"/>
        </w:rPr>
        <w:fldChar w:fldCharType="end"/>
      </w:r>
      <w:r w:rsidRPr="000E0F90">
        <w:rPr>
          <w:rFonts w:ascii="Arial" w:hAnsi="Arial" w:cs="Arial"/>
          <w:color w:val="000000" w:themeColor="text1"/>
        </w:rPr>
        <w:t xml:space="preserve">. A los cuales se suman los impactos  en la salud y seguridad humana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"10.1016/j.jclepro.2009.04.013", "ISSN" : "09596526", "author" : [ { "dropping-particle" : "", "family" : "Worrall", "given" : "Rhys", "non-dropping-particle" : "", "parse-names" : false, "suffix" : "" }, { "dropping-particle" : "", "family" : "Neil", "given" : "David", "non-dropping-particle" : "", "parse-names" : false, "suffix" : "" }, { "dropping-particle" : "", "family" : "Brereton", "given" : "David", "non-dropping-particle" : "", "parse-names" : false, "suffix" : "" }, { "dropping-particle" : "", "family" : "Mulligan", "given" : "David", "non-dropping-particle" : "", "parse-names" : false, "suffix" : "" } ], "container-title" : "Journal of Cleaner Production", "id" : "ITEM-1", "issue" : "16", "issued" : { "date-parts" : [ [ "2009", "11" ] ] }, "page" : "1426-1434", "publisher" : "Elsevier Ltd", "title" : "Towards a sustainability criteria and indicators framework for legacy mine land", "type" : "article-journal", "volume" : "17" }, "uris" : [ "http://www.mendeley.com/documents/?uuid=ab575b20-fa72-4f71-9cda-8dfefeac6b76" ] } ], "mendeley" : { "formattedCitation" : "(Worrall et al., 2009)", "plainTextFormattedCitation" : "(Worrall et al., 2009)", "previouslyFormattedCitation" : "(Worrall et al., 2009)"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(Worrall et al., 2009)</w:t>
      </w:r>
      <w:r w:rsidRPr="000E0F90">
        <w:rPr>
          <w:rFonts w:ascii="Arial" w:hAnsi="Arial" w:cs="Arial"/>
          <w:color w:val="000000" w:themeColor="text1"/>
        </w:rPr>
        <w:fldChar w:fldCharType="end"/>
      </w:r>
      <w:r w:rsidRPr="000E0F90">
        <w:rPr>
          <w:rFonts w:ascii="Arial" w:hAnsi="Arial" w:cs="Arial"/>
          <w:color w:val="000000" w:themeColor="text1"/>
        </w:rPr>
        <w:t xml:space="preserve">. Estos impactos se asocian mayormente con las etapas iniciales de cadena productiva, en donde la extracción, procesamiento y refinamiento de los minerales presentan los mayores costos ambientales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"10.1016/j.gloenvcha.2011.08.009", "ISSN" : "09593780", "author" : [ { "dropping-particle" : "", "family" : "Prior", "given" : "T.", "non-dropping-particle" : "", "parse-names" : false, "suffix" : "" }, { "dropping-particle" : "", "family" : "Giurco", "given" : "D.", "non-dropping-particle" : "", "parse-names" : false, "suffix" : "" }, { "dropping-particle" : "", "family" : "Mudd", "given" : "G.", "non-dropping-particle" : "", "parse-names" : false, "suffix" : "" }, { "dropping-particle" : "", "family" : "Mason", "given" : "L.", "non-dropping-particle" : "", "parse-names" : false, "suffix" : "" }, { "dropping-particle" : "", "family" : "Behrisch", "given" : "J.", "non-dropping-particle" : "", "parse-names" : false, "suffix" : "" } ], "container-title" : "Global Environmental Change", "id" : "ITEM-1", "issue" : "3", "issued" : { "date-parts" : [ [ "2012", "8" ] ] }, "page" : "577-587", "publisher" : "Elsevier Ltd", "title" : "Resource depletion, peak minerals and the implications for sustainable resource management", "type" : "article-journal", "volume" : "22" }, "uris" : [ "http://www.mendeley.com/documents/?uuid=2b8380be-be24-4e89-8599-74078f32fe15" ] } ], "mendeley" : { "formattedCitation" : "(Prior et al., 2012)", "plainTextFormattedCitation" : "(Prior et al., 2012)", "previouslyFormattedCitation" : "(Prior et al., 2012)"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(Prior et al., 2012)</w:t>
      </w:r>
      <w:r w:rsidRPr="000E0F90">
        <w:rPr>
          <w:rFonts w:ascii="Arial" w:hAnsi="Arial" w:cs="Arial"/>
          <w:color w:val="000000" w:themeColor="text1"/>
        </w:rPr>
        <w:fldChar w:fldCharType="end"/>
      </w:r>
      <w:r w:rsidRPr="000E0F90">
        <w:rPr>
          <w:rFonts w:ascii="Arial" w:hAnsi="Arial" w:cs="Arial"/>
          <w:color w:val="000000" w:themeColor="text1"/>
        </w:rPr>
        <w:t>.</w:t>
      </w:r>
    </w:p>
    <w:p w:rsidR="00AB16D8" w:rsidRPr="000E0F90" w:rsidRDefault="00B64699" w:rsidP="002B538F">
      <w:pPr>
        <w:spacing w:line="360" w:lineRule="auto"/>
        <w:rPr>
          <w:rFonts w:ascii="Arial" w:hAnsi="Arial" w:cs="Arial"/>
          <w:color w:val="000000" w:themeColor="text1"/>
        </w:rPr>
      </w:pPr>
      <w:r w:rsidRPr="000E0F90">
        <w:rPr>
          <w:rFonts w:ascii="Arial" w:hAnsi="Arial" w:cs="Arial"/>
          <w:color w:val="000000" w:themeColor="text1"/>
        </w:rPr>
        <w:t>Posterior al cierre de faenas, se evidencian impactos ambientales en l</w:t>
      </w:r>
      <w:r w:rsidR="00544DAA" w:rsidRPr="000E0F90">
        <w:rPr>
          <w:rFonts w:ascii="Arial" w:hAnsi="Arial" w:cs="Arial"/>
          <w:color w:val="000000" w:themeColor="text1"/>
        </w:rPr>
        <w:t>os</w:t>
      </w:r>
      <w:r w:rsidRPr="000E0F90">
        <w:rPr>
          <w:rFonts w:ascii="Arial" w:hAnsi="Arial" w:cs="Arial"/>
          <w:color w:val="000000" w:themeColor="text1"/>
        </w:rPr>
        <w:t xml:space="preserve"> territorio</w:t>
      </w:r>
      <w:r w:rsidR="00544DAA" w:rsidRPr="000E0F90">
        <w:rPr>
          <w:rFonts w:ascii="Arial" w:hAnsi="Arial" w:cs="Arial"/>
          <w:color w:val="000000" w:themeColor="text1"/>
        </w:rPr>
        <w:t>s</w:t>
      </w:r>
      <w:r w:rsidRPr="000E0F90">
        <w:rPr>
          <w:rFonts w:ascii="Arial" w:hAnsi="Arial" w:cs="Arial"/>
          <w:color w:val="000000" w:themeColor="text1"/>
        </w:rPr>
        <w:t xml:space="preserve">, </w:t>
      </w:r>
      <w:r w:rsidR="00DD0B08" w:rsidRPr="000E0F90">
        <w:rPr>
          <w:rFonts w:ascii="Arial" w:hAnsi="Arial" w:cs="Arial"/>
          <w:color w:val="000000" w:themeColor="text1"/>
        </w:rPr>
        <w:t>señalando</w:t>
      </w:r>
      <w:r w:rsidR="00544DAA" w:rsidRPr="000E0F90">
        <w:rPr>
          <w:rFonts w:ascii="Arial" w:hAnsi="Arial" w:cs="Arial"/>
          <w:color w:val="000000" w:themeColor="text1"/>
        </w:rPr>
        <w:t xml:space="preserve"> el alcance</w:t>
      </w:r>
      <w:r w:rsidRPr="000E0F90">
        <w:rPr>
          <w:rFonts w:ascii="Arial" w:hAnsi="Arial" w:cs="Arial"/>
          <w:color w:val="000000" w:themeColor="text1"/>
        </w:rPr>
        <w:t xml:space="preserve"> espacial y temporal </w:t>
      </w:r>
      <w:r w:rsidR="00DD0B08" w:rsidRPr="000E0F90">
        <w:rPr>
          <w:rFonts w:ascii="Arial" w:hAnsi="Arial" w:cs="Arial"/>
          <w:color w:val="000000" w:themeColor="text1"/>
        </w:rPr>
        <w:t>de la actividad</w:t>
      </w:r>
      <w:r w:rsidR="00341DA0" w:rsidRPr="000E0F90">
        <w:rPr>
          <w:rFonts w:ascii="Arial" w:hAnsi="Arial" w:cs="Arial"/>
          <w:color w:val="000000" w:themeColor="text1"/>
        </w:rPr>
        <w:t xml:space="preserve">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"10.1146/annurev.energy.28.011503.163434", "ISSN" : "1543-5938", "author" : [ { "dropping-particle" : "", "family" : "Bridge", "given" : "Gavin", "non-dropping-particle" : "", "parse-names" : false, "suffix" : "" } ], "container-title" : "Annual Review of Environment and Resources", "id" : "ITEM-1", "issue" : "1", "issued" : { "date-parts" : [ [ "2004", "11", "21" ] ] }, "page" : "205-259", "title" : "CONTESTED TERRAIN: Mining and the Environment", "type" : "article-journal", "volume" : "29" }, "uris" : [ "http://www.mendeley.com/documents/?uuid=3856b087-468f-47e0-aa60-26b2415a5e72" ] } ], "mendeley" : { "formattedCitation" : "(Bridge, 2004)", "plainTextFormattedCitation" : "(Bridge, 2004)", "previouslyFormattedCitation" : "(Bridge, 2004)"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(Bridge, 2004)</w:t>
      </w:r>
      <w:r w:rsidRPr="000E0F90">
        <w:rPr>
          <w:rFonts w:ascii="Arial" w:hAnsi="Arial" w:cs="Arial"/>
          <w:color w:val="000000" w:themeColor="text1"/>
        </w:rPr>
        <w:fldChar w:fldCharType="end"/>
      </w:r>
      <w:r w:rsidRPr="000E0F90">
        <w:rPr>
          <w:rFonts w:ascii="Arial" w:hAnsi="Arial" w:cs="Arial"/>
          <w:color w:val="000000" w:themeColor="text1"/>
        </w:rPr>
        <w:t xml:space="preserve">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"author" : [ { "dropping-particle" : "", "family" : "Amezaga", "given" : "Jaime M", "non-dropping-particle" : "", "parse-names" : false, "suffix" : "" }, { "dropping-particle" : "", "family" : "Younger", "given" : "Paul L", "non-dropping-particle" : "", "parse-names" : false, "suffix" : "" }, { "dropping-particle" : "", "family" : "U", "given" : "Ricardo Oyarz", "non-dropping-particle" : "", "parse-names" : false, "suffix" : "" }, { "dropping-particle" : "", "family" : "Mayor", "given" : "Universidad", "non-dropping-particle" : "", "parse-names" : false, "suffix" : "" }, { "dropping-particle" : "", "family" : "Andre", "given" : "De San", "non-dropping-particle" : "", "parse-names" : false, "suffix" : "" } ], "id" : "ITEM-1", "issued" : { "date-parts" : [ [ "2011" ] ] }, "page" : "21-26", "title" : "A Rich Vein ? Mining and the Pursuit of Sustainability \u2020", "type" : "article-journal" }, "uris" : [ "http://www.mendeley.com/documents/?uuid=23d694c8-9bfc-4f5f-a048-d902336bb8e3" ] } ], "mendeley" : { "formattedCitation" : "(Amezaga et al., 2011)", "plainTextFormattedCitation" : "(Amezaga et al., 2011)", "previouslyFormattedCitation" : "(Amezaga et al., 2011)"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(Amezaga et al., 2011)</w:t>
      </w:r>
      <w:r w:rsidRPr="000E0F90">
        <w:rPr>
          <w:rFonts w:ascii="Arial" w:hAnsi="Arial" w:cs="Arial"/>
          <w:color w:val="000000" w:themeColor="text1"/>
        </w:rPr>
        <w:fldChar w:fldCharType="end"/>
      </w:r>
      <w:r w:rsidRPr="000E0F90">
        <w:rPr>
          <w:rFonts w:ascii="Arial" w:hAnsi="Arial" w:cs="Arial"/>
          <w:color w:val="000000" w:themeColor="text1"/>
        </w:rPr>
        <w:t xml:space="preserve">. </w:t>
      </w:r>
      <w:r w:rsidR="00AB16D8" w:rsidRPr="000E0F90">
        <w:rPr>
          <w:rFonts w:ascii="Arial" w:hAnsi="Arial" w:cs="Arial"/>
          <w:color w:val="000000" w:themeColor="text1"/>
        </w:rPr>
        <w:t xml:space="preserve">Los territorios de legado, son resultantes de la actividad minera del pasado, y presentan desde una mínima perturbación a un daño catastrófico, evidenciando consecuencias sociales, abarcando aspectos de salud y seguridad humana, y ecosistémicas </w:t>
      </w:r>
      <w:r w:rsidR="00AB16D8" w:rsidRPr="000E0F90">
        <w:rPr>
          <w:rFonts w:ascii="Arial" w:hAnsi="Arial" w:cs="Arial"/>
          <w:color w:val="000000" w:themeColor="text1"/>
        </w:rPr>
        <w:fldChar w:fldCharType="begin" w:fldLock="1"/>
      </w:r>
      <w:r w:rsidR="00AB16D8" w:rsidRPr="000E0F90">
        <w:rPr>
          <w:rFonts w:ascii="Arial" w:hAnsi="Arial" w:cs="Arial"/>
          <w:color w:val="000000" w:themeColor="text1"/>
        </w:rPr>
        <w:instrText>ADDIN CSL_CITATION { "citationItems" : [ { "id" : "ITEM-1", "itemData" : { "DOI" : "10.1016/j.jclepro.2009.04.013", "ISSN" : "09596526", "author" : [ { "dropping-particle" : "", "family" : "Worrall", "given" : "Rhys", "non-dropping-particle" : "", "parse-names" : false, "suffix" : "" }, { "dropping-particle" : "", "family" : "Neil", "given" : "David", "non-dropping-particle" : "", "parse-names" : false, "suffix" : "" }, { "dropping-particle" : "", "family" : "Brereton", "given" : "David", "non-dropping-particle" : "", "parse-names" : false, "suffix" : "" }, { "dropping-particle" : "", "family" : "Mulligan", "given" : "David", "non-dropping-particle" : "", "parse-names" : false, "suffix" : "" } ], "container-title" : "Journal of Cleaner Production", "id" : "ITEM-1", "issue" : "16", "issued" : { "date-parts" : [ [ "2009", "11" ] ] }, "page" : "1426-1434", "publisher" : "Elsevier Ltd", "title" : "Towards a sustainability criteria and indicators framework for legacy mine land", "type" : "article-journal", "volume" : "17" }, "uris" : [ "http://www.mendeley.com/documents/?uuid=ab575b20-fa72-4f71-9cda-8dfefeac6b76" ] } ], "mendeley" : { "formattedCitation" : "(Worrall et al., 2009)", "plainTextFormattedCitation" : "(Worrall et al., 2009)", "previouslyFormattedCitation" : "(Worrall et al., 2009)" }, "properties" : { "noteIndex" : 0 }, "schema" : "https://github.com/citation-style-language/schema/raw/master/csl-citation.json" }</w:instrText>
      </w:r>
      <w:r w:rsidR="00AB16D8" w:rsidRPr="000E0F90">
        <w:rPr>
          <w:rFonts w:ascii="Arial" w:hAnsi="Arial" w:cs="Arial"/>
          <w:color w:val="000000" w:themeColor="text1"/>
        </w:rPr>
        <w:fldChar w:fldCharType="separate"/>
      </w:r>
      <w:r w:rsidR="00AB16D8" w:rsidRPr="000E0F90">
        <w:rPr>
          <w:rFonts w:ascii="Arial" w:hAnsi="Arial" w:cs="Arial"/>
          <w:noProof/>
          <w:color w:val="000000" w:themeColor="text1"/>
        </w:rPr>
        <w:t>(Worrall et al., 2009)</w:t>
      </w:r>
      <w:r w:rsidR="00AB16D8" w:rsidRPr="000E0F90">
        <w:rPr>
          <w:rFonts w:ascii="Arial" w:hAnsi="Arial" w:cs="Arial"/>
          <w:color w:val="000000" w:themeColor="text1"/>
        </w:rPr>
        <w:fldChar w:fldCharType="end"/>
      </w:r>
      <w:r w:rsidR="00AB16D8" w:rsidRPr="000E0F90">
        <w:rPr>
          <w:rFonts w:ascii="Arial" w:hAnsi="Arial" w:cs="Arial"/>
          <w:color w:val="000000" w:themeColor="text1"/>
        </w:rPr>
        <w:t>.</w:t>
      </w:r>
    </w:p>
    <w:p w:rsidR="00B64699" w:rsidRPr="000E0F90" w:rsidRDefault="00B64699" w:rsidP="002B538F">
      <w:pPr>
        <w:spacing w:line="360" w:lineRule="auto"/>
        <w:rPr>
          <w:rFonts w:ascii="Arial" w:hAnsi="Arial" w:cs="Arial"/>
          <w:color w:val="000000" w:themeColor="text1"/>
        </w:rPr>
      </w:pPr>
      <w:r w:rsidRPr="000E0F90">
        <w:rPr>
          <w:rFonts w:ascii="Arial" w:hAnsi="Arial" w:cs="Arial"/>
          <w:color w:val="000000" w:themeColor="text1"/>
        </w:rPr>
        <w:lastRenderedPageBreak/>
        <w:t xml:space="preserve">Dentro de los impactos medioambientales de legado se encuentra: alteración de paisajes, cavitaciones, botaderos, </w:t>
      </w:r>
      <w:r w:rsidR="001C61B7" w:rsidRPr="000E0F90">
        <w:rPr>
          <w:rFonts w:ascii="Arial" w:hAnsi="Arial" w:cs="Arial"/>
          <w:color w:val="000000" w:themeColor="text1"/>
        </w:rPr>
        <w:t>túneles</w:t>
      </w:r>
      <w:r w:rsidRPr="000E0F90">
        <w:rPr>
          <w:rFonts w:ascii="Arial" w:hAnsi="Arial" w:cs="Arial"/>
          <w:color w:val="000000" w:themeColor="text1"/>
        </w:rPr>
        <w:t xml:space="preserve"> abiertos, hundimiento de terreno, instalaciones de relaves, plantas abandonadas, erosión de geomorfología, pérdida de vegetación, contaminación de agua y suelo, por drenaje acido, descarga de metales incremento carga de sedimentos y contaminación por hidrocarburos</w:t>
      </w:r>
      <w:r w:rsidR="00E74605" w:rsidRPr="000E0F90">
        <w:rPr>
          <w:rFonts w:ascii="Arial" w:hAnsi="Arial" w:cs="Arial"/>
          <w:color w:val="000000" w:themeColor="text1"/>
        </w:rPr>
        <w:t xml:space="preserve"> </w:t>
      </w:r>
      <w:r w:rsidR="00E74605" w:rsidRPr="000E0F90">
        <w:rPr>
          <w:rFonts w:ascii="Arial" w:hAnsi="Arial" w:cs="Arial"/>
          <w:color w:val="000000" w:themeColor="text1"/>
        </w:rPr>
        <w:fldChar w:fldCharType="begin" w:fldLock="1"/>
      </w:r>
      <w:r w:rsidR="00E74605" w:rsidRPr="000E0F90">
        <w:rPr>
          <w:rFonts w:ascii="Arial" w:hAnsi="Arial" w:cs="Arial"/>
          <w:color w:val="000000" w:themeColor="text1"/>
        </w:rPr>
        <w:instrText>ADDIN CSL_CITATION { "citationItems" : [ { "id" : "ITEM-1", "itemData" : { "DOI" : "10.1016/j.jclepro.2009.04.013", "ISSN" : "09596526", "author" : [ { "dropping-particle" : "", "family" : "Worrall", "given" : "Rhys", "non-dropping-particle" : "", "parse-names" : false, "suffix" : "" }, { "dropping-particle" : "", "family" : "Neil", "given" : "David", "non-dropping-particle" : "", "parse-names" : false, "suffix" : "" }, { "dropping-particle" : "", "family" : "Brereton", "given" : "David", "non-dropping-particle" : "", "parse-names" : false, "suffix" : "" }, { "dropping-particle" : "", "family" : "Mulligan", "given" : "David", "non-dropping-particle" : "", "parse-names" : false, "suffix" : "" } ], "container-title" : "Journal of Cleaner Production", "id" : "ITEM-1", "issue" : "16", "issued" : { "date-parts" : [ [ "2009", "11" ] ] }, "page" : "1426-1434", "publisher" : "Elsevier Ltd", "title" : "Towards a sustainability criteria and indicators framework for legacy mine land", "type" : "article-journal", "volume" : "17" }, "uris" : [ "http://www.mendeley.com/documents/?uuid=ab575b20-fa72-4f71-9cda-8dfefeac6b76" ] } ], "mendeley" : { "formattedCitation" : "(Worrall et al., 2009)", "plainTextFormattedCitation" : "(Worrall et al., 2009)", "previouslyFormattedCitation" : "(Worrall et al., 2009)" }, "properties" : { "noteIndex" : 0 }, "schema" : "https://github.com/citation-style-language/schema/raw/master/csl-citation.json" }</w:instrText>
      </w:r>
      <w:r w:rsidR="00E74605" w:rsidRPr="000E0F90">
        <w:rPr>
          <w:rFonts w:ascii="Arial" w:hAnsi="Arial" w:cs="Arial"/>
          <w:color w:val="000000" w:themeColor="text1"/>
        </w:rPr>
        <w:fldChar w:fldCharType="separate"/>
      </w:r>
      <w:r w:rsidR="00E74605" w:rsidRPr="000E0F90">
        <w:rPr>
          <w:rFonts w:ascii="Arial" w:hAnsi="Arial" w:cs="Arial"/>
          <w:noProof/>
          <w:color w:val="000000" w:themeColor="text1"/>
        </w:rPr>
        <w:t>(Worrall et al., 2009)</w:t>
      </w:r>
      <w:r w:rsidR="00E74605" w:rsidRPr="000E0F90">
        <w:rPr>
          <w:rFonts w:ascii="Arial" w:hAnsi="Arial" w:cs="Arial"/>
          <w:color w:val="000000" w:themeColor="text1"/>
        </w:rPr>
        <w:fldChar w:fldCharType="end"/>
      </w:r>
      <w:r w:rsidR="00E74605" w:rsidRPr="000E0F90">
        <w:rPr>
          <w:rFonts w:ascii="Arial" w:hAnsi="Arial" w:cs="Arial"/>
          <w:color w:val="000000" w:themeColor="text1"/>
        </w:rPr>
        <w:t>.</w:t>
      </w:r>
      <w:r w:rsidRPr="000E0F90">
        <w:rPr>
          <w:rFonts w:ascii="Arial" w:hAnsi="Arial" w:cs="Arial"/>
          <w:color w:val="000000" w:themeColor="text1"/>
        </w:rPr>
        <w:t xml:space="preserve"> Con </w:t>
      </w:r>
      <w:r w:rsidR="001C61B7" w:rsidRPr="000E0F90">
        <w:rPr>
          <w:rFonts w:ascii="Arial" w:hAnsi="Arial" w:cs="Arial"/>
          <w:color w:val="000000" w:themeColor="text1"/>
        </w:rPr>
        <w:t>consecuencias</w:t>
      </w:r>
      <w:r w:rsidRPr="000E0F90">
        <w:rPr>
          <w:rFonts w:ascii="Arial" w:hAnsi="Arial" w:cs="Arial"/>
          <w:color w:val="000000" w:themeColor="text1"/>
        </w:rPr>
        <w:t xml:space="preserve"> en el ámbito social, por pérdida de tierras potencialmente productivas, depreciación de las tierras, afectando actividades productivas de la cuenca como ganadería y agricultura. Por otra parte los efectos en la sa</w:t>
      </w:r>
      <w:r w:rsidR="001C61B7" w:rsidRPr="000E0F90">
        <w:rPr>
          <w:rFonts w:ascii="Arial" w:hAnsi="Arial" w:cs="Arial"/>
          <w:color w:val="000000" w:themeColor="text1"/>
        </w:rPr>
        <w:t>lud y seguridad humana, y las pé</w:t>
      </w:r>
      <w:r w:rsidRPr="000E0F90">
        <w:rPr>
          <w:rFonts w:ascii="Arial" w:hAnsi="Arial" w:cs="Arial"/>
          <w:color w:val="000000" w:themeColor="text1"/>
        </w:rPr>
        <w:t xml:space="preserve">rdidas de fuentes de trabajo y reducción de la actividad </w:t>
      </w:r>
      <w:r w:rsidR="001C61B7" w:rsidRPr="000E0F90">
        <w:rPr>
          <w:rFonts w:ascii="Arial" w:hAnsi="Arial" w:cs="Arial"/>
          <w:color w:val="000000" w:themeColor="text1"/>
        </w:rPr>
        <w:t>económica</w:t>
      </w:r>
      <w:r w:rsidRPr="000E0F90">
        <w:rPr>
          <w:rFonts w:ascii="Arial" w:hAnsi="Arial" w:cs="Arial"/>
          <w:color w:val="000000" w:themeColor="text1"/>
        </w:rPr>
        <w:t xml:space="preserve"> local, son consecuencias de estos territorios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"10.1016/j.jclepro.2009.04.013", "ISSN" : "09596526", "author" : [ { "dropping-particle" : "", "family" : "Worrall", "given" : "Rhys", "non-dropping-particle" : "", "parse-names" : false, "suffix" : "" }, { "dropping-particle" : "", "family" : "Neil", "given" : "David", "non-dropping-particle" : "", "parse-names" : false, "suffix" : "" }, { "dropping-particle" : "", "family" : "Brereton", "given" : "David", "non-dropping-particle" : "", "parse-names" : false, "suffix" : "" }, { "dropping-particle" : "", "family" : "Mulligan", "given" : "David", "non-dropping-particle" : "", "parse-names" : false, "suffix" : "" } ], "container-title" : "Journal of Cleaner Production", "id" : "ITEM-1", "issue" : "16", "issued" : { "date-parts" : [ [ "2009", "11" ] ] }, "page" : "1426-1434", "publisher" : "Elsevier Ltd", "title" : "Towards a sustainability criteria and indicators framework for legacy mine land", "type" : "article-journal", "volume" : "17" }, "uris" : [ "http://www.mendeley.com/documents/?uuid=ab575b20-fa72-4f71-9cda-8dfefeac6b76" ] } ], "mendeley" : { "formattedCitation" : "(Worrall et al., 2009)", "plainTextFormattedCitation" : "(Worrall et al., 2009)", "previouslyFormattedCitation" : "(Worrall et al., 2009)"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(Worrall et al., 2009)</w:t>
      </w:r>
      <w:r w:rsidRPr="000E0F90">
        <w:rPr>
          <w:rFonts w:ascii="Arial" w:hAnsi="Arial" w:cs="Arial"/>
          <w:color w:val="000000" w:themeColor="text1"/>
        </w:rPr>
        <w:fldChar w:fldCharType="end"/>
      </w:r>
      <w:r w:rsidRPr="000E0F90">
        <w:rPr>
          <w:rFonts w:ascii="Arial" w:hAnsi="Arial" w:cs="Arial"/>
          <w:color w:val="000000" w:themeColor="text1"/>
        </w:rPr>
        <w:t xml:space="preserve">. </w:t>
      </w:r>
    </w:p>
    <w:p w:rsidR="00DD0B08" w:rsidRPr="000E0F90" w:rsidRDefault="00DD0B08" w:rsidP="002B538F">
      <w:pPr>
        <w:spacing w:line="360" w:lineRule="auto"/>
        <w:rPr>
          <w:rFonts w:ascii="Arial" w:hAnsi="Arial" w:cs="Arial"/>
          <w:color w:val="000000" w:themeColor="text1"/>
          <w:lang w:eastAsia="es-CL"/>
        </w:rPr>
      </w:pPr>
      <w:r w:rsidRPr="000E0F90">
        <w:rPr>
          <w:rFonts w:ascii="Arial" w:hAnsi="Arial" w:cs="Arial"/>
          <w:color w:val="000000" w:themeColor="text1"/>
        </w:rPr>
        <w:t xml:space="preserve">Respecto a la restauración de una operación minera, alcanzar un estado igual o superior a la condición pre minera, dependerá de la operación, el sitio, estado actual, entre otros, lo cual no siempre será posible de realizar a una escala de tiempo humana, tanto por un tema de costos o bien por la magnitud del deterioro provocado por la actividad, imposibilitando el desarrollo de otros usos de suelo, quedando los territorios baldíos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"author" : [ { "dropping-particle" : "", "family" : "Amezaga", "given" : "Jaime M", "non-dropping-particle" : "", "parse-names" : false, "suffix" : "" }, { "dropping-particle" : "", "family" : "Younger", "given" : "Paul L", "non-dropping-particle" : "", "parse-names" : false, "suffix" : "" }, { "dropping-particle" : "", "family" : "U", "given" : "Ricardo Oyarz", "non-dropping-particle" : "", "parse-names" : false, "suffix" : "" }, { "dropping-particle" : "", "family" : "Mayor", "given" : "Universidad", "non-dropping-particle" : "", "parse-names" : false, "suffix" : "" }, { "dropping-particle" : "", "family" : "Andre", "given" : "De San", "non-dropping-particle" : "", "parse-names" : false, "suffix" : "" } ], "id" : "ITEM-1", "issued" : { "date-parts" : [ [ "2011" ] ] }, "page" : "21-26", "title" : "A Rich Vein ? Mining and the Pursuit of Sustainability \u2020", "type" : "article-journal" }, "uris" : [ "http://www.mendeley.com/documents/?uuid=23d694c8-9bfc-4f5f-a048-d902336bb8e3" ] } ], "mendeley" : { "formattedCitation" : "(Amezaga et al., 2011)", "plainTextFormattedCitation" : "(Amezaga et al., 2011)", "previouslyFormattedCitation" : "(Amezaga et al., 2011)"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(Amezaga et al., 2011)</w:t>
      </w:r>
      <w:r w:rsidRPr="000E0F90">
        <w:rPr>
          <w:rFonts w:ascii="Arial" w:hAnsi="Arial" w:cs="Arial"/>
          <w:color w:val="000000" w:themeColor="text1"/>
        </w:rPr>
        <w:fldChar w:fldCharType="end"/>
      </w:r>
      <w:r w:rsidRPr="000E0F90">
        <w:rPr>
          <w:rFonts w:ascii="Arial" w:hAnsi="Arial" w:cs="Arial"/>
          <w:color w:val="000000" w:themeColor="text1"/>
        </w:rPr>
        <w:t xml:space="preserve">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"10.1016/j.jclepro.2009.04.013", "ISSN" : "09596526", "author" : [ { "dropping-particle" : "", "family" : "Worrall", "given" : "Rhys", "non-dropping-particle" : "", "parse-names" : false, "suffix" : "" }, { "dropping-particle" : "", "family" : "Neil", "given" : "David", "non-dropping-particle" : "", "parse-names" : false, "suffix" : "" }, { "dropping-particle" : "", "family" : "Brereton", "given" : "David", "non-dropping-particle" : "", "parse-names" : false, "suffix" : "" }, { "dropping-particle" : "", "family" : "Mulligan", "given" : "David", "non-dropping-particle" : "", "parse-names" : false, "suffix" : "" } ], "container-title" : "Journal of Cleaner Production", "id" : "ITEM-1", "issue" : "16", "issued" : { "date-parts" : [ [ "2009", "11" ] ] }, "page" : "1426-1434", "publisher" : "Elsevier Ltd", "title" : "Towards a sustainability criteria and indicators framework for legacy mine land", "type" : "article-journal", "volume" : "17" }, "uris" : [ "http://www.mendeley.com/documents/?uuid=ab575b20-fa72-4f71-9cda-8dfefeac6b76" ] } ], "mendeley" : { "formattedCitation" : "(Worrall et al., 2009)", "plainTextFormattedCitation" : "(Worrall et al., 2009)", "previouslyFormattedCitation" : "(Worrall et al., 2009)"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(Worrall et al., 2009)</w:t>
      </w:r>
      <w:r w:rsidRPr="000E0F90">
        <w:rPr>
          <w:rFonts w:ascii="Arial" w:hAnsi="Arial" w:cs="Arial"/>
          <w:color w:val="000000" w:themeColor="text1"/>
        </w:rPr>
        <w:fldChar w:fldCharType="end"/>
      </w:r>
      <w:r w:rsidRPr="000E0F90">
        <w:rPr>
          <w:rFonts w:ascii="Arial" w:hAnsi="Arial" w:cs="Arial"/>
          <w:color w:val="000000" w:themeColor="text1"/>
        </w:rPr>
        <w:t xml:space="preserve">. </w:t>
      </w:r>
    </w:p>
    <w:p w:rsidR="00B64699" w:rsidRPr="000E0F90" w:rsidRDefault="00B64699" w:rsidP="002B538F">
      <w:pPr>
        <w:spacing w:line="360" w:lineRule="auto"/>
        <w:rPr>
          <w:rFonts w:ascii="Arial" w:hAnsi="Arial" w:cs="Arial"/>
          <w:color w:val="000000" w:themeColor="text1"/>
        </w:rPr>
      </w:pPr>
      <w:r w:rsidRPr="000E0F90">
        <w:rPr>
          <w:rFonts w:ascii="Arial" w:hAnsi="Arial" w:cs="Arial"/>
          <w:color w:val="000000" w:themeColor="text1"/>
        </w:rPr>
        <w:t xml:space="preserve">Adicionalmente los impactos de la minería pueden extenderse a otros territorios, debiendo ser considerados los impactos a nivel de ecosistemas, siendo estos impactos descritos como “efectos sombra” o “efectos de derrame”.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"10.1016/j.jclepro.2009.04.013", "ISSN" : "09596526", "author" : [ { "dropping-particle" : "", "family" : "Worrall", "given" : "Rhys", "non-dropping-particle" : "", "parse-names" : false, "suffix" : "" }, { "dropping-particle" : "", "family" : "Neil", "given" : "David", "non-dropping-particle" : "", "parse-names" : false, "suffix" : "" }, { "dropping-particle" : "", "family" : "Brereton", "given" : "David", "non-dropping-particle" : "", "parse-names" : false, "suffix" : "" }, { "dropping-particle" : "", "family" : "Mulligan", "given" : "David", "non-dropping-particle" : "", "parse-names" : false, "suffix" : "" } ], "container-title" : "Journal of Cleaner Production", "id" : "ITEM-1", "issue" : "16", "issued" : { "date-parts" : [ [ "2009", "11" ] ] }, "page" : "1426-1434", "publisher" : "Elsevier Ltd", "title" : "Towards a sustainability criteria and indicators framework for legacy mine land", "type" : "article-journal", "volume" : "17" }, "uris" : [ "http://www.mendeley.com/documents/?uuid=ab575b20-fa72-4f71-9cda-8dfefeac6b76" ] } ], "mendeley" : { "formattedCitation" : "(Worrall et al., 2009)", "plainTextFormattedCitation" : "(Worrall et al., 2009)", "previouslyFormattedCitation" : "(Worrall et al., 2009)"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(Worrall et al., 2009)</w:t>
      </w:r>
      <w:r w:rsidRPr="000E0F90">
        <w:rPr>
          <w:rFonts w:ascii="Arial" w:hAnsi="Arial" w:cs="Arial"/>
          <w:color w:val="000000" w:themeColor="text1"/>
        </w:rPr>
        <w:fldChar w:fldCharType="end"/>
      </w:r>
      <w:r w:rsidRPr="000E0F90">
        <w:rPr>
          <w:rFonts w:ascii="Arial" w:hAnsi="Arial" w:cs="Arial"/>
          <w:color w:val="000000" w:themeColor="text1"/>
        </w:rPr>
        <w:t xml:space="preserve"> plantea que si bien los impactos medioambientales de la actividad se manifiestan especialmente a nivel local y en algunos casos a escala regional, puede alcanzar en algunos casos escala internacional, como es el caso de las emisiones contaminantes. Desde esta perspectiva,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"10.1146/annurev.energy.28.011503.163434", "ISSN" : "1543-5938", "author" : [ { "dropping-particle" : "", "family" : "Bridge", "given" : "Gavin", "non-dropping-particle" : "", "parse-names" : false, "suffix" : "" } ], "container-title" : "Annual Review of Environment and Resources", "id" : "ITEM-1", "issue" : "1", "issued" : { "date-parts" : [ [ "2004", "11", "21" ] ] }, "page" : "205-259", "title" : "CONTESTED TERRAIN: Mining and the Environment", "type" : "article-journal", "volume" : "29" }, "uris" : [ "http://www.mendeley.com/documents/?uuid=3856b087-468f-47e0-aa60-26b2415a5e72" ] } ], "mendeley" : { "formattedCitation" : "(Bridge, 2004)", "manualFormatting" : "Bridge (2004)", "plainTextFormattedCitation" : "(Bridge, 2004)", "previouslyFormattedCitation" : "(Bridge, 2004)"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Bridge (2004)</w:t>
      </w:r>
      <w:r w:rsidRPr="000E0F90">
        <w:rPr>
          <w:rFonts w:ascii="Arial" w:hAnsi="Arial" w:cs="Arial"/>
          <w:color w:val="000000" w:themeColor="text1"/>
        </w:rPr>
        <w:fldChar w:fldCharType="end"/>
      </w:r>
      <w:r w:rsidRPr="000E0F90">
        <w:rPr>
          <w:rFonts w:ascii="Arial" w:hAnsi="Arial" w:cs="Arial"/>
          <w:color w:val="000000" w:themeColor="text1"/>
        </w:rPr>
        <w:t>, señala que la liberación de contaminantes al agua y aire, así como los desechos sólidos afectan la productividad primaria de los ecosistemas receptores; interfieren en los procesos biogeoquímicos a escalas regionales y globales (uso de energía provenientes de fuentes generadoras de carbono contribuyendo al ciclo global de carbono); provocando cambio de cubierta, fragmentación de hábitats y efectos asociados a la biodiversidad, a escalas locales y regionales.</w:t>
      </w:r>
    </w:p>
    <w:p w:rsidR="00B64699" w:rsidRPr="000E0F90" w:rsidRDefault="00B64699" w:rsidP="002B538F">
      <w:pPr>
        <w:spacing w:after="0" w:line="360" w:lineRule="auto"/>
        <w:jc w:val="left"/>
        <w:rPr>
          <w:rFonts w:ascii="Arial" w:hAnsi="Arial" w:cs="Arial"/>
          <w:b/>
          <w:color w:val="000000" w:themeColor="text1"/>
        </w:rPr>
      </w:pPr>
      <w:r w:rsidRPr="000E0F90">
        <w:rPr>
          <w:rFonts w:ascii="Arial" w:hAnsi="Arial" w:cs="Arial"/>
          <w:b/>
          <w:color w:val="000000" w:themeColor="text1"/>
        </w:rPr>
        <w:t xml:space="preserve">Alteración del paisaje: </w:t>
      </w:r>
    </w:p>
    <w:p w:rsidR="00B64699" w:rsidRPr="000E0F90" w:rsidRDefault="00B64699" w:rsidP="002B538F">
      <w:pPr>
        <w:spacing w:line="360" w:lineRule="auto"/>
        <w:rPr>
          <w:rFonts w:ascii="Arial" w:hAnsi="Arial" w:cs="Arial"/>
          <w:color w:val="000000" w:themeColor="text1"/>
        </w:rPr>
      </w:pPr>
      <w:r w:rsidRPr="000E0F90">
        <w:rPr>
          <w:rFonts w:ascii="Arial" w:hAnsi="Arial" w:cs="Arial"/>
          <w:color w:val="000000" w:themeColor="text1"/>
        </w:rPr>
        <w:t xml:space="preserve">La minería posee una potente capacidad de transformar el paisaje, tanto física como cultural, lo cual se evidencia por la gran cantidad de movimientos de tierra que realiza </w:t>
      </w:r>
      <w:r w:rsidRPr="000E0F90">
        <w:rPr>
          <w:rFonts w:ascii="Arial" w:hAnsi="Arial" w:cs="Arial"/>
          <w:color w:val="000000" w:themeColor="text1"/>
        </w:rPr>
        <w:lastRenderedPageBreak/>
        <w:t xml:space="preserve">la actividad, así como por la cantidad de instalaciones que forjan este nuevo paisaje, como son las canteras, botaderos, relaves instalaciones para faenas, entre otros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"10.1146/annurev.energy.28.011503.163434", "ISSN" : "1543-5938", "author" : [ { "dropping-particle" : "", "family" : "Bridge", "given" : "Gavin", "non-dropping-particle" : "", "parse-names" : false, "suffix" : "" } ], "container-title" : "Annual Review of Environment and Resources", "id" : "ITEM-1", "issue" : "1", "issued" : { "date-parts" : [ [ "2004", "11", "21" ] ] }, "page" : "205-259", "title" : "CONTESTED TERRAIN: Mining and the Environment", "type" : "article-journal", "volume" : "29" }, "uris" : [ "http://www.mendeley.com/documents/?uuid=3856b087-468f-47e0-aa60-26b2415a5e72" ] } ], "mendeley" : { "formattedCitation" : "(Bridge, 2004)", "plainTextFormattedCitation" : "(Bridge, 2004)", "previouslyFormattedCitation" : "(Bridge, 2004)"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(Bridge, 2004)</w:t>
      </w:r>
      <w:r w:rsidRPr="000E0F90">
        <w:rPr>
          <w:rFonts w:ascii="Arial" w:hAnsi="Arial" w:cs="Arial"/>
          <w:color w:val="000000" w:themeColor="text1"/>
        </w:rPr>
        <w:fldChar w:fldCharType="end"/>
      </w:r>
      <w:r w:rsidRPr="000E0F90">
        <w:rPr>
          <w:rFonts w:ascii="Arial" w:hAnsi="Arial" w:cs="Arial"/>
          <w:color w:val="000000" w:themeColor="text1"/>
        </w:rPr>
        <w:t xml:space="preserve">. Esta transformación del paisaje, remodela la topografía local, altera sistemas hídricos, repliega otros usos de la tierra y perturba patrones de vegetación, pudiendo ser considerada como una acción destructiva, antiestética y perturbadora desde la perspectiva ecológica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"author" : [ { "dropping-particle" : "", "family" : "Brereton", "given" : "David", "non-dropping-particle" : "", "parse-names" : false, "suffix" : "" }, { "dropping-particle" : "", "family" : "Forbes", "given" : "Peter", "non-dropping-particle" : "", "parse-names" : false, "suffix" : "" } ], "id" : "ITEM-1", "issue" : "October", "issued" : { "date-parts" : [ [ "2004" ] ] }, "page" : "1-16", "title" : "MONITORING THE IMPACT OF MINING ON LOCAL COMMUNITIES :", "type" : "article-journal" }, "uris" : [ "http://www.mendeley.com/documents/?uuid=baad46e9-2718-45d3-abe0-bd23e355cc48" ] }, { "id" : "ITEM-2", "itemData" : { "DOI" : "10.1080/10643389.2012.672086", "ISSN" : "1064-3389", "author" : [ { "dropping-particle" : "", "family" : "Pokhrel", "given" : "Lok R.", "non-dropping-particle" : "", "parse-names" : false, "suffix" : "" }, { "dropping-particle" : "", "family" : "Dubey", "given" : "Brajesh", "non-dropping-particle" : "", "parse-names" : false, "suffix" : "" } ], "container-title" : "Critical Reviews in Environmental Science and Technology", "id" : "ITEM-2", "issue" : "21", "issued" : { "date-parts" : [ [ "2013", "1" ] ] }, "page" : "2352-2388", "title" : "Global Scenarios of Metal Mining, Environmental Repercussions, Public Policies, and Sustainability: A Review", "type" : "article-journal", "volume" : "43" }, "uris" : [ "http://www.mendeley.com/documents/?uuid=14ca50ec-28b7-4b2c-8a70-269b84b94b1c" ] } ], "mendeley" : { "formattedCitation" : "(Brereton &amp; Forbes, 2004; Pokhrel &amp; Dubey, 2013)", "plainTextFormattedCitation" : "(Brereton &amp; Forbes, 2004; Pokhrel &amp; Dubey, 2013)", "previouslyFormattedCitation" : "(Brereton &amp; Forbes, 2004; Pokhrel &amp; Dubey, 2013)"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(Brereton &amp; Forbes, 2004; Pokhrel &amp; Dubey, 2013)</w:t>
      </w:r>
      <w:r w:rsidRPr="000E0F90">
        <w:rPr>
          <w:rFonts w:ascii="Arial" w:hAnsi="Arial" w:cs="Arial"/>
          <w:color w:val="000000" w:themeColor="text1"/>
        </w:rPr>
        <w:fldChar w:fldCharType="end"/>
      </w:r>
      <w:r w:rsidRPr="000E0F90">
        <w:rPr>
          <w:rFonts w:ascii="Arial" w:hAnsi="Arial" w:cs="Arial"/>
          <w:color w:val="000000" w:themeColor="text1"/>
        </w:rPr>
        <w:t xml:space="preserve">. No obstante, introduce también nuevas estructuras y significados al paisaje, las cuales pueden llegar a ser consideradas como patrimonio histórico y cultural para las comunidades locales y globales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"10.1016/j.ecolecon.2007.06.023", "ISSN" : "09218009", "author" : [ { "dropping-particle" : "", "family" : "Conesa", "given" : "H\u00e9ctor M.", "non-dropping-particle" : "", "parse-names" : false, "suffix" : "" }, { "dropping-particle" : "", "family" : "Schulin", "given" : "Rainer", "non-dropping-particle" : "", "parse-names" : false, "suffix" : "" }, { "dropping-particle" : "", "family" : "Nowack", "given" : "Bernd", "non-dropping-particle" : "", "parse-names" : false, "suffix" : "" } ], "container-title" : "Ecological Economics", "id" : "ITEM-1", "issue" : "4", "issued" : { "date-parts" : [ [ "2008", "2" ] ] }, "page" : "690-700", "title" : "Mining landscape: A cultural tourist opportunity or an environmental problem?", "type" : "article-journal", "volume" : "64" }, "uris" : [ "http://www.mendeley.com/documents/?uuid=13212f05-b384-4c9e-be50-1b5cbb168971" ] } ], "mendeley" : { "formattedCitation" : "(Conesa, Schulin, &amp; Nowack, 2008)", "plainTextFormattedCitation" : "(Conesa, Schulin, &amp; Nowack, 2008)", "previouslyFormattedCitation" : "(Conesa, Schulin, &amp; Nowack, 2008)"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(Conesa, Schulin, &amp; Nowack, 2008)</w:t>
      </w:r>
      <w:r w:rsidRPr="000E0F90">
        <w:rPr>
          <w:rFonts w:ascii="Arial" w:hAnsi="Arial" w:cs="Arial"/>
          <w:color w:val="000000" w:themeColor="text1"/>
        </w:rPr>
        <w:fldChar w:fldCharType="end"/>
      </w:r>
      <w:r w:rsidRPr="000E0F90">
        <w:rPr>
          <w:rFonts w:ascii="Arial" w:hAnsi="Arial" w:cs="Arial"/>
          <w:color w:val="000000" w:themeColor="text1"/>
        </w:rPr>
        <w:t xml:space="preserve">. </w:t>
      </w:r>
    </w:p>
    <w:p w:rsidR="00B64699" w:rsidRPr="000E0F90" w:rsidRDefault="00B64699" w:rsidP="002B538F">
      <w:pPr>
        <w:spacing w:line="360" w:lineRule="auto"/>
        <w:rPr>
          <w:rFonts w:ascii="Arial" w:hAnsi="Arial" w:cs="Arial"/>
          <w:color w:val="000000" w:themeColor="text1"/>
        </w:rPr>
      </w:pPr>
      <w:r w:rsidRPr="000E0F90">
        <w:rPr>
          <w:rFonts w:ascii="Arial" w:hAnsi="Arial" w:cs="Arial"/>
          <w:color w:val="000000" w:themeColor="text1"/>
        </w:rPr>
        <w:t xml:space="preserve">Los desechos mineros sólidos y su depósito en el suelo, son considerados como uno de los principales impactos ambientales de la actividad, a raíz de la magnitud de desechos removidos por la industria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"10.1146/annurev.energy.28.011503.163434", "ISSN" : "1543-5938", "author" : [ { "dropping-particle" : "", "family" : "Bridge", "given" : "Gavin", "non-dropping-particle" : "", "parse-names" : false, "suffix" : "" } ], "container-title" : "Annual Review of Environment and Resources", "id" : "ITEM-1", "issue" : "1", "issued" : { "date-parts" : [ [ "2004", "11", "21" ] ] }, "page" : "205-259", "title" : "CONTESTED TERRAIN: Mining and the Environment", "type" : "article-journal", "volume" : "29" }, "uris" : [ "http://www.mendeley.com/documents/?uuid=3856b087-468f-47e0-aa60-26b2415a5e72" ] } ], "mendeley" : { "formattedCitation" : "(Bridge, 2004)", "plainTextFormattedCitation" : "(Bridge, 2004)", "previouslyFormattedCitation" : "(Bridge, 2004)"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(Bridge, 2004)</w:t>
      </w:r>
      <w:r w:rsidRPr="000E0F90">
        <w:rPr>
          <w:rFonts w:ascii="Arial" w:hAnsi="Arial" w:cs="Arial"/>
          <w:color w:val="000000" w:themeColor="text1"/>
        </w:rPr>
        <w:fldChar w:fldCharType="end"/>
      </w:r>
      <w:r w:rsidRPr="000E0F90">
        <w:rPr>
          <w:rFonts w:ascii="Arial" w:hAnsi="Arial" w:cs="Arial"/>
          <w:color w:val="000000" w:themeColor="text1"/>
        </w:rPr>
        <w:t xml:space="preserve">. Los desechos sólidos se generan tanto para acceder al mineral, como parte el procesamiento de éste, es decir, desde la etapa exploratoria hasta la refinación. Siendo un proceso extremadamente desfavorable desde el punto vista de la proporción de desechos sólidos generados para obtener metales, así como también por la pérdida de ecosistemas y hábitats asociados (Douglas &amp; Lawson (2002) y en especial para la minería del cobre a rajo abierto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"author" : [ { "dropping-particle" : "", "family" : "Schildermans", "given" : "Peter", "non-dropping-particle" : "", "parse-names" : false, "suffix" : "" } ], "id" : "ITEM-1", "issued" : { "date-parts" : [ [ "2011" ] ] }, "note" : "NULL", "page" : "256", "title" : "The Chilean copper industry towards a more ecologically durable exploitation ?", "type" : "article-journal" }, "uris" : [ "http://www.mendeley.com/documents/?uuid=b25a2fcc-89a4-4984-9241-223ea94111a8" ] } ], "mendeley" : { "formattedCitation" : "(Schildermans, 2011)", "plainTextFormattedCitation" : "(Schildermans, 2011)", "previouslyFormattedCitation" : "(Schildermans, 2011)"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(Schildermans, 2011)</w:t>
      </w:r>
      <w:r w:rsidRPr="000E0F90">
        <w:rPr>
          <w:rFonts w:ascii="Arial" w:hAnsi="Arial" w:cs="Arial"/>
          <w:color w:val="000000" w:themeColor="text1"/>
        </w:rPr>
        <w:fldChar w:fldCharType="end"/>
      </w:r>
      <w:r w:rsidRPr="000E0F90">
        <w:rPr>
          <w:rFonts w:ascii="Arial" w:hAnsi="Arial" w:cs="Arial"/>
          <w:color w:val="000000" w:themeColor="text1"/>
        </w:rPr>
        <w:t xml:space="preserve">. Más aún si se considera la tendencia de conversión de minas subterráneas a minas a tajo abierto, así como la expansión de diversas operaciones observada en el último tiempo, por tanto se espera que aumente en gran magnitud la cantidad de inertes generados en el futuro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"10.1016/j.resourpol.2009.12.001", "ISSN" : "03014207", "author" : [ { "dropping-particle" : "", "family" : "Mudd", "given" : "Gavin M.", "non-dropping-particle" : "", "parse-names" : false, "suffix" : "" } ], "container-title" : "Resources Policy", "id" : "ITEM-1", "issue" : "2", "issued" : { "date-parts" : [ [ "2010", "6" ] ] }, "page" : "98-115", "publisher" : "Elsevier", "title" : "The Environmental sustainability of mining in Australia: key mega-trends and looming constraints", "type" : "article-journal", "volume" : "35" }, "uris" : [ "http://www.mendeley.com/documents/?uuid=ff129118-ca05-46c3-9832-36feaf335780" ] }, { "id" : "ITEM-2", "itemData" : { "DOI" : "10.1016/j.gloenvcha.2011.08.009", "ISSN" : "09593780", "author" : [ { "dropping-particle" : "", "family" : "Prior", "given" : "T.", "non-dropping-particle" : "", "parse-names" : false, "suffix" : "" }, { "dropping-particle" : "", "family" : "Giurco", "given" : "D.", "non-dropping-particle" : "", "parse-names" : false, "suffix" : "" }, { "dropping-particle" : "", "family" : "Mudd", "given" : "G.", "non-dropping-particle" : "", "parse-names" : false, "suffix" : "" }, { "dropping-particle" : "", "family" : "Mason", "given" : "L.", "non-dropping-particle" : "", "parse-names" : false, "suffix" : "" }, { "dropping-particle" : "", "family" : "Behrisch", "given" : "J.", "non-dropping-particle" : "", "parse-names" : false, "suffix" : "" } ], "container-title" : "Global Environmental Change", "id" : "ITEM-2", "issue" : "3", "issued" : { "date-parts" : [ [ "2012", "8" ] ] }, "page" : "577-587", "publisher" : "Elsevier Ltd", "title" : "Resource depletion, peak minerals and the implications for sustainable resource management", "type" : "article-journal", "volume" : "22" }, "uris" : [ "http://www.mendeley.com/documents/?uuid=2b8380be-be24-4e89-8599-74078f32fe15" ] } ], "mendeley" : { "formattedCitation" : "(Gavin M. Mudd, 2010; Prior et al., 2012)", "plainTextFormattedCitation" : "(Gavin M. Mudd, 2010; Prior et al., 2012)", "previouslyFormattedCitation" : "(Gavin M. Mudd, 2010; Prior et al., 2012)"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(Gavin M. Mudd, 2010; Prior et al., 2012)</w:t>
      </w:r>
      <w:r w:rsidRPr="000E0F90">
        <w:rPr>
          <w:rFonts w:ascii="Arial" w:hAnsi="Arial" w:cs="Arial"/>
          <w:color w:val="000000" w:themeColor="text1"/>
        </w:rPr>
        <w:fldChar w:fldCharType="end"/>
      </w:r>
      <w:r w:rsidRPr="000E0F90">
        <w:rPr>
          <w:rFonts w:ascii="Arial" w:hAnsi="Arial" w:cs="Arial"/>
          <w:color w:val="000000" w:themeColor="text1"/>
        </w:rPr>
        <w:t xml:space="preserve">. </w:t>
      </w:r>
    </w:p>
    <w:p w:rsidR="00B64699" w:rsidRPr="000E0F90" w:rsidRDefault="00B64699" w:rsidP="002B538F">
      <w:pPr>
        <w:spacing w:line="360" w:lineRule="auto"/>
        <w:rPr>
          <w:rFonts w:ascii="Arial" w:hAnsi="Arial" w:cs="Arial"/>
          <w:color w:val="000000" w:themeColor="text1"/>
        </w:rPr>
      </w:pPr>
      <w:r w:rsidRPr="000E0F90">
        <w:rPr>
          <w:rFonts w:ascii="Arial" w:hAnsi="Arial" w:cs="Arial"/>
          <w:color w:val="000000" w:themeColor="text1"/>
        </w:rPr>
        <w:t xml:space="preserve">A pesar de la envergadura de desechos sólidos generados por la minería, y dado que la mayor cantidad y volumen de estos inertes se producen en fases iniciales de la extracción, como es la exploración y establecimiento de la mina, éstos no son desechos netamente contaminantes, ya que la concentración de los contaminantes se incrementa a medida que aumenta el grado de procesamiento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"10.1146/annurev.energy.28.011503.163434", "ISSN" : "1543-5938", "author" : [ { "dropping-particle" : "", "family" : "Bridge", "given" : "Gavin", "non-dropping-particle" : "", "parse-names" : false, "suffix" : "" } ], "container-title" : "Annual Review of Environment and Resources", "id" : "ITEM-1", "issue" : "1", "issued" : { "date-parts" : [ [ "2004", "11", "21" ] ] }, "page" : "205-259", "title" : "CONTESTED TERRAIN: Mining and the Environment", "type" : "article-journal", "volume" : "29" }, "uris" : [ "http://www.mendeley.com/documents/?uuid=3856b087-468f-47e0-aa60-26b2415a5e72" ] } ], "mendeley" : { "formattedCitation" : "(Bridge, 2004)", "plainTextFormattedCitation" : "(Bridge, 2004)", "previouslyFormattedCitation" : "(Bridge, 2004)"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(Bridge, 2004)</w:t>
      </w:r>
      <w:r w:rsidRPr="000E0F90">
        <w:rPr>
          <w:rFonts w:ascii="Arial" w:hAnsi="Arial" w:cs="Arial"/>
          <w:color w:val="000000" w:themeColor="text1"/>
        </w:rPr>
        <w:fldChar w:fldCharType="end"/>
      </w:r>
      <w:r w:rsidRPr="000E0F90">
        <w:rPr>
          <w:rFonts w:ascii="Arial" w:hAnsi="Arial" w:cs="Arial"/>
          <w:color w:val="000000" w:themeColor="text1"/>
        </w:rPr>
        <w:t xml:space="preserve">. Sin embargo, generan efectos que amenazan los ecosistemas locales, dada que esta gran cantidad de desechos que deben ser depositados, alterando el terreno, talando bosques, eliminando ecosistemas, siendo la superficie terrestre modificada fuertemente por la actividad minera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"author" : [ { "dropping-particle" : "", "family" : "Schildermans", "given" : "Peter", "non-dropping-particle" : "", "parse-names" : false, "suffix" : "" } ], "id" : "ITEM-1", "issued" : { "date-parts" : [ [ "2011" ] ] }, "note" : "NULL", "page" : "256", "title" : "The Chilean copper industry towards a more ecologically durable exploitation ?", "type" : "article-journal" }, "uris" : [ "http://www.mendeley.com/documents/?uuid=b25a2fcc-89a4-4984-9241-223ea94111a8" ] } ], "mendeley" : { "formattedCitation" : "(Schildermans, 2011)", "plainTextFormattedCitation" : "(Schildermans, 2011)", "previouslyFormattedCitation" : "(Schildermans, 2011)"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(Schildermans, 2011)</w:t>
      </w:r>
      <w:r w:rsidRPr="000E0F90">
        <w:rPr>
          <w:rFonts w:ascii="Arial" w:hAnsi="Arial" w:cs="Arial"/>
          <w:color w:val="000000" w:themeColor="text1"/>
        </w:rPr>
        <w:fldChar w:fldCharType="end"/>
      </w:r>
      <w:r w:rsidRPr="000E0F90">
        <w:rPr>
          <w:rFonts w:ascii="Arial" w:hAnsi="Arial" w:cs="Arial"/>
          <w:color w:val="000000" w:themeColor="text1"/>
        </w:rPr>
        <w:t>.</w:t>
      </w:r>
    </w:p>
    <w:p w:rsidR="002B538F" w:rsidRDefault="002B538F" w:rsidP="002B538F">
      <w:pPr>
        <w:spacing w:after="0" w:line="360" w:lineRule="auto"/>
        <w:rPr>
          <w:rFonts w:ascii="Arial" w:hAnsi="Arial" w:cs="Arial"/>
          <w:b/>
          <w:color w:val="000000" w:themeColor="text1"/>
        </w:rPr>
      </w:pPr>
    </w:p>
    <w:p w:rsidR="00B64699" w:rsidRPr="000E0F90" w:rsidRDefault="00B64699" w:rsidP="002B538F">
      <w:pPr>
        <w:spacing w:after="0" w:line="360" w:lineRule="auto"/>
        <w:rPr>
          <w:rFonts w:ascii="Arial" w:hAnsi="Arial" w:cs="Arial"/>
          <w:b/>
          <w:color w:val="000000" w:themeColor="text1"/>
        </w:rPr>
      </w:pPr>
      <w:r w:rsidRPr="000E0F90">
        <w:rPr>
          <w:rFonts w:ascii="Arial" w:hAnsi="Arial" w:cs="Arial"/>
          <w:b/>
          <w:color w:val="000000" w:themeColor="text1"/>
        </w:rPr>
        <w:lastRenderedPageBreak/>
        <w:t>Pérdida y contaminación de suelo:</w:t>
      </w:r>
    </w:p>
    <w:p w:rsidR="00B64699" w:rsidRPr="000E0F90" w:rsidRDefault="00B64699" w:rsidP="002B538F">
      <w:pPr>
        <w:spacing w:line="360" w:lineRule="auto"/>
        <w:rPr>
          <w:rFonts w:ascii="Arial" w:hAnsi="Arial" w:cs="Arial"/>
          <w:color w:val="000000" w:themeColor="text1"/>
        </w:rPr>
      </w:pPr>
      <w:r w:rsidRPr="000E0F90">
        <w:rPr>
          <w:rFonts w:ascii="Arial" w:hAnsi="Arial" w:cs="Arial"/>
          <w:color w:val="000000" w:themeColor="text1"/>
        </w:rPr>
        <w:t xml:space="preserve">El cambio de uso de suelo, es otro impacto de la actividad minera, el cual es de mayor magnitud al exhibido por otros usos de suelo, dado que la huella de las operaciones mineras se expande a través del tiempo, las áreas externas a las operación son extensivas y se incrementan en el tiempo, se generan impactos medioambientales y sociales por el uso directo o </w:t>
      </w:r>
      <w:r w:rsidR="001C61B7" w:rsidRPr="000E0F90">
        <w:rPr>
          <w:rFonts w:ascii="Arial" w:hAnsi="Arial" w:cs="Arial"/>
          <w:color w:val="000000" w:themeColor="text1"/>
        </w:rPr>
        <w:t>indirecto</w:t>
      </w:r>
      <w:r w:rsidRPr="000E0F90">
        <w:rPr>
          <w:rFonts w:ascii="Arial" w:hAnsi="Arial" w:cs="Arial"/>
          <w:color w:val="000000" w:themeColor="text1"/>
        </w:rPr>
        <w:t xml:space="preserve"> de los suelos mineros, lo cual es generalmente motivado por influencias globales, que no pueden ser controladas por el entorno local </w:t>
      </w:r>
      <w:r w:rsidRPr="000E0F90">
        <w:rPr>
          <w:rFonts w:ascii="Arial" w:hAnsi="Arial" w:cs="Arial"/>
          <w:color w:val="000000" w:themeColor="text1"/>
        </w:rPr>
        <w:fldChar w:fldCharType="begin" w:fldLock="1"/>
      </w:r>
      <w:r w:rsidR="005E5EE8" w:rsidRPr="000E0F90">
        <w:rPr>
          <w:rFonts w:ascii="Arial" w:hAnsi="Arial" w:cs="Arial"/>
          <w:color w:val="000000" w:themeColor="text1"/>
        </w:rPr>
        <w:instrText>ADDIN CSL_CITATION { "citationItems" : [ { "id" : "ITEM-1", "itemData" : { "DOI" : "10.1016/j.jclepro.2014.03.084", "ISBN" : "0959-6526", "ISSN" : "09596526", "abstract" : "Mining regions undergo abrupt and extensive land use change, the impacts of which pose management challenges for mining companies and regulatory agencies. In this study we investigated 20 years of land use change in Brazil's Iron Quadrangle (QF) mining region. We classified remote sensing images to produce land use maps and conducted a Land Change analysis to investigate the causes and consequences of observed changes. The QF underwent extensive land use change between 1990 and 2010, including deforestation, plantation expansion, urbanization and mine expansion. Comparing our results with those of surrounding non-mining landscapes illustrated important differences. For example, QF contained additional highly profitable land uses, including mining and plantation forestry, which were driven by globalized markets for mineral resources. This finding suggests processes of land use change within mining regions are distinct from those found elsewhere and, as such, land management policies should reflect this. We also hypothesized four generalizations regarding these processes: 1) the direct footprints of mining expands over time, 2) the offsite footprints of mining are extensive and also often expanding, 3) the direct and indirect land used by mines causes environmental and social impacts, some of which are not captured by current management approaches, and 4) the footprints of mining (and associated impacts) are driven by global factors, many of which are uncontrollable by local land holders and regional land management plans and policies. We describe and discuss these generalizations, drawing on published evidence from other mining regions to illustrate both their generality and implications for land management.", "author" : [ { "dropping-particle" : "", "family" : "Sonter", "given" : "Laura J.", "non-dropping-particle" : "", "parse-names" : false, "suffix" : "" }, { "dropping-particle" : "", "family" : "Moran", "given" : "Chris J.", "non-dropping-particle" : "", "parse-names" : false, "suffix" : "" }, { "dropping-particle" : "", "family" : "Barrett", "given" : "Damian J.", "non-dropping-particle" : "", "parse-names" : false, "suffix" : "" }, { "dropping-particle" : "", "family" : "Soares-Filho", "given" : "Britaldo S.", "non-dropping-particle" : "", "parse-names" : false, "suffix" : "" } ], "container-title" : "Journal of Cleaner Production", "id" : "ITEM-1", "issued" : { "date-parts" : [ [ "2014" ] ] }, "page" : "494-501", "publisher" : "Elsevier Ltd", "title" : "Processes of land use change in mining regions", "type" : "article-journal", "volume" : "84" }, "uris" : [ "http://www.mendeley.com/documents/?uuid=c45d5b19-aaec-45da-9405-12eb3d41da83" ] } ], "mendeley" : { "formattedCitation" : "(Sonter, Moran, Barrett, &amp; Soares-Filho, 2014)", "plainTextFormattedCitation" : "(Sonter, Moran, Barrett, &amp; Soares-Filho, 2014)", "previouslyFormattedCitation" : "(Sonter, Moran, Barrett, &amp; Soares-Filho, 2014)" }, "properties" : { "noteIndex" : 0 }, "schema" : "https://github.com/citation-style-language/schema/raw/master/csl-citation.json" }</w:instrText>
      </w:r>
      <w:r w:rsidRPr="000E0F90">
        <w:rPr>
          <w:rFonts w:ascii="Arial" w:hAnsi="Arial" w:cs="Arial"/>
          <w:color w:val="000000" w:themeColor="text1"/>
        </w:rPr>
        <w:fldChar w:fldCharType="separate"/>
      </w:r>
      <w:r w:rsidR="00CF11BB" w:rsidRPr="000E0F90">
        <w:rPr>
          <w:rFonts w:ascii="Arial" w:hAnsi="Arial" w:cs="Arial"/>
          <w:noProof/>
          <w:color w:val="000000" w:themeColor="text1"/>
        </w:rPr>
        <w:t>(Sonter, Moran, Barrett, &amp; Soares-Filho, 2014)</w:t>
      </w:r>
      <w:r w:rsidRPr="000E0F90">
        <w:rPr>
          <w:rFonts w:ascii="Arial" w:hAnsi="Arial" w:cs="Arial"/>
          <w:color w:val="000000" w:themeColor="text1"/>
        </w:rPr>
        <w:fldChar w:fldCharType="end"/>
      </w:r>
      <w:r w:rsidRPr="000E0F90">
        <w:rPr>
          <w:rFonts w:ascii="Arial" w:hAnsi="Arial" w:cs="Arial"/>
          <w:color w:val="000000" w:themeColor="text1"/>
        </w:rPr>
        <w:t xml:space="preserve">. </w:t>
      </w:r>
    </w:p>
    <w:p w:rsidR="00B64699" w:rsidRPr="000E0F90" w:rsidRDefault="00B64699" w:rsidP="002B538F">
      <w:pPr>
        <w:spacing w:line="360" w:lineRule="auto"/>
        <w:rPr>
          <w:rFonts w:ascii="Arial" w:hAnsi="Arial" w:cs="Arial"/>
          <w:color w:val="000000" w:themeColor="text1"/>
        </w:rPr>
      </w:pPr>
      <w:r w:rsidRPr="000E0F90">
        <w:rPr>
          <w:rFonts w:ascii="Arial" w:hAnsi="Arial" w:cs="Arial"/>
          <w:color w:val="000000" w:themeColor="text1"/>
        </w:rPr>
        <w:t xml:space="preserve">La contaminación del suelo proveniente de la minería puede comprometer grandes extensiones, dado que acumula contaminantes de la atmosfera, hidrosfera y litosfera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"author" : [ { "dropping-particle" : "", "family" : "Schildermans", "given" : "Peter", "non-dropping-particle" : "", "parse-names" : false, "suffix" : "" } ], "id" : "ITEM-1", "issued" : { "date-parts" : [ [ "2011" ] ] }, "note" : "NULL", "page" : "256", "title" : "The Chilean copper industry towards a more ecologically durable exploitation ?", "type" : "article-journal" }, "uris" : [ "http://www.mendeley.com/documents/?uuid=b25a2fcc-89a4-4984-9241-223ea94111a8" ] } ], "mendeley" : { "formattedCitation" : "(Schildermans, 2011)", "plainTextFormattedCitation" : "(Schildermans, 2011)", "previouslyFormattedCitation" : "(Schildermans, 2011)"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(Schildermans, 2011)</w:t>
      </w:r>
      <w:r w:rsidRPr="000E0F90">
        <w:rPr>
          <w:rFonts w:ascii="Arial" w:hAnsi="Arial" w:cs="Arial"/>
          <w:color w:val="000000" w:themeColor="text1"/>
        </w:rPr>
        <w:fldChar w:fldCharType="end"/>
      </w:r>
      <w:r w:rsidRPr="000E0F90">
        <w:rPr>
          <w:rFonts w:ascii="Arial" w:hAnsi="Arial" w:cs="Arial"/>
          <w:color w:val="000000" w:themeColor="text1"/>
        </w:rPr>
        <w:t xml:space="preserve">. Pudiendo originarse por la descarga y/o derrame de materiales tóxicos y por el depósito de partículas contaminadas diseminadas por el viento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"10.1080/17480930.2015.1128799", "ISSN" : "1748-0930", "abstract" : "Chile is the principal producer of copper with a total of 5.8\u00a0million tonnes fine copper production in 2013. Chilean mining industry currently faces a projected increase in waste production, depleting water resources in the arid mining regions of the north and a lack of fossil fuel energy sources. In this study, a review of the historical background of environmental practices in Chile is presented, focused between 1970 and 2010. A review of the current state of sustainable development, comprising energy, water, stakeholder participation, environmental impacts and institutional decentralisation in the mining industry is presented.", "author" : [ { "dropping-particle" : "", "family" : "Ghorbani", "given" : "Yousef", "non-dropping-particle" : "", "parse-names" : false, "suffix" : "" }, { "dropping-particle" : "", "family" : "Kuan", "given" : "Seng How", "non-dropping-particle" : "", "parse-names" : false, "suffix" : "" } ], "container-title" : "International Journal of Mining, Reclamation and Environment", "id" : "ITEM-1", "issue" : "February", "issued" : { "date-parts" : [ [ "2016" ] ] }, "note" : "NULL", "page" : "1-29", "publisher" : "Taylor &amp; Francis", "title" : "A review of sustainable development in the Chilean mining sector: past, present and future", "type" : "article-journal", "volume" : "0930" }, "uris" : [ "http://www.mendeley.com/documents/?uuid=ba6630bb-3cdb-4443-b119-f6b6f68bafa7" ] } ], "mendeley" : { "formattedCitation" : "(Ghorbani &amp; Kuan, 2016)", "plainTextFormattedCitation" : "(Ghorbani &amp; Kuan, 2016)", "previouslyFormattedCitation" : "(Ghorbani &amp; Kuan, 2016)"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(Ghorbani &amp; Kuan, 2016)</w:t>
      </w:r>
      <w:r w:rsidRPr="000E0F90">
        <w:rPr>
          <w:rFonts w:ascii="Arial" w:hAnsi="Arial" w:cs="Arial"/>
          <w:color w:val="000000" w:themeColor="text1"/>
        </w:rPr>
        <w:fldChar w:fldCharType="end"/>
      </w:r>
      <w:r w:rsidRPr="000E0F90">
        <w:rPr>
          <w:rFonts w:ascii="Arial" w:hAnsi="Arial" w:cs="Arial"/>
          <w:color w:val="000000" w:themeColor="text1"/>
        </w:rPr>
        <w:t xml:space="preserve">. La contaminación de suelo con diversos metales puede provocar la acidez del suelo, lo cual repercute en la sobrevida y propagación de comunidades bióticas y vegetación terrestre. Incluso se pueden afectar cultivos alimenticios que a su vez pueden provocar problemas de salud al ganado y seres humanos, al concentrar éstos metales tóxicos como plomo, mercurio y arsénico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"10.1080/10643389.2012.672086", "ISSN" : "1064-3389", "author" : [ { "dropping-particle" : "", "family" : "Pokhrel", "given" : "Lok R.", "non-dropping-particle" : "", "parse-names" : false, "suffix" : "" }, { "dropping-particle" : "", "family" : "Dubey", "given" : "Brajesh", "non-dropping-particle" : "", "parse-names" : false, "suffix" : "" } ], "container-title" : "Critical Reviews in Environmental Science and Technology", "id" : "ITEM-1", "issue" : "21", "issued" : { "date-parts" : [ [ "2013", "1" ] ] }, "page" : "2352-2388", "title" : "Global Scenarios of Metal Mining, Environmental Repercussions, Public Policies, and Sustainability: A Review", "type" : "article-journal", "volume" : "43" }, "uris" : [ "http://www.mendeley.com/documents/?uuid=14ca50ec-28b7-4b2c-8a70-269b84b94b1c" ] } ], "mendeley" : { "formattedCitation" : "(Pokhrel &amp; Dubey, 2013)", "plainTextFormattedCitation" : "(Pokhrel &amp; Dubey, 2013)", "previouslyFormattedCitation" : "(Pokhrel &amp; Dubey, 2013)"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(Pokhrel &amp; Dubey, 2013)</w:t>
      </w:r>
      <w:r w:rsidRPr="000E0F90">
        <w:rPr>
          <w:rFonts w:ascii="Arial" w:hAnsi="Arial" w:cs="Arial"/>
          <w:color w:val="000000" w:themeColor="text1"/>
        </w:rPr>
        <w:fldChar w:fldCharType="end"/>
      </w:r>
      <w:r w:rsidRPr="000E0F90">
        <w:rPr>
          <w:rFonts w:ascii="Arial" w:hAnsi="Arial" w:cs="Arial"/>
          <w:color w:val="000000" w:themeColor="text1"/>
        </w:rPr>
        <w:t>.</w:t>
      </w:r>
    </w:p>
    <w:p w:rsidR="00B64699" w:rsidRPr="000E0F90" w:rsidRDefault="00B64699" w:rsidP="002B538F">
      <w:pPr>
        <w:spacing w:after="0" w:line="360" w:lineRule="auto"/>
        <w:rPr>
          <w:rFonts w:ascii="Arial" w:hAnsi="Arial" w:cs="Arial"/>
          <w:b/>
          <w:color w:val="000000" w:themeColor="text1"/>
        </w:rPr>
      </w:pPr>
      <w:r w:rsidRPr="000E0F90">
        <w:rPr>
          <w:rFonts w:ascii="Arial" w:hAnsi="Arial" w:cs="Arial"/>
          <w:b/>
          <w:color w:val="000000" w:themeColor="text1"/>
        </w:rPr>
        <w:t xml:space="preserve">Recursos Hídricos: </w:t>
      </w:r>
    </w:p>
    <w:p w:rsidR="00B64699" w:rsidRPr="000E0F90" w:rsidRDefault="00B64699" w:rsidP="002B538F">
      <w:pPr>
        <w:spacing w:line="360" w:lineRule="auto"/>
        <w:rPr>
          <w:rFonts w:ascii="Arial" w:hAnsi="Arial" w:cs="Arial"/>
          <w:color w:val="000000" w:themeColor="text1"/>
        </w:rPr>
      </w:pPr>
      <w:r w:rsidRPr="000E0F90">
        <w:rPr>
          <w:rFonts w:ascii="Arial" w:hAnsi="Arial" w:cs="Arial"/>
          <w:color w:val="000000" w:themeColor="text1"/>
        </w:rPr>
        <w:t xml:space="preserve">El agua es un recurso que se requiere en forma ineludible en una faena minera, desde el uso para la supresión del polvo, procesamiento del mineral a la extracción </w:t>
      </w:r>
      <w:r w:rsidR="001C61B7" w:rsidRPr="000E0F90">
        <w:rPr>
          <w:rFonts w:ascii="Arial" w:hAnsi="Arial" w:cs="Arial"/>
          <w:color w:val="000000" w:themeColor="text1"/>
        </w:rPr>
        <w:t>hidrometalúrgica</w:t>
      </w:r>
      <w:r w:rsidRPr="000E0F90">
        <w:rPr>
          <w:rFonts w:ascii="Arial" w:hAnsi="Arial" w:cs="Arial"/>
          <w:color w:val="000000" w:themeColor="text1"/>
        </w:rPr>
        <w:t xml:space="preserve">, además del cierre de faenas mineras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"author" : [ { "dropping-particle" : "", "family" : "Schildermans", "given" : "Peter", "non-dropping-particle" : "", "parse-names" : false, "suffix" : "" } ], "id" : "ITEM-1", "issued" : { "date-parts" : [ [ "2011" ] ] }, "note" : "NULL", "page" : "256", "title" : "The Chilean copper industry towards a more ecologically durable exploitation ?", "type" : "article-journal" }, "uris" : [ "http://www.mendeley.com/documents/?uuid=b25a2fcc-89a4-4984-9241-223ea94111a8" ] } ], "mendeley" : { "formattedCitation" : "(Schildermans, 2011)", "plainTextFormattedCitation" : "(Schildermans, 2011)", "previouslyFormattedCitation" : "(Schildermans, 2011)"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(Schildermans, 2011)</w:t>
      </w:r>
      <w:r w:rsidRPr="000E0F90">
        <w:rPr>
          <w:rFonts w:ascii="Arial" w:hAnsi="Arial" w:cs="Arial"/>
          <w:color w:val="000000" w:themeColor="text1"/>
        </w:rPr>
        <w:fldChar w:fldCharType="end"/>
      </w:r>
      <w:r w:rsidRPr="000E0F90">
        <w:rPr>
          <w:rFonts w:ascii="Arial" w:hAnsi="Arial" w:cs="Arial"/>
          <w:color w:val="000000" w:themeColor="text1"/>
        </w:rPr>
        <w:t xml:space="preserve">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"author" : [ { "dropping-particle" : "", "family" : "Oyarz\u00fan", "given" : "J", "non-dropping-particle" : "", "parse-names" : false, "suffix" : "" }, { "dropping-particle" : "", "family" : "Oyarz\u00fan", "given" : "R", "non-dropping-particle" : "", "parse-names" : false, "suffix" : "" } ], "container-title" : "Sustainable Development", "id" : "ITEM-1", "issue" : "December 2009", "issued" : { "date-parts" : [ [ "2011" ] ] }, "page" : "263-274", "title" : "Sustainable Development Threats, Inter-Sector Confl icts and Environmental Policy Requirements in the Arid, Mining Rich, Northern Chile Territory", "type" : "article-journal", "volume" : "19" }, "uris" : [ "http://www.mendeley.com/documents/?uuid=928eabd5-0755-4c69-a4cc-894aa1284178" ] } ], "mendeley" : { "formattedCitation" : "(Oyarz\u00fan &amp; Oyarz\u00fan, 2011)", "plainTextFormattedCitation" : "(Oyarz\u00fan &amp; Oyarz\u00fan, 2011)", "previouslyFormattedCitation" : "(Oyarz\u00fan &amp; Oyarz\u00fan, 2011)"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(Oyarzún &amp; Oyarzún, 2011)</w:t>
      </w:r>
      <w:r w:rsidRPr="000E0F90">
        <w:rPr>
          <w:rFonts w:ascii="Arial" w:hAnsi="Arial" w:cs="Arial"/>
          <w:color w:val="000000" w:themeColor="text1"/>
        </w:rPr>
        <w:fldChar w:fldCharType="end"/>
      </w:r>
      <w:r w:rsidRPr="000E0F90">
        <w:rPr>
          <w:rFonts w:ascii="Arial" w:hAnsi="Arial" w:cs="Arial"/>
          <w:color w:val="000000" w:themeColor="text1"/>
        </w:rPr>
        <w:t xml:space="preserve">. Si bien, los efectos de la minería sobre los recursos hídricos dependerán de diversos factores, ya sea localización de la operación, tipo de mineral extraído, tecnologías utilizadas, entre otros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"10.1080/10643389.2012.672086", "ISSN" : "1064-3389", "author" : [ { "dropping-particle" : "", "family" : "Pokhrel", "given" : "Lok R.", "non-dropping-particle" : "", "parse-names" : false, "suffix" : "" }, { "dropping-particle" : "", "family" : "Dubey", "given" : "Brajesh", "non-dropping-particle" : "", "parse-names" : false, "suffix" : "" } ], "container-title" : "Critical Reviews in Environmental Science and Technology", "id" : "ITEM-1", "issue" : "21", "issued" : { "date-parts" : [ [ "2013", "1" ] ] }, "page" : "2352-2388", "title" : "Global Scenarios of Metal Mining, Environmental Repercussions, Public Policies, and Sustainability: A Review", "type" : "article-journal", "volume" : "43" }, "uris" : [ "http://www.mendeley.com/documents/?uuid=14ca50ec-28b7-4b2c-8a70-269b84b94b1c" ] } ], "mendeley" : { "formattedCitation" : "(Pokhrel &amp; Dubey, 2013)", "plainTextFormattedCitation" : "(Pokhrel &amp; Dubey, 2013)", "previouslyFormattedCitation" : "(Pokhrel &amp; Dubey, 2013)"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(Pokhrel &amp; Dubey, 2013)</w:t>
      </w:r>
      <w:r w:rsidRPr="000E0F90">
        <w:rPr>
          <w:rFonts w:ascii="Arial" w:hAnsi="Arial" w:cs="Arial"/>
          <w:color w:val="000000" w:themeColor="text1"/>
        </w:rPr>
        <w:fldChar w:fldCharType="end"/>
      </w:r>
      <w:r w:rsidRPr="000E0F90">
        <w:rPr>
          <w:rFonts w:ascii="Arial" w:hAnsi="Arial" w:cs="Arial"/>
          <w:color w:val="000000" w:themeColor="text1"/>
        </w:rPr>
        <w:t xml:space="preserve">. Los impactos en los recursos hídricos se centran en la reducción de la disponibilidad y alteración de la calidad del recurso, lo cual </w:t>
      </w:r>
      <w:r w:rsidR="001C61B7" w:rsidRPr="000E0F90">
        <w:rPr>
          <w:rFonts w:ascii="Arial" w:hAnsi="Arial" w:cs="Arial"/>
          <w:color w:val="000000" w:themeColor="text1"/>
        </w:rPr>
        <w:t>adquiere</w:t>
      </w:r>
      <w:r w:rsidRPr="000E0F90">
        <w:rPr>
          <w:rFonts w:ascii="Arial" w:hAnsi="Arial" w:cs="Arial"/>
          <w:color w:val="000000" w:themeColor="text1"/>
        </w:rPr>
        <w:t xml:space="preserve"> un mayor énfasis en territorios áridos donde el recurso es escaso, </w:t>
      </w:r>
      <w:r w:rsidR="001C61B7" w:rsidRPr="000E0F90">
        <w:rPr>
          <w:rFonts w:ascii="Arial" w:hAnsi="Arial" w:cs="Arial"/>
          <w:color w:val="000000" w:themeColor="text1"/>
        </w:rPr>
        <w:t>generándose</w:t>
      </w:r>
      <w:r w:rsidRPr="000E0F90">
        <w:rPr>
          <w:rFonts w:ascii="Arial" w:hAnsi="Arial" w:cs="Arial"/>
          <w:color w:val="000000" w:themeColor="text1"/>
        </w:rPr>
        <w:t xml:space="preserve"> competencia del uso, al ser demandada por la agricultura, así como por el ecosistema, y el uso humano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"10.1080/17480930.2015.1128799", "ISSN" : "1748-0930", "abstract" : "Chile is the principal producer of copper with a total of 5.8\u00a0million tonnes fine copper production in 2013. Chilean mining industry currently faces a projected increase in waste production, depleting water resources in the arid mining regions of the north and a lack of fossil fuel energy sources. In this study, a review of the historical background of environmental practices in Chile is presented, focused between 1970 and 2010. A review of the current state of sustainable development, comprising energy, water, stakeholder participation, environmental impacts and institutional decentralisation in the mining industry is presented.", "author" : [ { "dropping-particle" : "", "family" : "Ghorbani", "given" : "Yousef", "non-dropping-particle" : "", "parse-names" : false, "suffix" : "" }, { "dropping-particle" : "", "family" : "Kuan", "given" : "Seng How", "non-dropping-particle" : "", "parse-names" : false, "suffix" : "" } ], "container-title" : "International Journal of Mining, Reclamation and Environment", "id" : "ITEM-1", "issue" : "February", "issued" : { "date-parts" : [ [ "2016" ] ] }, "note" : "NULL", "page" : "1-29", "publisher" : "Taylor &amp; Francis", "title" : "A review of sustainable development in the Chilean mining sector: past, present and future", "type" : "article-journal", "volume" : "0930" }, "uris" : [ "http://www.mendeley.com/documents/?uuid=ba6630bb-3cdb-4443-b119-f6b6f68bafa7" ] } ], "mendeley" : { "formattedCitation" : "(Ghorbani &amp; Kuan, 2016)", "plainTextFormattedCitation" : "(Ghorbani &amp; Kuan, 2016)", "previouslyFormattedCitation" : "(Ghorbani &amp; Kuan, 2016)"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(Ghorbani &amp; Kuan, 2016)</w:t>
      </w:r>
      <w:r w:rsidRPr="000E0F90">
        <w:rPr>
          <w:rFonts w:ascii="Arial" w:hAnsi="Arial" w:cs="Arial"/>
          <w:color w:val="000000" w:themeColor="text1"/>
        </w:rPr>
        <w:fldChar w:fldCharType="end"/>
      </w:r>
      <w:r w:rsidRPr="000E0F90">
        <w:rPr>
          <w:rFonts w:ascii="Arial" w:hAnsi="Arial" w:cs="Arial"/>
          <w:color w:val="000000" w:themeColor="text1"/>
        </w:rPr>
        <w:t xml:space="preserve">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"author" : [ { "dropping-particle" : "", "family" : "Amezaga", "given" : "Jaime M", "non-dropping-particle" : "", "parse-names" : false, "suffix" : "" }, { "dropping-particle" : "", "family" : "Younger", "given" : "Paul L", "non-dropping-particle" : "", "parse-names" : false, "suffix" : "" }, { "dropping-particle" : "", "family" : "U", "given" : "Ricardo Oyarz", "non-dropping-particle" : "", "parse-names" : false, "suffix" : "" }, { "dropping-particle" : "", "family" : "Mayor", "given" : "Universidad", "non-dropping-particle" : "", "parse-names" : false, "suffix" : "" }, { "dropping-particle" : "", "family" : "Andre", "given" : "De San", "non-dropping-particle" : "", "parse-names" : false, "suffix" : "" } ], "id" : "ITEM-1", "issued" : { "date-parts" : [ [ "2011" ] ] }, "page" : "21-26", "title" : "A Rich Vein ? Mining and the Pursuit of Sustainability \u2020", "type" : "article-journal" }, "uris" : [ "http://www.mendeley.com/documents/?uuid=23d694c8-9bfc-4f5f-a048-d902336bb8e3" ] } ], "mendeley" : { "formattedCitation" : "(Amezaga et al., 2011)", "plainTextFormattedCitation" : "(Amezaga et al., 2011)", "previouslyFormattedCitation" : "(Amezaga et al., 2011)"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(Amezaga et al., 2011)</w:t>
      </w:r>
      <w:r w:rsidRPr="000E0F90">
        <w:rPr>
          <w:rFonts w:ascii="Arial" w:hAnsi="Arial" w:cs="Arial"/>
          <w:color w:val="000000" w:themeColor="text1"/>
        </w:rPr>
        <w:fldChar w:fldCharType="end"/>
      </w:r>
      <w:r w:rsidRPr="000E0F90">
        <w:rPr>
          <w:rFonts w:ascii="Arial" w:hAnsi="Arial" w:cs="Arial"/>
          <w:color w:val="000000" w:themeColor="text1"/>
        </w:rPr>
        <w:t>.</w:t>
      </w:r>
    </w:p>
    <w:p w:rsidR="00B64699" w:rsidRPr="000E0F90" w:rsidRDefault="00B64699" w:rsidP="002B538F">
      <w:pPr>
        <w:spacing w:line="360" w:lineRule="auto"/>
        <w:rPr>
          <w:rFonts w:ascii="Arial" w:hAnsi="Arial" w:cs="Arial"/>
          <w:color w:val="000000" w:themeColor="text1"/>
        </w:rPr>
      </w:pPr>
      <w:r w:rsidRPr="000E0F90">
        <w:rPr>
          <w:rFonts w:ascii="Arial" w:hAnsi="Arial" w:cs="Arial"/>
          <w:color w:val="000000" w:themeColor="text1"/>
        </w:rPr>
        <w:t xml:space="preserve">Dado que es un recurso necesario para el desarrollo de la actividad minera, se han identificado algunos efectos predominantes y recurrentes, a través de diversas </w:t>
      </w:r>
      <w:r w:rsidRPr="000E0F90">
        <w:rPr>
          <w:rFonts w:ascii="Arial" w:hAnsi="Arial" w:cs="Arial"/>
          <w:color w:val="000000" w:themeColor="text1"/>
        </w:rPr>
        <w:lastRenderedPageBreak/>
        <w:t xml:space="preserve">operaciones, como son: sedimentación de cuerpos de agua cercanos a las operaciones mineras, agotamiento de la capa freática producto del uso excesivo de agua para el procesamiento de minerales de baja ley, desvío de un sistema fluvial a una cantera para conversión a un lago tóxico, contaminación de las aguas receptoras debido a la excesivos protones y minerales metálicos lixiviados de la mina lo que podría resultar en el aumento de la acidez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"10.1080/10643389.2012.672086", "ISSN" : "1064-3389", "author" : [ { "dropping-particle" : "", "family" : "Pokhrel", "given" : "Lok R.", "non-dropping-particle" : "", "parse-names" : false, "suffix" : "" }, { "dropping-particle" : "", "family" : "Dubey", "given" : "Brajesh", "non-dropping-particle" : "", "parse-names" : false, "suffix" : "" } ], "container-title" : "Critical Reviews in Environmental Science and Technology", "id" : "ITEM-1", "issue" : "21", "issued" : { "date-parts" : [ [ "2013", "1" ] ] }, "page" : "2352-2388", "title" : "Global Scenarios of Metal Mining, Environmental Repercussions, Public Policies, and Sustainability: A Review", "type" : "article-journal", "volume" : "43" }, "uris" : [ "http://www.mendeley.com/documents/?uuid=14ca50ec-28b7-4b2c-8a70-269b84b94b1c" ] } ], "mendeley" : { "formattedCitation" : "(Pokhrel &amp; Dubey, 2013)", "plainTextFormattedCitation" : "(Pokhrel &amp; Dubey, 2013)", "previouslyFormattedCitation" : "(Pokhrel &amp; Dubey, 2013)"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(Pokhrel &amp; Dubey, 2013)</w:t>
      </w:r>
      <w:r w:rsidRPr="000E0F90">
        <w:rPr>
          <w:rFonts w:ascii="Arial" w:hAnsi="Arial" w:cs="Arial"/>
          <w:color w:val="000000" w:themeColor="text1"/>
        </w:rPr>
        <w:fldChar w:fldCharType="end"/>
      </w:r>
      <w:r w:rsidRPr="000E0F90">
        <w:rPr>
          <w:rFonts w:ascii="Arial" w:hAnsi="Arial" w:cs="Arial"/>
          <w:color w:val="000000" w:themeColor="text1"/>
        </w:rPr>
        <w:t xml:space="preserve">. En particular, los efectos en la calidad y cantidad del recurso hídrico pueden manifestarse agua mucho tiempo posterior al cierre de la operación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"author" : [ { "dropping-particle" : "", "family" : "Amezaga", "given" : "Jaime M", "non-dropping-particle" : "", "parse-names" : false, "suffix" : "" }, { "dropping-particle" : "", "family" : "Younger", "given" : "Paul L", "non-dropping-particle" : "", "parse-names" : false, "suffix" : "" }, { "dropping-particle" : "", "family" : "U", "given" : "Ricardo Oyarz", "non-dropping-particle" : "", "parse-names" : false, "suffix" : "" }, { "dropping-particle" : "", "family" : "Mayor", "given" : "Universidad", "non-dropping-particle" : "", "parse-names" : false, "suffix" : "" }, { "dropping-particle" : "", "family" : "Andre", "given" : "De San", "non-dropping-particle" : "", "parse-names" : false, "suffix" : "" } ], "id" : "ITEM-1", "issued" : { "date-parts" : [ [ "2011" ] ] }, "page" : "21-26", "title" : "A Rich Vein ? Mining and the Pursuit of Sustainability \u2020", "type" : "article-journal" }, "uris" : [ "http://www.mendeley.com/documents/?uuid=23d694c8-9bfc-4f5f-a048-d902336bb8e3" ] } ], "mendeley" : { "formattedCitation" : "(Amezaga et al., 2011)", "plainTextFormattedCitation" : "(Amezaga et al., 2011)", "previouslyFormattedCitation" : "(Amezaga et al., 2011)"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(Amezaga et al., 2011)</w:t>
      </w:r>
      <w:r w:rsidRPr="000E0F90">
        <w:rPr>
          <w:rFonts w:ascii="Arial" w:hAnsi="Arial" w:cs="Arial"/>
          <w:color w:val="000000" w:themeColor="text1"/>
        </w:rPr>
        <w:fldChar w:fldCharType="end"/>
      </w:r>
      <w:r w:rsidRPr="000E0F90">
        <w:rPr>
          <w:rFonts w:ascii="Arial" w:hAnsi="Arial" w:cs="Arial"/>
          <w:color w:val="000000" w:themeColor="text1"/>
        </w:rPr>
        <w:t>, por lo que no sólo se debe considerar la etapa extractiva, sino que posterior al cierre de faenas.</w:t>
      </w:r>
    </w:p>
    <w:p w:rsidR="00B64699" w:rsidRPr="000E0F90" w:rsidRDefault="00B64699" w:rsidP="002B538F">
      <w:pPr>
        <w:spacing w:line="360" w:lineRule="auto"/>
        <w:rPr>
          <w:rFonts w:ascii="Arial" w:hAnsi="Arial" w:cs="Arial"/>
          <w:color w:val="000000" w:themeColor="text1"/>
        </w:rPr>
      </w:pPr>
      <w:r w:rsidRPr="000E0F90">
        <w:rPr>
          <w:rFonts w:ascii="Arial" w:hAnsi="Arial" w:cs="Arial"/>
          <w:color w:val="000000" w:themeColor="text1"/>
        </w:rPr>
        <w:t>Entre los impactos, la contaminación de recursos hídricos debido</w:t>
      </w:r>
      <w:r w:rsidRPr="002613F4">
        <w:rPr>
          <w:rFonts w:ascii="Arial" w:hAnsi="Arial" w:cs="Arial"/>
          <w:color w:val="000000" w:themeColor="text1"/>
        </w:rPr>
        <w:t xml:space="preserve"> al drenaje ácido de rocas, </w:t>
      </w:r>
      <w:r w:rsidRPr="000E0F90">
        <w:rPr>
          <w:rFonts w:ascii="Arial" w:hAnsi="Arial" w:cs="Arial"/>
          <w:color w:val="000000" w:themeColor="text1"/>
        </w:rPr>
        <w:t xml:space="preserve">es considerado como uno de los impactos medioambientales más significativos sobre los recursos hídricos, debido a la zona de influencia que puede alcanzar, el cual puede expandirse aguas debajo de la zona de contaminación (Allan, 1995; Mitchell, PB. 2000); así como también por la duración del efecto, pudiendo incluso tener efectos irreversibles en los sitios contaminados, ya que el proceso se mantiene en forma indefinida, lo cual dificulta mucho su detención una vez iniciado (Allan, 1995). Es así como actividades pasadas y actuales pueden tener influencia en este fenómeno. Por otro lado, la caída del pH provoca la solubilidad de otros metales, los cuales, a menos que sean neutralizados, se encuentran presente junto con el drenaje de la mina (Como Aluminio, Arsénico, Cobre, Mercurio, plomo y zinc)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"10.1080/10643389.2012.672086", "ISSN" : "1064-3389", "author" : [ { "dropping-particle" : "", "family" : "Pokhrel", "given" : "Lok R.", "non-dropping-particle" : "", "parse-names" : false, "suffix" : "" }, { "dropping-particle" : "", "family" : "Dubey", "given" : "Brajesh", "non-dropping-particle" : "", "parse-names" : false, "suffix" : "" } ], "container-title" : "Critical Reviews in Environmental Science and Technology", "id" : "ITEM-1", "issue" : "21", "issued" : { "date-parts" : [ [ "2013", "1" ] ] }, "page" : "2352-2388", "title" : "Global Scenarios of Metal Mining, Environmental Repercussions, Public Policies, and Sustainability: A Review", "type" : "article-journal", "volume" : "43" }, "uris" : [ "http://www.mendeley.com/documents/?uuid=14ca50ec-28b7-4b2c-8a70-269b84b94b1c" ] } ], "mendeley" : { "formattedCitation" : "(Pokhrel &amp; Dubey, 2013)", "plainTextFormattedCitation" : "(Pokhrel &amp; Dubey, 2013)", "previouslyFormattedCitation" : "(Pokhrel &amp; Dubey, 2013)"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(Pokhrel &amp; Dubey, 2013)</w:t>
      </w:r>
      <w:r w:rsidRPr="000E0F90">
        <w:rPr>
          <w:rFonts w:ascii="Arial" w:hAnsi="Arial" w:cs="Arial"/>
          <w:color w:val="000000" w:themeColor="text1"/>
        </w:rPr>
        <w:fldChar w:fldCharType="end"/>
      </w:r>
      <w:r w:rsidRPr="000E0F90">
        <w:rPr>
          <w:rFonts w:ascii="Arial" w:hAnsi="Arial" w:cs="Arial"/>
          <w:color w:val="000000" w:themeColor="text1"/>
        </w:rPr>
        <w:t>.</w:t>
      </w:r>
    </w:p>
    <w:p w:rsidR="00B64699" w:rsidRPr="000E0F90" w:rsidRDefault="00B64699" w:rsidP="002B538F">
      <w:pPr>
        <w:spacing w:line="360" w:lineRule="auto"/>
        <w:rPr>
          <w:rFonts w:ascii="Arial" w:hAnsi="Arial" w:cs="Arial"/>
          <w:noProof/>
          <w:color w:val="000000" w:themeColor="text1"/>
          <w:lang w:eastAsia="es-CL"/>
        </w:rPr>
      </w:pPr>
      <w:r w:rsidRPr="000E0F90">
        <w:rPr>
          <w:rFonts w:ascii="Arial" w:hAnsi="Arial" w:cs="Arial"/>
          <w:noProof/>
          <w:color w:val="000000" w:themeColor="text1"/>
          <w:lang w:eastAsia="es-CL"/>
        </w:rPr>
        <w:t xml:space="preserve">Dado que los contaminantes vertidos a los cursos de agua, alcanzan el mar en algún momento, en las costas chilenas existe deposito de metales pesados, en conjunto con hidrocarburos, siendo el mayor problema, dado que la contaminación permanece en los estuarios y elimina gran cantidad de especies marinas y por tanto las formas de vida locales </w:t>
      </w:r>
      <w:r w:rsidRPr="000E0F90">
        <w:rPr>
          <w:rFonts w:ascii="Arial" w:hAnsi="Arial" w:cs="Arial"/>
          <w:noProof/>
          <w:color w:val="000000" w:themeColor="text1"/>
          <w:lang w:eastAsia="es-CL"/>
        </w:rPr>
        <w:fldChar w:fldCharType="begin" w:fldLock="1"/>
      </w:r>
      <w:r w:rsidRPr="000E0F90">
        <w:rPr>
          <w:rFonts w:ascii="Arial" w:hAnsi="Arial" w:cs="Arial"/>
          <w:noProof/>
          <w:color w:val="000000" w:themeColor="text1"/>
          <w:lang w:eastAsia="es-CL"/>
        </w:rPr>
        <w:instrText>ADDIN CSL_CITATION { "citationItems" : [ { "id" : "ITEM-1", "itemData" : { "author" : [ { "dropping-particle" : "", "family" : "Schildermans", "given" : "Peter", "non-dropping-particle" : "", "parse-names" : false, "suffix" : "" } ], "id" : "ITEM-1", "issued" : { "date-parts" : [ [ "2011" ] ] }, "note" : "NULL", "page" : "256", "title" : "The Chilean copper industry towards a more ecologically durable exploitation ?", "type" : "article-journal" }, "uris" : [ "http://www.mendeley.com/documents/?uuid=b25a2fcc-89a4-4984-9241-223ea94111a8" ] } ], "mendeley" : { "formattedCitation" : "(Schildermans, 2011)", "plainTextFormattedCitation" : "(Schildermans, 2011)", "previouslyFormattedCitation" : "(Schildermans, 2011)" }, "properties" : { "noteIndex" : 0 }, "schema" : "https://github.com/citation-style-language/schema/raw/master/csl-citation.json" }</w:instrText>
      </w:r>
      <w:r w:rsidRPr="000E0F90">
        <w:rPr>
          <w:rFonts w:ascii="Arial" w:hAnsi="Arial" w:cs="Arial"/>
          <w:noProof/>
          <w:color w:val="000000" w:themeColor="text1"/>
          <w:lang w:eastAsia="es-CL"/>
        </w:rPr>
        <w:fldChar w:fldCharType="separate"/>
      </w:r>
      <w:r w:rsidRPr="000E0F90">
        <w:rPr>
          <w:rFonts w:ascii="Arial" w:hAnsi="Arial" w:cs="Arial"/>
          <w:noProof/>
          <w:color w:val="000000" w:themeColor="text1"/>
          <w:lang w:eastAsia="es-CL"/>
        </w:rPr>
        <w:t>(Schildermans, 2011)</w:t>
      </w:r>
      <w:r w:rsidRPr="000E0F90">
        <w:rPr>
          <w:rFonts w:ascii="Arial" w:hAnsi="Arial" w:cs="Arial"/>
          <w:noProof/>
          <w:color w:val="000000" w:themeColor="text1"/>
          <w:lang w:eastAsia="es-CL"/>
        </w:rPr>
        <w:fldChar w:fldCharType="end"/>
      </w:r>
    </w:p>
    <w:p w:rsidR="00B64699" w:rsidRPr="000E0F90" w:rsidRDefault="00B64699" w:rsidP="002B538F">
      <w:pPr>
        <w:spacing w:after="0" w:line="360" w:lineRule="auto"/>
        <w:rPr>
          <w:rFonts w:ascii="Arial" w:hAnsi="Arial" w:cs="Arial"/>
          <w:b/>
          <w:color w:val="000000" w:themeColor="text1"/>
        </w:rPr>
      </w:pPr>
      <w:r w:rsidRPr="000E0F90">
        <w:rPr>
          <w:rFonts w:ascii="Arial" w:hAnsi="Arial" w:cs="Arial"/>
          <w:b/>
          <w:color w:val="000000" w:themeColor="text1"/>
        </w:rPr>
        <w:t xml:space="preserve">Relaves: </w:t>
      </w:r>
    </w:p>
    <w:p w:rsidR="00B64699" w:rsidRPr="000E0F90" w:rsidRDefault="00B64699" w:rsidP="002B538F">
      <w:pPr>
        <w:spacing w:line="360" w:lineRule="auto"/>
        <w:rPr>
          <w:rFonts w:ascii="Arial" w:hAnsi="Arial" w:cs="Arial"/>
          <w:color w:val="000000" w:themeColor="text1"/>
        </w:rPr>
      </w:pPr>
      <w:r w:rsidRPr="000E0F90">
        <w:rPr>
          <w:rFonts w:ascii="Arial" w:hAnsi="Arial" w:cs="Arial"/>
          <w:color w:val="000000" w:themeColor="text1"/>
        </w:rPr>
        <w:t xml:space="preserve">Entre los efectos de contaminación del recurso suelo, recursos hídricos y aire, los relaves son considerados como una gran fuente de contaminación, básicamente por la concentración potencial de contaminantes, como arsénico, cadmio, cobre, plomo y zinc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"10.1146/annurev.energy.28.011503.163434", "ISSN" : "1543-5938", "author" : [ { "dropping-particle" : "", "family" : "Bridge", "given" : "Gavin", "non-dropping-particle" : "", "parse-names" : false, "suffix" : "" } ], "container-title" : "Annual Review of Environment and Resources", "id" : "ITEM-1", "issue" : "1", "issued" : { "date-parts" : [ [ "2004", "11", "21" ] ] }, "page" : "205-259", "title" : "CONTESTED TERRAIN: Mining and the Environment", "type" : "article-journal", "volume" : "29" }, "uris" : [ "http://www.mendeley.com/documents/?uuid=3856b087-468f-47e0-aa60-26b2415a5e72" ] } ], "mendeley" : { "formattedCitation" : "(Bridge, 2004)", "plainTextFormattedCitation" : "(Bridge, 2004)", "previouslyFormattedCitation" : "(Bridge, 2004)"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(Bridge, 2004)</w:t>
      </w:r>
      <w:r w:rsidRPr="000E0F90">
        <w:rPr>
          <w:rFonts w:ascii="Arial" w:hAnsi="Arial" w:cs="Arial"/>
          <w:color w:val="000000" w:themeColor="text1"/>
        </w:rPr>
        <w:fldChar w:fldCharType="end"/>
      </w:r>
      <w:r w:rsidRPr="000E0F90">
        <w:rPr>
          <w:rFonts w:ascii="Arial" w:hAnsi="Arial" w:cs="Arial"/>
          <w:color w:val="000000" w:themeColor="text1"/>
        </w:rPr>
        <w:t xml:space="preserve">. Si bien, los relaves son manejados de forma que los contaminantes se mantengan retenidos por largos períodos, con el transcurso del tiempo, la erosión, lluvias e inundaciones pueden transportar los metales de los relaves a sitios aledaños e </w:t>
      </w:r>
      <w:r w:rsidRPr="000E0F90">
        <w:rPr>
          <w:rFonts w:ascii="Arial" w:hAnsi="Arial" w:cs="Arial"/>
          <w:color w:val="000000" w:themeColor="text1"/>
        </w:rPr>
        <w:lastRenderedPageBreak/>
        <w:t xml:space="preserve">incluso trasladarlos a lugares bastante alejados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"10.1016/j.gexplo.2007.04.011", "ISSN" : "03756742", "author" : [ { "dropping-particle" : "", "family" : "Navarro", "given" : "M.C.", "non-dropping-particle" : "", "parse-names" : false, "suffix" : "" }, { "dropping-particle" : "", "family" : "P\u00e9rez-Sirvent", "given" : "C.", "non-dropping-particle" : "", "parse-names" : false, "suffix" : "" }, { "dropping-particle" : "", "family" : "Mart\u00ednez-S\u00e1nchez", "given" : "M.J.", "non-dropping-particle" : "", "parse-names" : false, "suffix" : "" }, { "dropping-particle" : "", "family" : "Vidal", "given" : "J.", "non-dropping-particle" : "", "parse-names" : false, "suffix" : "" }, { "dropping-particle" : "", "family" : "Tovar", "given" : "P.J.", "non-dropping-particle" : "", "parse-names" : false, "suffix" : "" }, { "dropping-particle" : "", "family" : "Bech", "given" : "J.", "non-dropping-particle" : "", "parse-names" : false, "suffix" : "" } ], "container-title" : "Journal of Geochemical Exploration", "id" : "ITEM-1", "issue" : "2-3", "issued" : { "date-parts" : [ [ "2008", "2" ] ] }, "page" : "183-193", "title" : "Abandoned mine sites as a source of contamination by heavy metals: A case study in a semi-arid zone", "type" : "article-journal", "volume" : "96" }, "uris" : [ "http://www.mendeley.com/documents/?uuid=11f2c39b-fd08-468b-8e82-52c7c09a29a6" ] }, { "id" : "ITEM-2", "itemData" : { "DOI" : "10.1016/j.gexplo.2007.04.008", "ISSN" : "03756742", "author" : [ { "dropping-particle" : "", "family" : "Lim", "given" : "Hye-Sook", "non-dropping-particle" : "", "parse-names" : false, "suffix" : "" }, { "dropping-particle" : "", "family" : "Lee", "given" : "Jin-Soo", "non-dropping-particle" : "", "parse-names" : false, "suffix" : "" }, { "dropping-particle" : "", "family" : "Chon", "given" : "Hyo-Taek", "non-dropping-particle" : "", "parse-names" : false, "suffix" : "" }, { "dropping-particle" : "", "family" : "Sager", "given" : "Manfred", "non-dropping-particle" : "", "parse-names" : false, "suffix" : "" } ], "container-title" : "Journal of Geochemical Exploration", "id" : "ITEM-2", "issue" : "2-3", "issued" : { "date-parts" : [ [ "2008", "2" ] ] }, "page" : "223-230", "title" : "Heavy metal contamination and health risk assessment in the vicinity of the abandoned Songcheon Au\u2013Ag mine in Korea", "type" : "article-journal", "volume" : "96" }, "uris" : [ "http://www.mendeley.com/documents/?uuid=ca70bf0d-8ad9-4b69-ac7e-9f7070a5562c" ] } ], "mendeley" : { "formattedCitation" : "(Lim, Lee, Chon, &amp; Sager, 2008; Navarro et al., 2008)", "plainTextFormattedCitation" : "(Lim, Lee, Chon, &amp; Sager, 2008; Navarro et al., 2008)", "previouslyFormattedCitation" : "(Lim, Lee, Chon, &amp; Sager, 2008; Navarro et al., 2008)"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(Lim, Lee, Chon, &amp; Sager, 2008; Navarro et al., 2008)</w:t>
      </w:r>
      <w:r w:rsidRPr="000E0F90">
        <w:rPr>
          <w:rFonts w:ascii="Arial" w:hAnsi="Arial" w:cs="Arial"/>
          <w:color w:val="000000" w:themeColor="text1"/>
        </w:rPr>
        <w:fldChar w:fldCharType="end"/>
      </w:r>
      <w:r w:rsidRPr="000E0F90">
        <w:rPr>
          <w:rFonts w:ascii="Arial" w:hAnsi="Arial" w:cs="Arial"/>
          <w:color w:val="000000" w:themeColor="text1"/>
        </w:rPr>
        <w:t xml:space="preserve"> debido al fino tamaño de sus partículas. Al respecto </w:t>
      </w:r>
      <w:sdt>
        <w:sdtPr>
          <w:rPr>
            <w:rFonts w:ascii="Arial" w:hAnsi="Arial" w:cs="Arial"/>
            <w:color w:val="000000" w:themeColor="text1"/>
          </w:rPr>
          <w:id w:val="1430384487"/>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Lot10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(Lottermoser, 2010)</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señala algunos impactos de los relaves al medioambiente: Impacto visual de las grandes estructuras construidas; Potencial liberación de los relaves al medioambiente a través de rupturas de canales, vertido del contenido y fallas; Liberación de radiación desde los relaves; Contaminación de aire y suelo por la generación de polvo; Filtración de los relaves a través de los diques y base hacia las aguas superficiales y profundas.</w:t>
      </w:r>
    </w:p>
    <w:p w:rsidR="00B64699" w:rsidRPr="000E0F90" w:rsidRDefault="00B64699" w:rsidP="002B538F">
      <w:pPr>
        <w:spacing w:after="0" w:line="360" w:lineRule="auto"/>
        <w:rPr>
          <w:rFonts w:ascii="Arial" w:hAnsi="Arial" w:cs="Arial"/>
          <w:b/>
          <w:color w:val="000000" w:themeColor="text1"/>
        </w:rPr>
      </w:pPr>
      <w:r w:rsidRPr="000E0F90">
        <w:rPr>
          <w:rFonts w:ascii="Arial" w:hAnsi="Arial" w:cs="Arial"/>
          <w:b/>
          <w:color w:val="000000" w:themeColor="text1"/>
        </w:rPr>
        <w:t>Vegetación y Hábitats:</w:t>
      </w:r>
    </w:p>
    <w:p w:rsidR="00B64699" w:rsidRPr="000E0F90" w:rsidRDefault="00B64699" w:rsidP="002B538F">
      <w:pPr>
        <w:spacing w:line="360" w:lineRule="auto"/>
        <w:rPr>
          <w:rFonts w:ascii="Arial" w:hAnsi="Arial" w:cs="Arial"/>
          <w:color w:val="000000" w:themeColor="text1"/>
        </w:rPr>
      </w:pPr>
      <w:r w:rsidRPr="000E0F90">
        <w:rPr>
          <w:rFonts w:ascii="Arial" w:hAnsi="Arial" w:cs="Arial"/>
          <w:color w:val="000000" w:themeColor="text1"/>
        </w:rPr>
        <w:t xml:space="preserve">La actividad minera se ha asociado al despeje de vegetación nativa en diversos sitios donde ha operado </w:t>
      </w:r>
      <w:r w:rsidRPr="000E0F90">
        <w:rPr>
          <w:rFonts w:ascii="Arial" w:hAnsi="Arial" w:cs="Arial"/>
          <w:color w:val="000000" w:themeColor="text1"/>
        </w:rPr>
        <w:fldChar w:fldCharType="begin" w:fldLock="1"/>
      </w:r>
      <w:r w:rsidR="005E5EE8" w:rsidRPr="000E0F90">
        <w:rPr>
          <w:rFonts w:ascii="Arial" w:hAnsi="Arial" w:cs="Arial"/>
          <w:color w:val="000000" w:themeColor="text1"/>
        </w:rPr>
        <w:instrText>ADDIN CSL_CITATION { "citationItems" : [ { "id" : "ITEM-1", "itemData" : { "author" : [ { "dropping-particle" : "", "family" : "Brueckner", "given" : "M.;", "non-dropping-particle" : "", "parse-names" : false, "suffix" : "" }, { "dropping-particle" : "", "family" : "Durey", "given" : "A.;", "non-dropping-particle" : "", "parse-names" : false, "suffix" : "" }, { "dropping-particle" : "", "family" : "Mayes", "given" : "R.;", "non-dropping-particle" : "", "parse-names" : false, "suffix" : "" }, { "dropping-particle" : "", "family" : "Pforr", "given" : "C.;", "non-dropping-particle" : "", "parse-names" : false, "suffix" : "" } ], "container-title" : "Rural Society Journal", "id" : "ITEM-1", "issue" : "2", "issued" : { "date-parts" : [ [ "2013" ] ] }, "page" : "111-124", "title" : "The mining boom and Western Australia's changing Landscape: Towards Sustainability or Bussines as usual?", "type" : "article-journal", "volume" : "22" }, "uris" : [ "http://www.mendeley.com/documents/?uuid=9d7c7290-1c6e-47d7-9fcb-ddf89ae2b173" ] } ], "mendeley" : { "formattedCitation" : "(Brueckner, Durey, Mayes, &amp; Pforr, 2013)", "plainTextFormattedCitation" : "(Brueckner, Durey, Mayes, &amp; Pforr, 2013)", "previouslyFormattedCitation" : "(Brueckner, Durey, Mayes, &amp; Pforr, 2013)" }, "properties" : { "noteIndex" : 0 }, "schema" : "https://github.com/citation-style-language/schema/raw/master/csl-citation.json" }</w:instrText>
      </w:r>
      <w:r w:rsidRPr="000E0F90">
        <w:rPr>
          <w:rFonts w:ascii="Arial" w:hAnsi="Arial" w:cs="Arial"/>
          <w:color w:val="000000" w:themeColor="text1"/>
        </w:rPr>
        <w:fldChar w:fldCharType="separate"/>
      </w:r>
      <w:r w:rsidR="00CF11BB" w:rsidRPr="000E0F90">
        <w:rPr>
          <w:rFonts w:ascii="Arial" w:hAnsi="Arial" w:cs="Arial"/>
          <w:noProof/>
          <w:color w:val="000000" w:themeColor="text1"/>
        </w:rPr>
        <w:t>(Brueckner, Durey, Mayes, &amp; Pforr, 2013)</w:t>
      </w:r>
      <w:r w:rsidRPr="000E0F90">
        <w:rPr>
          <w:rFonts w:ascii="Arial" w:hAnsi="Arial" w:cs="Arial"/>
          <w:color w:val="000000" w:themeColor="text1"/>
        </w:rPr>
        <w:fldChar w:fldCharType="end"/>
      </w:r>
      <w:r w:rsidRPr="000E0F90">
        <w:rPr>
          <w:rFonts w:ascii="Arial" w:hAnsi="Arial" w:cs="Arial"/>
          <w:color w:val="000000" w:themeColor="text1"/>
        </w:rPr>
        <w:t xml:space="preserve">. Afecta los </w:t>
      </w:r>
      <w:r w:rsidR="001C61B7" w:rsidRPr="000E0F90">
        <w:rPr>
          <w:rFonts w:ascii="Arial" w:hAnsi="Arial" w:cs="Arial"/>
          <w:color w:val="000000" w:themeColor="text1"/>
        </w:rPr>
        <w:t>hábitats</w:t>
      </w:r>
      <w:r w:rsidRPr="000E0F90">
        <w:rPr>
          <w:rFonts w:ascii="Arial" w:hAnsi="Arial" w:cs="Arial"/>
          <w:color w:val="000000" w:themeColor="text1"/>
        </w:rPr>
        <w:t xml:space="preserve"> y la consecuente extinción de las especies existentes, como ocurre con la contaminación y depleción de cursos de agua cercanos a faenas mineras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"10.1080/10643389.2012.672086", "ISSN" : "1064-3389", "author" : [ { "dropping-particle" : "", "family" : "Pokhrel", "given" : "Lok R.", "non-dropping-particle" : "", "parse-names" : false, "suffix" : "" }, { "dropping-particle" : "", "family" : "Dubey", "given" : "Brajesh", "non-dropping-particle" : "", "parse-names" : false, "suffix" : "" } ], "container-title" : "Critical Reviews in Environmental Science and Technology", "id" : "ITEM-1", "issue" : "21", "issued" : { "date-parts" : [ [ "2013", "1" ] ] }, "page" : "2352-2388", "title" : "Global Scenarios of Metal Mining, Environmental Repercussions, Public Policies, and Sustainability: A Review", "type" : "article-journal", "volume" : "43" }, "uris" : [ "http://www.mendeley.com/documents/?uuid=14ca50ec-28b7-4b2c-8a70-269b84b94b1c" ] } ], "mendeley" : { "formattedCitation" : "(Pokhrel &amp; Dubey, 2013)", "plainTextFormattedCitation" : "(Pokhrel &amp; Dubey, 2013)", "previouslyFormattedCitation" : "(Pokhrel &amp; Dubey, 2013)"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(Pokhrel &amp; Dubey, 2013)</w:t>
      </w:r>
      <w:r w:rsidRPr="000E0F90">
        <w:rPr>
          <w:rFonts w:ascii="Arial" w:hAnsi="Arial" w:cs="Arial"/>
          <w:color w:val="000000" w:themeColor="text1"/>
        </w:rPr>
        <w:fldChar w:fldCharType="end"/>
      </w:r>
      <w:r w:rsidRPr="000E0F90">
        <w:rPr>
          <w:rFonts w:ascii="Arial" w:hAnsi="Arial" w:cs="Arial"/>
          <w:color w:val="000000" w:themeColor="text1"/>
        </w:rPr>
        <w:t xml:space="preserve">. Cabe señalar la intensidad de uso que demanda la minería en algunas veces sobrepasa los ciclos de regeneración de los recursos naturales, alcanzado el agotamiento de dichos recursos y por tanto un cambio de naturaleza irreversible. Situación que se evidenció en los inicios de la minería con la deforestación intensiva que se produjo en diversos territorios para proveer de combustible e infraestructura a la actividad </w:t>
      </w:r>
      <w:r w:rsidRPr="000E0F90">
        <w:rPr>
          <w:rFonts w:ascii="Arial" w:hAnsi="Arial" w:cs="Arial"/>
          <w:color w:val="000000" w:themeColor="text1"/>
        </w:rPr>
        <w:fldChar w:fldCharType="begin" w:fldLock="1"/>
      </w:r>
      <w:r w:rsidR="00935A8F">
        <w:rPr>
          <w:rFonts w:ascii="Arial" w:hAnsi="Arial" w:cs="Arial"/>
          <w:color w:val="000000" w:themeColor="text1"/>
        </w:rPr>
        <w:instrText>ADDIN CSL_CITATION { "citationItems" : [ { "id" : "ITEM-1", "itemData" : { "author" : [ { "dropping-particle" : "", "family" : "Folchi", "given" : "Mauricio", "non-dropping-particle" : "", "parse-names" : false, "suffix" : "" } ], "container-title" : "Revista Mapocho", "id" : "ITEM-1", "issued" : { "date-parts" : [ [ "2001" ] ] }, "page" : "149-175", "title" : "La Insustentabilidad De La Industria Del Cobre En Chile : Los Hornos Y Los Bosques", "type" : "article-journal", "volume" : "49" }, "uris" : [ "http://www.mendeley.com/documents/?uuid=b6a1466b-c8ad-4ecf-aaf3-d0ee3c41cd6e" ] }, { "id" : "ITEM-2", "itemData" : { "DOI" : "10.1007/s13280-012-0369-z", "ISSN" : "0044-7447", "PMID" : "23475652", "abstract" : "Barriers and bridges to implement policies about sustainable development and sustainability commonly depend on the past development of social-ecological systems. Production of metals required integration of use of ore, streams for energy, and wood for bioenergy and construction, as well as of multiple societal actors. Focusing on the Swedish Bergslagen region as a case study we (1) describe the phases of natural resource use triggered by metallurgy, (2) the location and spatial extent of 22 definitions of Bergslagen divided into four zones as a proxy of cumulative pressure on landscapes, and (3) analyze the consequences for natural capital and society. We found clear gradients in industrial activity, stream alteration, and amount of natural forest from the core to the periphery of Bergslagen. Additionally, the legacy of top-down governance is linked to today's poorly diversified business sector and thus municipal vulnerability. Comparing the Bergslagen case study with other similar regions in Russia and Germany, we discuss the usefulness of multiple case studies.", "author" : [ { "dropping-particle" : "", "family" : "Angelstam", "given" : "Per", "non-dropping-particle" : "", "parse-names" : false, "suffix" : "" }, { "dropping-particle" : "", "family" : "Andersson", "given" : "Kjell", "non-dropping-particle" : "", "parse-names" : false, "suffix" : "" }, { "dropping-particle" : "", "family" : "Isacson", "given" : "Maths", "non-dropping-particle" : "", "parse-names" : false, "suffix" : "" }, { "dropping-particle" : "V.", "family" : "Gavrilov", "given" : "Dmitri", "non-dropping-particle" : "", "parse-names" : false, "suffix" : "" }, { "dropping-particle" : "", "family" : "Axelsson", "given" : "Robert", "non-dropping-particle" : "", "parse-names" : false, "suffix" : "" }, { "dropping-particle" : "", "family" : "B\u00e4ckstr\u00f6m", "given" : "Mattias", "non-dropping-particle" : "", "parse-names" : false, "suffix" : "" }, { "dropping-particle" : "", "family" : "Degerman", "given" : "Erik", "non-dropping-particle" : "", "parse-names" : false, "suffix" : "" }, { "dropping-particle" : "", "family" : "Elbakidze", "given" : "Marine", "non-dropping-particle" : "", "parse-names" : false, "suffix" : "" }, { "dropping-particle" : "", "family" : "Kazakova-Apkarimova", "given" : "Elena Yu", "non-dropping-particle" : "", "parse-names" : false, "suffix" : "" }, { "dropping-particle" : "", "family" : "Sartz", "given" : "Lotta", "non-dropping-particle" : "", "parse-names" : false, "suffix" : "" }, { "dropping-particle" : "", "family" : "S\u00e4dbom", "given" : "Stefan", "non-dropping-particle" : "", "parse-names" : false, "suffix" : "" }, { "dropping-particle" : "", "family" : "T\u00f6rnblom", "given" : "Johan", "non-dropping-particle" : "", "parse-names" : false, "suffix" : "" } ], "container-title" : "Ambio", "id" : "ITEM-2", "issue" : "2", "issued" : { "date-parts" : [ [ "2013", "3" ] ] }, "page" : "146-159", "title" : "Learning about the history of landscape use for the future: Consequences for ecological and social systems in swedish Bergslagen", "type" : "article-journal", "volume" : "42" }, "uris" : [ "http://www.mendeley.com/documents/?uuid=44f22ce2-365f-4de7-be77-fe409865c3db" ] } ], "mendeley" : { "formattedCitation" : "(Angelstam et al., 2013; Folchi, 2001)", "plainTextFormattedCitation" : "(Angelstam et al., 2013; Folchi, 2001)", "previouslyFormattedCitation" : "(Angelstam et al., 2013; Folchi, 2001)" }, "properties" : { "noteIndex" : 0 }, "schema" : "https://github.com/citation-style-language/schema/raw/master/csl-citation.json" }</w:instrText>
      </w:r>
      <w:r w:rsidRPr="000E0F90">
        <w:rPr>
          <w:rFonts w:ascii="Arial" w:hAnsi="Arial" w:cs="Arial"/>
          <w:color w:val="000000" w:themeColor="text1"/>
        </w:rPr>
        <w:fldChar w:fldCharType="separate"/>
      </w:r>
      <w:r w:rsidR="00935A8F" w:rsidRPr="00935A8F">
        <w:rPr>
          <w:rFonts w:ascii="Arial" w:hAnsi="Arial" w:cs="Arial"/>
          <w:noProof/>
          <w:color w:val="000000" w:themeColor="text1"/>
        </w:rPr>
        <w:t>(Angelstam et al., 2013; Folchi, 2001)</w:t>
      </w:r>
      <w:r w:rsidRPr="000E0F90">
        <w:rPr>
          <w:rFonts w:ascii="Arial" w:hAnsi="Arial" w:cs="Arial"/>
          <w:color w:val="000000" w:themeColor="text1"/>
        </w:rPr>
        <w:fldChar w:fldCharType="end"/>
      </w:r>
      <w:r w:rsidRPr="000E0F90">
        <w:rPr>
          <w:rFonts w:ascii="Arial" w:hAnsi="Arial" w:cs="Arial"/>
          <w:color w:val="000000" w:themeColor="text1"/>
        </w:rPr>
        <w:t xml:space="preserve">. Como forma de mitigar estas pérdidas, la industria ha enfocado sus esfuerzos en la rehabilitación de sitios mineros, sin embargo se discute la efectividad de esta práctica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"author" : [ { "dropping-particle" : "", "family" : "Brueckner", "given" : "M.;", "non-dropping-particle" : "", "parse-names" : false, "suffix" : "" }, { "dropping-particle" : "", "family" : "Durey", "given" : "A.;", "non-dropping-particle" : "", "parse-names" : false, "suffix" : "" }, { "dropping-particle" : "", "family" : "Mayes", "given" : "R.;", "non-dropping-particle" : "", "parse-names" : false, "suffix" : "" }, { "dropping-particle" : "", "family" : "Pforr", "given" : "C.;", "non-dropping-particle" : "", "parse-names" : false, "suffix" : "" } ], "container-title" : "Rural Society Journal", "id" : "ITEM-1", "issue" : "2", "issued" : { "date-parts" : [ [ "2013" ] ] }, "page" : "111-124", "title" : "The mining boom and Western Australia's changing Landscape: Towards Sustainability or Bussines as usual?", "type" : "article-journal", "volume" : "22" }, "uris" : [ "http://www.mendeley.com/documents/?uuid=9d7c7290-1c6e-47d7-9fcb-ddf89ae2b173" ] } ], "mendeley" : { "formattedCitation" : "(Brueckner et al., 2013)", "plainTextFormattedCitation" : "(Brueckner et al., 2013)", "previouslyFormattedCitation" : "(Brueckner et al., 2013)"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(Brueckner et al., 2013)</w:t>
      </w:r>
      <w:r w:rsidRPr="000E0F90">
        <w:rPr>
          <w:rFonts w:ascii="Arial" w:hAnsi="Arial" w:cs="Arial"/>
          <w:color w:val="000000" w:themeColor="text1"/>
        </w:rPr>
        <w:fldChar w:fldCharType="end"/>
      </w:r>
      <w:r w:rsidRPr="000E0F90">
        <w:rPr>
          <w:rFonts w:ascii="Arial" w:hAnsi="Arial" w:cs="Arial"/>
          <w:color w:val="000000" w:themeColor="text1"/>
        </w:rPr>
        <w:t xml:space="preserve">.  </w:t>
      </w:r>
    </w:p>
    <w:p w:rsidR="00B64699" w:rsidRPr="000E0F90" w:rsidRDefault="00B64699" w:rsidP="002B538F">
      <w:pPr>
        <w:spacing w:after="0" w:line="360" w:lineRule="auto"/>
        <w:rPr>
          <w:rFonts w:ascii="Arial" w:hAnsi="Arial" w:cs="Arial"/>
          <w:b/>
          <w:color w:val="000000" w:themeColor="text1"/>
        </w:rPr>
      </w:pPr>
      <w:r w:rsidRPr="000E0F90">
        <w:rPr>
          <w:rFonts w:ascii="Arial" w:hAnsi="Arial" w:cs="Arial"/>
          <w:b/>
          <w:color w:val="000000" w:themeColor="text1"/>
        </w:rPr>
        <w:t>Salud Humana</w:t>
      </w:r>
    </w:p>
    <w:p w:rsidR="00B64699" w:rsidRPr="000E0F90" w:rsidRDefault="00B64699" w:rsidP="002B538F">
      <w:pPr>
        <w:spacing w:after="0" w:line="360" w:lineRule="auto"/>
        <w:rPr>
          <w:rFonts w:ascii="Arial" w:hAnsi="Arial" w:cs="Arial"/>
          <w:color w:val="000000" w:themeColor="text1"/>
        </w:rPr>
      </w:pPr>
      <w:r w:rsidRPr="000E0F90">
        <w:rPr>
          <w:rFonts w:ascii="Arial" w:hAnsi="Arial" w:cs="Arial"/>
          <w:color w:val="000000" w:themeColor="text1"/>
        </w:rPr>
        <w:t xml:space="preserve">La operación minera en un territorio, desde la extracción, procesamiento y transporte de minerales genera </w:t>
      </w:r>
      <w:r w:rsidR="001C61B7" w:rsidRPr="000E0F90">
        <w:rPr>
          <w:rFonts w:ascii="Arial" w:hAnsi="Arial" w:cs="Arial"/>
          <w:color w:val="000000" w:themeColor="text1"/>
        </w:rPr>
        <w:t>contaminación</w:t>
      </w:r>
      <w:r w:rsidRPr="000E0F90">
        <w:rPr>
          <w:rFonts w:ascii="Arial" w:hAnsi="Arial" w:cs="Arial"/>
          <w:color w:val="000000" w:themeColor="text1"/>
        </w:rPr>
        <w:t xml:space="preserve"> acústica, temblores y diversos tipos de contaminantes que pueden afectar la salud humana de los trabajadores. Al respecto los impactos observados van desde: sordera inducida por ruido, desordenes traumáticos, fatiga y agotamiento, síndrome de altura, infartos, dermatitis, enfermedades respiratorias, cáncer; muchos de los cuales tienen que ver con la exposición crónica a los diversos contaminantes (metales, ruido, calor)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"10.1080/10643389.2012.672086", "ISSN" : "1064-3389", "author" : [ { "dropping-particle" : "", "family" : "Pokhrel", "given" : "Lok R.", "non-dropping-particle" : "", "parse-names" : false, "suffix" : "" }, { "dropping-particle" : "", "family" : "Dubey", "given" : "Brajesh", "non-dropping-particle" : "", "parse-names" : false, "suffix" : "" } ], "container-title" : "Critical Reviews in Environmental Science and Technology", "id" : "ITEM-1", "issue" : "21", "issued" : { "date-parts" : [ [ "2013", "1" ] ] }, "page" : "2352-2388", "title" : "Global Scenarios of Metal Mining, Environmental Repercussions, Public Policies, and Sustainability: A Review", "type" : "article-journal", "volume" : "43" }, "uris" : [ "http://www.mendeley.com/documents/?uuid=14ca50ec-28b7-4b2c-8a70-269b84b94b1c" ] } ], "mendeley" : { "formattedCitation" : "(Pokhrel &amp; Dubey, 2013)", "plainTextFormattedCitation" : "(Pokhrel &amp; Dubey, 2013)", "previouslyFormattedCitation" : "(Pokhrel &amp; Dubey, 2013)"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(Pokhrel &amp; Dubey, 2013)</w:t>
      </w:r>
      <w:r w:rsidRPr="000E0F90">
        <w:rPr>
          <w:rFonts w:ascii="Arial" w:hAnsi="Arial" w:cs="Arial"/>
          <w:color w:val="000000" w:themeColor="text1"/>
        </w:rPr>
        <w:fldChar w:fldCharType="end"/>
      </w:r>
      <w:r w:rsidRPr="000E0F90">
        <w:rPr>
          <w:rFonts w:ascii="Arial" w:hAnsi="Arial" w:cs="Arial"/>
          <w:color w:val="000000" w:themeColor="text1"/>
        </w:rPr>
        <w:t>. Respecto a las comunidades aledañas, los efectos en la salud humana provienen de la contamina</w:t>
      </w:r>
      <w:r w:rsidR="001C61B7" w:rsidRPr="000E0F90">
        <w:rPr>
          <w:rFonts w:ascii="Arial" w:hAnsi="Arial" w:cs="Arial"/>
          <w:color w:val="000000" w:themeColor="text1"/>
        </w:rPr>
        <w:t>ción del aire con material parti</w:t>
      </w:r>
      <w:r w:rsidRPr="000E0F90">
        <w:rPr>
          <w:rFonts w:ascii="Arial" w:hAnsi="Arial" w:cs="Arial"/>
          <w:color w:val="000000" w:themeColor="text1"/>
        </w:rPr>
        <w:t xml:space="preserve">culado tóxico y emisiones, de la contaminación que genera la actividad en el agua de consumo humano y cultivos </w:t>
      </w:r>
      <w:r w:rsidRPr="000E0F90">
        <w:rPr>
          <w:rFonts w:ascii="Arial" w:hAnsi="Arial" w:cs="Arial"/>
          <w:color w:val="000000" w:themeColor="text1"/>
        </w:rPr>
        <w:lastRenderedPageBreak/>
        <w:t xml:space="preserve">agrícolas, y por la contaminación de suelo, afectando la agricultura y ganadería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"author" : [ { "dropping-particle" : "", "family" : "Schildermans", "given" : "Peter", "non-dropping-particle" : "", "parse-names" : false, "suffix" : "" } ], "id" : "ITEM-1", "issued" : { "date-parts" : [ [ "2011" ] ] }, "note" : "NULL", "page" : "256", "title" : "The Chilean copper industry towards a more ecologically durable exploitation ?", "type" : "article-journal" }, "uris" : [ "http://www.mendeley.com/documents/?uuid=b25a2fcc-89a4-4984-9241-223ea94111a8" ] } ], "mendeley" : { "formattedCitation" : "(Schildermans, 2011)", "plainTextFormattedCitation" : "(Schildermans, 2011)", "previouslyFormattedCitation" : "(Schildermans, 2011)"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(Schildermans, 2011)</w:t>
      </w:r>
      <w:r w:rsidRPr="000E0F90">
        <w:rPr>
          <w:rFonts w:ascii="Arial" w:hAnsi="Arial" w:cs="Arial"/>
          <w:color w:val="000000" w:themeColor="text1"/>
        </w:rPr>
        <w:fldChar w:fldCharType="end"/>
      </w:r>
      <w:r w:rsidRPr="000E0F90">
        <w:rPr>
          <w:rFonts w:ascii="Arial" w:hAnsi="Arial" w:cs="Arial"/>
          <w:color w:val="000000" w:themeColor="text1"/>
        </w:rPr>
        <w:t xml:space="preserve">. </w:t>
      </w:r>
    </w:p>
    <w:p w:rsidR="00B64699" w:rsidRPr="000E0F90" w:rsidRDefault="00B64699" w:rsidP="002B538F">
      <w:pPr>
        <w:spacing w:after="0" w:line="360" w:lineRule="auto"/>
        <w:rPr>
          <w:rFonts w:ascii="Arial" w:hAnsi="Arial" w:cs="Arial"/>
          <w:b/>
          <w:color w:val="000000" w:themeColor="text1"/>
          <w:highlight w:val="yellow"/>
        </w:rPr>
      </w:pPr>
    </w:p>
    <w:p w:rsidR="00B64699" w:rsidRPr="000E0F90" w:rsidRDefault="001C61B7" w:rsidP="002B538F">
      <w:pPr>
        <w:spacing w:after="0" w:line="360" w:lineRule="auto"/>
        <w:rPr>
          <w:rFonts w:ascii="Arial" w:hAnsi="Arial" w:cs="Arial"/>
          <w:b/>
          <w:color w:val="000000" w:themeColor="text1"/>
        </w:rPr>
      </w:pPr>
      <w:r w:rsidRPr="000E0F90">
        <w:rPr>
          <w:rFonts w:ascii="Arial" w:hAnsi="Arial" w:cs="Arial"/>
          <w:b/>
          <w:color w:val="000000" w:themeColor="text1"/>
        </w:rPr>
        <w:t>Emisión</w:t>
      </w:r>
      <w:r w:rsidR="00B64699" w:rsidRPr="000E0F90">
        <w:rPr>
          <w:rFonts w:ascii="Arial" w:hAnsi="Arial" w:cs="Arial"/>
          <w:b/>
          <w:color w:val="000000" w:themeColor="text1"/>
        </w:rPr>
        <w:t xml:space="preserve"> de contaminantes</w:t>
      </w:r>
      <w:r w:rsidR="0049698D" w:rsidRPr="000E0F90">
        <w:rPr>
          <w:rFonts w:ascii="Arial" w:hAnsi="Arial" w:cs="Arial"/>
          <w:b/>
          <w:color w:val="000000" w:themeColor="text1"/>
        </w:rPr>
        <w:t xml:space="preserve"> a la atmósfera</w:t>
      </w:r>
      <w:r w:rsidR="00B64699" w:rsidRPr="000E0F90">
        <w:rPr>
          <w:rFonts w:ascii="Arial" w:hAnsi="Arial" w:cs="Arial"/>
          <w:b/>
          <w:color w:val="000000" w:themeColor="text1"/>
        </w:rPr>
        <w:t>:</w:t>
      </w:r>
    </w:p>
    <w:p w:rsidR="00B64699" w:rsidRPr="000E0F90" w:rsidRDefault="00B64699" w:rsidP="002B538F">
      <w:pPr>
        <w:spacing w:after="0" w:line="360" w:lineRule="auto"/>
        <w:rPr>
          <w:rFonts w:ascii="Arial" w:hAnsi="Arial" w:cs="Arial"/>
          <w:color w:val="000000" w:themeColor="text1"/>
        </w:rPr>
      </w:pPr>
      <w:r w:rsidRPr="000E0F90">
        <w:rPr>
          <w:rFonts w:ascii="Arial" w:hAnsi="Arial" w:cs="Arial"/>
          <w:color w:val="000000" w:themeColor="text1"/>
        </w:rPr>
        <w:t>Las emisiones contaminantes provenientes de la minería se producen desde el inicio de la operación, principalmente desde la exploración a la operación</w:t>
      </w:r>
      <w:r w:rsidR="001C61B7" w:rsidRPr="000E0F90">
        <w:rPr>
          <w:rFonts w:ascii="Arial" w:hAnsi="Arial" w:cs="Arial"/>
          <w:color w:val="000000" w:themeColor="text1"/>
        </w:rPr>
        <w:t xml:space="preserve">, </w:t>
      </w:r>
      <w:r w:rsidRPr="000E0F90">
        <w:rPr>
          <w:rFonts w:ascii="Arial" w:hAnsi="Arial" w:cs="Arial"/>
          <w:color w:val="000000" w:themeColor="text1"/>
        </w:rPr>
        <w:t>al igual que aquella generada por el traslado de trabajadores desde otras locaciones (</w:t>
      </w:r>
      <w:r w:rsidR="0049698D" w:rsidRPr="000E0F90">
        <w:rPr>
          <w:rFonts w:ascii="Arial" w:hAnsi="Arial" w:cs="Arial"/>
          <w:color w:val="000000" w:themeColor="text1"/>
        </w:rPr>
        <w:t xml:space="preserve">i.e. </w:t>
      </w:r>
      <w:r w:rsidRPr="000E0F90">
        <w:rPr>
          <w:rFonts w:ascii="Arial" w:hAnsi="Arial" w:cs="Arial"/>
          <w:color w:val="000000" w:themeColor="text1"/>
        </w:rPr>
        <w:t xml:space="preserve">fly in, fly out), al igual que el transporte de los recursos </w:t>
      </w:r>
      <w:r w:rsidR="0049698D" w:rsidRPr="000E0F90">
        <w:rPr>
          <w:rFonts w:ascii="Arial" w:hAnsi="Arial" w:cs="Arial"/>
          <w:color w:val="000000" w:themeColor="text1"/>
        </w:rPr>
        <w:t>extraídos</w:t>
      </w:r>
      <w:r w:rsidRPr="000E0F90">
        <w:rPr>
          <w:rFonts w:ascii="Arial" w:hAnsi="Arial" w:cs="Arial"/>
          <w:color w:val="000000" w:themeColor="text1"/>
        </w:rPr>
        <w:t xml:space="preserve"> al usuario final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"author" : [ { "dropping-particle" : "", "family" : "Brueckner", "given" : "M.;", "non-dropping-particle" : "", "parse-names" : false, "suffix" : "" }, { "dropping-particle" : "", "family" : "Durey", "given" : "A.;", "non-dropping-particle" : "", "parse-names" : false, "suffix" : "" }, { "dropping-particle" : "", "family" : "Mayes", "given" : "R.;", "non-dropping-particle" : "", "parse-names" : false, "suffix" : "" }, { "dropping-particle" : "", "family" : "Pforr", "given" : "C.;", "non-dropping-particle" : "", "parse-names" : false, "suffix" : "" } ], "container-title" : "Rural Society Journal", "id" : "ITEM-1", "issue" : "2", "issued" : { "date-parts" : [ [ "2013" ] ] }, "page" : "111-124", "title" : "The mining boom and Western Australia's changing Landscape: Towards Sustainability or Bussines as usual?", "type" : "article-journal", "volume" : "22" }, "uris" : [ "http://www.mendeley.com/documents/?uuid=9d7c7290-1c6e-47d7-9fcb-ddf89ae2b173" ] } ], "mendeley" : { "formattedCitation" : "(Brueckner et al., 2013)", "plainTextFormattedCitation" : "(Brueckner et al., 2013)", "previouslyFormattedCitation" : "(Brueckner et al., 2013)"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(Brueckner et al., 2013)</w:t>
      </w:r>
      <w:r w:rsidRPr="000E0F90">
        <w:rPr>
          <w:rFonts w:ascii="Arial" w:hAnsi="Arial" w:cs="Arial"/>
          <w:color w:val="000000" w:themeColor="text1"/>
        </w:rPr>
        <w:fldChar w:fldCharType="end"/>
      </w:r>
      <w:r w:rsidRPr="000E0F90">
        <w:rPr>
          <w:rFonts w:ascii="Arial" w:hAnsi="Arial" w:cs="Arial"/>
          <w:color w:val="000000" w:themeColor="text1"/>
        </w:rPr>
        <w:t>.</w:t>
      </w:r>
    </w:p>
    <w:p w:rsidR="00B64699" w:rsidRPr="000E0F90" w:rsidRDefault="00B64699" w:rsidP="002B538F">
      <w:pPr>
        <w:spacing w:after="0" w:line="360" w:lineRule="auto"/>
        <w:rPr>
          <w:rFonts w:ascii="Arial" w:hAnsi="Arial" w:cs="Arial"/>
          <w:color w:val="000000" w:themeColor="text1"/>
        </w:rPr>
      </w:pPr>
      <w:r w:rsidRPr="000E0F90">
        <w:rPr>
          <w:rFonts w:ascii="Arial" w:hAnsi="Arial" w:cs="Arial"/>
          <w:color w:val="000000" w:themeColor="text1"/>
        </w:rPr>
        <w:t>La contaminación de la atmosfera se origina del material particulado, de diversas composiciones químicas, que es transportado por el viento resultante de excavaciones, tronaduras, transporte de materiales, erosión eólica de botaderos y minas a</w:t>
      </w:r>
      <w:r w:rsidR="0049698D" w:rsidRPr="000E0F90">
        <w:rPr>
          <w:rFonts w:ascii="Arial" w:hAnsi="Arial" w:cs="Arial"/>
          <w:color w:val="000000" w:themeColor="text1"/>
        </w:rPr>
        <w:t xml:space="preserve"> </w:t>
      </w:r>
      <w:r w:rsidRPr="000E0F90">
        <w:rPr>
          <w:rFonts w:ascii="Arial" w:hAnsi="Arial" w:cs="Arial"/>
          <w:color w:val="000000" w:themeColor="text1"/>
        </w:rPr>
        <w:t xml:space="preserve">rajo abierto, relaves  y transporte de vehículo; emisiones de efecto invernadero </w:t>
      </w:r>
      <w:r w:rsidR="0049698D" w:rsidRPr="000E0F90">
        <w:rPr>
          <w:rFonts w:ascii="Arial" w:hAnsi="Arial" w:cs="Arial"/>
          <w:color w:val="000000" w:themeColor="text1"/>
        </w:rPr>
        <w:t>provenientes</w:t>
      </w:r>
      <w:r w:rsidRPr="000E0F90">
        <w:rPr>
          <w:rFonts w:ascii="Arial" w:hAnsi="Arial" w:cs="Arial"/>
          <w:color w:val="000000" w:themeColor="text1"/>
        </w:rPr>
        <w:t xml:space="preserve"> de la combustión de fuentes fósiles , fundiciones y explosiones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"author" : [ { "dropping-particle" : "", "family" : "Schildermans", "given" : "Peter", "non-dropping-particle" : "", "parse-names" : false, "suffix" : "" } ], "id" : "ITEM-1", "issued" : { "date-parts" : [ [ "2011" ] ] }, "note" : "NULL", "page" : "256", "title" : "The Chilean copper industry towards a more ecologically durable exploitation ?", "type" : "article-journal" }, "uris" : [ "http://www.mendeley.com/documents/?uuid=b25a2fcc-89a4-4984-9241-223ea94111a8" ] } ], "mendeley" : { "formattedCitation" : "(Schildermans, 2011)", "plainTextFormattedCitation" : "(Schildermans, 2011)", "previouslyFormattedCitation" : "(Schildermans, 2011)"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(Schildermans, 2011)</w:t>
      </w:r>
      <w:r w:rsidRPr="000E0F90">
        <w:rPr>
          <w:rFonts w:ascii="Arial" w:hAnsi="Arial" w:cs="Arial"/>
          <w:color w:val="000000" w:themeColor="text1"/>
        </w:rPr>
        <w:fldChar w:fldCharType="end"/>
      </w:r>
      <w:r w:rsidRPr="000E0F90">
        <w:rPr>
          <w:rFonts w:ascii="Arial" w:hAnsi="Arial" w:cs="Arial"/>
          <w:color w:val="000000" w:themeColor="text1"/>
        </w:rPr>
        <w:t xml:space="preserve">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"10.1080/17480930.2015.1128799", "ISSN" : "1748-0930", "abstract" : "Chile is the principal producer of copper with a total of 5.8\u00a0million tonnes fine copper production in 2013. Chilean mining industry currently faces a projected increase in waste production, depleting water resources in the arid mining regions of the north and a lack of fossil fuel energy sources. In this study, a review of the historical background of environmental practices in Chile is presented, focused between 1970 and 2010. A review of the current state of sustainable development, comprising energy, water, stakeholder participation, environmental impacts and institutional decentralisation in the mining industry is presented.", "author" : [ { "dropping-particle" : "", "family" : "Ghorbani", "given" : "Yousef", "non-dropping-particle" : "", "parse-names" : false, "suffix" : "" }, { "dropping-particle" : "", "family" : "Kuan", "given" : "Seng How", "non-dropping-particle" : "", "parse-names" : false, "suffix" : "" } ], "container-title" : "International Journal of Mining, Reclamation and Environment", "id" : "ITEM-1", "issue" : "February", "issued" : { "date-parts" : [ [ "2016" ] ] }, "note" : "NULL", "page" : "1-29", "publisher" : "Taylor &amp; Francis", "title" : "A review of sustainable development in the Chilean mining sector: past, present and future", "type" : "article-journal", "volume" : "0930" }, "uris" : [ "http://www.mendeley.com/documents/?uuid=ba6630bb-3cdb-4443-b119-f6b6f68bafa7" ] } ], "mendeley" : { "formattedCitation" : "(Ghorbani &amp; Kuan, 2016)", "plainTextFormattedCitation" : "(Ghorbani &amp; Kuan, 2016)", "previouslyFormattedCitation" : "(Ghorbani &amp; Kuan, 2016)"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(Ghorbani &amp; Kuan, 2016)</w:t>
      </w:r>
      <w:r w:rsidRPr="000E0F90">
        <w:rPr>
          <w:rFonts w:ascii="Arial" w:hAnsi="Arial" w:cs="Arial"/>
          <w:color w:val="000000" w:themeColor="text1"/>
        </w:rPr>
        <w:fldChar w:fldCharType="end"/>
      </w:r>
    </w:p>
    <w:p w:rsidR="00B64699" w:rsidRPr="000E0F90" w:rsidRDefault="00B64699" w:rsidP="002B538F">
      <w:pPr>
        <w:spacing w:after="0" w:line="360" w:lineRule="auto"/>
        <w:rPr>
          <w:rFonts w:ascii="Arial" w:hAnsi="Arial" w:cs="Arial"/>
          <w:color w:val="000000" w:themeColor="text1"/>
        </w:rPr>
      </w:pPr>
      <w:r w:rsidRPr="000E0F90">
        <w:rPr>
          <w:rFonts w:ascii="Arial" w:hAnsi="Arial" w:cs="Arial"/>
          <w:color w:val="000000" w:themeColor="text1"/>
        </w:rPr>
        <w:t xml:space="preserve">Estos contaminantes afectan la salud humana y ecosistemas, como son el material particulado, metales pesados, monóxido de carbono, dióxido de azufre y </w:t>
      </w:r>
      <w:r w:rsidR="0049698D" w:rsidRPr="000E0F90">
        <w:rPr>
          <w:rFonts w:ascii="Arial" w:hAnsi="Arial" w:cs="Arial"/>
          <w:color w:val="000000" w:themeColor="text1"/>
        </w:rPr>
        <w:t>óxidos</w:t>
      </w:r>
      <w:r w:rsidRPr="000E0F90">
        <w:rPr>
          <w:rFonts w:ascii="Arial" w:hAnsi="Arial" w:cs="Arial"/>
          <w:color w:val="000000" w:themeColor="text1"/>
        </w:rPr>
        <w:t xml:space="preserve"> nitrogenados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"10.1080/17480930.2015.1128799", "ISSN" : "1748-0930", "abstract" : "Chile is the principal producer of copper with a total of 5.8\u00a0million tonnes fine copper production in 2013. Chilean mining industry currently faces a projected increase in waste production, depleting water resources in the arid mining regions of the north and a lack of fossil fuel energy sources. In this study, a review of the historical background of environmental practices in Chile is presented, focused between 1970 and 2010. A review of the current state of sustainable development, comprising energy, water, stakeholder participation, environmental impacts and institutional decentralisation in the mining industry is presented.", "author" : [ { "dropping-particle" : "", "family" : "Ghorbani", "given" : "Yousef", "non-dropping-particle" : "", "parse-names" : false, "suffix" : "" }, { "dropping-particle" : "", "family" : "Kuan", "given" : "Seng How", "non-dropping-particle" : "", "parse-names" : false, "suffix" : "" } ], "container-title" : "International Journal of Mining, Reclamation and Environment", "id" : "ITEM-1", "issue" : "February", "issued" : { "date-parts" : [ [ "2016" ] ] }, "note" : "NULL", "page" : "1-29", "publisher" : "Taylor &amp; Francis", "title" : "A review of sustainable development in the Chilean mining sector: past, present and future", "type" : "article-journal", "volume" : "0930" }, "uris" : [ "http://www.mendeley.com/documents/?uuid=ba6630bb-3cdb-4443-b119-f6b6f68bafa7" ] } ], "mendeley" : { "formattedCitation" : "(Ghorbani &amp; Kuan, 2016)", "plainTextFormattedCitation" : "(Ghorbani &amp; Kuan, 2016)", "previouslyFormattedCitation" : "(Ghorbani &amp; Kuan, 2016)"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(Ghorbani &amp; Kuan, 2016)</w:t>
      </w:r>
      <w:r w:rsidRPr="000E0F90">
        <w:rPr>
          <w:rFonts w:ascii="Arial" w:hAnsi="Arial" w:cs="Arial"/>
          <w:color w:val="000000" w:themeColor="text1"/>
        </w:rPr>
        <w:fldChar w:fldCharType="end"/>
      </w:r>
      <w:r w:rsidRPr="000E0F90">
        <w:rPr>
          <w:rFonts w:ascii="Arial" w:hAnsi="Arial" w:cs="Arial"/>
          <w:color w:val="000000" w:themeColor="text1"/>
        </w:rPr>
        <w:t xml:space="preserve"> </w:t>
      </w:r>
    </w:p>
    <w:p w:rsidR="00B64699" w:rsidRPr="000E0F90" w:rsidRDefault="00B64699" w:rsidP="002B538F">
      <w:pPr>
        <w:spacing w:after="0" w:line="360" w:lineRule="auto"/>
        <w:rPr>
          <w:rFonts w:ascii="Arial" w:hAnsi="Arial" w:cs="Arial"/>
          <w:b/>
          <w:color w:val="000000" w:themeColor="text1"/>
        </w:rPr>
      </w:pPr>
    </w:p>
    <w:p w:rsidR="00B64699" w:rsidRPr="000E0F90" w:rsidRDefault="00B64699" w:rsidP="002B538F">
      <w:pPr>
        <w:spacing w:after="0" w:line="360" w:lineRule="auto"/>
        <w:rPr>
          <w:rFonts w:ascii="Arial" w:hAnsi="Arial" w:cs="Arial"/>
          <w:b/>
          <w:color w:val="000000" w:themeColor="text1"/>
        </w:rPr>
      </w:pPr>
      <w:r w:rsidRPr="000E0F90">
        <w:rPr>
          <w:rFonts w:ascii="Arial" w:hAnsi="Arial" w:cs="Arial"/>
          <w:b/>
          <w:color w:val="000000" w:themeColor="text1"/>
        </w:rPr>
        <w:t>Recursos Energéticos</w:t>
      </w:r>
    </w:p>
    <w:p w:rsidR="00B64699" w:rsidRPr="000E0F90" w:rsidRDefault="00B64699" w:rsidP="002B538F">
      <w:pPr>
        <w:spacing w:line="360" w:lineRule="auto"/>
        <w:rPr>
          <w:rFonts w:ascii="Arial" w:hAnsi="Arial" w:cs="Arial"/>
          <w:color w:val="000000" w:themeColor="text1"/>
        </w:rPr>
      </w:pPr>
      <w:r w:rsidRPr="000E0F90">
        <w:rPr>
          <w:rFonts w:ascii="Arial" w:hAnsi="Arial" w:cs="Arial"/>
          <w:color w:val="000000" w:themeColor="text1"/>
        </w:rPr>
        <w:t xml:space="preserve">Su impacto ambiental se relaciona con el tipo de fuente que la origina, la cual a su vez se relaciona con las emisiones de gases de efecto invernadero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"10.1016/j.resourpol.2009.12.001", "ISSN" : "03014207", "author" : [ { "dropping-particle" : "", "family" : "Mudd", "given" : "Gavin M.", "non-dropping-particle" : "", "parse-names" : false, "suffix" : "" } ], "container-title" : "Resources Policy", "id" : "ITEM-1", "issue" : "2", "issued" : { "date-parts" : [ [ "2010", "6" ] ] }, "page" : "98-115", "publisher" : "Elsevier", "title" : "The Environmental sustainability of mining in Australia: key mega-trends and looming constraints", "type" : "article-journal", "volume" : "35" }, "uris" : [ "http://www.mendeley.com/documents/?uuid=ff129118-ca05-46c3-9832-36feaf335780" ] } ], "mendeley" : { "formattedCitation" : "(Gavin M. Mudd, 2010)", "plainTextFormattedCitation" : "(Gavin M. Mudd, 2010)", "previouslyFormattedCitation" : "(Gavin M. Mudd, 2010)"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(Gavin M. Mudd, 2010)</w:t>
      </w:r>
      <w:r w:rsidRPr="000E0F90">
        <w:rPr>
          <w:rFonts w:ascii="Arial" w:hAnsi="Arial" w:cs="Arial"/>
          <w:color w:val="000000" w:themeColor="text1"/>
        </w:rPr>
        <w:fldChar w:fldCharType="end"/>
      </w:r>
      <w:r w:rsidRPr="000E0F90">
        <w:rPr>
          <w:rFonts w:ascii="Arial" w:hAnsi="Arial" w:cs="Arial"/>
          <w:color w:val="000000" w:themeColor="text1"/>
        </w:rPr>
        <w:t xml:space="preserve">. Emisiones que provienen de la minería, refinamiento y fundición de metales son los mayores contribuyentes a las emisiones de CO2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"ISBN" : "978-0-87335-264-2", "ISSN" : "01489062", "abstract" : "This third edition of the SME Mining Engineering Handbook reaffirms its international reputation as \"the handbook of choice\" for today's practicing mining engineer. It distills the body of knowledge that characterizes mining engineering as a disciplinary field and has subsequently helped to inspire and inform generations of mining professionals.Virtually all of the information is original content, representing the latest information from more than 250 internationally recognized mining industry experts.Within the handbook's 115 thought-provoking chapters are current topics relevant to today's mining professional:Analyzing how the mining and minerals industry will develop over the medium and long term--why such changes are inevitable, what this will mean in terms of challenges, and how they could be managedExplaining the mechanics associated with the multifaceted world of mine and mineral economics, from the decisions associated with how best to finance a single piece of high-value equipment to the long-term cash-flow issues associated with mine planning at a mature operationDescribing the recent and ongoing technical initiatives and engineering developments in relation to robotics, automation, acid rock drainage, block caving optimization, or process dewatering methodsExamining in detail the methods and equipment available to achieve efficient, predictable, and safe rock breaking, whether employing a tunnel boring machine for development work, mineral extraction using a mobile miner, or cast blasting at a surface coal operationIdentifying the salient points that dictate which is the safest, most efficient, and most versatile extraction method to employ, as well as describing in detail how each alternative is engineeredDiscussing the impacts that social and environmental issues have on mining from the pre-exploration phase to end-of-mine issues and beyond, and how to manage these two increasingly important factors to the benefit of both the mining companies and other stakeholders", "author" : [ { "dropping-particle" : "", "family" : "Darling", "given" : "Peter", "non-dropping-particle" : "", "parse-names" : false, "suffix" : "" } ], "id" : "ITEM-1", "issued" : { "date-parts" : [ [ "2011" ] ] }, "page" : "1912", "title" : "SME Mining Engineering Handbook, Third Edition", "type" : "article-journal" }, "uris" : [ "http://www.mendeley.com/documents/?uuid=7c9da50b-6a6f-4864-b02f-00b68bb0abb8" ] } ], "mendeley" : { "formattedCitation" : "(Darling, 2011)", "plainTextFormattedCitation" : "(Darling, 2011)", "previouslyFormattedCitation" : "(Darling, 2011)"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(Darling, 2011)</w:t>
      </w:r>
      <w:r w:rsidRPr="000E0F90">
        <w:rPr>
          <w:rFonts w:ascii="Arial" w:hAnsi="Arial" w:cs="Arial"/>
          <w:color w:val="000000" w:themeColor="text1"/>
        </w:rPr>
        <w:fldChar w:fldCharType="end"/>
      </w:r>
      <w:r w:rsidRPr="000E0F90">
        <w:rPr>
          <w:rFonts w:ascii="Arial" w:hAnsi="Arial" w:cs="Arial"/>
          <w:color w:val="000000" w:themeColor="text1"/>
        </w:rPr>
        <w:t xml:space="preserve">. A esto se debe agregar el aumento en la intensidad de uso de energía necesaria para transformar la minería subterránea a tajo abierto, al incremento de las exploraciones así como a la disminución de la ley de mineral, tendencia observada en los últimos años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"10.1016/j.resourpol.2009.12.001", "ISSN" : "03014207", "author" : [ { "dropping-particle" : "", "family" : "Mudd", "given" : "Gavin M.", "non-dropping-particle" : "", "parse-names" : false, "suffix" : "" } ], "container-title" : "Resources Policy", "id" : "ITEM-1", "issue" : "2", "issued" : { "date-parts" : [ [ "2010", "6" ] ] }, "page" : "98-115", "publisher" : "Elsevier", "title" : "The Environmental sustainability of mining in Australia: key mega-trends and looming constraints", "type" : "article-journal", "volume" : "35" }, "uris" : [ "http://www.mendeley.com/documents/?uuid=ff129118-ca05-46c3-9832-36feaf335780" ] }, { "id" : "ITEM-2", "itemData" : { "DOI" : "10.1016/j.gloenvcha.2011.08.009", "ISSN" : "09593780", "author" : [ { "dropping-particle" : "", "family" : "Prior", "given" : "T.", "non-dropping-particle" : "", "parse-names" : false, "suffix" : "" }, { "dropping-particle" : "", "family" : "Giurco", "given" : "D.", "non-dropping-particle" : "", "parse-names" : false, "suffix" : "" }, { "dropping-particle" : "", "family" : "Mudd", "given" : "G.", "non-dropping-particle" : "", "parse-names" : false, "suffix" : "" }, { "dropping-particle" : "", "family" : "Mason", "given" : "L.", "non-dropping-particle" : "", "parse-names" : false, "suffix" : "" }, { "dropping-particle" : "", "family" : "Behrisch", "given" : "J.", "non-dropping-particle" : "", "parse-names" : false, "suffix" : "" } ], "container-title" : "Global Environmental Change", "id" : "ITEM-2", "issue" : "3", "issued" : { "date-parts" : [ [ "2012", "8" ] ] }, "page" : "577-587", "publisher" : "Elsevier Ltd", "title" : "Resource depletion, peak minerals and the implications for sustainable resource management", "type" : "article-journal", "volume" : "22" }, "uris" : [ "http://www.mendeley.com/documents/?uuid=2b8380be-be24-4e89-8599-74078f32fe15" ] } ], "mendeley" : { "formattedCitation" : "(Gavin M. Mudd, 2010; Prior et al., 2012)", "plainTextFormattedCitation" : "(Gavin M. Mudd, 2010; Prior et al., 2012)", "previouslyFormattedCitation" : "(Gavin M. Mudd, 2010; Prior et al., 2012)"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(Gavin M. Mudd, 2010; Prior et al., 2012)</w:t>
      </w:r>
      <w:r w:rsidRPr="000E0F90">
        <w:rPr>
          <w:rFonts w:ascii="Arial" w:hAnsi="Arial" w:cs="Arial"/>
          <w:color w:val="000000" w:themeColor="text1"/>
        </w:rPr>
        <w:fldChar w:fldCharType="end"/>
      </w:r>
      <w:r w:rsidRPr="000E0F90">
        <w:rPr>
          <w:rFonts w:ascii="Arial" w:hAnsi="Arial" w:cs="Arial"/>
          <w:color w:val="000000" w:themeColor="text1"/>
        </w:rPr>
        <w:t>.</w:t>
      </w:r>
    </w:p>
    <w:p w:rsidR="00B64699" w:rsidRPr="000E0F90" w:rsidRDefault="00B64699" w:rsidP="002B538F">
      <w:pPr>
        <w:spacing w:after="0" w:line="360" w:lineRule="auto"/>
        <w:rPr>
          <w:rFonts w:ascii="Arial" w:hAnsi="Arial" w:cs="Arial"/>
          <w:b/>
          <w:color w:val="000000" w:themeColor="text1"/>
        </w:rPr>
      </w:pPr>
      <w:r w:rsidRPr="000E0F90">
        <w:rPr>
          <w:rFonts w:ascii="Arial" w:hAnsi="Arial" w:cs="Arial"/>
          <w:b/>
          <w:color w:val="000000" w:themeColor="text1"/>
        </w:rPr>
        <w:t>Recursos Minerales</w:t>
      </w:r>
    </w:p>
    <w:p w:rsidR="00B713D5" w:rsidRPr="000E0F90" w:rsidRDefault="00B64699" w:rsidP="002B538F">
      <w:pPr>
        <w:spacing w:line="360" w:lineRule="auto"/>
        <w:rPr>
          <w:rFonts w:ascii="Arial" w:hAnsi="Arial" w:cs="Arial"/>
          <w:color w:val="000000" w:themeColor="text1"/>
        </w:rPr>
      </w:pPr>
      <w:r w:rsidRPr="000E0F90">
        <w:rPr>
          <w:rFonts w:ascii="Arial" w:hAnsi="Arial" w:cs="Arial"/>
          <w:color w:val="000000" w:themeColor="text1"/>
        </w:rPr>
        <w:t xml:space="preserve">La reducción progresiva de la base de los recursos minerales finitos de un territorio es un impacto ineludible de la actividad. Dada la naturaleza no renovable de los recursos minerales y las actuales tasas de extracción se produce una disminución progresiva del recurso mineral en el tiempo, alcanzando indudablemente el agotamiento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"10.1016/S0301-4207(96)00024-4", "ISBN" : "0301-4207", "ISSN" : "03014207", "abstract" : "Though sustainable development is a relatively recent addition to the public lexicon, concern that resource depletion may threaten the welfare of future generations dates back at least to Thomas Malthus and other classical economists writing nearly two centuries ago. Today the de- bate over this threat not only continues, but seems more polarized than ever. In one school are the concerned, often ecologists and other scientists and engineers, who contend the earth cannot for long continue to support current and anticipated levels of demand for oil and other ex- haustible resources. In the opposing school are the unconcerned, often economists, who claim with equal conviction that the earth with the help of market incentives, appropriate public poli- cies, and new technology can amply provide for society's needs for the indefinite future. That in- telligent and informed individuals remain so divided on such an important issue for the future of humanity after years of debate is surprising. The explanation, at least in part, appears to lie with the very different paradigms adopted by the two different groups coupled with quite con- trasting views on the beneficence of technology, public policy and the marketplace. The two competing paradigms lead to quite different outlooks on the human condition and in turn on recommendations for public policy. Copyright", "author" : [ { "dropping-particle" : "", "family" : "Tilton", "given" : "John E.", "non-dropping-particle" : "", "parse-names" : false, "suffix" : "" } ], "container-title" : "Resources Policy", "id" : "ITEM-1", "issue" : "96", "issued" : { "date-parts" : [ [ "1996" ] ] }, "page" : "91-97", "title" : "Exhaustible resources and sustainable development", "type" : "article-journal", "volume" : "22" }, "uris" : [ "http://www.mendeley.com/documents/?uuid=66fb9785-9df2-43af-af5a-fa405750842c" ] } ], "mendeley" : { "formattedCitation" : "(Tilton, 1996)", "plainTextFormattedCitation" : "(Tilton, 1996)", "previouslyFormattedCitation" : "(Tilton, 1996)"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 xml:space="preserve">(Tilton, </w:t>
      </w:r>
      <w:r w:rsidRPr="000E0F90">
        <w:rPr>
          <w:rFonts w:ascii="Arial" w:hAnsi="Arial" w:cs="Arial"/>
          <w:noProof/>
          <w:color w:val="000000" w:themeColor="text1"/>
        </w:rPr>
        <w:lastRenderedPageBreak/>
        <w:t>1996)</w:t>
      </w:r>
      <w:r w:rsidRPr="000E0F90">
        <w:rPr>
          <w:rFonts w:ascii="Arial" w:hAnsi="Arial" w:cs="Arial"/>
          <w:color w:val="000000" w:themeColor="text1"/>
        </w:rPr>
        <w:fldChar w:fldCharType="end"/>
      </w:r>
      <w:r w:rsidR="00247AE4" w:rsidRPr="000E0F90">
        <w:rPr>
          <w:rFonts w:ascii="Arial" w:hAnsi="Arial" w:cs="Arial"/>
          <w:color w:val="000000" w:themeColor="text1"/>
        </w:rPr>
        <w:t>.</w:t>
      </w:r>
      <w:r w:rsidR="00B713D5" w:rsidRPr="000E0F90">
        <w:rPr>
          <w:rFonts w:ascii="Arial" w:hAnsi="Arial" w:cs="Arial"/>
          <w:color w:val="000000" w:themeColor="text1"/>
        </w:rPr>
        <w:t xml:space="preserve"> Lo cual tiene un alcance local, regional y global, incluyendo diversidad de actores. Como es el caso de los empleados y comunidades locales que basan su desarrollo en las operaciones mineras, y diversos consumidores a escala global que no podrán satisfacer sus necesidades </w:t>
      </w:r>
      <w:r w:rsidR="00B713D5" w:rsidRPr="000E0F90">
        <w:rPr>
          <w:rFonts w:ascii="Arial" w:hAnsi="Arial" w:cs="Arial"/>
          <w:color w:val="000000" w:themeColor="text1"/>
        </w:rPr>
        <w:fldChar w:fldCharType="begin" w:fldLock="1"/>
      </w:r>
      <w:r w:rsidR="005867D4" w:rsidRPr="000E0F90">
        <w:rPr>
          <w:rFonts w:ascii="Arial" w:hAnsi="Arial" w:cs="Arial"/>
          <w:color w:val="000000" w:themeColor="text1"/>
        </w:rPr>
        <w:instrText>ADDIN CSL_CITATION { "citationItems" : [ { "id" : "ITEM-1", "itemData" : { "DOI" : "10.1016/S0959-6526(03)00075-1", "ISBN" : "4414836891", "ISSN" : "09596526", "author" : [ { "dropping-particle" : "", "family" : "Azapagic", "given" : "Adisa", "non-dropping-particle" : "", "parse-names" : false, "suffix" : "" } ], "container-title" : "Journal of Cleaner Production", "id" : "ITEM-1", "issue" : "6", "issued" : { "date-parts" : [ [ "2004", "8" ] ] }, "page" : "639-662", "title" : "Developing a framework for sustainable development indicators for the mining and minerals industry", "type" : "article-journal", "volume" : "12" }, "uris" : [ "http://www.mendeley.com/documents/?uuid=a36976cf-2e0f-4c41-bd50-7ef9e97ed91f" ] } ], "mendeley" : { "formattedCitation" : "(Azapagic, 2004)", "plainTextFormattedCitation" : "(Azapagic, 2004)", "previouslyFormattedCitation" : "(Azapagic, 2004)" }, "properties" : { "noteIndex" : 0 }, "schema" : "https://github.com/citation-style-language/schema/raw/master/csl-citation.json" }</w:instrText>
      </w:r>
      <w:r w:rsidR="00B713D5" w:rsidRPr="000E0F90">
        <w:rPr>
          <w:rFonts w:ascii="Arial" w:hAnsi="Arial" w:cs="Arial"/>
          <w:color w:val="000000" w:themeColor="text1"/>
        </w:rPr>
        <w:fldChar w:fldCharType="separate"/>
      </w:r>
      <w:r w:rsidR="00B713D5" w:rsidRPr="000E0F90">
        <w:rPr>
          <w:rFonts w:ascii="Arial" w:hAnsi="Arial" w:cs="Arial"/>
          <w:noProof/>
          <w:color w:val="000000" w:themeColor="text1"/>
        </w:rPr>
        <w:t>(Azapagic, 2004)</w:t>
      </w:r>
      <w:r w:rsidR="00B713D5" w:rsidRPr="000E0F90">
        <w:rPr>
          <w:rFonts w:ascii="Arial" w:hAnsi="Arial" w:cs="Arial"/>
          <w:color w:val="000000" w:themeColor="text1"/>
        </w:rPr>
        <w:fldChar w:fldCharType="end"/>
      </w:r>
    </w:p>
    <w:p w:rsidR="00B64699" w:rsidRPr="00B17364" w:rsidRDefault="00B64699" w:rsidP="002B538F">
      <w:pPr>
        <w:spacing w:line="360" w:lineRule="auto"/>
        <w:rPr>
          <w:rFonts w:ascii="Arial" w:hAnsi="Arial" w:cs="Arial"/>
          <w:color w:val="000000" w:themeColor="text1"/>
          <w:lang w:val="en-US"/>
        </w:rPr>
      </w:pPr>
      <w:r w:rsidRPr="000E0F90">
        <w:rPr>
          <w:rFonts w:ascii="Arial" w:hAnsi="Arial" w:cs="Arial"/>
          <w:color w:val="000000" w:themeColor="text1"/>
        </w:rPr>
        <w:t>Al respecto, se han elaborado modelos que han intentado calcular el tiempo en que comenzarían a declinar las reservas de cobre (i.e</w:t>
      </w:r>
      <w:r w:rsidRPr="000E0F90">
        <w:rPr>
          <w:rFonts w:ascii="Arial" w:hAnsi="Arial" w:cs="Arial"/>
          <w:i/>
          <w:color w:val="000000" w:themeColor="text1"/>
        </w:rPr>
        <w:t>. peak copper</w:t>
      </w:r>
      <w:r w:rsidRPr="000E0F90">
        <w:rPr>
          <w:rFonts w:ascii="Arial" w:hAnsi="Arial" w:cs="Arial"/>
          <w:color w:val="000000" w:themeColor="text1"/>
        </w:rPr>
        <w:t xml:space="preserve">), el cual ocurriría en 20-30 años, a partir del 2014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"10.1016/j.resconrec.2014.03.007", "ISSN" : "18790658", "abstract" : "The world supply and turnover of copper was modelled using simple empirical estimates and a COPPER systems dynamics model developed for this study. The model combines mining, trade markets, price mechanisms, population dynamics, use in society and waste as well as recycling, into a whole world system. The degree of sustainability and resource time horizon was estimated using four different methods including (1) burn-off rates, (2) peak discovery early warning, (3) Hubbert's production model, and (4) COPPER, a system dynamics model. The ultimately recoverable reserves (URR) have been estimated using different sources that converge around 2800 million tonne, where about 800 million tonne have already been mined, and 2000 million tonne remain. The different methods independently suggest peak copper mine production in the near future. The model was run for a longer period to cover all systems dynamics and delays. The peak production estimates are in a narrow window in time, from 2031 to 2042, with the best model estimate in 2034, or 21 years from the date of writing. In a longer perspective, taking into account price and recycling, the supply of copper to society is estimated to run out sometime after 2400. The outputs from all models put focus on the importance of copper recycling so that society can become more sustainable with respect to copper supply. \u00a9 2014 Elsevier B.V.", "author" : [ { "dropping-particle" : "", "family" : "Sverdrup", "given" : "Harald U.", "non-dropping-particle" : "", "parse-names" : false, "suffix" : "" }, { "dropping-particle" : "", "family" : "Ragnarsdottir", "given" : "Kristin Vala", "non-dropping-particle" : "", "parse-names" : false, "suffix" : "" }, { "dropping-particle" : "", "family" : "Koca", "given" : "Deniz", "non-dropping-particle" : "", "parse-names" : false, "suffix" : "" } ], "container-title" : "Resources, Conservation and Recycling", "id" : "ITEM-1", "issued" : { "date-parts" : [ [ "2014" ] ] }, "page" : "158-174", "publisher" : "Elsevier B.V.", "title" : "On modelling the global copper mining rates, market supply, copper price and the end of copper reserves", "type" : "article-journal", "volume" : "87" }, "uris" : [ "http://www.mendeley.com/documents/?uuid=a7f813a1-a343-4bb8-8769-82cc2429e191" ] } ], "mendeley" : { "formattedCitation" : "(Sverdrup, Ragnarsdottir, &amp; Koca, 2014)", "plainTextFormattedCitation" : "(Sverdrup, Ragnarsdottir, &amp; Koca, 2014)", "previouslyFormattedCitation" : "(Sverdrup, Ragnarsdottir, &amp; Koca, 2014)"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(Sverdrup, Ragnarsdottir, &amp; Koca, 2014)</w:t>
      </w:r>
      <w:r w:rsidRPr="000E0F90">
        <w:rPr>
          <w:rFonts w:ascii="Arial" w:hAnsi="Arial" w:cs="Arial"/>
          <w:color w:val="000000" w:themeColor="text1"/>
        </w:rPr>
        <w:fldChar w:fldCharType="end"/>
      </w:r>
      <w:r w:rsidRPr="000E0F90">
        <w:rPr>
          <w:rFonts w:ascii="Arial" w:hAnsi="Arial" w:cs="Arial"/>
          <w:color w:val="000000" w:themeColor="text1"/>
        </w:rPr>
        <w:t>. Lo cual adquier</w:t>
      </w:r>
      <w:r w:rsidR="00AB16D8" w:rsidRPr="000E0F90">
        <w:rPr>
          <w:rFonts w:ascii="Arial" w:hAnsi="Arial" w:cs="Arial"/>
          <w:color w:val="000000" w:themeColor="text1"/>
        </w:rPr>
        <w:t>e importancia puesto que la mayor parte de la</w:t>
      </w:r>
      <w:r w:rsidRPr="000E0F90">
        <w:rPr>
          <w:rFonts w:ascii="Arial" w:hAnsi="Arial" w:cs="Arial"/>
          <w:color w:val="000000" w:themeColor="text1"/>
        </w:rPr>
        <w:t xml:space="preserve"> utilización de los minerales proviene de fuentes “vírgenes”, y que aunque muchos metales tienen la capacidad de ser reciclados, una vez producidos, estos no representan una contribución relevante al stock de metales. </w:t>
      </w:r>
      <w:sdt>
        <w:sdtPr>
          <w:rPr>
            <w:rFonts w:ascii="Arial" w:hAnsi="Arial" w:cs="Arial"/>
            <w:color w:val="000000" w:themeColor="text1"/>
          </w:rPr>
          <w:id w:val="1841732645"/>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Raj05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(Rajaram, Dutta, &amp; Parameswaran, 2005)</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w:t>
      </w:r>
      <w:r w:rsidRPr="000E0F90">
        <w:rPr>
          <w:rFonts w:ascii="Arial" w:hAnsi="Arial" w:cs="Arial"/>
          <w:color w:val="000000" w:themeColor="text1"/>
        </w:rPr>
        <w:fldChar w:fldCharType="begin" w:fldLock="1"/>
      </w:r>
      <w:r w:rsidRPr="000E0F90">
        <w:rPr>
          <w:rFonts w:ascii="Arial" w:hAnsi="Arial" w:cs="Arial"/>
          <w:color w:val="000000" w:themeColor="text1"/>
        </w:rPr>
        <w:instrText xml:space="preserve">ADDIN CSL_CITATION { "citationItems" : [ { "id" : "ITEM-1", "itemData" : { "DOI" : "10.1016/S0301-4207(96)00024-4", "ISBN" : "0301-4207", "ISSN" : "03014207", "abstract" : "Though sustainable development is a relatively recent addition to the public lexicon, concern that resource depletion may threaten the welfare of future generations dates back at least to Thomas Malthus and other classical economists writing nearly two centuries ago. Today the de- bate over this threat not only continues, but seems more polarized than ever. In one school are the concerned, often ecologists and other scientists and engineers, who contend the earth cannot for long continue to support current and anticipated levels of demand for oil and other ex- haustible resources. In the opposing school are the unconcerned, often economists, who claim </w:instrText>
      </w:r>
      <w:r w:rsidRPr="00B17364">
        <w:rPr>
          <w:rFonts w:ascii="Arial" w:hAnsi="Arial" w:cs="Arial"/>
          <w:color w:val="000000" w:themeColor="text1"/>
          <w:lang w:val="en-US"/>
        </w:rPr>
        <w:instrText>with equal conviction that the earth with the help of market incentives, appropriate public poli- cies, and new technology can amply provide for society's needs for the indefinite future. That in- telligent and informed individuals remain so divided on such an important issue for the future of humanity after years of debate is surprising. The explanation, at least in part, appears to lie with the very different paradigms adopted by the two different groups coupled with quite con- trasting views on the beneficence of technology, public policy and the marketplace. The two competing paradigms lead to quite different outlooks on the human condition and in turn on recommendations for public policy. Copyright", "author" : [ { "dropping-particle" : "", "family" : "Tilton", "given" : "John E.", "non-dropping-particle" : "", "parse-names" : false, "suffix" : "" } ], "container-title" : "Resources Policy", "id" : "ITEM-1", "issue" : "96", "issued" : { "date-parts" : [ [ "1996" ] ] }, "page" : "91-97", "title" : "Exhaustible resources and sustainable development", "type" : "article-journal", "volume" : "22" }, "uris" : [ "http://www.mendeley.com/documents/?uuid=66fb9785-9df2-43af-af5a-fa405750842c" ] } ], "mendeley" : { "formattedCitation" : "(Tilton, 1996)", "plainTextFormattedCitation" : "(Tilton, 1996)", "previouslyFormattedCitation" : "(Tilton, 1996)" }, "properties" : { "noteIndex" : 0 }, "schema" : "https://github.com/citation-style-language/schema/raw/master/csl-citation.json" }</w:instrText>
      </w:r>
      <w:r w:rsidRPr="000E0F90">
        <w:rPr>
          <w:rFonts w:ascii="Arial" w:hAnsi="Arial" w:cs="Arial"/>
          <w:color w:val="000000" w:themeColor="text1"/>
        </w:rPr>
        <w:fldChar w:fldCharType="separate"/>
      </w:r>
      <w:r w:rsidRPr="00B17364">
        <w:rPr>
          <w:rFonts w:ascii="Arial" w:hAnsi="Arial" w:cs="Arial"/>
          <w:noProof/>
          <w:color w:val="000000" w:themeColor="text1"/>
          <w:lang w:val="en-US"/>
        </w:rPr>
        <w:t>(Tilton, 1996)</w:t>
      </w:r>
      <w:r w:rsidRPr="000E0F90">
        <w:rPr>
          <w:rFonts w:ascii="Arial" w:hAnsi="Arial" w:cs="Arial"/>
          <w:color w:val="000000" w:themeColor="text1"/>
        </w:rPr>
        <w:fldChar w:fldCharType="end"/>
      </w:r>
      <w:r w:rsidRPr="00B17364">
        <w:rPr>
          <w:rFonts w:ascii="Arial" w:hAnsi="Arial" w:cs="Arial"/>
          <w:color w:val="000000" w:themeColor="text1"/>
          <w:lang w:val="en-US"/>
        </w:rPr>
        <w:t xml:space="preserve"> </w:t>
      </w:r>
      <w:r w:rsidRPr="000E0F90">
        <w:rPr>
          <w:rFonts w:ascii="Arial" w:hAnsi="Arial" w:cs="Arial"/>
          <w:color w:val="000000" w:themeColor="text1"/>
        </w:rPr>
        <w:fldChar w:fldCharType="begin" w:fldLock="1"/>
      </w:r>
      <w:r w:rsidRPr="00B17364">
        <w:rPr>
          <w:rFonts w:ascii="Arial" w:hAnsi="Arial" w:cs="Arial"/>
          <w:color w:val="000000" w:themeColor="text1"/>
          <w:lang w:val="en-US"/>
        </w:rPr>
        <w:instrText>ADDIN CSL_CITATION { "citationItems" : [ { "id" : "ITEM-1", "itemData" : { "DOI" : "10.1073/pnas.0509498103", "ISBN" : "0027-8424", "ISSN" : "0027-8424", "PMID" : "16432205", "abstract" : "The relative proportions of metal residing in ore in the lithosphere, in use in products providing services, and in waste deposits measure our progress from exclusive use of virgin ore toward full dependence on sustained use of recycled metal. In the U.S. at present, the copper contents of these three repositories are roughly equivalent, but metal in service continues to increase. Providing today's developed-country level of services for copper worldwide (as well as for zinc and, perhaps, platinum) would appear to require conversion of essentially all of the ore in the lithosphere to stock-in-use plus near-complete recycling of the metals from that point forward.", "author" : [ { "dropping-particle" : "", "family" : "Gordon", "given" : "R B", "non-dropping-particle" : "", "parse-names" : false, "suffix" : "" }, { "dropping-particle" : "", "family" : "Bertram", "given" : "M", "non-dropping-particle" : "", "parse-names" : false, "suffix" : "" }, { "dropping-particle" : "", "family" : "Graedel", "given" : "T E", "non-dropping-particle" : "", "parse-names" : false, "suffix" : "" } ], "container-title" : "Proceedings of the National Academy of Sciences of the United States of America", "id" : "ITEM-1", "issue" : "5", "issued" : { "date-parts" : [ [ "2006" ] ] }, "page" : "1209-1214", "title" : "Metal stocks and sustainability.", "type" : "article-journal", "volume" : "103" }, "uris" : [ "http://www.mendeley.com/documents/?uuid=a3fd36e6-ecc5-4511-b677-c2b7b4a03862" ] } ], "mendeley" : { "formattedCitation" : "(Gordon, Bertram, &amp; Graedel, 2006)", "plainTextFormattedCitation" : "(Gordon, Bertram, &amp; Graedel, 2006)", "previouslyFormattedCitation" : "(Gordon, Bertram, &amp; Graedel, 2006)" }, "properties" : { "noteIndex" : 0 }, "schema" : "https://github.com/citation-style-language/schema/raw/master/csl-citation.json" }</w:instrText>
      </w:r>
      <w:r w:rsidRPr="000E0F90">
        <w:rPr>
          <w:rFonts w:ascii="Arial" w:hAnsi="Arial" w:cs="Arial"/>
          <w:color w:val="000000" w:themeColor="text1"/>
        </w:rPr>
        <w:fldChar w:fldCharType="separate"/>
      </w:r>
      <w:proofErr w:type="gramStart"/>
      <w:r w:rsidRPr="00B17364">
        <w:rPr>
          <w:rFonts w:ascii="Arial" w:hAnsi="Arial" w:cs="Arial"/>
          <w:noProof/>
          <w:color w:val="000000" w:themeColor="text1"/>
          <w:lang w:val="en-US"/>
        </w:rPr>
        <w:t>(Gordon, Bertram, &amp; Graedel, 2006)</w:t>
      </w:r>
      <w:r w:rsidRPr="000E0F90">
        <w:rPr>
          <w:rFonts w:ascii="Arial" w:hAnsi="Arial" w:cs="Arial"/>
          <w:color w:val="000000" w:themeColor="text1"/>
        </w:rPr>
        <w:fldChar w:fldCharType="end"/>
      </w:r>
      <w:r w:rsidRPr="00B17364">
        <w:rPr>
          <w:rFonts w:ascii="Arial" w:hAnsi="Arial" w:cs="Arial"/>
          <w:color w:val="000000" w:themeColor="text1"/>
          <w:lang w:val="en-US"/>
        </w:rPr>
        <w:t>.</w:t>
      </w:r>
      <w:proofErr w:type="gramEnd"/>
      <w:r w:rsidRPr="00B17364">
        <w:rPr>
          <w:rFonts w:ascii="Arial" w:hAnsi="Arial" w:cs="Arial"/>
          <w:color w:val="000000" w:themeColor="text1"/>
          <w:lang w:val="en-US"/>
        </w:rPr>
        <w:t xml:space="preserve"> </w:t>
      </w:r>
    </w:p>
    <w:p w:rsidR="00B64699" w:rsidRPr="00B17364" w:rsidRDefault="00B64699" w:rsidP="002B538F">
      <w:pPr>
        <w:spacing w:line="360" w:lineRule="auto"/>
        <w:rPr>
          <w:rFonts w:ascii="Arial" w:hAnsi="Arial" w:cs="Arial"/>
          <w:color w:val="000000" w:themeColor="text1"/>
          <w:lang w:val="en-US"/>
        </w:rPr>
      </w:pPr>
      <w:r w:rsidRPr="00B17364">
        <w:rPr>
          <w:rFonts w:ascii="Arial" w:hAnsi="Arial" w:cs="Arial"/>
          <w:color w:val="000000" w:themeColor="text1"/>
          <w:lang w:val="en-US"/>
        </w:rPr>
        <w:t xml:space="preserve">Sin embargo, las principales limitantes actuales de la actividad se relacionan con los costos medioambientales y económicos asociados a la extracción, los cuales han restringido áreas donde </w:t>
      </w:r>
      <w:r w:rsidR="0049698D" w:rsidRPr="00B17364">
        <w:rPr>
          <w:rFonts w:ascii="Arial" w:hAnsi="Arial" w:cs="Arial"/>
          <w:color w:val="000000" w:themeColor="text1"/>
          <w:lang w:val="en-US"/>
        </w:rPr>
        <w:t>económica</w:t>
      </w:r>
      <w:r w:rsidRPr="00B17364">
        <w:rPr>
          <w:rFonts w:ascii="Arial" w:hAnsi="Arial" w:cs="Arial"/>
          <w:color w:val="000000" w:themeColor="text1"/>
          <w:lang w:val="en-US"/>
        </w:rPr>
        <w:t xml:space="preserve"> o </w:t>
      </w:r>
      <w:r w:rsidR="0049698D" w:rsidRPr="00B17364">
        <w:rPr>
          <w:rFonts w:ascii="Arial" w:hAnsi="Arial" w:cs="Arial"/>
          <w:color w:val="000000" w:themeColor="text1"/>
          <w:lang w:val="en-US"/>
        </w:rPr>
        <w:t>tecnológicamente</w:t>
      </w:r>
      <w:r w:rsidRPr="00B17364">
        <w:rPr>
          <w:rFonts w:ascii="Arial" w:hAnsi="Arial" w:cs="Arial"/>
          <w:color w:val="000000" w:themeColor="text1"/>
          <w:lang w:val="en-US"/>
        </w:rPr>
        <w:t xml:space="preserve"> no tiene valor realizar minería, producto de los costos de contaminación que amenazan la sostenibilidad de ecosistemas que soportan la producción de alimento, el aire y aguas limpias, y finalmente nuestra vida en la tierra </w:t>
      </w:r>
      <w:r w:rsidRPr="000E0F90">
        <w:rPr>
          <w:rFonts w:ascii="Arial" w:hAnsi="Arial" w:cs="Arial"/>
          <w:color w:val="000000" w:themeColor="text1"/>
        </w:rPr>
        <w:fldChar w:fldCharType="begin" w:fldLock="1"/>
      </w:r>
      <w:r w:rsidRPr="00B17364">
        <w:rPr>
          <w:rFonts w:ascii="Arial" w:hAnsi="Arial" w:cs="Arial"/>
          <w:color w:val="000000" w:themeColor="text1"/>
          <w:lang w:val="en-US"/>
        </w:rPr>
        <w:instrText>ADDIN CSL_CITATION { "citationItems" : [ { "id" : "ITEM-1", "itemData" : { "DOI" : "10.1016/j.mineng.2012.01.006", "ISSN" : "08926875", "author" : [ { "dropping-particle" : "", "family" : "Giurco", "given" : "Damien", "non-dropping-particle" : "", "parse-names" : false, "suffix" : "" }, { "dropping-particle" : "", "family" : "Cooper", "given" : "Carlia", "non-dropping-particle" : "", "parse-names" : false, "suffix" : "" } ], "container-title" : "Minerals Engineering", "id" : "ITEM-1", "issued" : { "date-parts" : [ [ "2012", "3" ] ] }, "page" : "3-12", "publisher" : "Elsevier Ltd", "title" : "Mining and sustainability: asking the right questions", "type" : "article-journal", "volume" : "29" }, "uris" : [ "http://www.mendeley.com/documents/?uuid=63acb2a3-896a-4522-b76e-b45ab835f6c9" ] } ], "mendeley" : { "formattedCitation" : "(Giurco &amp; Cooper, 2012)", "plainTextFormattedCitation" : "(Giurco &amp; Cooper, 2012)", "previouslyFormattedCitation" : "(Giurco &amp; Cooper, 2012)" }, "properties" : { "noteIndex" : 0 }, "schema" : "https://github.com/citation-style-language/schema/raw/master/csl-citation.json" }</w:instrText>
      </w:r>
      <w:r w:rsidRPr="000E0F90">
        <w:rPr>
          <w:rFonts w:ascii="Arial" w:hAnsi="Arial" w:cs="Arial"/>
          <w:color w:val="000000" w:themeColor="text1"/>
        </w:rPr>
        <w:fldChar w:fldCharType="separate"/>
      </w:r>
      <w:r w:rsidRPr="00B17364">
        <w:rPr>
          <w:rFonts w:ascii="Arial" w:hAnsi="Arial" w:cs="Arial"/>
          <w:noProof/>
          <w:color w:val="000000" w:themeColor="text1"/>
          <w:lang w:val="en-US"/>
        </w:rPr>
        <w:t>(Giurco &amp; Cooper, 2012)</w:t>
      </w:r>
      <w:r w:rsidRPr="000E0F90">
        <w:rPr>
          <w:rFonts w:ascii="Arial" w:hAnsi="Arial" w:cs="Arial"/>
          <w:color w:val="000000" w:themeColor="text1"/>
        </w:rPr>
        <w:fldChar w:fldCharType="end"/>
      </w:r>
      <w:r w:rsidRPr="00B17364">
        <w:rPr>
          <w:rFonts w:ascii="Arial" w:hAnsi="Arial" w:cs="Arial"/>
          <w:color w:val="000000" w:themeColor="text1"/>
          <w:lang w:val="en-US"/>
        </w:rPr>
        <w:t>.</w:t>
      </w:r>
    </w:p>
    <w:p w:rsidR="00B64699" w:rsidRPr="000E0F90" w:rsidRDefault="00B64699" w:rsidP="002B538F">
      <w:pPr>
        <w:spacing w:line="360" w:lineRule="auto"/>
        <w:rPr>
          <w:rFonts w:ascii="Arial" w:hAnsi="Arial" w:cs="Arial"/>
          <w:color w:val="000000" w:themeColor="text1"/>
        </w:rPr>
      </w:pPr>
      <w:r w:rsidRPr="000E0F90">
        <w:rPr>
          <w:rFonts w:ascii="Arial" w:hAnsi="Arial" w:cs="Arial"/>
          <w:color w:val="000000" w:themeColor="text1"/>
        </w:rPr>
        <w:t xml:space="preserve">Finalmente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"10.1016/j.mineng.2012.01.006", "ISSN" : "08926875", "author" : [ { "dropping-particle" : "", "family" : "Giurco", "given" : "Damien", "non-dropping-particle" : "", "parse-names" : false, "suffix" : "" }, { "dropping-particle" : "", "family" : "Cooper", "given" : "Carlia", "non-dropping-particle" : "", "parse-names" : false, "suffix" : "" } ], "container-title" : "Minerals Engineering", "id" : "ITEM-1", "issued" : { "date-parts" : [ [ "2012", "3" ] ] }, "page" : "3-12", "publisher" : "Elsevier Ltd", "title" : "Mining and sustainability: asking the right questions", "type" : "article-journal", "volume" : "29" }, "uris" : [ "http://www.mendeley.com/documents/?uuid=63acb2a3-896a-4522-b76e-b45ab835f6c9" ] } ], "mendeley" : { "formattedCitation" : "(Giurco &amp; Cooper, 2012)", "plainTextFormattedCitation" : "(Giurco &amp; Cooper, 2012)", "previouslyFormattedCitation" : "(Giurco &amp; Cooper, 2012)"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(Giurco &amp; Cooper, 2012)</w:t>
      </w:r>
      <w:r w:rsidRPr="000E0F90">
        <w:rPr>
          <w:rFonts w:ascii="Arial" w:hAnsi="Arial" w:cs="Arial"/>
          <w:color w:val="000000" w:themeColor="text1"/>
        </w:rPr>
        <w:fldChar w:fldCharType="end"/>
      </w:r>
      <w:r w:rsidRPr="000E0F90">
        <w:rPr>
          <w:rFonts w:ascii="Arial" w:hAnsi="Arial" w:cs="Arial"/>
          <w:color w:val="000000" w:themeColor="text1"/>
        </w:rPr>
        <w:t xml:space="preserve"> indican que para minerales que dominan el mercado, el problema no es el agotamiento físico, sino que manejar los impactos asociados a la extracción y uso; así como limitantes económicas y tecnológicas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"10.1016/j.resourpol.2009.12.001", "ISSN" : "03014207", "author" : [ { "dropping-particle" : "", "family" : "Mudd", "given" : "Gavin M.", "non-dropping-particle" : "", "parse-names" : false, "suffix" : "" } ], "container-title" : "Resources Policy", "id" : "ITEM-1", "issue" : "2", "issued" : { "date-parts" : [ [ "2010", "6" ] ] }, "page" : "98-115", "publisher" : "Elsevier", "title" : "The Environmental sustainability of mining in Australia: key mega-trends and looming constraints", "type" : "article-journal", "volume" : "35" }, "uris" : [ "http://www.mendeley.com/documents/?uuid=ff129118-ca05-46c3-9832-36feaf335780" ] } ], "mendeley" : { "formattedCitation" : "(Gavin M. Mudd, 2010)", "plainTextFormattedCitation" : "(Gavin M. Mudd, 2010)", "previouslyFormattedCitation" : "(Gavin M. Mudd, 2010)"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(Gavin M. Mudd, 2010)</w:t>
      </w:r>
      <w:r w:rsidRPr="000E0F90">
        <w:rPr>
          <w:rFonts w:ascii="Arial" w:hAnsi="Arial" w:cs="Arial"/>
          <w:color w:val="000000" w:themeColor="text1"/>
        </w:rPr>
        <w:fldChar w:fldCharType="end"/>
      </w:r>
      <w:r w:rsidRPr="000E0F90">
        <w:rPr>
          <w:rFonts w:ascii="Arial" w:hAnsi="Arial" w:cs="Arial"/>
          <w:color w:val="000000" w:themeColor="text1"/>
        </w:rPr>
        <w:t>.</w:t>
      </w:r>
    </w:p>
    <w:p w:rsidR="002B538F" w:rsidRDefault="002B538F">
      <w:pPr>
        <w:jc w:val="left"/>
        <w:rPr>
          <w:rFonts w:ascii="Arial" w:hAnsi="Arial" w:cs="Arial"/>
          <w:b/>
          <w:bCs/>
          <w:color w:val="000000" w:themeColor="text1"/>
          <w:szCs w:val="18"/>
        </w:rPr>
      </w:pPr>
      <w:r>
        <w:rPr>
          <w:rFonts w:ascii="Arial" w:hAnsi="Arial" w:cs="Arial"/>
          <w:color w:val="000000" w:themeColor="text1"/>
        </w:rPr>
        <w:br w:type="page"/>
      </w:r>
    </w:p>
    <w:p w:rsidR="005F13B8" w:rsidRPr="002613F4" w:rsidRDefault="00725053" w:rsidP="00725053">
      <w:pPr>
        <w:pStyle w:val="Epgrafe"/>
        <w:jc w:val="center"/>
        <w:rPr>
          <w:rFonts w:ascii="Arial" w:hAnsi="Arial" w:cs="Arial"/>
          <w:b w:val="0"/>
          <w:color w:val="000000" w:themeColor="text1"/>
          <w:sz w:val="22"/>
        </w:rPr>
      </w:pPr>
      <w:r w:rsidRPr="002613F4">
        <w:rPr>
          <w:rFonts w:ascii="Arial" w:hAnsi="Arial" w:cs="Arial"/>
          <w:b w:val="0"/>
          <w:color w:val="000000" w:themeColor="text1"/>
          <w:sz w:val="22"/>
        </w:rPr>
        <w:lastRenderedPageBreak/>
        <w:t xml:space="preserve">Cuadro </w:t>
      </w:r>
      <w:r w:rsidRPr="002613F4">
        <w:rPr>
          <w:rFonts w:ascii="Arial" w:hAnsi="Arial" w:cs="Arial"/>
          <w:b w:val="0"/>
          <w:color w:val="000000" w:themeColor="text1"/>
          <w:sz w:val="22"/>
        </w:rPr>
        <w:fldChar w:fldCharType="begin"/>
      </w:r>
      <w:r w:rsidRPr="002613F4">
        <w:rPr>
          <w:rFonts w:ascii="Arial" w:hAnsi="Arial" w:cs="Arial"/>
          <w:b w:val="0"/>
          <w:color w:val="000000" w:themeColor="text1"/>
          <w:sz w:val="22"/>
        </w:rPr>
        <w:instrText xml:space="preserve"> SEQ Cuadro \* ARABIC </w:instrText>
      </w:r>
      <w:r w:rsidRPr="002613F4">
        <w:rPr>
          <w:rFonts w:ascii="Arial" w:hAnsi="Arial" w:cs="Arial"/>
          <w:b w:val="0"/>
          <w:color w:val="000000" w:themeColor="text1"/>
          <w:sz w:val="22"/>
        </w:rPr>
        <w:fldChar w:fldCharType="separate"/>
      </w:r>
      <w:r w:rsidR="00225844">
        <w:rPr>
          <w:rFonts w:ascii="Arial" w:hAnsi="Arial" w:cs="Arial"/>
          <w:b w:val="0"/>
          <w:noProof/>
          <w:color w:val="000000" w:themeColor="text1"/>
          <w:sz w:val="22"/>
        </w:rPr>
        <w:t>1</w:t>
      </w:r>
      <w:r w:rsidRPr="002613F4">
        <w:rPr>
          <w:rFonts w:ascii="Arial" w:hAnsi="Arial" w:cs="Arial"/>
          <w:b w:val="0"/>
          <w:color w:val="000000" w:themeColor="text1"/>
          <w:sz w:val="22"/>
        </w:rPr>
        <w:fldChar w:fldCharType="end"/>
      </w:r>
      <w:r w:rsidR="005F13B8" w:rsidRPr="002613F4">
        <w:rPr>
          <w:rFonts w:ascii="Arial" w:hAnsi="Arial" w:cs="Arial"/>
          <w:b w:val="0"/>
          <w:color w:val="000000" w:themeColor="text1"/>
          <w:sz w:val="22"/>
        </w:rPr>
        <w:t xml:space="preserve">: Impactos medioambientales </w:t>
      </w:r>
      <w:r w:rsidR="00E92CE3" w:rsidRPr="002613F4">
        <w:rPr>
          <w:rFonts w:ascii="Arial" w:hAnsi="Arial" w:cs="Arial"/>
          <w:b w:val="0"/>
          <w:color w:val="000000" w:themeColor="text1"/>
          <w:sz w:val="22"/>
        </w:rPr>
        <w:t xml:space="preserve">comunes </w:t>
      </w:r>
      <w:r w:rsidR="005F13B8" w:rsidRPr="002613F4">
        <w:rPr>
          <w:rFonts w:ascii="Arial" w:hAnsi="Arial" w:cs="Arial"/>
          <w:b w:val="0"/>
          <w:color w:val="000000" w:themeColor="text1"/>
          <w:sz w:val="22"/>
        </w:rPr>
        <w:t xml:space="preserve">de las </w:t>
      </w:r>
      <w:r w:rsidR="00E92CE3" w:rsidRPr="002613F4">
        <w:rPr>
          <w:rFonts w:ascii="Arial" w:hAnsi="Arial" w:cs="Arial"/>
          <w:b w:val="0"/>
          <w:color w:val="000000" w:themeColor="text1"/>
          <w:sz w:val="22"/>
        </w:rPr>
        <w:t xml:space="preserve">operaciones </w:t>
      </w:r>
      <w:r w:rsidR="005F13B8" w:rsidRPr="002613F4">
        <w:rPr>
          <w:rFonts w:ascii="Arial" w:hAnsi="Arial" w:cs="Arial"/>
          <w:b w:val="0"/>
          <w:color w:val="000000" w:themeColor="text1"/>
          <w:sz w:val="22"/>
        </w:rPr>
        <w:t xml:space="preserve">mineras, según componente </w:t>
      </w:r>
      <w:r w:rsidR="00E92CE3" w:rsidRPr="002613F4">
        <w:rPr>
          <w:rFonts w:ascii="Arial" w:hAnsi="Arial" w:cs="Arial"/>
          <w:b w:val="0"/>
          <w:color w:val="000000" w:themeColor="text1"/>
          <w:sz w:val="22"/>
        </w:rPr>
        <w:t>y etapa de producción</w:t>
      </w:r>
    </w:p>
    <w:tbl>
      <w:tblPr>
        <w:tblStyle w:val="Tablaconcuadrcula"/>
        <w:tblW w:w="8770" w:type="dxa"/>
        <w:tblBorders>
          <w:left w:val="none" w:sz="0" w:space="0" w:color="auto"/>
          <w:right w:val="none" w:sz="0" w:space="0" w:color="auto"/>
          <w:insideV w:val="none" w:sz="0" w:space="0" w:color="auto"/>
        </w:tblBorders>
        <w:tblLook w:val="04A0" w:firstRow="1" w:lastRow="0" w:firstColumn="1" w:lastColumn="0" w:noHBand="0" w:noVBand="1"/>
      </w:tblPr>
      <w:tblGrid>
        <w:gridCol w:w="1539"/>
        <w:gridCol w:w="4373"/>
        <w:gridCol w:w="2858"/>
      </w:tblGrid>
      <w:tr w:rsidR="00DD0B08" w:rsidRPr="00E0505F" w:rsidTr="002A21E4">
        <w:trPr>
          <w:trHeight w:val="552"/>
        </w:trPr>
        <w:tc>
          <w:tcPr>
            <w:tcW w:w="1390" w:type="dxa"/>
            <w:tcBorders>
              <w:bottom w:val="single" w:sz="4" w:space="0" w:color="auto"/>
            </w:tcBorders>
            <w:shd w:val="clear" w:color="auto" w:fill="D9D9D9" w:themeFill="background1" w:themeFillShade="D9"/>
            <w:vAlign w:val="center"/>
          </w:tcPr>
          <w:p w:rsidR="00DD0B08" w:rsidRPr="00E0505F" w:rsidRDefault="00341DA0" w:rsidP="00083C14">
            <w:pPr>
              <w:jc w:val="center"/>
              <w:rPr>
                <w:rFonts w:ascii="Arial" w:hAnsi="Arial" w:cs="Arial"/>
                <w:b/>
                <w:color w:val="000000" w:themeColor="text1"/>
                <w:sz w:val="20"/>
              </w:rPr>
            </w:pPr>
            <w:r w:rsidRPr="00E0505F">
              <w:rPr>
                <w:rFonts w:ascii="Arial" w:hAnsi="Arial" w:cs="Arial"/>
                <w:b/>
                <w:color w:val="000000" w:themeColor="text1"/>
                <w:sz w:val="20"/>
              </w:rPr>
              <w:t>Componente</w:t>
            </w:r>
          </w:p>
        </w:tc>
        <w:tc>
          <w:tcPr>
            <w:tcW w:w="4472" w:type="dxa"/>
            <w:tcBorders>
              <w:bottom w:val="single" w:sz="4" w:space="0" w:color="auto"/>
            </w:tcBorders>
            <w:shd w:val="clear" w:color="auto" w:fill="D9D9D9" w:themeFill="background1" w:themeFillShade="D9"/>
            <w:vAlign w:val="center"/>
          </w:tcPr>
          <w:p w:rsidR="00DD0B08" w:rsidRPr="00E0505F" w:rsidRDefault="00DD0B08" w:rsidP="00083C14">
            <w:pPr>
              <w:jc w:val="center"/>
              <w:rPr>
                <w:rFonts w:ascii="Arial" w:hAnsi="Arial" w:cs="Arial"/>
                <w:b/>
                <w:color w:val="000000" w:themeColor="text1"/>
                <w:sz w:val="20"/>
              </w:rPr>
            </w:pPr>
            <w:r w:rsidRPr="00E0505F">
              <w:rPr>
                <w:rFonts w:ascii="Arial" w:hAnsi="Arial" w:cs="Arial"/>
                <w:b/>
                <w:color w:val="000000" w:themeColor="text1"/>
                <w:sz w:val="20"/>
              </w:rPr>
              <w:t>Impactos Medioambientales</w:t>
            </w:r>
          </w:p>
        </w:tc>
        <w:tc>
          <w:tcPr>
            <w:tcW w:w="2908" w:type="dxa"/>
            <w:tcBorders>
              <w:bottom w:val="single" w:sz="4" w:space="0" w:color="auto"/>
            </w:tcBorders>
            <w:shd w:val="clear" w:color="auto" w:fill="D9D9D9" w:themeFill="background1" w:themeFillShade="D9"/>
            <w:vAlign w:val="center"/>
          </w:tcPr>
          <w:p w:rsidR="00DD0B08" w:rsidRPr="00E0505F" w:rsidRDefault="00DD0B08" w:rsidP="00083C14">
            <w:pPr>
              <w:jc w:val="center"/>
              <w:rPr>
                <w:rFonts w:ascii="Arial" w:hAnsi="Arial" w:cs="Arial"/>
                <w:b/>
                <w:color w:val="000000" w:themeColor="text1"/>
                <w:sz w:val="20"/>
              </w:rPr>
            </w:pPr>
            <w:r w:rsidRPr="00E0505F">
              <w:rPr>
                <w:rFonts w:ascii="Arial" w:hAnsi="Arial" w:cs="Arial"/>
                <w:b/>
                <w:color w:val="000000" w:themeColor="text1"/>
                <w:sz w:val="20"/>
              </w:rPr>
              <w:t>Etapa de producción</w:t>
            </w:r>
          </w:p>
        </w:tc>
      </w:tr>
      <w:tr w:rsidR="00B64699" w:rsidRPr="00E0505F" w:rsidTr="002A21E4">
        <w:tc>
          <w:tcPr>
            <w:tcW w:w="1390" w:type="dxa"/>
            <w:tcBorders>
              <w:bottom w:val="nil"/>
            </w:tcBorders>
            <w:vAlign w:val="center"/>
          </w:tcPr>
          <w:p w:rsidR="00B64699" w:rsidRPr="00E0505F" w:rsidRDefault="00B64699" w:rsidP="00083C14">
            <w:pPr>
              <w:jc w:val="center"/>
              <w:rPr>
                <w:rFonts w:ascii="Arial" w:hAnsi="Arial" w:cs="Arial"/>
                <w:b/>
                <w:color w:val="000000" w:themeColor="text1"/>
                <w:sz w:val="20"/>
              </w:rPr>
            </w:pPr>
            <w:r w:rsidRPr="00E0505F">
              <w:rPr>
                <w:rFonts w:ascii="Arial" w:hAnsi="Arial" w:cs="Arial"/>
                <w:b/>
                <w:color w:val="000000" w:themeColor="text1"/>
                <w:sz w:val="20"/>
              </w:rPr>
              <w:t>PAISAJE:</w:t>
            </w:r>
          </w:p>
        </w:tc>
        <w:tc>
          <w:tcPr>
            <w:tcW w:w="4472" w:type="dxa"/>
            <w:tcBorders>
              <w:bottom w:val="nil"/>
            </w:tcBorders>
            <w:vAlign w:val="center"/>
          </w:tcPr>
          <w:p w:rsidR="00B64699" w:rsidRPr="00E0505F" w:rsidRDefault="00B64699" w:rsidP="00083C14">
            <w:pPr>
              <w:rPr>
                <w:rFonts w:ascii="Arial" w:hAnsi="Arial" w:cs="Arial"/>
                <w:color w:val="000000" w:themeColor="text1"/>
                <w:sz w:val="20"/>
              </w:rPr>
            </w:pPr>
            <w:r w:rsidRPr="00E0505F">
              <w:rPr>
                <w:rFonts w:ascii="Arial" w:hAnsi="Arial" w:cs="Arial"/>
                <w:color w:val="000000" w:themeColor="text1"/>
                <w:sz w:val="20"/>
              </w:rPr>
              <w:t>Modificación de geomorfología y sistemas hidrológicos, Alteración estética,</w:t>
            </w:r>
          </w:p>
        </w:tc>
        <w:tc>
          <w:tcPr>
            <w:tcW w:w="2908" w:type="dxa"/>
            <w:tcBorders>
              <w:bottom w:val="nil"/>
            </w:tcBorders>
            <w:vAlign w:val="center"/>
          </w:tcPr>
          <w:p w:rsidR="00B64699" w:rsidRPr="00E0505F" w:rsidRDefault="00B64699" w:rsidP="00083C14">
            <w:pPr>
              <w:rPr>
                <w:rFonts w:ascii="Arial" w:hAnsi="Arial" w:cs="Arial"/>
                <w:color w:val="000000" w:themeColor="text1"/>
                <w:sz w:val="20"/>
              </w:rPr>
            </w:pPr>
            <w:r w:rsidRPr="00E0505F">
              <w:rPr>
                <w:rFonts w:ascii="Arial" w:hAnsi="Arial" w:cs="Arial"/>
                <w:color w:val="000000" w:themeColor="text1"/>
                <w:sz w:val="20"/>
              </w:rPr>
              <w:t xml:space="preserve">Extracción minera, </w:t>
            </w:r>
            <w:r w:rsidR="0049698D" w:rsidRPr="00E0505F">
              <w:rPr>
                <w:rFonts w:ascii="Arial" w:hAnsi="Arial" w:cs="Arial"/>
                <w:color w:val="000000" w:themeColor="text1"/>
                <w:sz w:val="20"/>
              </w:rPr>
              <w:t>establecimiento</w:t>
            </w:r>
            <w:r w:rsidRPr="00E0505F">
              <w:rPr>
                <w:rFonts w:ascii="Arial" w:hAnsi="Arial" w:cs="Arial"/>
                <w:color w:val="000000" w:themeColor="text1"/>
                <w:sz w:val="20"/>
              </w:rPr>
              <w:t xml:space="preserve"> de relaves</w:t>
            </w:r>
          </w:p>
        </w:tc>
      </w:tr>
      <w:tr w:rsidR="00B64699" w:rsidRPr="00E0505F" w:rsidTr="002A21E4">
        <w:tc>
          <w:tcPr>
            <w:tcW w:w="1390" w:type="dxa"/>
            <w:tcBorders>
              <w:top w:val="nil"/>
              <w:bottom w:val="nil"/>
            </w:tcBorders>
            <w:vAlign w:val="center"/>
          </w:tcPr>
          <w:p w:rsidR="00B64699" w:rsidRPr="00E0505F" w:rsidRDefault="00B64699" w:rsidP="00083C14">
            <w:pPr>
              <w:jc w:val="center"/>
              <w:rPr>
                <w:rFonts w:ascii="Arial" w:hAnsi="Arial" w:cs="Arial"/>
                <w:b/>
                <w:color w:val="000000" w:themeColor="text1"/>
                <w:sz w:val="20"/>
              </w:rPr>
            </w:pPr>
            <w:r w:rsidRPr="00E0505F">
              <w:rPr>
                <w:rFonts w:ascii="Arial" w:hAnsi="Arial" w:cs="Arial"/>
                <w:b/>
                <w:color w:val="000000" w:themeColor="text1"/>
                <w:sz w:val="20"/>
              </w:rPr>
              <w:t>SUELO:</w:t>
            </w:r>
          </w:p>
        </w:tc>
        <w:tc>
          <w:tcPr>
            <w:tcW w:w="4472" w:type="dxa"/>
            <w:tcBorders>
              <w:top w:val="nil"/>
              <w:bottom w:val="nil"/>
            </w:tcBorders>
            <w:vAlign w:val="center"/>
          </w:tcPr>
          <w:p w:rsidR="00B64699" w:rsidRPr="00E0505F" w:rsidRDefault="00B64699" w:rsidP="00083C14">
            <w:pPr>
              <w:rPr>
                <w:rFonts w:ascii="Arial" w:hAnsi="Arial" w:cs="Arial"/>
                <w:color w:val="000000" w:themeColor="text1"/>
                <w:sz w:val="20"/>
              </w:rPr>
            </w:pPr>
            <w:r w:rsidRPr="00E0505F">
              <w:rPr>
                <w:rFonts w:ascii="Arial" w:hAnsi="Arial" w:cs="Arial"/>
                <w:color w:val="000000" w:themeColor="text1"/>
                <w:sz w:val="20"/>
              </w:rPr>
              <w:t>Pérdida y erosión del Suelo. Depósito de desechos sólidos</w:t>
            </w:r>
          </w:p>
          <w:p w:rsidR="00B64699" w:rsidRPr="00E0505F" w:rsidRDefault="00B64699" w:rsidP="00083C14">
            <w:pPr>
              <w:rPr>
                <w:rFonts w:ascii="Arial" w:hAnsi="Arial" w:cs="Arial"/>
                <w:color w:val="000000" w:themeColor="text1"/>
                <w:sz w:val="20"/>
              </w:rPr>
            </w:pPr>
            <w:r w:rsidRPr="00E0505F">
              <w:rPr>
                <w:rFonts w:ascii="Arial" w:hAnsi="Arial" w:cs="Arial"/>
                <w:color w:val="000000" w:themeColor="text1"/>
                <w:sz w:val="20"/>
              </w:rPr>
              <w:t>Contaminación de suelo: Depósitos Ácidos, Contaminación Metales pesados, Derrames de petróleo y aceite, Polvo y Sedimentos</w:t>
            </w:r>
          </w:p>
        </w:tc>
        <w:tc>
          <w:tcPr>
            <w:tcW w:w="2908" w:type="dxa"/>
            <w:tcBorders>
              <w:top w:val="nil"/>
              <w:bottom w:val="nil"/>
            </w:tcBorders>
            <w:vAlign w:val="center"/>
          </w:tcPr>
          <w:p w:rsidR="00B64699" w:rsidRPr="00E0505F" w:rsidRDefault="00B64699" w:rsidP="00083C14">
            <w:pPr>
              <w:rPr>
                <w:rFonts w:ascii="Arial" w:hAnsi="Arial" w:cs="Arial"/>
                <w:color w:val="000000" w:themeColor="text1"/>
                <w:sz w:val="20"/>
              </w:rPr>
            </w:pPr>
            <w:r w:rsidRPr="00E0505F">
              <w:rPr>
                <w:rFonts w:ascii="Arial" w:hAnsi="Arial" w:cs="Arial"/>
                <w:color w:val="000000" w:themeColor="text1"/>
                <w:sz w:val="20"/>
              </w:rPr>
              <w:t>Extracción minera, procesamiento, establecimiento relaves, Fundición, Transporte, cierre de faenas mineras</w:t>
            </w:r>
          </w:p>
        </w:tc>
      </w:tr>
      <w:tr w:rsidR="00B64699" w:rsidRPr="00E0505F" w:rsidTr="002A21E4">
        <w:tc>
          <w:tcPr>
            <w:tcW w:w="1390" w:type="dxa"/>
            <w:tcBorders>
              <w:top w:val="nil"/>
              <w:bottom w:val="nil"/>
            </w:tcBorders>
            <w:vAlign w:val="center"/>
          </w:tcPr>
          <w:p w:rsidR="00B64699" w:rsidRPr="00E0505F" w:rsidRDefault="00B64699" w:rsidP="00083C14">
            <w:pPr>
              <w:jc w:val="center"/>
              <w:rPr>
                <w:rFonts w:ascii="Arial" w:hAnsi="Arial" w:cs="Arial"/>
                <w:b/>
                <w:color w:val="000000" w:themeColor="text1"/>
                <w:sz w:val="20"/>
              </w:rPr>
            </w:pPr>
            <w:r w:rsidRPr="00E0505F">
              <w:rPr>
                <w:rFonts w:ascii="Arial" w:hAnsi="Arial" w:cs="Arial"/>
                <w:b/>
                <w:color w:val="000000" w:themeColor="text1"/>
                <w:sz w:val="20"/>
              </w:rPr>
              <w:t>VEGETACIÓN Y HABITATS</w:t>
            </w:r>
          </w:p>
        </w:tc>
        <w:tc>
          <w:tcPr>
            <w:tcW w:w="4472" w:type="dxa"/>
            <w:tcBorders>
              <w:top w:val="nil"/>
              <w:bottom w:val="nil"/>
            </w:tcBorders>
            <w:vAlign w:val="center"/>
          </w:tcPr>
          <w:p w:rsidR="00B64699" w:rsidRPr="00E0505F" w:rsidRDefault="00B64699" w:rsidP="00083C14">
            <w:pPr>
              <w:rPr>
                <w:rFonts w:ascii="Arial" w:hAnsi="Arial" w:cs="Arial"/>
                <w:color w:val="000000" w:themeColor="text1"/>
                <w:sz w:val="20"/>
              </w:rPr>
            </w:pPr>
            <w:r w:rsidRPr="00E0505F">
              <w:rPr>
                <w:rFonts w:ascii="Arial" w:hAnsi="Arial" w:cs="Arial"/>
                <w:color w:val="000000" w:themeColor="text1"/>
                <w:sz w:val="20"/>
              </w:rPr>
              <w:t>Destrucción de Vegetación y Hábitats</w:t>
            </w:r>
          </w:p>
          <w:p w:rsidR="00B64699" w:rsidRPr="00E0505F" w:rsidRDefault="00B64699" w:rsidP="00083C14">
            <w:pPr>
              <w:rPr>
                <w:rFonts w:ascii="Arial" w:hAnsi="Arial" w:cs="Arial"/>
                <w:color w:val="000000" w:themeColor="text1"/>
                <w:sz w:val="20"/>
              </w:rPr>
            </w:pPr>
            <w:r w:rsidRPr="00E0505F">
              <w:rPr>
                <w:rFonts w:ascii="Arial" w:hAnsi="Arial" w:cs="Arial"/>
                <w:color w:val="000000" w:themeColor="text1"/>
                <w:sz w:val="20"/>
              </w:rPr>
              <w:t>Alteración de ecosistemas y sobre vida humana</w:t>
            </w:r>
          </w:p>
          <w:p w:rsidR="00B64699" w:rsidRPr="00E0505F" w:rsidRDefault="00B64699" w:rsidP="00083C14">
            <w:pPr>
              <w:rPr>
                <w:rFonts w:ascii="Arial" w:hAnsi="Arial" w:cs="Arial"/>
                <w:color w:val="000000" w:themeColor="text1"/>
                <w:sz w:val="20"/>
              </w:rPr>
            </w:pPr>
            <w:r w:rsidRPr="00E0505F">
              <w:rPr>
                <w:rFonts w:ascii="Arial" w:hAnsi="Arial" w:cs="Arial"/>
                <w:color w:val="000000" w:themeColor="text1"/>
                <w:sz w:val="20"/>
              </w:rPr>
              <w:t>Pérdida de sistemas fluviales y costeros</w:t>
            </w:r>
          </w:p>
          <w:p w:rsidR="00B64699" w:rsidRPr="00E0505F" w:rsidRDefault="00B64699" w:rsidP="00083C14">
            <w:pPr>
              <w:rPr>
                <w:rFonts w:ascii="Arial" w:hAnsi="Arial" w:cs="Arial"/>
                <w:color w:val="000000" w:themeColor="text1"/>
                <w:sz w:val="20"/>
              </w:rPr>
            </w:pPr>
            <w:r w:rsidRPr="00E0505F">
              <w:rPr>
                <w:rFonts w:ascii="Arial" w:hAnsi="Arial" w:cs="Arial"/>
                <w:color w:val="000000" w:themeColor="text1"/>
                <w:sz w:val="20"/>
              </w:rPr>
              <w:t>Pérdida de biodiversidad</w:t>
            </w:r>
          </w:p>
        </w:tc>
        <w:tc>
          <w:tcPr>
            <w:tcW w:w="2908" w:type="dxa"/>
            <w:tcBorders>
              <w:top w:val="nil"/>
              <w:bottom w:val="nil"/>
            </w:tcBorders>
            <w:vAlign w:val="center"/>
          </w:tcPr>
          <w:p w:rsidR="00B64699" w:rsidRPr="00E0505F" w:rsidRDefault="00B64699" w:rsidP="00083C14">
            <w:pPr>
              <w:rPr>
                <w:rFonts w:ascii="Arial" w:hAnsi="Arial" w:cs="Arial"/>
                <w:color w:val="000000" w:themeColor="text1"/>
                <w:sz w:val="20"/>
              </w:rPr>
            </w:pPr>
            <w:r w:rsidRPr="00E0505F">
              <w:rPr>
                <w:rFonts w:ascii="Arial" w:hAnsi="Arial" w:cs="Arial"/>
                <w:color w:val="000000" w:themeColor="text1"/>
                <w:sz w:val="20"/>
              </w:rPr>
              <w:t xml:space="preserve">Extracción minera, Fundición, Generación de energías de fuentes contaminantes, </w:t>
            </w:r>
            <w:r w:rsidR="0049698D" w:rsidRPr="00E0505F">
              <w:rPr>
                <w:rFonts w:ascii="Arial" w:hAnsi="Arial" w:cs="Arial"/>
                <w:color w:val="000000" w:themeColor="text1"/>
                <w:sz w:val="20"/>
              </w:rPr>
              <w:t>Establecimiento</w:t>
            </w:r>
            <w:r w:rsidRPr="00E0505F">
              <w:rPr>
                <w:rFonts w:ascii="Arial" w:hAnsi="Arial" w:cs="Arial"/>
                <w:color w:val="000000" w:themeColor="text1"/>
                <w:sz w:val="20"/>
              </w:rPr>
              <w:t xml:space="preserve"> de relaves, cierre de faenas mineras</w:t>
            </w:r>
          </w:p>
        </w:tc>
      </w:tr>
      <w:tr w:rsidR="00B64699" w:rsidRPr="00E0505F" w:rsidTr="002A21E4">
        <w:tc>
          <w:tcPr>
            <w:tcW w:w="1390" w:type="dxa"/>
            <w:tcBorders>
              <w:top w:val="nil"/>
              <w:bottom w:val="nil"/>
            </w:tcBorders>
            <w:vAlign w:val="center"/>
          </w:tcPr>
          <w:p w:rsidR="00B64699" w:rsidRPr="00E0505F" w:rsidRDefault="00B64699" w:rsidP="00083C14">
            <w:pPr>
              <w:jc w:val="center"/>
              <w:rPr>
                <w:rFonts w:ascii="Arial" w:hAnsi="Arial" w:cs="Arial"/>
                <w:b/>
                <w:color w:val="000000" w:themeColor="text1"/>
                <w:sz w:val="20"/>
              </w:rPr>
            </w:pPr>
            <w:r w:rsidRPr="00E0505F">
              <w:rPr>
                <w:rFonts w:ascii="Arial" w:hAnsi="Arial" w:cs="Arial"/>
                <w:b/>
                <w:color w:val="000000" w:themeColor="text1"/>
                <w:sz w:val="20"/>
              </w:rPr>
              <w:t>AIRE</w:t>
            </w:r>
          </w:p>
        </w:tc>
        <w:tc>
          <w:tcPr>
            <w:tcW w:w="4472" w:type="dxa"/>
            <w:tcBorders>
              <w:top w:val="nil"/>
              <w:bottom w:val="nil"/>
            </w:tcBorders>
            <w:vAlign w:val="center"/>
          </w:tcPr>
          <w:p w:rsidR="00B64699" w:rsidRPr="00E0505F" w:rsidRDefault="00B64699" w:rsidP="00083C14">
            <w:pPr>
              <w:rPr>
                <w:rFonts w:ascii="Arial" w:hAnsi="Arial" w:cs="Arial"/>
                <w:color w:val="000000" w:themeColor="text1"/>
                <w:sz w:val="20"/>
              </w:rPr>
            </w:pPr>
            <w:r w:rsidRPr="00E0505F">
              <w:rPr>
                <w:rFonts w:ascii="Arial" w:hAnsi="Arial" w:cs="Arial"/>
                <w:color w:val="000000" w:themeColor="text1"/>
                <w:sz w:val="20"/>
              </w:rPr>
              <w:t>Generación de polvo,</w:t>
            </w:r>
          </w:p>
          <w:p w:rsidR="00B64699" w:rsidRPr="00E0505F" w:rsidRDefault="00B64699" w:rsidP="00083C14">
            <w:pPr>
              <w:rPr>
                <w:rFonts w:ascii="Arial" w:hAnsi="Arial" w:cs="Arial"/>
                <w:color w:val="000000" w:themeColor="text1"/>
                <w:sz w:val="20"/>
              </w:rPr>
            </w:pPr>
            <w:r w:rsidRPr="00E0505F">
              <w:rPr>
                <w:rFonts w:ascii="Arial" w:hAnsi="Arial" w:cs="Arial"/>
                <w:color w:val="000000" w:themeColor="text1"/>
                <w:sz w:val="20"/>
              </w:rPr>
              <w:t>Aumento Emisiones contaminantes (CO2, CH4, SOx, NOx)</w:t>
            </w:r>
          </w:p>
        </w:tc>
        <w:tc>
          <w:tcPr>
            <w:tcW w:w="2908" w:type="dxa"/>
            <w:tcBorders>
              <w:top w:val="nil"/>
              <w:bottom w:val="nil"/>
            </w:tcBorders>
            <w:vAlign w:val="center"/>
          </w:tcPr>
          <w:p w:rsidR="00B64699" w:rsidRPr="00E0505F" w:rsidRDefault="00B64699" w:rsidP="00083C14">
            <w:pPr>
              <w:rPr>
                <w:rFonts w:ascii="Arial" w:hAnsi="Arial" w:cs="Arial"/>
                <w:color w:val="000000" w:themeColor="text1"/>
                <w:sz w:val="20"/>
              </w:rPr>
            </w:pPr>
            <w:r w:rsidRPr="00E0505F">
              <w:rPr>
                <w:rFonts w:ascii="Arial" w:hAnsi="Arial" w:cs="Arial"/>
                <w:color w:val="000000" w:themeColor="text1"/>
                <w:sz w:val="20"/>
              </w:rPr>
              <w:t xml:space="preserve">Fundición, Generación de energías de fuentes contaminantes, Transporte </w:t>
            </w:r>
            <w:r w:rsidR="0049698D" w:rsidRPr="00E0505F">
              <w:rPr>
                <w:rFonts w:ascii="Arial" w:hAnsi="Arial" w:cs="Arial"/>
                <w:color w:val="000000" w:themeColor="text1"/>
                <w:sz w:val="20"/>
              </w:rPr>
              <w:t>establecimiento</w:t>
            </w:r>
            <w:r w:rsidRPr="00E0505F">
              <w:rPr>
                <w:rFonts w:ascii="Arial" w:hAnsi="Arial" w:cs="Arial"/>
                <w:color w:val="000000" w:themeColor="text1"/>
                <w:sz w:val="20"/>
              </w:rPr>
              <w:t xml:space="preserve"> de relaves</w:t>
            </w:r>
          </w:p>
        </w:tc>
      </w:tr>
      <w:tr w:rsidR="00B64699" w:rsidRPr="00E0505F" w:rsidTr="002A21E4">
        <w:tc>
          <w:tcPr>
            <w:tcW w:w="1390" w:type="dxa"/>
            <w:tcBorders>
              <w:top w:val="nil"/>
              <w:bottom w:val="nil"/>
            </w:tcBorders>
            <w:vAlign w:val="center"/>
          </w:tcPr>
          <w:p w:rsidR="00B64699" w:rsidRPr="00E0505F" w:rsidRDefault="00B64699" w:rsidP="00083C14">
            <w:pPr>
              <w:jc w:val="center"/>
              <w:rPr>
                <w:rFonts w:ascii="Arial" w:hAnsi="Arial" w:cs="Arial"/>
                <w:b/>
                <w:color w:val="000000" w:themeColor="text1"/>
                <w:sz w:val="20"/>
              </w:rPr>
            </w:pPr>
            <w:r w:rsidRPr="00E0505F">
              <w:rPr>
                <w:rFonts w:ascii="Arial" w:hAnsi="Arial" w:cs="Arial"/>
                <w:b/>
                <w:color w:val="000000" w:themeColor="text1"/>
                <w:sz w:val="20"/>
              </w:rPr>
              <w:t>AGUA</w:t>
            </w:r>
          </w:p>
        </w:tc>
        <w:tc>
          <w:tcPr>
            <w:tcW w:w="4472" w:type="dxa"/>
            <w:tcBorders>
              <w:top w:val="nil"/>
              <w:bottom w:val="nil"/>
            </w:tcBorders>
            <w:vAlign w:val="center"/>
          </w:tcPr>
          <w:p w:rsidR="00B64699" w:rsidRPr="00E0505F" w:rsidRDefault="00B64699" w:rsidP="00083C14">
            <w:pPr>
              <w:rPr>
                <w:rFonts w:ascii="Arial" w:hAnsi="Arial" w:cs="Arial"/>
                <w:color w:val="000000" w:themeColor="text1"/>
                <w:sz w:val="20"/>
              </w:rPr>
            </w:pPr>
            <w:r w:rsidRPr="00E0505F">
              <w:rPr>
                <w:rFonts w:ascii="Arial" w:hAnsi="Arial" w:cs="Arial"/>
                <w:color w:val="000000" w:themeColor="text1"/>
                <w:sz w:val="20"/>
              </w:rPr>
              <w:t>Reducción de disponibilidad de agua:  Agotamiento aguas freáticas,  Competencia por uso del recurso hídrico</w:t>
            </w:r>
          </w:p>
          <w:p w:rsidR="00B64699" w:rsidRPr="00E0505F" w:rsidRDefault="00B64699" w:rsidP="00083C14">
            <w:pPr>
              <w:rPr>
                <w:rFonts w:ascii="Arial" w:hAnsi="Arial" w:cs="Arial"/>
                <w:color w:val="000000" w:themeColor="text1"/>
                <w:sz w:val="20"/>
              </w:rPr>
            </w:pPr>
            <w:r w:rsidRPr="00E0505F">
              <w:rPr>
                <w:rFonts w:ascii="Arial" w:hAnsi="Arial" w:cs="Arial"/>
                <w:color w:val="000000" w:themeColor="text1"/>
                <w:sz w:val="20"/>
              </w:rPr>
              <w:t>Contaminación de aguas: Drenaje Ácido de Rocas, Sobrecarga metales pesados, Derrames de petróleo y aceite, Polvo y Sedimentos</w:t>
            </w:r>
          </w:p>
          <w:p w:rsidR="00B64699" w:rsidRPr="00E0505F" w:rsidRDefault="00B64699" w:rsidP="00083C14">
            <w:pPr>
              <w:rPr>
                <w:rFonts w:ascii="Arial" w:hAnsi="Arial" w:cs="Arial"/>
                <w:color w:val="000000" w:themeColor="text1"/>
                <w:sz w:val="20"/>
              </w:rPr>
            </w:pPr>
            <w:r w:rsidRPr="00E0505F">
              <w:rPr>
                <w:rFonts w:ascii="Arial" w:hAnsi="Arial" w:cs="Arial"/>
                <w:color w:val="000000" w:themeColor="text1"/>
                <w:sz w:val="20"/>
              </w:rPr>
              <w:t>Desvío de sistemas Fluviales...</w:t>
            </w:r>
          </w:p>
        </w:tc>
        <w:tc>
          <w:tcPr>
            <w:tcW w:w="2908" w:type="dxa"/>
            <w:tcBorders>
              <w:top w:val="nil"/>
              <w:bottom w:val="nil"/>
            </w:tcBorders>
            <w:vAlign w:val="center"/>
          </w:tcPr>
          <w:p w:rsidR="00B64699" w:rsidRPr="00E0505F" w:rsidRDefault="00B64699" w:rsidP="00B7025B">
            <w:pPr>
              <w:jc w:val="left"/>
              <w:rPr>
                <w:rFonts w:ascii="Arial" w:hAnsi="Arial" w:cs="Arial"/>
                <w:color w:val="000000" w:themeColor="text1"/>
                <w:sz w:val="20"/>
              </w:rPr>
            </w:pPr>
            <w:r w:rsidRPr="00E0505F">
              <w:rPr>
                <w:rFonts w:ascii="Arial" w:hAnsi="Arial" w:cs="Arial"/>
                <w:color w:val="000000" w:themeColor="text1"/>
                <w:sz w:val="20"/>
              </w:rPr>
              <w:t xml:space="preserve">Extracción minera y procesamiento, </w:t>
            </w:r>
            <w:r w:rsidR="0049698D" w:rsidRPr="00E0505F">
              <w:rPr>
                <w:rFonts w:ascii="Arial" w:hAnsi="Arial" w:cs="Arial"/>
                <w:color w:val="000000" w:themeColor="text1"/>
                <w:sz w:val="20"/>
              </w:rPr>
              <w:t>establecimiento</w:t>
            </w:r>
            <w:r w:rsidRPr="00E0505F">
              <w:rPr>
                <w:rFonts w:ascii="Arial" w:hAnsi="Arial" w:cs="Arial"/>
                <w:color w:val="000000" w:themeColor="text1"/>
                <w:sz w:val="20"/>
              </w:rPr>
              <w:t xml:space="preserve"> de relaves, cierre de faenas mineras</w:t>
            </w:r>
          </w:p>
        </w:tc>
      </w:tr>
      <w:tr w:rsidR="00B64699" w:rsidRPr="00E0505F" w:rsidTr="002A21E4">
        <w:trPr>
          <w:trHeight w:val="86"/>
        </w:trPr>
        <w:tc>
          <w:tcPr>
            <w:tcW w:w="1390" w:type="dxa"/>
            <w:tcBorders>
              <w:top w:val="nil"/>
              <w:bottom w:val="nil"/>
            </w:tcBorders>
            <w:vAlign w:val="center"/>
          </w:tcPr>
          <w:p w:rsidR="00B64699" w:rsidRPr="00E0505F" w:rsidRDefault="00B64699" w:rsidP="00083C14">
            <w:pPr>
              <w:jc w:val="center"/>
              <w:rPr>
                <w:rFonts w:ascii="Arial" w:hAnsi="Arial" w:cs="Arial"/>
                <w:b/>
                <w:color w:val="000000" w:themeColor="text1"/>
                <w:sz w:val="20"/>
              </w:rPr>
            </w:pPr>
            <w:r w:rsidRPr="00E0505F">
              <w:rPr>
                <w:rFonts w:ascii="Arial" w:hAnsi="Arial" w:cs="Arial"/>
                <w:b/>
                <w:color w:val="000000" w:themeColor="text1"/>
                <w:sz w:val="20"/>
              </w:rPr>
              <w:t>ENERGIA</w:t>
            </w:r>
          </w:p>
        </w:tc>
        <w:tc>
          <w:tcPr>
            <w:tcW w:w="4472" w:type="dxa"/>
            <w:tcBorders>
              <w:top w:val="nil"/>
              <w:bottom w:val="nil"/>
            </w:tcBorders>
            <w:vAlign w:val="center"/>
          </w:tcPr>
          <w:p w:rsidR="00B64699" w:rsidRPr="00E0505F" w:rsidRDefault="00B64699" w:rsidP="00083C14">
            <w:pPr>
              <w:rPr>
                <w:rFonts w:ascii="Arial" w:hAnsi="Arial" w:cs="Arial"/>
                <w:color w:val="000000" w:themeColor="text1"/>
                <w:sz w:val="20"/>
              </w:rPr>
            </w:pPr>
            <w:r w:rsidRPr="00E0505F">
              <w:rPr>
                <w:rFonts w:ascii="Arial" w:hAnsi="Arial" w:cs="Arial"/>
                <w:color w:val="000000" w:themeColor="text1"/>
                <w:sz w:val="20"/>
              </w:rPr>
              <w:t>Emisiones de gases efecto invernadero</w:t>
            </w:r>
          </w:p>
        </w:tc>
        <w:tc>
          <w:tcPr>
            <w:tcW w:w="2908" w:type="dxa"/>
            <w:tcBorders>
              <w:top w:val="nil"/>
              <w:bottom w:val="nil"/>
            </w:tcBorders>
            <w:vAlign w:val="center"/>
          </w:tcPr>
          <w:p w:rsidR="00B64699" w:rsidRPr="00E0505F" w:rsidRDefault="00B64699" w:rsidP="00083C14">
            <w:pPr>
              <w:rPr>
                <w:rFonts w:ascii="Arial" w:hAnsi="Arial" w:cs="Arial"/>
                <w:color w:val="000000" w:themeColor="text1"/>
                <w:sz w:val="20"/>
              </w:rPr>
            </w:pPr>
            <w:r w:rsidRPr="00E0505F">
              <w:rPr>
                <w:rFonts w:ascii="Arial" w:hAnsi="Arial" w:cs="Arial"/>
                <w:color w:val="000000" w:themeColor="text1"/>
                <w:sz w:val="20"/>
              </w:rPr>
              <w:t>Extracción minera y procesamiento y fundición</w:t>
            </w:r>
          </w:p>
        </w:tc>
      </w:tr>
      <w:tr w:rsidR="00B64699" w:rsidRPr="00E0505F" w:rsidTr="002A21E4">
        <w:trPr>
          <w:trHeight w:val="86"/>
        </w:trPr>
        <w:tc>
          <w:tcPr>
            <w:tcW w:w="1390" w:type="dxa"/>
            <w:tcBorders>
              <w:top w:val="nil"/>
            </w:tcBorders>
            <w:vAlign w:val="center"/>
          </w:tcPr>
          <w:p w:rsidR="00B64699" w:rsidRPr="00E0505F" w:rsidRDefault="00B64699" w:rsidP="00083C14">
            <w:pPr>
              <w:jc w:val="center"/>
              <w:rPr>
                <w:rFonts w:ascii="Arial" w:hAnsi="Arial" w:cs="Arial"/>
                <w:b/>
                <w:color w:val="000000" w:themeColor="text1"/>
                <w:sz w:val="20"/>
              </w:rPr>
            </w:pPr>
            <w:r w:rsidRPr="00E0505F">
              <w:rPr>
                <w:rFonts w:ascii="Arial" w:hAnsi="Arial" w:cs="Arial"/>
                <w:b/>
                <w:color w:val="000000" w:themeColor="text1"/>
                <w:sz w:val="20"/>
              </w:rPr>
              <w:t>SALUD HUMANA</w:t>
            </w:r>
          </w:p>
        </w:tc>
        <w:tc>
          <w:tcPr>
            <w:tcW w:w="4472" w:type="dxa"/>
            <w:tcBorders>
              <w:top w:val="nil"/>
            </w:tcBorders>
            <w:vAlign w:val="center"/>
          </w:tcPr>
          <w:p w:rsidR="00B64699" w:rsidRPr="00E0505F" w:rsidRDefault="00B64699" w:rsidP="00083C14">
            <w:pPr>
              <w:rPr>
                <w:rFonts w:ascii="Arial" w:hAnsi="Arial" w:cs="Arial"/>
                <w:color w:val="000000" w:themeColor="text1"/>
                <w:sz w:val="20"/>
              </w:rPr>
            </w:pPr>
            <w:r w:rsidRPr="00E0505F">
              <w:rPr>
                <w:rFonts w:ascii="Arial" w:hAnsi="Arial" w:cs="Arial"/>
                <w:color w:val="000000" w:themeColor="text1"/>
                <w:sz w:val="20"/>
              </w:rPr>
              <w:t>Impactos en la salud de los trabajadores y comunidades locales</w:t>
            </w:r>
          </w:p>
        </w:tc>
        <w:tc>
          <w:tcPr>
            <w:tcW w:w="2908" w:type="dxa"/>
            <w:tcBorders>
              <w:top w:val="nil"/>
            </w:tcBorders>
            <w:vAlign w:val="center"/>
          </w:tcPr>
          <w:p w:rsidR="00B64699" w:rsidRPr="00E0505F" w:rsidRDefault="00B64699" w:rsidP="00083C14">
            <w:pPr>
              <w:rPr>
                <w:rFonts w:ascii="Arial" w:hAnsi="Arial" w:cs="Arial"/>
                <w:color w:val="000000" w:themeColor="text1"/>
                <w:sz w:val="20"/>
              </w:rPr>
            </w:pPr>
            <w:r w:rsidRPr="00E0505F">
              <w:rPr>
                <w:rFonts w:ascii="Arial" w:hAnsi="Arial" w:cs="Arial"/>
                <w:color w:val="000000" w:themeColor="text1"/>
                <w:sz w:val="20"/>
              </w:rPr>
              <w:t xml:space="preserve">Extracción minera, Fundición, Generación de energías de fuentes contaminantes, </w:t>
            </w:r>
            <w:r w:rsidR="0049698D" w:rsidRPr="00E0505F">
              <w:rPr>
                <w:rFonts w:ascii="Arial" w:hAnsi="Arial" w:cs="Arial"/>
                <w:color w:val="000000" w:themeColor="text1"/>
                <w:sz w:val="20"/>
              </w:rPr>
              <w:t>Establecimiento</w:t>
            </w:r>
            <w:r w:rsidRPr="00E0505F">
              <w:rPr>
                <w:rFonts w:ascii="Arial" w:hAnsi="Arial" w:cs="Arial"/>
                <w:color w:val="000000" w:themeColor="text1"/>
                <w:sz w:val="20"/>
              </w:rPr>
              <w:t xml:space="preserve"> de relaves, cierre de faenas mineras</w:t>
            </w:r>
          </w:p>
        </w:tc>
      </w:tr>
    </w:tbl>
    <w:p w:rsidR="00B64699" w:rsidRPr="000E0F90" w:rsidRDefault="00B64699" w:rsidP="00B64699">
      <w:pPr>
        <w:spacing w:after="0"/>
        <w:jc w:val="left"/>
        <w:rPr>
          <w:rFonts w:ascii="Arial" w:hAnsi="Arial" w:cs="Arial"/>
          <w:color w:val="000000" w:themeColor="text1"/>
        </w:rPr>
      </w:pPr>
    </w:p>
    <w:p w:rsidR="00B64699" w:rsidRPr="001862A5" w:rsidRDefault="00E92CE3" w:rsidP="00E92CE3">
      <w:pPr>
        <w:jc w:val="center"/>
        <w:rPr>
          <w:rFonts w:ascii="Arial" w:hAnsi="Arial" w:cs="Arial"/>
          <w:color w:val="000000" w:themeColor="text1"/>
        </w:rPr>
      </w:pPr>
      <w:r w:rsidRPr="000E0F90">
        <w:rPr>
          <w:rFonts w:ascii="Arial" w:hAnsi="Arial" w:cs="Arial"/>
          <w:color w:val="000000" w:themeColor="text1"/>
        </w:rPr>
        <w:t xml:space="preserve">Fuente: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"author" : [ { "dropping-particle" : "", "family" : "Hilson", "given" : "Gavin", "non-dropping-particle" : "", "parse-names" : false, "suffix" : "" }, { "dropping-particle" : "", "family" : "Murck", "given" : "Barbara", "non-dropping-particle" : "", "parse-names" : false, "suffix" : "" } ], "id" : "ITEM-1", "issue" : "2000", "issued" : { "date-parts" : [ [ "2000" ] ] }, "page" : "227-238", "title" : "Sustainable development in the mining industry : clarifying the corporate perspective", "type" : "article-journal", "volume" : "26" }, "uris" : [ "http://www.mendeley.com/documents/?uuid=f8aeb7a1-70d0-42bd-ae96-6e53b2ce6cb4" ] } ], "mendeley" : { "formattedCitation" : "(Hilson &amp; Murck, 2000)", "plainTextFormattedCitation" : "(Hilson &amp; Murck, 2000)", "previouslyFormattedCitation" : "(Hilson &amp; Murck, 2000)"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(Hilson &amp; Murck, 2000)</w:t>
      </w:r>
      <w:r w:rsidRPr="000E0F90">
        <w:rPr>
          <w:rFonts w:ascii="Arial" w:hAnsi="Arial" w:cs="Arial"/>
          <w:color w:val="000000" w:themeColor="text1"/>
        </w:rPr>
        <w:fldChar w:fldCharType="end"/>
      </w:r>
      <w:r w:rsidRPr="000E0F90">
        <w:rPr>
          <w:rFonts w:ascii="Arial" w:hAnsi="Arial" w:cs="Arial"/>
          <w:color w:val="000000" w:themeColor="text1"/>
        </w:rPr>
        <w:t xml:space="preserve">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"10.2134/jeq1997.00472425002600030003x", "ISBN" : "0047-2425", "ISSN" : "0047-2425", "abstract" : "The impact of mining and smelting of metal ores on environmental quality is described. Mines produce large amounts of waste because the ore is only a small fraction of the total volume of the mined material. In the metal industry, production of Cu, Pb, and Zn causes the greatest degradation of the environment. Copper mining produces extensive mine wastes and tailings and Cu smelting emits approximately 0.11 Mg of S per Mg of Cu produced in the USA. Zinc and Pb smelters release large quantities of Cd and Pb into the environment. Metal smelting and refining produce gaseous (CO2, SO2, NOx, etc.) and particulate matter emissions, sewage waters, and solid wastes. Soil contamination with trace metals is considered a serious problem related to smelting; however, mining and smelting are not main sources of global metal input into soils. Other sources like discarded manufactured products, coal ash, agriculture, and transporta- tion take a lead. Smelters are the main sources of atmospheric emissions of As, Cu, Cd, Sb, and Zn on a global scale and they contribute substantially to the overall emissions o</w:instrText>
      </w:r>
      <w:r w:rsidRPr="001862A5">
        <w:rPr>
          <w:rFonts w:ascii="Arial" w:hAnsi="Arial" w:cs="Arial"/>
          <w:color w:val="000000" w:themeColor="text1"/>
        </w:rPr>
        <w:instrText>f Cr, Pb, Se, and Ni. A quantitative evaluation of the environmental health effects of mining and smelting is difficult because of the complexity of factors involved and lack of consistent methodology. Nevertheless, the case studies described indicate that negative health effects could arise from Pb mining and smelting. Risk assessment revealed that food chain contamination by Cd from soils contaminated by smelting is very unlikely under the western diet.", "author" : [ { "dropping-particle" : "", "family" : "Dudka", "given" : "Stanislaw", "non-dropping-particle" : "", "parse-names" : false, "suffix" : "" }, { "dropping-particle" : "", "family" : "Adriano", "given" : "Domy C.", "non-dropping-particle" : "", "parse-names" : false, "suffix" : "" } ], "container-title" : "Journal of Environment Quality", "id" : "ITEM-1", "issued" : { "date-parts" : [ [ "1997" ] ] }, "page" : "590", "title" : "Environmental Impacts of Metal Ore Mining and Processing: A Review", "type" : "article-journal", "volume" : "26" }, "uris" : [ "http://www.mendeley.com/documents/?uuid=62b0a764-1276-4b52-8e7c-4cb2cb8b5a72" ] } ], "mendeley" : { "formattedCitation" : "(Dudka &amp; Adriano, 1997)", "plainTextFormattedCitation" : "(Dudka &amp; Adriano, 1997)", "previouslyFormattedCitation" : "(Dudka &amp; Adriano, 1997)" }, "properties" : { "noteIndex" : 0 }, "schema" : "https://github.com/citation-style-language/schema/raw/master/csl-citation.json" }</w:instrText>
      </w:r>
      <w:r w:rsidRPr="000E0F90">
        <w:rPr>
          <w:rFonts w:ascii="Arial" w:hAnsi="Arial" w:cs="Arial"/>
          <w:color w:val="000000" w:themeColor="text1"/>
        </w:rPr>
        <w:fldChar w:fldCharType="separate"/>
      </w:r>
      <w:r w:rsidRPr="001862A5">
        <w:rPr>
          <w:rFonts w:ascii="Arial" w:hAnsi="Arial" w:cs="Arial"/>
          <w:noProof/>
          <w:color w:val="000000" w:themeColor="text1"/>
        </w:rPr>
        <w:t>(Dudka &amp; Adriano, 1997)</w:t>
      </w:r>
      <w:r w:rsidRPr="000E0F90">
        <w:rPr>
          <w:rFonts w:ascii="Arial" w:hAnsi="Arial" w:cs="Arial"/>
          <w:color w:val="000000" w:themeColor="text1"/>
        </w:rPr>
        <w:fldChar w:fldCharType="end"/>
      </w:r>
      <w:r w:rsidRPr="001862A5">
        <w:rPr>
          <w:rFonts w:ascii="Arial" w:hAnsi="Arial" w:cs="Arial"/>
          <w:color w:val="000000" w:themeColor="text1"/>
        </w:rPr>
        <w:t xml:space="preserve"> </w:t>
      </w:r>
      <w:sdt>
        <w:sdtPr>
          <w:rPr>
            <w:rFonts w:ascii="Arial" w:hAnsi="Arial" w:cs="Arial"/>
            <w:color w:val="000000" w:themeColor="text1"/>
          </w:rPr>
          <w:id w:val="1574705744"/>
          <w:citation/>
        </w:sdtPr>
        <w:sdtEndPr/>
        <w:sdtContent>
          <w:r w:rsidRPr="000E0F90">
            <w:rPr>
              <w:rFonts w:ascii="Arial" w:hAnsi="Arial" w:cs="Arial"/>
              <w:color w:val="000000" w:themeColor="text1"/>
            </w:rPr>
            <w:fldChar w:fldCharType="begin"/>
          </w:r>
          <w:r w:rsidRPr="001862A5">
            <w:rPr>
              <w:rFonts w:ascii="Arial" w:hAnsi="Arial" w:cs="Arial"/>
              <w:color w:val="000000" w:themeColor="text1"/>
            </w:rPr>
            <w:instrText xml:space="preserve"> CITATION War94 \l 13322 </w:instrText>
          </w:r>
          <w:r w:rsidRPr="000E0F90">
            <w:rPr>
              <w:rFonts w:ascii="Arial" w:hAnsi="Arial" w:cs="Arial"/>
              <w:color w:val="000000" w:themeColor="text1"/>
            </w:rPr>
            <w:fldChar w:fldCharType="separate"/>
          </w:r>
          <w:r w:rsidR="008D0261" w:rsidRPr="001862A5">
            <w:rPr>
              <w:rFonts w:ascii="Arial" w:hAnsi="Arial" w:cs="Arial"/>
              <w:noProof/>
              <w:color w:val="000000" w:themeColor="text1"/>
            </w:rPr>
            <w:t>(Warhurst, 1994)</w:t>
          </w:r>
          <w:r w:rsidRPr="000E0F90">
            <w:rPr>
              <w:rFonts w:ascii="Arial" w:hAnsi="Arial" w:cs="Arial"/>
              <w:color w:val="000000" w:themeColor="text1"/>
            </w:rPr>
            <w:fldChar w:fldCharType="end"/>
          </w:r>
        </w:sdtContent>
      </w:sdt>
      <w:r w:rsidRPr="001862A5">
        <w:rPr>
          <w:rFonts w:ascii="Arial" w:hAnsi="Arial" w:cs="Arial"/>
          <w:color w:val="000000" w:themeColor="text1"/>
        </w:rPr>
        <w:t xml:space="preserve"> </w:t>
      </w:r>
      <w:r w:rsidRPr="000E0F90">
        <w:rPr>
          <w:rFonts w:ascii="Arial" w:hAnsi="Arial" w:cs="Arial"/>
          <w:color w:val="000000" w:themeColor="text1"/>
        </w:rPr>
        <w:fldChar w:fldCharType="begin" w:fldLock="1"/>
      </w:r>
      <w:r w:rsidRPr="001862A5">
        <w:rPr>
          <w:rFonts w:ascii="Arial" w:hAnsi="Arial" w:cs="Arial"/>
          <w:color w:val="000000" w:themeColor="text1"/>
        </w:rPr>
        <w:instrText>ADDIN CSL_CITATION { "citationItems" : [ { "id" : "ITEM-1", "itemData" : { "DOI" : "10.1016/j.jclepro.2009.04.013", "ISSN" : "09596526", "author" : [ { "dropping-particle" : "", "family" : "Worrall", "given" : "Rhys", "non-dropping-particle" : "", "parse-names" : false, "suffix" : "" }, { "dropping-particle" : "", "family" : "Neil", "given" : "David", "non-dropping-particle" : "", "parse-names" : false, "suffix" : "" }, { "dropping-particle" : "", "family" : "Brereton", "given" : "David", "non-dropping-particle" : "", "parse-names" : false, "suffix" : "" }, { "dropping-particle" : "", "family" : "Mulligan", "given" : "David", "non-dropping-particle" : "", "parse-names" : false, "suffix" : "" } ], "container-title" : "Journal of Cleaner Production", "id" : "ITEM-1", "issue" : "16", "issued" : { "date-parts" : [ [ "2009", "11" ] ] }, "page" : "1426-1434", "publisher" : "Elsevier Ltd", "title" : "Towards a sustainability criteria and indicators framework for legacy mine land", "type" : "article-journal", "volume" : "17" }, "uris" : [ "http://www.mendeley.com/documents/?uuid=ab575b20-fa72-4f71-9cda-8dfefeac6b76" ] } ], "mendeley" : { "formattedCitation" : "(Worrall et al., 2009)", "plainTextFormattedCitation" : "(Worrall et al., 2009)", "previouslyFormattedCitation" : "(Worrall et al., 2009)" }, "properties" : { "noteIndex" : 0 }, "schema" : "https://github.com/citation-style-language/schema/raw/master/csl-citation.json" }</w:instrText>
      </w:r>
      <w:r w:rsidRPr="000E0F90">
        <w:rPr>
          <w:rFonts w:ascii="Arial" w:hAnsi="Arial" w:cs="Arial"/>
          <w:color w:val="000000" w:themeColor="text1"/>
        </w:rPr>
        <w:fldChar w:fldCharType="separate"/>
      </w:r>
      <w:r w:rsidRPr="001862A5">
        <w:rPr>
          <w:rFonts w:ascii="Arial" w:hAnsi="Arial" w:cs="Arial"/>
          <w:noProof/>
          <w:color w:val="000000" w:themeColor="text1"/>
        </w:rPr>
        <w:t>(Worrall et al., 2009)</w:t>
      </w:r>
      <w:r w:rsidRPr="000E0F90">
        <w:rPr>
          <w:rFonts w:ascii="Arial" w:hAnsi="Arial" w:cs="Arial"/>
          <w:color w:val="000000" w:themeColor="text1"/>
        </w:rPr>
        <w:fldChar w:fldCharType="end"/>
      </w:r>
      <w:r w:rsidRPr="001862A5">
        <w:rPr>
          <w:rFonts w:ascii="Arial" w:hAnsi="Arial" w:cs="Arial"/>
          <w:color w:val="000000" w:themeColor="text1"/>
        </w:rPr>
        <w:t xml:space="preserve"> </w:t>
      </w:r>
      <w:r w:rsidRPr="000E0F90">
        <w:rPr>
          <w:rFonts w:ascii="Arial" w:hAnsi="Arial" w:cs="Arial"/>
          <w:color w:val="000000" w:themeColor="text1"/>
        </w:rPr>
        <w:fldChar w:fldCharType="begin" w:fldLock="1"/>
      </w:r>
      <w:r w:rsidRPr="001862A5">
        <w:rPr>
          <w:rFonts w:ascii="Arial" w:hAnsi="Arial" w:cs="Arial"/>
          <w:color w:val="000000" w:themeColor="text1"/>
        </w:rPr>
        <w:instrText>ADDIN CSL_CITATION { "citationItems" : [ { "id" : "ITEM-1", "itemData" : { "DOI" : "10.1016/j.resourpol.2009.12.001", "ISSN" : "03014207", "author" : [ { "dropping-particle" : "", "family" : "Mudd", "given" : "Gavin M.", "non-dropping-particle" : "", "parse-names" : false, "suffix" : "" } ], "container-title" : "Resources Policy", "id" : "ITEM-1", "issue" : "2", "issued" : { "date-parts" : [ [ "2010", "6" ] ] }, "page" : "98-115", "publisher" : "Elsevier", "title" : "The Environmental sustainability of mining in Australia: key mega-trends and looming constraints", "type" : "article-journal", "volume" : "35" }, "uris" : [ "http://www.mendeley.com/documents/?uuid=ff129118-ca05-46c3-9832-36feaf335780" ] } ], "mendeley" : { "formattedCitation" : "(Gavin M. Mudd, 2010)", "plainTextFormattedCitation" : "(Gavin M. Mudd, 2010)", "previouslyFormattedCitation" : "(Gavin M. Mudd, 2010)" }, "properties" : { "noteIndex" : 0 }, "schema" : "https://github.com/citation-style-language/schema/raw/master/csl-citation.json" }</w:instrText>
      </w:r>
      <w:r w:rsidRPr="000E0F90">
        <w:rPr>
          <w:rFonts w:ascii="Arial" w:hAnsi="Arial" w:cs="Arial"/>
          <w:color w:val="000000" w:themeColor="text1"/>
        </w:rPr>
        <w:fldChar w:fldCharType="separate"/>
      </w:r>
      <w:r w:rsidRPr="001862A5">
        <w:rPr>
          <w:rFonts w:ascii="Arial" w:hAnsi="Arial" w:cs="Arial"/>
          <w:noProof/>
          <w:color w:val="000000" w:themeColor="text1"/>
        </w:rPr>
        <w:t>(Gavin M. Mudd, 2010)</w:t>
      </w:r>
      <w:r w:rsidRPr="000E0F90">
        <w:rPr>
          <w:rFonts w:ascii="Arial" w:hAnsi="Arial" w:cs="Arial"/>
          <w:color w:val="000000" w:themeColor="text1"/>
        </w:rPr>
        <w:fldChar w:fldCharType="end"/>
      </w:r>
    </w:p>
    <w:p w:rsidR="00E92CE3" w:rsidRPr="001862A5" w:rsidRDefault="00E92CE3">
      <w:pPr>
        <w:jc w:val="left"/>
        <w:rPr>
          <w:rFonts w:ascii="Arial" w:hAnsi="Arial" w:cs="Arial"/>
          <w:b/>
          <w:i/>
          <w:color w:val="000000" w:themeColor="text1"/>
        </w:rPr>
      </w:pPr>
      <w:r w:rsidRPr="001862A5">
        <w:rPr>
          <w:rFonts w:ascii="Arial" w:hAnsi="Arial" w:cs="Arial"/>
          <w:b/>
          <w:i/>
          <w:color w:val="000000" w:themeColor="text1"/>
        </w:rPr>
        <w:br w:type="page"/>
      </w:r>
    </w:p>
    <w:p w:rsidR="00B64699" w:rsidRPr="001862A5" w:rsidRDefault="00B64699" w:rsidP="002B538F">
      <w:pPr>
        <w:spacing w:after="0" w:line="360" w:lineRule="auto"/>
        <w:rPr>
          <w:rFonts w:ascii="Arial" w:hAnsi="Arial" w:cs="Arial"/>
          <w:b/>
          <w:i/>
          <w:color w:val="000000" w:themeColor="text1"/>
        </w:rPr>
      </w:pPr>
      <w:r w:rsidRPr="001862A5">
        <w:rPr>
          <w:rFonts w:ascii="Arial" w:hAnsi="Arial" w:cs="Arial"/>
          <w:b/>
          <w:i/>
          <w:color w:val="000000" w:themeColor="text1"/>
        </w:rPr>
        <w:lastRenderedPageBreak/>
        <w:t xml:space="preserve">Minería y Aspectos Sociales: </w:t>
      </w:r>
    </w:p>
    <w:p w:rsidR="004270AF" w:rsidRPr="000E0F90" w:rsidRDefault="00B64699" w:rsidP="002B538F">
      <w:pPr>
        <w:pStyle w:val="Textocomentario"/>
        <w:spacing w:line="360" w:lineRule="auto"/>
        <w:rPr>
          <w:rFonts w:ascii="Arial" w:hAnsi="Arial" w:cs="Arial"/>
          <w:color w:val="000000" w:themeColor="text1"/>
          <w:sz w:val="22"/>
        </w:rPr>
      </w:pPr>
      <w:r w:rsidRPr="001862A5">
        <w:rPr>
          <w:rFonts w:ascii="Arial" w:hAnsi="Arial" w:cs="Arial"/>
          <w:color w:val="000000" w:themeColor="text1"/>
          <w:sz w:val="22"/>
        </w:rPr>
        <w:t xml:space="preserve">Los actores sociales corresponden a los agentes que intervienen en la transformación del espacio, con la finalidad de alcanzar el bienestar privado y colectivo. </w:t>
      </w:r>
      <w:r w:rsidR="003504F4" w:rsidRPr="001862A5">
        <w:rPr>
          <w:rFonts w:ascii="Arial" w:hAnsi="Arial" w:cs="Arial"/>
          <w:color w:val="000000" w:themeColor="text1"/>
          <w:sz w:val="22"/>
        </w:rPr>
        <w:t>Lo</w:t>
      </w:r>
      <w:r w:rsidRPr="001862A5">
        <w:rPr>
          <w:rFonts w:ascii="Arial" w:hAnsi="Arial" w:cs="Arial"/>
          <w:color w:val="000000" w:themeColor="text1"/>
          <w:sz w:val="22"/>
        </w:rPr>
        <w:t xml:space="preserve">s territorios mineros, </w:t>
      </w:r>
      <w:r w:rsidR="003504F4" w:rsidRPr="001862A5">
        <w:rPr>
          <w:rFonts w:ascii="Arial" w:hAnsi="Arial" w:cs="Arial"/>
          <w:color w:val="000000" w:themeColor="text1"/>
          <w:sz w:val="22"/>
        </w:rPr>
        <w:t>involucra una gran diversidad de actores que intervienen en este espacio, identificándose: Organiza</w:t>
      </w:r>
      <w:r w:rsidR="007D45AE" w:rsidRPr="001862A5">
        <w:rPr>
          <w:rFonts w:ascii="Arial" w:hAnsi="Arial" w:cs="Arial"/>
          <w:color w:val="000000" w:themeColor="text1"/>
          <w:sz w:val="22"/>
        </w:rPr>
        <w:t>ciones y agrupaciones locales, g</w:t>
      </w:r>
      <w:r w:rsidR="003504F4" w:rsidRPr="001862A5">
        <w:rPr>
          <w:rFonts w:ascii="Arial" w:hAnsi="Arial" w:cs="Arial"/>
          <w:color w:val="000000" w:themeColor="text1"/>
          <w:sz w:val="22"/>
        </w:rPr>
        <w:t xml:space="preserve">obierno local, </w:t>
      </w:r>
      <w:r w:rsidR="007D45AE" w:rsidRPr="001862A5">
        <w:rPr>
          <w:rFonts w:ascii="Arial" w:hAnsi="Arial" w:cs="Arial"/>
          <w:color w:val="000000" w:themeColor="text1"/>
          <w:sz w:val="22"/>
        </w:rPr>
        <w:t>e</w:t>
      </w:r>
      <w:r w:rsidR="003504F4" w:rsidRPr="001862A5">
        <w:rPr>
          <w:rFonts w:ascii="Arial" w:hAnsi="Arial" w:cs="Arial"/>
          <w:color w:val="000000" w:themeColor="text1"/>
          <w:sz w:val="22"/>
        </w:rPr>
        <w:t xml:space="preserve">mpresas </w:t>
      </w:r>
      <w:r w:rsidR="007D45AE" w:rsidRPr="001862A5">
        <w:rPr>
          <w:rFonts w:ascii="Arial" w:hAnsi="Arial" w:cs="Arial"/>
          <w:color w:val="000000" w:themeColor="text1"/>
          <w:sz w:val="22"/>
        </w:rPr>
        <w:t>l</w:t>
      </w:r>
      <w:r w:rsidR="003504F4" w:rsidRPr="001862A5">
        <w:rPr>
          <w:rFonts w:ascii="Arial" w:hAnsi="Arial" w:cs="Arial"/>
          <w:color w:val="000000" w:themeColor="text1"/>
          <w:sz w:val="22"/>
        </w:rPr>
        <w:t>ocale</w:t>
      </w:r>
      <w:r w:rsidR="007D45AE" w:rsidRPr="001862A5">
        <w:rPr>
          <w:rFonts w:ascii="Arial" w:hAnsi="Arial" w:cs="Arial"/>
          <w:color w:val="000000" w:themeColor="text1"/>
          <w:sz w:val="22"/>
        </w:rPr>
        <w:t>s, empresas agroindustriales y g</w:t>
      </w:r>
      <w:r w:rsidR="003504F4" w:rsidRPr="001862A5">
        <w:rPr>
          <w:rFonts w:ascii="Arial" w:hAnsi="Arial" w:cs="Arial"/>
          <w:color w:val="000000" w:themeColor="text1"/>
          <w:sz w:val="22"/>
        </w:rPr>
        <w:t xml:space="preserve">randes </w:t>
      </w:r>
      <w:r w:rsidR="007D45AE" w:rsidRPr="001862A5">
        <w:rPr>
          <w:rFonts w:ascii="Arial" w:hAnsi="Arial" w:cs="Arial"/>
          <w:color w:val="000000" w:themeColor="text1"/>
          <w:sz w:val="22"/>
        </w:rPr>
        <w:t>compañías minera</w:t>
      </w:r>
      <w:r w:rsidR="003504F4" w:rsidRPr="001862A5">
        <w:rPr>
          <w:rFonts w:ascii="Arial" w:hAnsi="Arial" w:cs="Arial"/>
          <w:color w:val="000000" w:themeColor="text1"/>
          <w:sz w:val="22"/>
        </w:rPr>
        <w:t xml:space="preserve">s </w:t>
      </w:r>
      <w:sdt>
        <w:sdtPr>
          <w:rPr>
            <w:rFonts w:ascii="Arial" w:hAnsi="Arial" w:cs="Arial"/>
            <w:color w:val="000000" w:themeColor="text1"/>
            <w:sz w:val="22"/>
          </w:rPr>
          <w:id w:val="489672988"/>
          <w:citation/>
        </w:sdtPr>
        <w:sdtEndPr/>
        <w:sdtContent>
          <w:r w:rsidR="003504F4" w:rsidRPr="000E0F90">
            <w:rPr>
              <w:rFonts w:ascii="Arial" w:hAnsi="Arial" w:cs="Arial"/>
              <w:color w:val="000000" w:themeColor="text1"/>
              <w:sz w:val="22"/>
            </w:rPr>
            <w:fldChar w:fldCharType="begin"/>
          </w:r>
          <w:r w:rsidR="003504F4" w:rsidRPr="001862A5">
            <w:rPr>
              <w:rFonts w:ascii="Arial" w:hAnsi="Arial" w:cs="Arial"/>
              <w:color w:val="000000" w:themeColor="text1"/>
              <w:sz w:val="22"/>
            </w:rPr>
            <w:instrText xml:space="preserve"> CITATION Gas021 \l 13322 </w:instrText>
          </w:r>
          <w:r w:rsidR="003504F4" w:rsidRPr="000E0F90">
            <w:rPr>
              <w:rFonts w:ascii="Arial" w:hAnsi="Arial" w:cs="Arial"/>
              <w:color w:val="000000" w:themeColor="text1"/>
              <w:sz w:val="22"/>
            </w:rPr>
            <w:fldChar w:fldCharType="separate"/>
          </w:r>
          <w:r w:rsidR="008D0261" w:rsidRPr="001862A5">
            <w:rPr>
              <w:rFonts w:ascii="Arial" w:hAnsi="Arial" w:cs="Arial"/>
              <w:noProof/>
              <w:color w:val="000000" w:themeColor="text1"/>
              <w:sz w:val="22"/>
            </w:rPr>
            <w:t>(Gasto, Rodrigo, Aránguiz, &amp; Urrutia, 2002)</w:t>
          </w:r>
          <w:r w:rsidR="003504F4" w:rsidRPr="000E0F90">
            <w:rPr>
              <w:rFonts w:ascii="Arial" w:hAnsi="Arial" w:cs="Arial"/>
              <w:color w:val="000000" w:themeColor="text1"/>
              <w:sz w:val="22"/>
            </w:rPr>
            <w:fldChar w:fldCharType="end"/>
          </w:r>
        </w:sdtContent>
      </w:sdt>
      <w:r w:rsidR="003504F4" w:rsidRPr="001862A5">
        <w:rPr>
          <w:rFonts w:ascii="Arial" w:hAnsi="Arial" w:cs="Arial"/>
          <w:color w:val="000000" w:themeColor="text1"/>
          <w:sz w:val="22"/>
        </w:rPr>
        <w:t xml:space="preserve">. </w:t>
      </w:r>
      <w:r w:rsidR="007D45AE" w:rsidRPr="00301AE2">
        <w:rPr>
          <w:rFonts w:ascii="Arial" w:hAnsi="Arial" w:cs="Arial"/>
          <w:color w:val="000000" w:themeColor="text1"/>
          <w:sz w:val="22"/>
        </w:rPr>
        <w:t>Los cuales no se circunscriben específicamente al ámbito local, sino que desde diversos niveles se puede influenciar un territorio, por tanto se identifican actores sociale</w:t>
      </w:r>
      <w:r w:rsidR="00B35339">
        <w:rPr>
          <w:rFonts w:ascii="Arial" w:hAnsi="Arial" w:cs="Arial"/>
          <w:color w:val="000000" w:themeColor="text1"/>
          <w:sz w:val="22"/>
        </w:rPr>
        <w:t>s a diversas escalas (Figura 2</w:t>
      </w:r>
      <w:r w:rsidR="007D45AE" w:rsidRPr="00301AE2">
        <w:rPr>
          <w:rFonts w:ascii="Arial" w:hAnsi="Arial" w:cs="Arial"/>
          <w:color w:val="000000" w:themeColor="text1"/>
          <w:sz w:val="22"/>
        </w:rPr>
        <w:t xml:space="preserve">). </w:t>
      </w:r>
      <w:r w:rsidR="007D45AE" w:rsidRPr="000E0F90">
        <w:rPr>
          <w:rFonts w:ascii="Arial" w:hAnsi="Arial" w:cs="Arial"/>
          <w:color w:val="000000" w:themeColor="text1"/>
          <w:sz w:val="22"/>
        </w:rPr>
        <w:t xml:space="preserve">Y se </w:t>
      </w:r>
      <w:r w:rsidR="003504F4" w:rsidRPr="000E0F90">
        <w:rPr>
          <w:rFonts w:ascii="Arial" w:hAnsi="Arial" w:cs="Arial"/>
          <w:color w:val="000000" w:themeColor="text1"/>
          <w:sz w:val="22"/>
        </w:rPr>
        <w:t>agrupa</w:t>
      </w:r>
      <w:r w:rsidR="007D45AE" w:rsidRPr="000E0F90">
        <w:rPr>
          <w:rFonts w:ascii="Arial" w:hAnsi="Arial" w:cs="Arial"/>
          <w:color w:val="000000" w:themeColor="text1"/>
          <w:sz w:val="22"/>
        </w:rPr>
        <w:t>n</w:t>
      </w:r>
      <w:r w:rsidR="003504F4" w:rsidRPr="000E0F90">
        <w:rPr>
          <w:rFonts w:ascii="Arial" w:hAnsi="Arial" w:cs="Arial"/>
          <w:color w:val="000000" w:themeColor="text1"/>
          <w:sz w:val="22"/>
        </w:rPr>
        <w:t xml:space="preserve"> en</w:t>
      </w:r>
      <w:r w:rsidRPr="000E0F90">
        <w:rPr>
          <w:rFonts w:ascii="Arial" w:hAnsi="Arial" w:cs="Arial"/>
          <w:color w:val="000000" w:themeColor="text1"/>
          <w:sz w:val="22"/>
        </w:rPr>
        <w:t xml:space="preserve">: Gobierno local, empresas mineras y sociedad civil </w:t>
      </w:r>
      <w:r w:rsidRPr="000E0F90">
        <w:rPr>
          <w:rFonts w:ascii="Arial" w:hAnsi="Arial" w:cs="Arial"/>
          <w:color w:val="000000" w:themeColor="text1"/>
          <w:sz w:val="22"/>
        </w:rPr>
        <w:fldChar w:fldCharType="begin" w:fldLock="1"/>
      </w:r>
      <w:r w:rsidRPr="000E0F90">
        <w:rPr>
          <w:rFonts w:ascii="Arial" w:hAnsi="Arial" w:cs="Arial"/>
          <w:color w:val="000000" w:themeColor="text1"/>
          <w:sz w:val="22"/>
        </w:rPr>
        <w:instrText>ADDIN CSL_CITATION { "citationItems" : [ { "id" : "ITEM-1", "itemData" : { "author" : [ { "dropping-particle" : "", "family" : "Schildermans", "given" : "Peter", "non-dropping-particle" : "", "parse-names" : false, "suffix" : "" } ], "id" : "ITEM-1", "issued" : { "date-parts" : [ [ "2011" ] ] }, "note" : "NULL", "page" : "256", "title" : "The Chilean copper industry towards a more ecologically durable exploitation ?", "type" : "article-journal" }, "uris" : [ "http://www.mendeley.com/documents/?uuid=b25a2fcc-89a4-4984-9241-223ea94111a8" ] } ], "mendeley" : { "formattedCitation" : "(Schildermans, 2011)", "plainTextFormattedCitation" : "(Schildermans, 2011)", "previouslyFormattedCitation" : "(Schildermans, 2011)" }, "properties" : { "noteIndex" : 0 }, "schema" : "https://github.com/citation-style-language/schema/raw/master/csl-citation.json" }</w:instrText>
      </w:r>
      <w:r w:rsidRPr="000E0F90">
        <w:rPr>
          <w:rFonts w:ascii="Arial" w:hAnsi="Arial" w:cs="Arial"/>
          <w:color w:val="000000" w:themeColor="text1"/>
          <w:sz w:val="22"/>
        </w:rPr>
        <w:fldChar w:fldCharType="separate"/>
      </w:r>
      <w:r w:rsidRPr="000E0F90">
        <w:rPr>
          <w:rFonts w:ascii="Arial" w:hAnsi="Arial" w:cs="Arial"/>
          <w:noProof/>
          <w:color w:val="000000" w:themeColor="text1"/>
          <w:sz w:val="22"/>
        </w:rPr>
        <w:t>(Schildermans, 2011)</w:t>
      </w:r>
      <w:r w:rsidRPr="000E0F90">
        <w:rPr>
          <w:rFonts w:ascii="Arial" w:hAnsi="Arial" w:cs="Arial"/>
          <w:color w:val="000000" w:themeColor="text1"/>
          <w:sz w:val="22"/>
        </w:rPr>
        <w:fldChar w:fldCharType="end"/>
      </w:r>
      <w:r w:rsidRPr="000E0F90">
        <w:rPr>
          <w:rFonts w:ascii="Arial" w:hAnsi="Arial" w:cs="Arial"/>
          <w:color w:val="000000" w:themeColor="text1"/>
          <w:sz w:val="22"/>
        </w:rPr>
        <w:t xml:space="preserve">. El gobierno, por una parte, a través de las legislaciones y normativas, guía el desarrollo de la industria minera, pudiendo fomentar (i.e. incentivos económicos) o desincentivar el desarrollo minero de un territorio (i.e. nacionalización de la minería). </w:t>
      </w:r>
      <w:r w:rsidR="00360B38" w:rsidRPr="000E0F90">
        <w:rPr>
          <w:rFonts w:ascii="Arial" w:hAnsi="Arial" w:cs="Arial"/>
          <w:color w:val="000000" w:themeColor="text1"/>
          <w:sz w:val="22"/>
        </w:rPr>
        <w:t>Las empresas mineras, encargadas de la ejecución de la actividad extractiva, se relacionan con el gobierno y la sociedad civil, para asegurar el despliegue de la operación.</w:t>
      </w:r>
      <w:r w:rsidR="003504F4" w:rsidRPr="000E0F90">
        <w:rPr>
          <w:rFonts w:ascii="Arial" w:hAnsi="Arial" w:cs="Arial"/>
          <w:color w:val="000000" w:themeColor="text1"/>
          <w:sz w:val="22"/>
        </w:rPr>
        <w:t xml:space="preserve"> </w:t>
      </w:r>
    </w:p>
    <w:p w:rsidR="00B64699" w:rsidRPr="000E0F90" w:rsidRDefault="00B64699" w:rsidP="002B538F">
      <w:pPr>
        <w:pStyle w:val="Textocomentario"/>
        <w:spacing w:line="360" w:lineRule="auto"/>
        <w:rPr>
          <w:rFonts w:ascii="Arial" w:hAnsi="Arial" w:cs="Arial"/>
          <w:color w:val="000000" w:themeColor="text1"/>
          <w:sz w:val="22"/>
        </w:rPr>
      </w:pPr>
      <w:r w:rsidRPr="000E0F90">
        <w:rPr>
          <w:rFonts w:ascii="Arial" w:hAnsi="Arial" w:cs="Arial"/>
          <w:color w:val="000000" w:themeColor="text1"/>
          <w:sz w:val="22"/>
        </w:rPr>
        <w:t xml:space="preserve">La sociedad civil, se percibe como los receptores de las actividades mineras de un territorio, pudiendo presionar tanto al gobierno como a la propia industria, alentando a un mejor desempeño medioambiental y/o social </w:t>
      </w:r>
      <w:r w:rsidRPr="000E0F90">
        <w:rPr>
          <w:rFonts w:ascii="Arial" w:hAnsi="Arial" w:cs="Arial"/>
          <w:color w:val="000000" w:themeColor="text1"/>
          <w:sz w:val="22"/>
        </w:rPr>
        <w:fldChar w:fldCharType="begin" w:fldLock="1"/>
      </w:r>
      <w:r w:rsidRPr="000E0F90">
        <w:rPr>
          <w:rFonts w:ascii="Arial" w:hAnsi="Arial" w:cs="Arial"/>
          <w:color w:val="000000" w:themeColor="text1"/>
          <w:sz w:val="22"/>
        </w:rPr>
        <w:instrText>ADDIN CSL_CITATION { "citationItems" : [ { "id" : "ITEM-1", "itemData" : { "author" : [ { "dropping-particle" : "", "family" : "Schildermans", "given" : "Peter", "non-dropping-particle" : "", "parse-names" : false, "suffix" : "" } ], "id" : "ITEM-1", "issued" : { "date-parts" : [ [ "2011" ] ] }, "note" : "NULL", "page" : "256", "title" : "The Chilean copper industry towards a more ecologically durable exploitation ?", "type" : "article-journal" }, "uris" : [ "http://www.mendeley.com/documents/?uuid=b25a2fcc-89a4-4984-9241-223ea94111a8" ] } ], "mendeley" : { "formattedCitation" : "(Schildermans, 2011)", "plainTextFormattedCitation" : "(Schildermans, 2011)", "previouslyFormattedCitation" : "(Schildermans, 2011)" }, "properties" : { "noteIndex" : 0 }, "schema" : "https://github.com/citation-style-language/schema/raw/master/csl-citation.json" }</w:instrText>
      </w:r>
      <w:r w:rsidRPr="000E0F90">
        <w:rPr>
          <w:rFonts w:ascii="Arial" w:hAnsi="Arial" w:cs="Arial"/>
          <w:color w:val="000000" w:themeColor="text1"/>
          <w:sz w:val="22"/>
        </w:rPr>
        <w:fldChar w:fldCharType="separate"/>
      </w:r>
      <w:r w:rsidRPr="000E0F90">
        <w:rPr>
          <w:rFonts w:ascii="Arial" w:hAnsi="Arial" w:cs="Arial"/>
          <w:noProof/>
          <w:color w:val="000000" w:themeColor="text1"/>
          <w:sz w:val="22"/>
        </w:rPr>
        <w:t>(Schildermans, 2011)</w:t>
      </w:r>
      <w:r w:rsidRPr="000E0F90">
        <w:rPr>
          <w:rFonts w:ascii="Arial" w:hAnsi="Arial" w:cs="Arial"/>
          <w:color w:val="000000" w:themeColor="text1"/>
          <w:sz w:val="22"/>
        </w:rPr>
        <w:fldChar w:fldCharType="end"/>
      </w:r>
      <w:r w:rsidRPr="000E0F90">
        <w:rPr>
          <w:rFonts w:ascii="Arial" w:hAnsi="Arial" w:cs="Arial"/>
          <w:color w:val="000000" w:themeColor="text1"/>
          <w:sz w:val="22"/>
        </w:rPr>
        <w:t xml:space="preserve">. Emergiendo actores claramente identificables de la sociedad civil como son los pueblos aborígenes, las comunidades, las organizaciones no gubernamentales y el público general </w:t>
      </w:r>
      <w:r w:rsidRPr="000E0F90">
        <w:rPr>
          <w:rFonts w:ascii="Arial" w:hAnsi="Arial" w:cs="Arial"/>
          <w:color w:val="000000" w:themeColor="text1"/>
          <w:sz w:val="22"/>
        </w:rPr>
        <w:fldChar w:fldCharType="begin" w:fldLock="1"/>
      </w:r>
      <w:r w:rsidRPr="000E0F90">
        <w:rPr>
          <w:rFonts w:ascii="Arial" w:hAnsi="Arial" w:cs="Arial"/>
          <w:color w:val="000000" w:themeColor="text1"/>
          <w:sz w:val="22"/>
        </w:rPr>
        <w:instrText>ADDIN CSL_CITATION { "citationItems" : [ { "id" : "ITEM-1", "itemData" : { "DOI" : "10.1016/j.resourpol.2012.04.002", "ISSN" : "03014207", "author" : [ { "dropping-particle" : "", "family" : "Prno", "given" : "Jason", "non-dropping-particle" : "", "parse-names" : false, "suffix" : "" }, { "dropping-particle" : "", "family" : "Scott Slocombe", "given" : "D.", "non-dropping-particle" : "", "parse-names" : false, "suffix" : "" } ], "container-title" : "Resources Policy", "id" : "ITEM-1", "issue" : "3", "issued" : { "date-parts" : [ [ "2012", "9" ] ] }, "page" : "346-357", "publisher" : "Elsevier", "title" : "Exploring the origins of \u2018social license to operate\u2019 in the mining sector: Perspectives from governance and sustainability theories", "type" : "article-journal", "volume" : "37" }, "uris" : [ "http://www.mendeley.com/documents/?uuid=127eea5d-e9d3-4dbd-9dbc-d34324e82251" ] } ], "mendeley" : { "formattedCitation" : "(Prno &amp; Scott Slocombe, 2012)", "plainTextFormattedCitation" : "(Prno &amp; Scott Slocombe, 2012)", "previouslyFormattedCitation" : "(Prno &amp; Scott Slocombe, 2012)" }, "properties" : { "noteIndex" : 0 }, "schema" : "https://github.com/citation-style-language/schema/raw/master/csl-citation.json" }</w:instrText>
      </w:r>
      <w:r w:rsidRPr="000E0F90">
        <w:rPr>
          <w:rFonts w:ascii="Arial" w:hAnsi="Arial" w:cs="Arial"/>
          <w:color w:val="000000" w:themeColor="text1"/>
          <w:sz w:val="22"/>
        </w:rPr>
        <w:fldChar w:fldCharType="separate"/>
      </w:r>
      <w:r w:rsidRPr="000E0F90">
        <w:rPr>
          <w:rFonts w:ascii="Arial" w:hAnsi="Arial" w:cs="Arial"/>
          <w:noProof/>
          <w:color w:val="000000" w:themeColor="text1"/>
          <w:sz w:val="22"/>
        </w:rPr>
        <w:t>(Prno &amp; Scott Slocombe, 2012)</w:t>
      </w:r>
      <w:r w:rsidRPr="000E0F90">
        <w:rPr>
          <w:rFonts w:ascii="Arial" w:hAnsi="Arial" w:cs="Arial"/>
          <w:color w:val="000000" w:themeColor="text1"/>
          <w:sz w:val="22"/>
        </w:rPr>
        <w:fldChar w:fldCharType="end"/>
      </w:r>
      <w:r w:rsidRPr="000E0F90">
        <w:rPr>
          <w:rFonts w:ascii="Arial" w:hAnsi="Arial" w:cs="Arial"/>
          <w:color w:val="000000" w:themeColor="text1"/>
          <w:sz w:val="22"/>
        </w:rPr>
        <w:t xml:space="preserve"> </w:t>
      </w:r>
      <w:r w:rsidRPr="000E0F90">
        <w:rPr>
          <w:rFonts w:ascii="Arial" w:hAnsi="Arial" w:cs="Arial"/>
          <w:color w:val="000000" w:themeColor="text1"/>
          <w:sz w:val="22"/>
        </w:rPr>
        <w:fldChar w:fldCharType="begin" w:fldLock="1"/>
      </w:r>
      <w:r w:rsidRPr="000E0F90">
        <w:rPr>
          <w:rFonts w:ascii="Arial" w:hAnsi="Arial" w:cs="Arial"/>
          <w:color w:val="000000" w:themeColor="text1"/>
          <w:sz w:val="22"/>
        </w:rPr>
        <w:instrText>ADDIN CSL_CITATION { "citationItems" : [ { "id" : "ITEM-1", "itemData" : { "author" : [ { "dropping-particle" : "", "family" : "Schildermans", "given" : "Peter", "non-dropping-particle" : "", "parse-names" : false, "suffix" : "" } ], "id" : "ITEM-1", "issued" : { "date-parts" : [ [ "2011" ] ] }, "note" : "NULL", "page" : "256", "title" : "The Chilean copper industry towards a more ecologically durable exploitation ?", "type" : "article-journal" }, "uris" : [ "http://www.mendeley.com/documents/?uuid=b25a2fcc-89a4-4984-9241-223ea94111a8" ] } ], "mendeley" : { "formattedCitation" : "(Schildermans, 2011)", "plainTextFormattedCitation" : "(Schildermans, 2011)", "previouslyFormattedCitation" : "(Schildermans, 2011)" }, "properties" : { "noteIndex" : 0 }, "schema" : "https://github.com/citation-style-language/schema/raw/master/csl-citation.json" }</w:instrText>
      </w:r>
      <w:r w:rsidRPr="000E0F90">
        <w:rPr>
          <w:rFonts w:ascii="Arial" w:hAnsi="Arial" w:cs="Arial"/>
          <w:color w:val="000000" w:themeColor="text1"/>
          <w:sz w:val="22"/>
        </w:rPr>
        <w:fldChar w:fldCharType="separate"/>
      </w:r>
      <w:r w:rsidRPr="000E0F90">
        <w:rPr>
          <w:rFonts w:ascii="Arial" w:hAnsi="Arial" w:cs="Arial"/>
          <w:noProof/>
          <w:color w:val="000000" w:themeColor="text1"/>
          <w:sz w:val="22"/>
        </w:rPr>
        <w:t>(Schildermans, 2011)</w:t>
      </w:r>
      <w:r w:rsidRPr="000E0F90">
        <w:rPr>
          <w:rFonts w:ascii="Arial" w:hAnsi="Arial" w:cs="Arial"/>
          <w:color w:val="000000" w:themeColor="text1"/>
          <w:sz w:val="22"/>
        </w:rPr>
        <w:fldChar w:fldCharType="end"/>
      </w:r>
      <w:r w:rsidRPr="000E0F90">
        <w:rPr>
          <w:rFonts w:ascii="Arial" w:hAnsi="Arial" w:cs="Arial"/>
          <w:color w:val="000000" w:themeColor="text1"/>
          <w:sz w:val="22"/>
        </w:rPr>
        <w:t>.</w:t>
      </w:r>
      <w:r w:rsidR="003504F4" w:rsidRPr="000E0F90">
        <w:rPr>
          <w:rFonts w:ascii="Arial" w:hAnsi="Arial" w:cs="Arial"/>
          <w:color w:val="000000" w:themeColor="text1"/>
          <w:sz w:val="22"/>
        </w:rPr>
        <w:t xml:space="preserve"> </w:t>
      </w:r>
    </w:p>
    <w:p w:rsidR="000356D9" w:rsidRPr="000E0F90" w:rsidRDefault="00B64699" w:rsidP="002B538F">
      <w:pPr>
        <w:spacing w:line="360" w:lineRule="auto"/>
        <w:rPr>
          <w:rFonts w:ascii="Arial" w:hAnsi="Arial" w:cs="Arial"/>
          <w:color w:val="000000" w:themeColor="text1"/>
        </w:rPr>
      </w:pPr>
      <w:r w:rsidRPr="000E0F90">
        <w:rPr>
          <w:rFonts w:ascii="Arial" w:hAnsi="Arial" w:cs="Arial"/>
          <w:color w:val="000000" w:themeColor="text1"/>
        </w:rPr>
        <w:t xml:space="preserve">Desde la perspectiva social, existen diversos ámbitos que pueden verse </w:t>
      </w:r>
      <w:r w:rsidR="00AD2094" w:rsidRPr="000E0F90">
        <w:rPr>
          <w:rFonts w:ascii="Arial" w:hAnsi="Arial" w:cs="Arial"/>
          <w:color w:val="000000" w:themeColor="text1"/>
        </w:rPr>
        <w:t>influenciados</w:t>
      </w:r>
      <w:r w:rsidRPr="000E0F90">
        <w:rPr>
          <w:rFonts w:ascii="Arial" w:hAnsi="Arial" w:cs="Arial"/>
          <w:color w:val="000000" w:themeColor="text1"/>
        </w:rPr>
        <w:t xml:space="preserve"> por la actividad minera</w:t>
      </w:r>
      <w:r w:rsidR="003504F4" w:rsidRPr="000E0F90">
        <w:rPr>
          <w:rFonts w:ascii="Arial" w:hAnsi="Arial" w:cs="Arial"/>
          <w:color w:val="000000" w:themeColor="text1"/>
        </w:rPr>
        <w:t xml:space="preserve"> (Figura </w:t>
      </w:r>
      <w:r w:rsidR="00B35339">
        <w:rPr>
          <w:rFonts w:ascii="Arial" w:hAnsi="Arial" w:cs="Arial"/>
          <w:color w:val="000000" w:themeColor="text1"/>
        </w:rPr>
        <w:t>3</w:t>
      </w:r>
      <w:r w:rsidR="003504F4" w:rsidRPr="000E0F90">
        <w:rPr>
          <w:rFonts w:ascii="Arial" w:hAnsi="Arial" w:cs="Arial"/>
          <w:color w:val="000000" w:themeColor="text1"/>
        </w:rPr>
        <w:t>)</w:t>
      </w:r>
      <w:r w:rsidRPr="000E0F90">
        <w:rPr>
          <w:rFonts w:ascii="Arial" w:hAnsi="Arial" w:cs="Arial"/>
          <w:color w:val="000000" w:themeColor="text1"/>
        </w:rPr>
        <w:t>, los cuales comprenden desde asuntos relativos a las comunidades, aspectos de gobernanza, regulación y rol de estado, pueblos originarios, desarrollo local, licencia social para operar, materias laborales, derechos humanos, aspectos culturales, estéticos, par</w:t>
      </w:r>
      <w:r w:rsidR="003504F4" w:rsidRPr="000E0F90">
        <w:rPr>
          <w:rFonts w:ascii="Arial" w:hAnsi="Arial" w:cs="Arial"/>
          <w:color w:val="000000" w:themeColor="text1"/>
        </w:rPr>
        <w:t xml:space="preserve">ticipación en toma de decisión en el marco </w:t>
      </w:r>
      <w:r w:rsidRPr="000E0F90">
        <w:rPr>
          <w:rFonts w:ascii="Arial" w:hAnsi="Arial" w:cs="Arial"/>
          <w:color w:val="000000" w:themeColor="text1"/>
        </w:rPr>
        <w:t>del consentimiento informado</w:t>
      </w:r>
      <w:r w:rsidR="003504F4" w:rsidRPr="000E0F90">
        <w:rPr>
          <w:rFonts w:ascii="Arial" w:hAnsi="Arial" w:cs="Arial"/>
          <w:color w:val="000000" w:themeColor="text1"/>
        </w:rPr>
        <w:t>,</w:t>
      </w:r>
      <w:r w:rsidRPr="000E0F90">
        <w:rPr>
          <w:rFonts w:ascii="Arial" w:hAnsi="Arial" w:cs="Arial"/>
          <w:color w:val="000000" w:themeColor="text1"/>
        </w:rPr>
        <w:t xml:space="preserve"> entre otros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"10.1016/j.resourpol.2008.01.005", "ISSN" : "03014207", "author" : [ { "dropping-particle" : "", "family" : "Solomon", "given" : "Fiona", "non-dropping-particle" : "", "parse-names" : false, "suffix" : "" }, { "dropping-particle" : "", "family" : "Katz", "given" : "Evie", "non-dropping-particle" : "", "parse-names" : false, "suffix" : "" }, { "dropping-particle" : "", "family" : "Lovel", "given" : "Roy", "non-dropping-particle" : "", "parse-names" : false, "suffix" : "" } ], "container-title" : "Resources Policy", "id" : "ITEM-1", "issue" : "3", "issued" : { "date-parts" : [ [ "2008", "9" ] ] }, "page" : "142-149", "title" : "Social dimensions of mining: Research, policy and practice challenges for the minerals industry in Australia", "type" : "article-journal", "volume" : "33" }, "uris" : [ "http://www.mendeley.com/documents/?uuid=3c454c00-2d5e-492e-af35-7975fe8bcde4" ] }, { "id" : "ITEM-2", "itemData" : { "DOI" : "10.1146/annurev.energy.28.011503.163434", "ISSN" : "1543-5938", "author" : [ { "dropping-particle" : "", "family" : "Bridge", "given" : "Gavin", "non-dropping-particle" : "", "parse-names" : false, "suffix" : "" } ], "container-title" : "Annual Review of Environment and Resources", "id" : "ITEM-2", "issue" : "1", "issued" : { "date-parts" : [ [ "2004", "11", "21" ] ] }, "page" : "205-259", "title" : "CONTESTED TERRAIN: Mining and the Environment", "type" : "article-journal", "volume" : "29" }, "uris" : [ "http://www.mendeley.com/documents/?uuid=3856b087-468f-47e0-aa60-26b2415a5e72" ] }, { "id" : "ITEM-3", "itemData" : { "DOI" : "10.1080/00049182.2011.569985", "ISSN" : "0004-9182", "author" : [ { "dropping-particle" : "", "family" : "Lawrie", "given" : "Misty", "non-dropping-particle" : "", "parse-names" : false, "suffix" : "" }, { "dropping-particle" : "", "family" : "Tonts", "given" : "Matthew", "non-dropping-particle" : "", "parse-names" : false, "suffix" : "" }, { "dropping-particle" : "", "family" : "Plummer", "given" : "Paul", "non-dropping-particle" : "", "parse-names" : false, "suffix" : "" } ], "container-title" : "Australian Geographer", "id" : "ITEM-3", "issue" : "2", "issued" : { "date-parts" : [ [ "2011", "6" ] ] }, "page" : "139-164", "title" : "Boomtowns, Resource Dependence and Socio-economic Well-being", "type" : "article-journal", "volume" : "42" }, "uris" : [ "http://www.mendeley.com/documents/?uuid=555d35b7-8555-4f04-b3a6-1e8b061db4b0" ] }, { "id" : "ITEM-4", "itemData" : { "author" : [ { "dropping-particle" : "", "family" : "Hilson", "given" : "Gavin", "non-dropping-particle" : "", "parse-names" : false, "suffix" : "" }, { "dropping-particle" : "", "family" : "Murck", "given" : "Barbara", "non-dropping-particle" : "", "parse-names" : false, "suffix" : "" } ], "id" : "ITEM-4", "issue" : "2000", "issued" : { "date-parts" : [ [ "2000" ] ] }, "page" : "227-238", "title" : "Sustainable development in the mining industry : clarifying the corporate perspective", "type" : "article-journal", "volume" : "26" }, "uris" : [ "http://www.mendeley.com/documents/?uuid=f8aeb7a1-70d0-42bd-ae96-6e53b2ce6cb4" ] } ], "mendeley" : { "formattedCitation" : "(Bridge, 2004; Hilson &amp; Murck, 2000; Lawrie, Tonts, &amp; Plummer, 2011; Solomon, Katz, &amp; Lovel, 2008)", "plainTextFormattedCitation" : "(Bridge, 2004; Hilson &amp; Murck, 2000; Lawrie, Tonts, &amp; Plummer, 2011; Solomon, Katz, &amp; Lovel, 2008)", "previouslyFormattedCitation" : "(Bridge, 2004; Hilson &amp; Murck, 2000; Lawrie, Tonts, &amp; Plummer, 2011; Solomon, Katz, &amp; Lovel, 2008)"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(Bridge, 2004; Hilson &amp; Murck, 2000; Lawrie, Tonts, &amp; Plummer, 2011; Solomon, Katz, &amp; Lovel, 2008)</w:t>
      </w:r>
      <w:r w:rsidRPr="000E0F90">
        <w:rPr>
          <w:rFonts w:ascii="Arial" w:hAnsi="Arial" w:cs="Arial"/>
          <w:color w:val="000000" w:themeColor="text1"/>
        </w:rPr>
        <w:fldChar w:fldCharType="end"/>
      </w:r>
      <w:r w:rsidRPr="000E0F90">
        <w:rPr>
          <w:rFonts w:ascii="Arial" w:hAnsi="Arial" w:cs="Arial"/>
          <w:color w:val="000000" w:themeColor="text1"/>
        </w:rPr>
        <w:t xml:space="preserve">. </w:t>
      </w:r>
      <w:r w:rsidR="000356D9" w:rsidRPr="000E0F90">
        <w:rPr>
          <w:rFonts w:ascii="Arial" w:hAnsi="Arial" w:cs="Arial"/>
          <w:color w:val="000000" w:themeColor="text1"/>
        </w:rPr>
        <w:t xml:space="preserve"> Es importante mencionar que así como la instalación de una operación minera en una localidad provoca impactos sociales, el cierre de faenas mineras también ocasiona impactos, describiéndose impactos severos en los empleados, en negocios locales y contratistas, en los </w:t>
      </w:r>
      <w:r w:rsidR="000356D9" w:rsidRPr="000E0F90">
        <w:rPr>
          <w:rFonts w:ascii="Arial" w:hAnsi="Arial" w:cs="Arial"/>
          <w:color w:val="000000" w:themeColor="text1"/>
        </w:rPr>
        <w:lastRenderedPageBreak/>
        <w:t>gobiernos locales, pérdida de oportunidades para los indígenas y a veces el ocaso de una ciudad (</w:t>
      </w:r>
      <w:r w:rsidR="000356D9" w:rsidRPr="000E0F90">
        <w:rPr>
          <w:rFonts w:ascii="Arial" w:hAnsi="Arial" w:cs="Arial"/>
          <w:color w:val="000000" w:themeColor="text1"/>
        </w:rPr>
        <w:fldChar w:fldCharType="begin" w:fldLock="1"/>
      </w:r>
      <w:r w:rsidR="000356D9" w:rsidRPr="000E0F90">
        <w:rPr>
          <w:rFonts w:ascii="Arial" w:hAnsi="Arial" w:cs="Arial"/>
          <w:color w:val="000000" w:themeColor="text1"/>
        </w:rPr>
        <w:instrText>ADDIN CSL_CITATION { "citationItems" : [ { "id" : "ITEM-1", "itemData" : { "DOI" : "10.1016/j.jclepro.2010.08.019", "ISSN" : "09596526", "author" : [ { "dropping-particle" : "", "family" : "Laurence", "given" : "David", "non-dropping-particle" : "", "parse-names" : false, "suffix" : "" } ], "container-title" : "Journal of Cleaner Production", "id" : "ITEM-1", "issue" : "2-3", "issued" : { "date-parts" : [ [ "2011", "1" ] ] }, "page" : "278-284", "publisher" : "Elsevier Ltd", "title" : "Establishing a sustainable mining operation: an overview", "type" : "article-journal", "volume" : "19" }, "uris" : [ "http://www.mendeley.com/documents/?uuid=b1b1a5ce-2c8f-4ad7-a07d-19792ae1d7d8" ] } ], "mendeley" : { "formattedCitation" : "(Laurence, 2011)", "manualFormatting" : "Laurence (2011)", "plainTextFormattedCitation" : "(Laurence, 2011)", "previouslyFormattedCitation" : "(Laurence, 2011)" }, "properties" : { "noteIndex" : 0 }, "schema" : "https://github.com/citation-style-language/schema/raw/master/csl-citation.json" }</w:instrText>
      </w:r>
      <w:r w:rsidR="000356D9" w:rsidRPr="000E0F90">
        <w:rPr>
          <w:rFonts w:ascii="Arial" w:hAnsi="Arial" w:cs="Arial"/>
          <w:color w:val="000000" w:themeColor="text1"/>
        </w:rPr>
        <w:fldChar w:fldCharType="separate"/>
      </w:r>
      <w:r w:rsidR="000356D9" w:rsidRPr="000E0F90">
        <w:rPr>
          <w:rFonts w:ascii="Arial" w:hAnsi="Arial" w:cs="Arial"/>
          <w:noProof/>
          <w:color w:val="000000" w:themeColor="text1"/>
        </w:rPr>
        <w:t>Laurence (2011)</w:t>
      </w:r>
      <w:r w:rsidR="000356D9" w:rsidRPr="000E0F90">
        <w:rPr>
          <w:rFonts w:ascii="Arial" w:hAnsi="Arial" w:cs="Arial"/>
          <w:color w:val="000000" w:themeColor="text1"/>
        </w:rPr>
        <w:fldChar w:fldCharType="end"/>
      </w:r>
      <w:r w:rsidR="000356D9" w:rsidRPr="000E0F90">
        <w:rPr>
          <w:rFonts w:ascii="Arial" w:hAnsi="Arial" w:cs="Arial"/>
          <w:color w:val="000000" w:themeColor="text1"/>
        </w:rPr>
        <w:t xml:space="preserve">. </w:t>
      </w:r>
    </w:p>
    <w:p w:rsidR="00B64699" w:rsidRPr="000E0F90" w:rsidRDefault="00B64699" w:rsidP="002B538F">
      <w:pPr>
        <w:spacing w:line="360" w:lineRule="auto"/>
        <w:rPr>
          <w:rFonts w:ascii="Arial" w:hAnsi="Arial" w:cs="Arial"/>
          <w:color w:val="000000" w:themeColor="text1"/>
        </w:rPr>
      </w:pPr>
      <w:r w:rsidRPr="000E0F90">
        <w:rPr>
          <w:rFonts w:ascii="Arial" w:hAnsi="Arial" w:cs="Arial"/>
          <w:color w:val="000000" w:themeColor="text1"/>
        </w:rPr>
        <w:t xml:space="preserve">Los impactos sociales relacionados con la actividad minera son complejos y multidimensionales, y pueden involucrar diversos actores sociales que a su vez tienen múltiples prioridades y valores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"10.1002/bse.1756", "ISSN" : "09644733", "author" : [ { "dropping-particle" : "", "family" : "Stubbs", "given" : "Wendy", "non-dropping-particle" : "", "parse-names" : false, "suffix" : "" }, { "dropping-particle" : "", "family" : "Higgins", "given" : "Colin", "non-dropping-particle" : "", "parse-names" : false, "suffix" : "" }, { "dropping-particle" : "", "family" : "Milne", "given" : "Markus", "non-dropping-particle" : "", "parse-names" : false, "suffix" : "" } ], "container-title" : "Business Strategy and the Environment", "id" : "ITEM-1", "issue" : "7", "issued" : { "date-parts" : [ [ "2013", "11", "12" ] ] }, "page" : "456-470", "title" : "Why Do Companies Not Produce Sustainability Reports?", "type" : "article-journal", "volume" : "22" }, "uris" : [ "http://www.mendeley.com/documents/?uuid=35197ca7-275a-4a7e-ad3b-4b1b5f93d0da" ] } ], "mendeley" : { "formattedCitation" : "(Stubbs, Higgins, &amp; Milne, 2013)", "plainTextFormattedCitation" : "(Stubbs, Higgins, &amp; Milne, 2013)", "previouslyFormattedCitation" : "(Stubbs, Higgins, &amp; Milne, 2013)"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(Stubbs, Higgins, &amp; Milne, 2013)</w:t>
      </w:r>
      <w:r w:rsidRPr="000E0F90">
        <w:rPr>
          <w:rFonts w:ascii="Arial" w:hAnsi="Arial" w:cs="Arial"/>
          <w:color w:val="000000" w:themeColor="text1"/>
        </w:rPr>
        <w:fldChar w:fldCharType="end"/>
      </w:r>
      <w:r w:rsidRPr="000E0F90">
        <w:rPr>
          <w:rFonts w:ascii="Arial" w:hAnsi="Arial" w:cs="Arial"/>
          <w:color w:val="000000" w:themeColor="text1"/>
        </w:rPr>
        <w:t xml:space="preserve">. Por otro lado, no pueden ser catalogados estrictamente como positivos o negativos, ya que están generalmente interrelacionados, son dependiente mutuamente, acumulativos y sinérgicos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"10.3152/146155110X12838715793129", "ISSN" : "1461-5517", "author" : [ { "dropping-particle" : "", "family" : "Franks", "given" : "Daniel M.", "non-dropping-particle" : "", "parse-names" : false, "suffix" : "" }, { "dropping-particle" : "", "family" : "Brereton", "given" : "David", "non-dropping-particle" : "", "parse-names" : false, "suffix" : "" }, { "dropping-particle" : "", "family" : "Moran", "given" : "Chris J.", "non-dropping-particle" : "", "parse-names" : false, "suffix" : "" } ], "container-title" : "Impact Assessment and Project Appraisal", "id" : "ITEM-1", "issue" : "4", "issued" : { "date-parts" : [ [ "2010", "12" ] ] }, "page" : "299-312", "title" : "Managing the cumulative impacts of coal mining on regional communities and environments in Australia", "type" : "article-journal", "volume" : "28" }, "uris" : [ "http://www.mendeley.com/documents/?uuid=c7a17e71-84f1-4a13-aa01-f520dfa08c0d" ] } ], "mendeley" : { "formattedCitation" : "(Franks et al., 2010)", "plainTextFormattedCitation" : "(Franks et al., 2010)", "previouslyFormattedCitation" : "(Franks et al., 2010)"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(Franks et al., 2010)</w:t>
      </w:r>
      <w:r w:rsidRPr="000E0F90">
        <w:rPr>
          <w:rFonts w:ascii="Arial" w:hAnsi="Arial" w:cs="Arial"/>
          <w:color w:val="000000" w:themeColor="text1"/>
        </w:rPr>
        <w:fldChar w:fldCharType="end"/>
      </w:r>
      <w:r w:rsidRPr="000E0F90">
        <w:rPr>
          <w:rFonts w:ascii="Arial" w:hAnsi="Arial" w:cs="Arial"/>
          <w:color w:val="000000" w:themeColor="text1"/>
        </w:rPr>
        <w:t xml:space="preserve">. Se conectan con otros problemas, los cuales a su vez se caracterizan por ser volátiles, impredecibles, dinámicos y pobremente definidos con información incompleta e incierta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"10.1002/bse.1756", "ISSN" : "09644733", "author" : [ { "dropping-particle" : "", "family" : "Stubbs", "given" : "Wendy", "non-dropping-particle" : "", "parse-names" : false, "suffix" : "" }, { "dropping-particle" : "", "family" : "Higgins", "given" : "Colin", "non-dropping-particle" : "", "parse-names" : false, "suffix" : "" }, { "dropping-particle" : "", "family" : "Milne", "given" : "Markus", "non-dropping-particle" : "", "parse-names" : false, "suffix" : "" } ], "container-title" : "Business Strategy and the Environment", "id" : "ITEM-1", "issue" : "7", "issued" : { "date-parts" : [ [ "2013", "11", "12" ] ] }, "page" : "456-470", "title" : "Why Do Companies Not Produce Sustainability Reports?", "type" : "article-journal", "volume" : "22" }, "uris" : [ "http://www.mendeley.com/documents/?uuid=35197ca7-275a-4a7e-ad3b-4b1b5f93d0da" ] } ], "mendeley" : { "formattedCitation" : "(Stubbs et al., 2013)", "plainTextFormattedCitation" : "(Stubbs et al., 2013)", "previouslyFormattedCitation" : "(Stubbs et al., 2013)"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(Stubbs et al., 2013)</w:t>
      </w:r>
      <w:r w:rsidRPr="000E0F90">
        <w:rPr>
          <w:rFonts w:ascii="Arial" w:hAnsi="Arial" w:cs="Arial"/>
          <w:color w:val="000000" w:themeColor="text1"/>
        </w:rPr>
        <w:fldChar w:fldCharType="end"/>
      </w:r>
      <w:r w:rsidRPr="000E0F90">
        <w:rPr>
          <w:rFonts w:ascii="Arial" w:hAnsi="Arial" w:cs="Arial"/>
          <w:color w:val="000000" w:themeColor="text1"/>
        </w:rPr>
        <w:t xml:space="preserve">. </w:t>
      </w:r>
    </w:p>
    <w:p w:rsidR="007D45AE" w:rsidRPr="002613F4" w:rsidRDefault="007D45AE" w:rsidP="007D45AE">
      <w:pPr>
        <w:pStyle w:val="Epgrafe"/>
        <w:jc w:val="center"/>
        <w:rPr>
          <w:rFonts w:ascii="Arial" w:hAnsi="Arial" w:cs="Arial"/>
          <w:b w:val="0"/>
          <w:color w:val="000000" w:themeColor="text1"/>
          <w:sz w:val="22"/>
        </w:rPr>
      </w:pPr>
      <w:r w:rsidRPr="002613F4">
        <w:rPr>
          <w:rFonts w:ascii="Arial" w:hAnsi="Arial" w:cs="Arial"/>
          <w:b w:val="0"/>
          <w:noProof/>
          <w:color w:val="000000" w:themeColor="text1"/>
          <w:lang w:eastAsia="es-CL"/>
        </w:rPr>
        <mc:AlternateContent>
          <mc:Choice Requires="wpg">
            <w:drawing>
              <wp:anchor distT="0" distB="0" distL="114300" distR="114300" simplePos="0" relativeHeight="251958272" behindDoc="0" locked="0" layoutInCell="1" allowOverlap="1" wp14:anchorId="0E2F2B90" wp14:editId="42A6FE64">
                <wp:simplePos x="0" y="0"/>
                <wp:positionH relativeFrom="column">
                  <wp:posOffset>-79375</wp:posOffset>
                </wp:positionH>
                <wp:positionV relativeFrom="paragraph">
                  <wp:posOffset>1270</wp:posOffset>
                </wp:positionV>
                <wp:extent cx="5607050" cy="4575810"/>
                <wp:effectExtent l="0" t="0" r="12700" b="15240"/>
                <wp:wrapSquare wrapText="bothSides"/>
                <wp:docPr id="386" name="386 Grupo"/>
                <wp:cNvGraphicFramePr/>
                <a:graphic xmlns:a="http://schemas.openxmlformats.org/drawingml/2006/main">
                  <a:graphicData uri="http://schemas.microsoft.com/office/word/2010/wordprocessingGroup">
                    <wpg:wgp>
                      <wpg:cNvGrpSpPr/>
                      <wpg:grpSpPr>
                        <a:xfrm>
                          <a:off x="0" y="0"/>
                          <a:ext cx="5607050" cy="4575810"/>
                          <a:chOff x="0" y="-86587"/>
                          <a:chExt cx="5607170" cy="5202052"/>
                        </a:xfrm>
                      </wpg:grpSpPr>
                      <wps:wsp>
                        <wps:cNvPr id="385" name="385 Rectángulo"/>
                        <wps:cNvSpPr/>
                        <wps:spPr>
                          <a:xfrm>
                            <a:off x="0" y="-86587"/>
                            <a:ext cx="5607170" cy="5202052"/>
                          </a:xfrm>
                          <a:prstGeom prst="rect">
                            <a:avLst/>
                          </a:prstGeom>
                          <a:ln w="12700"/>
                        </wps:spPr>
                        <wps:style>
                          <a:lnRef idx="2">
                            <a:schemeClr val="dk1"/>
                          </a:lnRef>
                          <a:fillRef idx="1">
                            <a:schemeClr val="lt1"/>
                          </a:fillRef>
                          <a:effectRef idx="0">
                            <a:schemeClr val="dk1"/>
                          </a:effectRef>
                          <a:fontRef idx="minor">
                            <a:schemeClr val="dk1"/>
                          </a:fontRef>
                        </wps:style>
                        <wps:txbx>
                          <w:txbxContent>
                            <w:p w:rsidR="002A21E4" w:rsidRPr="008A44C4" w:rsidRDefault="002A21E4" w:rsidP="007D45AE">
                              <w:pPr>
                                <w:spacing w:after="0"/>
                                <w:jc w:val="center"/>
                                <w:rPr>
                                  <w:sz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47" name="347 Rectángulo"/>
                        <wps:cNvSpPr/>
                        <wps:spPr>
                          <a:xfrm>
                            <a:off x="2536166" y="733246"/>
                            <a:ext cx="974785" cy="421640"/>
                          </a:xfrm>
                          <a:prstGeom prst="rect">
                            <a:avLst/>
                          </a:prstGeom>
                        </wps:spPr>
                        <wps:style>
                          <a:lnRef idx="2">
                            <a:schemeClr val="accent1"/>
                          </a:lnRef>
                          <a:fillRef idx="1">
                            <a:schemeClr val="lt1"/>
                          </a:fillRef>
                          <a:effectRef idx="0">
                            <a:schemeClr val="accent1"/>
                          </a:effectRef>
                          <a:fontRef idx="minor">
                            <a:schemeClr val="dk1"/>
                          </a:fontRef>
                        </wps:style>
                        <wps:txbx>
                          <w:txbxContent>
                            <w:p w:rsidR="002A21E4" w:rsidRPr="00BD0EEC" w:rsidRDefault="002A21E4" w:rsidP="007D45AE">
                              <w:pPr>
                                <w:spacing w:after="0"/>
                                <w:jc w:val="center"/>
                                <w:rPr>
                                  <w:sz w:val="16"/>
                                  <w:u w:val="single"/>
                                </w:rPr>
                              </w:pPr>
                              <w:r>
                                <w:rPr>
                                  <w:sz w:val="16"/>
                                </w:rPr>
                                <w:t>Empresas Agroexportadora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49" name="349 Rectángulo"/>
                        <wps:cNvSpPr/>
                        <wps:spPr>
                          <a:xfrm>
                            <a:off x="1595887" y="189782"/>
                            <a:ext cx="801370" cy="421640"/>
                          </a:xfrm>
                          <a:prstGeom prst="rect">
                            <a:avLst/>
                          </a:prstGeom>
                        </wps:spPr>
                        <wps:style>
                          <a:lnRef idx="2">
                            <a:schemeClr val="accent1"/>
                          </a:lnRef>
                          <a:fillRef idx="1">
                            <a:schemeClr val="lt1"/>
                          </a:fillRef>
                          <a:effectRef idx="0">
                            <a:schemeClr val="accent1"/>
                          </a:effectRef>
                          <a:fontRef idx="minor">
                            <a:schemeClr val="dk1"/>
                          </a:fontRef>
                        </wps:style>
                        <wps:txbx>
                          <w:txbxContent>
                            <w:p w:rsidR="002A21E4" w:rsidRPr="008A44C4" w:rsidRDefault="002A21E4" w:rsidP="007D45AE">
                              <w:pPr>
                                <w:spacing w:after="0"/>
                                <w:jc w:val="center"/>
                                <w:rPr>
                                  <w:sz w:val="16"/>
                                </w:rPr>
                              </w:pPr>
                              <w:r>
                                <w:rPr>
                                  <w:sz w:val="16"/>
                                </w:rPr>
                                <w:t>Inversionistas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51" name="351 Rectángulo"/>
                        <wps:cNvSpPr/>
                        <wps:spPr>
                          <a:xfrm>
                            <a:off x="2536166" y="198408"/>
                            <a:ext cx="974725" cy="412750"/>
                          </a:xfrm>
                          <a:prstGeom prst="rect">
                            <a:avLst/>
                          </a:prstGeom>
                        </wps:spPr>
                        <wps:style>
                          <a:lnRef idx="2">
                            <a:schemeClr val="accent1"/>
                          </a:lnRef>
                          <a:fillRef idx="1">
                            <a:schemeClr val="lt1"/>
                          </a:fillRef>
                          <a:effectRef idx="0">
                            <a:schemeClr val="accent1"/>
                          </a:effectRef>
                          <a:fontRef idx="minor">
                            <a:schemeClr val="dk1"/>
                          </a:fontRef>
                        </wps:style>
                        <wps:txbx>
                          <w:txbxContent>
                            <w:p w:rsidR="002A21E4" w:rsidRPr="008A44C4" w:rsidRDefault="002A21E4" w:rsidP="007D45AE">
                              <w:pPr>
                                <w:spacing w:after="0"/>
                                <w:jc w:val="center"/>
                                <w:rPr>
                                  <w:sz w:val="16"/>
                                </w:rPr>
                              </w:pPr>
                              <w:r w:rsidRPr="008A44C4">
                                <w:rPr>
                                  <w:sz w:val="16"/>
                                </w:rPr>
                                <w:t>Consumidores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52" name="352 Rectángulo"/>
                        <wps:cNvSpPr/>
                        <wps:spPr>
                          <a:xfrm>
                            <a:off x="1604513" y="733246"/>
                            <a:ext cx="793115" cy="421640"/>
                          </a:xfrm>
                          <a:prstGeom prst="rect">
                            <a:avLst/>
                          </a:prstGeom>
                        </wps:spPr>
                        <wps:style>
                          <a:lnRef idx="2">
                            <a:schemeClr val="accent1"/>
                          </a:lnRef>
                          <a:fillRef idx="1">
                            <a:schemeClr val="lt1"/>
                          </a:fillRef>
                          <a:effectRef idx="0">
                            <a:schemeClr val="accent1"/>
                          </a:effectRef>
                          <a:fontRef idx="minor">
                            <a:schemeClr val="dk1"/>
                          </a:fontRef>
                        </wps:style>
                        <wps:txbx>
                          <w:txbxContent>
                            <w:p w:rsidR="002A21E4" w:rsidRPr="008A44C4" w:rsidRDefault="002A21E4" w:rsidP="007D45AE">
                              <w:pPr>
                                <w:spacing w:after="0"/>
                                <w:jc w:val="center"/>
                                <w:rPr>
                                  <w:sz w:val="16"/>
                                </w:rPr>
                              </w:pPr>
                              <w:r>
                                <w:rPr>
                                  <w:sz w:val="16"/>
                                </w:rPr>
                                <w:t>Compañía Minera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53" name="353 Rectángulo"/>
                        <wps:cNvSpPr/>
                        <wps:spPr>
                          <a:xfrm>
                            <a:off x="2527539" y="2786333"/>
                            <a:ext cx="896620" cy="421640"/>
                          </a:xfrm>
                          <a:prstGeom prst="rect">
                            <a:avLst/>
                          </a:prstGeom>
                        </wps:spPr>
                        <wps:style>
                          <a:lnRef idx="2">
                            <a:schemeClr val="accent1"/>
                          </a:lnRef>
                          <a:fillRef idx="1">
                            <a:schemeClr val="lt1"/>
                          </a:fillRef>
                          <a:effectRef idx="0">
                            <a:schemeClr val="accent1"/>
                          </a:effectRef>
                          <a:fontRef idx="minor">
                            <a:schemeClr val="dk1"/>
                          </a:fontRef>
                        </wps:style>
                        <wps:txbx>
                          <w:txbxContent>
                            <w:p w:rsidR="002A21E4" w:rsidRPr="008A44C4" w:rsidRDefault="002A21E4" w:rsidP="007D45AE">
                              <w:pPr>
                                <w:spacing w:after="0"/>
                                <w:jc w:val="center"/>
                                <w:rPr>
                                  <w:sz w:val="16"/>
                                </w:rPr>
                              </w:pPr>
                              <w:r>
                                <w:rPr>
                                  <w:sz w:val="16"/>
                                </w:rPr>
                                <w:t>Contratistas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54" name="354 Rectángulo"/>
                        <wps:cNvSpPr/>
                        <wps:spPr>
                          <a:xfrm>
                            <a:off x="3579962" y="2786333"/>
                            <a:ext cx="801370" cy="421640"/>
                          </a:xfrm>
                          <a:prstGeom prst="rect">
                            <a:avLst/>
                          </a:prstGeom>
                        </wps:spPr>
                        <wps:style>
                          <a:lnRef idx="2">
                            <a:schemeClr val="accent1"/>
                          </a:lnRef>
                          <a:fillRef idx="1">
                            <a:schemeClr val="lt1"/>
                          </a:fillRef>
                          <a:effectRef idx="0">
                            <a:schemeClr val="accent1"/>
                          </a:effectRef>
                          <a:fontRef idx="minor">
                            <a:schemeClr val="dk1"/>
                          </a:fontRef>
                        </wps:style>
                        <wps:txbx>
                          <w:txbxContent>
                            <w:p w:rsidR="002A21E4" w:rsidRPr="008A44C4" w:rsidRDefault="002A21E4" w:rsidP="007D45AE">
                              <w:pPr>
                                <w:spacing w:after="0"/>
                                <w:jc w:val="center"/>
                                <w:rPr>
                                  <w:sz w:val="16"/>
                                </w:rPr>
                              </w:pPr>
                              <w:r>
                                <w:rPr>
                                  <w:sz w:val="16"/>
                                </w:rPr>
                                <w:t>Trabajadores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55" name="355 Rectángulo"/>
                        <wps:cNvSpPr/>
                        <wps:spPr>
                          <a:xfrm>
                            <a:off x="1604513" y="3347050"/>
                            <a:ext cx="793115" cy="421640"/>
                          </a:xfrm>
                          <a:prstGeom prst="rect">
                            <a:avLst/>
                          </a:prstGeom>
                        </wps:spPr>
                        <wps:style>
                          <a:lnRef idx="2">
                            <a:schemeClr val="accent1"/>
                          </a:lnRef>
                          <a:fillRef idx="1">
                            <a:schemeClr val="lt1"/>
                          </a:fillRef>
                          <a:effectRef idx="0">
                            <a:schemeClr val="accent1"/>
                          </a:effectRef>
                          <a:fontRef idx="minor">
                            <a:schemeClr val="dk1"/>
                          </a:fontRef>
                        </wps:style>
                        <wps:txbx>
                          <w:txbxContent>
                            <w:p w:rsidR="002A21E4" w:rsidRPr="008A44C4" w:rsidRDefault="002A21E4" w:rsidP="007D45AE">
                              <w:pPr>
                                <w:spacing w:after="0"/>
                                <w:jc w:val="center"/>
                                <w:rPr>
                                  <w:sz w:val="16"/>
                                </w:rPr>
                              </w:pPr>
                              <w:r>
                                <w:rPr>
                                  <w:sz w:val="16"/>
                                </w:rPr>
                                <w:t>Empresas locales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56" name="356 Rectángulo"/>
                        <wps:cNvSpPr/>
                        <wps:spPr>
                          <a:xfrm>
                            <a:off x="1604513" y="3942272"/>
                            <a:ext cx="784225" cy="421640"/>
                          </a:xfrm>
                          <a:prstGeom prst="rect">
                            <a:avLst/>
                          </a:prstGeom>
                        </wps:spPr>
                        <wps:style>
                          <a:lnRef idx="2">
                            <a:schemeClr val="accent1"/>
                          </a:lnRef>
                          <a:fillRef idx="1">
                            <a:schemeClr val="lt1"/>
                          </a:fillRef>
                          <a:effectRef idx="0">
                            <a:schemeClr val="accent1"/>
                          </a:effectRef>
                          <a:fontRef idx="minor">
                            <a:schemeClr val="dk1"/>
                          </a:fontRef>
                        </wps:style>
                        <wps:txbx>
                          <w:txbxContent>
                            <w:p w:rsidR="002A21E4" w:rsidRPr="008A44C4" w:rsidRDefault="002A21E4" w:rsidP="007D45AE">
                              <w:pPr>
                                <w:spacing w:after="0"/>
                                <w:jc w:val="center"/>
                                <w:rPr>
                                  <w:sz w:val="16"/>
                                </w:rPr>
                              </w:pPr>
                              <w:r>
                                <w:rPr>
                                  <w:sz w:val="16"/>
                                </w:rPr>
                                <w:t>Comunidades Civiles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57" name="357 Rectángulo"/>
                        <wps:cNvSpPr/>
                        <wps:spPr>
                          <a:xfrm>
                            <a:off x="1595887" y="4502989"/>
                            <a:ext cx="819150" cy="421640"/>
                          </a:xfrm>
                          <a:prstGeom prst="rect">
                            <a:avLst/>
                          </a:prstGeom>
                        </wps:spPr>
                        <wps:style>
                          <a:lnRef idx="2">
                            <a:schemeClr val="accent1"/>
                          </a:lnRef>
                          <a:fillRef idx="1">
                            <a:schemeClr val="lt1"/>
                          </a:fillRef>
                          <a:effectRef idx="0">
                            <a:schemeClr val="accent1"/>
                          </a:effectRef>
                          <a:fontRef idx="minor">
                            <a:schemeClr val="dk1"/>
                          </a:fontRef>
                        </wps:style>
                        <wps:txbx>
                          <w:txbxContent>
                            <w:p w:rsidR="002A21E4" w:rsidRPr="008A44C4" w:rsidRDefault="002A21E4" w:rsidP="007D45AE">
                              <w:pPr>
                                <w:spacing w:after="0"/>
                                <w:jc w:val="center"/>
                                <w:rPr>
                                  <w:sz w:val="16"/>
                                </w:rPr>
                              </w:pPr>
                              <w:r>
                                <w:rPr>
                                  <w:sz w:val="16"/>
                                </w:rPr>
                                <w:t>Gobiernos Locales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58" name="358 Rectángulo"/>
                        <wps:cNvSpPr/>
                        <wps:spPr>
                          <a:xfrm>
                            <a:off x="1604513" y="2786333"/>
                            <a:ext cx="784225" cy="421640"/>
                          </a:xfrm>
                          <a:prstGeom prst="rect">
                            <a:avLst/>
                          </a:prstGeom>
                        </wps:spPr>
                        <wps:style>
                          <a:lnRef idx="2">
                            <a:schemeClr val="accent1"/>
                          </a:lnRef>
                          <a:fillRef idx="1">
                            <a:schemeClr val="lt1"/>
                          </a:fillRef>
                          <a:effectRef idx="0">
                            <a:schemeClr val="accent1"/>
                          </a:effectRef>
                          <a:fontRef idx="minor">
                            <a:schemeClr val="dk1"/>
                          </a:fontRef>
                        </wps:style>
                        <wps:txbx>
                          <w:txbxContent>
                            <w:p w:rsidR="002A21E4" w:rsidRPr="008A44C4" w:rsidRDefault="002A21E4" w:rsidP="007D45AE">
                              <w:pPr>
                                <w:spacing w:after="0"/>
                                <w:jc w:val="center"/>
                                <w:rPr>
                                  <w:sz w:val="16"/>
                                </w:rPr>
                              </w:pPr>
                              <w:r>
                                <w:rPr>
                                  <w:sz w:val="16"/>
                                </w:rPr>
                                <w:t>Faena Minera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63" name="363 Conector recto"/>
                        <wps:cNvCnPr/>
                        <wps:spPr>
                          <a:xfrm>
                            <a:off x="120770" y="1302589"/>
                            <a:ext cx="5372100" cy="0"/>
                          </a:xfrm>
                          <a:prstGeom prst="line">
                            <a:avLst/>
                          </a:prstGeom>
                          <a:ln w="19050">
                            <a:prstDash val="dash"/>
                          </a:ln>
                        </wps:spPr>
                        <wps:style>
                          <a:lnRef idx="1">
                            <a:schemeClr val="accent2"/>
                          </a:lnRef>
                          <a:fillRef idx="0">
                            <a:schemeClr val="accent2"/>
                          </a:fillRef>
                          <a:effectRef idx="0">
                            <a:schemeClr val="accent2"/>
                          </a:effectRef>
                          <a:fontRef idx="minor">
                            <a:schemeClr val="tx1"/>
                          </a:fontRef>
                        </wps:style>
                        <wps:bodyPr/>
                      </wps:wsp>
                      <wps:wsp>
                        <wps:cNvPr id="365" name="365 Conector recto"/>
                        <wps:cNvCnPr/>
                        <wps:spPr>
                          <a:xfrm>
                            <a:off x="120770" y="1984076"/>
                            <a:ext cx="5372100" cy="0"/>
                          </a:xfrm>
                          <a:prstGeom prst="line">
                            <a:avLst/>
                          </a:prstGeom>
                          <a:ln w="19050">
                            <a:prstDash val="dash"/>
                          </a:ln>
                        </wps:spPr>
                        <wps:style>
                          <a:lnRef idx="1">
                            <a:schemeClr val="accent2"/>
                          </a:lnRef>
                          <a:fillRef idx="0">
                            <a:schemeClr val="accent2"/>
                          </a:fillRef>
                          <a:effectRef idx="0">
                            <a:schemeClr val="accent2"/>
                          </a:effectRef>
                          <a:fontRef idx="minor">
                            <a:schemeClr val="tx1"/>
                          </a:fontRef>
                        </wps:style>
                        <wps:bodyPr/>
                      </wps:wsp>
                      <wps:wsp>
                        <wps:cNvPr id="366" name="366 Rectángulo"/>
                        <wps:cNvSpPr/>
                        <wps:spPr>
                          <a:xfrm>
                            <a:off x="1621766" y="2096219"/>
                            <a:ext cx="767391" cy="421640"/>
                          </a:xfrm>
                          <a:prstGeom prst="rect">
                            <a:avLst/>
                          </a:prstGeom>
                        </wps:spPr>
                        <wps:style>
                          <a:lnRef idx="2">
                            <a:schemeClr val="accent1"/>
                          </a:lnRef>
                          <a:fillRef idx="1">
                            <a:schemeClr val="lt1"/>
                          </a:fillRef>
                          <a:effectRef idx="0">
                            <a:schemeClr val="accent1"/>
                          </a:effectRef>
                          <a:fontRef idx="minor">
                            <a:schemeClr val="dk1"/>
                          </a:fontRef>
                        </wps:style>
                        <wps:txbx>
                          <w:txbxContent>
                            <w:p w:rsidR="002A21E4" w:rsidRPr="008A44C4" w:rsidRDefault="002A21E4" w:rsidP="007D45AE">
                              <w:pPr>
                                <w:spacing w:after="0"/>
                                <w:jc w:val="center"/>
                                <w:rPr>
                                  <w:sz w:val="16"/>
                                </w:rPr>
                              </w:pPr>
                              <w:r>
                                <w:rPr>
                                  <w:sz w:val="16"/>
                                </w:rPr>
                                <w:t>Gobiernos regionales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67" name="367 Rectángulo"/>
                        <wps:cNvSpPr/>
                        <wps:spPr>
                          <a:xfrm>
                            <a:off x="3562709" y="2104846"/>
                            <a:ext cx="819150" cy="421640"/>
                          </a:xfrm>
                          <a:prstGeom prst="rect">
                            <a:avLst/>
                          </a:prstGeom>
                        </wps:spPr>
                        <wps:style>
                          <a:lnRef idx="2">
                            <a:schemeClr val="accent1"/>
                          </a:lnRef>
                          <a:fillRef idx="1">
                            <a:schemeClr val="lt1"/>
                          </a:fillRef>
                          <a:effectRef idx="0">
                            <a:schemeClr val="accent1"/>
                          </a:effectRef>
                          <a:fontRef idx="minor">
                            <a:schemeClr val="dk1"/>
                          </a:fontRef>
                        </wps:style>
                        <wps:txbx>
                          <w:txbxContent>
                            <w:p w:rsidR="002A21E4" w:rsidRPr="008A44C4" w:rsidRDefault="002A21E4" w:rsidP="007D45AE">
                              <w:pPr>
                                <w:spacing w:after="0"/>
                                <w:jc w:val="center"/>
                                <w:rPr>
                                  <w:sz w:val="16"/>
                                </w:rPr>
                              </w:pPr>
                              <w:r>
                                <w:rPr>
                                  <w:sz w:val="16"/>
                                </w:rPr>
                                <w:t>Empresas productivas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68" name="368 Rectángulo"/>
                        <wps:cNvSpPr/>
                        <wps:spPr>
                          <a:xfrm>
                            <a:off x="2527539" y="2104846"/>
                            <a:ext cx="896620" cy="421640"/>
                          </a:xfrm>
                          <a:prstGeom prst="rect">
                            <a:avLst/>
                          </a:prstGeom>
                        </wps:spPr>
                        <wps:style>
                          <a:lnRef idx="2">
                            <a:schemeClr val="accent1"/>
                          </a:lnRef>
                          <a:fillRef idx="1">
                            <a:schemeClr val="lt1"/>
                          </a:fillRef>
                          <a:effectRef idx="0">
                            <a:schemeClr val="accent1"/>
                          </a:effectRef>
                          <a:fontRef idx="minor">
                            <a:schemeClr val="dk1"/>
                          </a:fontRef>
                        </wps:style>
                        <wps:txbx>
                          <w:txbxContent>
                            <w:p w:rsidR="002A21E4" w:rsidRPr="008A44C4" w:rsidRDefault="002A21E4" w:rsidP="007D45AE">
                              <w:pPr>
                                <w:spacing w:after="0"/>
                                <w:jc w:val="center"/>
                                <w:rPr>
                                  <w:sz w:val="16"/>
                                </w:rPr>
                              </w:pPr>
                              <w:r>
                                <w:rPr>
                                  <w:sz w:val="16"/>
                                </w:rPr>
                                <w:t>Organizaciones indígenas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69" name="369 Rectángulo"/>
                        <wps:cNvSpPr/>
                        <wps:spPr>
                          <a:xfrm>
                            <a:off x="4502988" y="2096219"/>
                            <a:ext cx="989330" cy="421640"/>
                          </a:xfrm>
                          <a:prstGeom prst="rect">
                            <a:avLst/>
                          </a:prstGeom>
                        </wps:spPr>
                        <wps:style>
                          <a:lnRef idx="2">
                            <a:schemeClr val="accent1"/>
                          </a:lnRef>
                          <a:fillRef idx="1">
                            <a:schemeClr val="lt1"/>
                          </a:fillRef>
                          <a:effectRef idx="0">
                            <a:schemeClr val="accent1"/>
                          </a:effectRef>
                          <a:fontRef idx="minor">
                            <a:schemeClr val="dk1"/>
                          </a:fontRef>
                        </wps:style>
                        <wps:txbx>
                          <w:txbxContent>
                            <w:p w:rsidR="002A21E4" w:rsidRPr="008A44C4" w:rsidRDefault="002A21E4" w:rsidP="007D45AE">
                              <w:pPr>
                                <w:spacing w:after="0"/>
                                <w:jc w:val="center"/>
                                <w:rPr>
                                  <w:sz w:val="16"/>
                                </w:rPr>
                              </w:pPr>
                              <w:r>
                                <w:rPr>
                                  <w:sz w:val="16"/>
                                </w:rPr>
                                <w:t>Organizaciones medioambientales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70" name="370 Rectángulo"/>
                        <wps:cNvSpPr/>
                        <wps:spPr>
                          <a:xfrm>
                            <a:off x="2527539" y="3942272"/>
                            <a:ext cx="895985" cy="421640"/>
                          </a:xfrm>
                          <a:prstGeom prst="rect">
                            <a:avLst/>
                          </a:prstGeom>
                        </wps:spPr>
                        <wps:style>
                          <a:lnRef idx="2">
                            <a:schemeClr val="accent1"/>
                          </a:lnRef>
                          <a:fillRef idx="1">
                            <a:schemeClr val="lt1"/>
                          </a:fillRef>
                          <a:effectRef idx="0">
                            <a:schemeClr val="accent1"/>
                          </a:effectRef>
                          <a:fontRef idx="minor">
                            <a:schemeClr val="dk1"/>
                          </a:fontRef>
                        </wps:style>
                        <wps:txbx>
                          <w:txbxContent>
                            <w:p w:rsidR="002A21E4" w:rsidRPr="008A44C4" w:rsidRDefault="002A21E4" w:rsidP="007D45AE">
                              <w:pPr>
                                <w:spacing w:after="0"/>
                                <w:jc w:val="center"/>
                                <w:rPr>
                                  <w:sz w:val="16"/>
                                </w:rPr>
                              </w:pPr>
                              <w:r>
                                <w:rPr>
                                  <w:sz w:val="16"/>
                                </w:rPr>
                                <w:t>Comunidades Indígenas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71" name="371 Rectángulo"/>
                        <wps:cNvSpPr/>
                        <wps:spPr>
                          <a:xfrm>
                            <a:off x="4502988" y="2786333"/>
                            <a:ext cx="819150" cy="421640"/>
                          </a:xfrm>
                          <a:prstGeom prst="rect">
                            <a:avLst/>
                          </a:prstGeom>
                        </wps:spPr>
                        <wps:style>
                          <a:lnRef idx="2">
                            <a:schemeClr val="accent1"/>
                          </a:lnRef>
                          <a:fillRef idx="1">
                            <a:schemeClr val="lt1"/>
                          </a:fillRef>
                          <a:effectRef idx="0">
                            <a:schemeClr val="accent1"/>
                          </a:effectRef>
                          <a:fontRef idx="minor">
                            <a:schemeClr val="dk1"/>
                          </a:fontRef>
                        </wps:style>
                        <wps:txbx>
                          <w:txbxContent>
                            <w:p w:rsidR="002A21E4" w:rsidRPr="008A44C4" w:rsidRDefault="002A21E4" w:rsidP="007D45AE">
                              <w:pPr>
                                <w:spacing w:after="0"/>
                                <w:jc w:val="center"/>
                                <w:rPr>
                                  <w:sz w:val="16"/>
                                </w:rPr>
                              </w:pPr>
                              <w:r>
                                <w:rPr>
                                  <w:sz w:val="16"/>
                                </w:rPr>
                                <w:t>Pirquineros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72" name="372 Rectángulo"/>
                        <wps:cNvSpPr/>
                        <wps:spPr>
                          <a:xfrm>
                            <a:off x="2544792" y="4502989"/>
                            <a:ext cx="878840" cy="421640"/>
                          </a:xfrm>
                          <a:prstGeom prst="rect">
                            <a:avLst/>
                          </a:prstGeom>
                        </wps:spPr>
                        <wps:style>
                          <a:lnRef idx="2">
                            <a:schemeClr val="accent1"/>
                          </a:lnRef>
                          <a:fillRef idx="1">
                            <a:schemeClr val="lt1"/>
                          </a:fillRef>
                          <a:effectRef idx="0">
                            <a:schemeClr val="accent1"/>
                          </a:effectRef>
                          <a:fontRef idx="minor">
                            <a:schemeClr val="dk1"/>
                          </a:fontRef>
                        </wps:style>
                        <wps:txbx>
                          <w:txbxContent>
                            <w:p w:rsidR="002A21E4" w:rsidRPr="008A44C4" w:rsidRDefault="002A21E4" w:rsidP="007D45AE">
                              <w:pPr>
                                <w:spacing w:after="0"/>
                                <w:jc w:val="center"/>
                                <w:rPr>
                                  <w:sz w:val="16"/>
                                </w:rPr>
                              </w:pPr>
                              <w:r>
                                <w:rPr>
                                  <w:sz w:val="16"/>
                                </w:rPr>
                                <w:t xml:space="preserve">Servicios Públicos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73" name="373 Rectángulo"/>
                        <wps:cNvSpPr/>
                        <wps:spPr>
                          <a:xfrm>
                            <a:off x="1621766" y="1414733"/>
                            <a:ext cx="767080" cy="421640"/>
                          </a:xfrm>
                          <a:prstGeom prst="rect">
                            <a:avLst/>
                          </a:prstGeom>
                        </wps:spPr>
                        <wps:style>
                          <a:lnRef idx="2">
                            <a:schemeClr val="accent1"/>
                          </a:lnRef>
                          <a:fillRef idx="1">
                            <a:schemeClr val="lt1"/>
                          </a:fillRef>
                          <a:effectRef idx="0">
                            <a:schemeClr val="accent1"/>
                          </a:effectRef>
                          <a:fontRef idx="minor">
                            <a:schemeClr val="dk1"/>
                          </a:fontRef>
                        </wps:style>
                        <wps:txbx>
                          <w:txbxContent>
                            <w:p w:rsidR="002A21E4" w:rsidRPr="00BD0EEC" w:rsidRDefault="002A21E4" w:rsidP="007D45AE">
                              <w:pPr>
                                <w:spacing w:after="0"/>
                                <w:jc w:val="center"/>
                                <w:rPr>
                                  <w:sz w:val="16"/>
                                </w:rPr>
                              </w:pPr>
                              <w:r w:rsidRPr="00BD0EEC">
                                <w:rPr>
                                  <w:sz w:val="16"/>
                                </w:rPr>
                                <w:t>Gobiernos Nacionales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74" name="374 Conector recto"/>
                        <wps:cNvCnPr/>
                        <wps:spPr>
                          <a:xfrm>
                            <a:off x="120770" y="2665563"/>
                            <a:ext cx="5372100" cy="0"/>
                          </a:xfrm>
                          <a:prstGeom prst="line">
                            <a:avLst/>
                          </a:prstGeom>
                          <a:ln w="19050">
                            <a:prstDash val="dash"/>
                          </a:ln>
                        </wps:spPr>
                        <wps:style>
                          <a:lnRef idx="1">
                            <a:schemeClr val="accent2"/>
                          </a:lnRef>
                          <a:fillRef idx="0">
                            <a:schemeClr val="accent2"/>
                          </a:fillRef>
                          <a:effectRef idx="0">
                            <a:schemeClr val="accent2"/>
                          </a:effectRef>
                          <a:fontRef idx="minor">
                            <a:schemeClr val="tx1"/>
                          </a:fontRef>
                        </wps:style>
                        <wps:bodyPr/>
                      </wps:wsp>
                      <wps:wsp>
                        <wps:cNvPr id="375" name="375 Rectángulo"/>
                        <wps:cNvSpPr/>
                        <wps:spPr>
                          <a:xfrm>
                            <a:off x="2527539" y="3347050"/>
                            <a:ext cx="895985" cy="421640"/>
                          </a:xfrm>
                          <a:prstGeom prst="rect">
                            <a:avLst/>
                          </a:prstGeom>
                        </wps:spPr>
                        <wps:style>
                          <a:lnRef idx="2">
                            <a:schemeClr val="accent1"/>
                          </a:lnRef>
                          <a:fillRef idx="1">
                            <a:schemeClr val="lt1"/>
                          </a:fillRef>
                          <a:effectRef idx="0">
                            <a:schemeClr val="accent1"/>
                          </a:effectRef>
                          <a:fontRef idx="minor">
                            <a:schemeClr val="dk1"/>
                          </a:fontRef>
                        </wps:style>
                        <wps:txbx>
                          <w:txbxContent>
                            <w:p w:rsidR="002A21E4" w:rsidRPr="008A44C4" w:rsidRDefault="002A21E4" w:rsidP="007D45AE">
                              <w:pPr>
                                <w:spacing w:after="0"/>
                                <w:jc w:val="center"/>
                                <w:rPr>
                                  <w:sz w:val="16"/>
                                </w:rPr>
                              </w:pPr>
                              <w:r>
                                <w:rPr>
                                  <w:sz w:val="16"/>
                                </w:rPr>
                                <w:t>Agroindustria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76" name="376 Rectángulo"/>
                        <wps:cNvSpPr/>
                        <wps:spPr>
                          <a:xfrm>
                            <a:off x="3562709" y="3355676"/>
                            <a:ext cx="819150" cy="421640"/>
                          </a:xfrm>
                          <a:prstGeom prst="rect">
                            <a:avLst/>
                          </a:prstGeom>
                        </wps:spPr>
                        <wps:style>
                          <a:lnRef idx="2">
                            <a:schemeClr val="accent1"/>
                          </a:lnRef>
                          <a:fillRef idx="1">
                            <a:schemeClr val="lt1"/>
                          </a:fillRef>
                          <a:effectRef idx="0">
                            <a:schemeClr val="accent1"/>
                          </a:effectRef>
                          <a:fontRef idx="minor">
                            <a:schemeClr val="dk1"/>
                          </a:fontRef>
                        </wps:style>
                        <wps:txbx>
                          <w:txbxContent>
                            <w:p w:rsidR="002A21E4" w:rsidRPr="008A44C4" w:rsidRDefault="002A21E4" w:rsidP="007D45AE">
                              <w:pPr>
                                <w:spacing w:after="0"/>
                                <w:jc w:val="center"/>
                                <w:rPr>
                                  <w:sz w:val="16"/>
                                </w:rPr>
                              </w:pPr>
                              <w:r>
                                <w:rPr>
                                  <w:sz w:val="16"/>
                                </w:rPr>
                                <w:t>Empresas Servicios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77" name="377 Rectángulo"/>
                        <wps:cNvSpPr/>
                        <wps:spPr>
                          <a:xfrm>
                            <a:off x="2527539" y="1406106"/>
                            <a:ext cx="810523" cy="421640"/>
                          </a:xfrm>
                          <a:prstGeom prst="rect">
                            <a:avLst/>
                          </a:prstGeom>
                        </wps:spPr>
                        <wps:style>
                          <a:lnRef idx="2">
                            <a:schemeClr val="accent1"/>
                          </a:lnRef>
                          <a:fillRef idx="1">
                            <a:schemeClr val="lt1"/>
                          </a:fillRef>
                          <a:effectRef idx="0">
                            <a:schemeClr val="accent1"/>
                          </a:effectRef>
                          <a:fontRef idx="minor">
                            <a:schemeClr val="dk1"/>
                          </a:fontRef>
                        </wps:style>
                        <wps:txbx>
                          <w:txbxContent>
                            <w:p w:rsidR="002A21E4" w:rsidRPr="00BD0EEC" w:rsidRDefault="002A21E4" w:rsidP="007D45AE">
                              <w:pPr>
                                <w:spacing w:after="0"/>
                                <w:jc w:val="center"/>
                                <w:rPr>
                                  <w:sz w:val="16"/>
                                </w:rPr>
                              </w:pPr>
                              <w:r>
                                <w:rPr>
                                  <w:sz w:val="16"/>
                                </w:rPr>
                                <w:t>ONG’s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78" name="378 Rectángulo"/>
                        <wps:cNvSpPr/>
                        <wps:spPr>
                          <a:xfrm>
                            <a:off x="3562709" y="3933646"/>
                            <a:ext cx="836295" cy="421640"/>
                          </a:xfrm>
                          <a:prstGeom prst="rect">
                            <a:avLst/>
                          </a:prstGeom>
                        </wps:spPr>
                        <wps:style>
                          <a:lnRef idx="2">
                            <a:schemeClr val="accent1"/>
                          </a:lnRef>
                          <a:fillRef idx="1">
                            <a:schemeClr val="lt1"/>
                          </a:fillRef>
                          <a:effectRef idx="0">
                            <a:schemeClr val="accent1"/>
                          </a:effectRef>
                          <a:fontRef idx="minor">
                            <a:schemeClr val="dk1"/>
                          </a:fontRef>
                        </wps:style>
                        <wps:txbx>
                          <w:txbxContent>
                            <w:p w:rsidR="002A21E4" w:rsidRPr="008A44C4" w:rsidRDefault="002A21E4" w:rsidP="007D45AE">
                              <w:pPr>
                                <w:spacing w:after="0"/>
                                <w:jc w:val="center"/>
                                <w:rPr>
                                  <w:sz w:val="16"/>
                                </w:rPr>
                              </w:pPr>
                              <w:r>
                                <w:rPr>
                                  <w:sz w:val="16"/>
                                </w:rPr>
                                <w:t>Comunidades agrícolas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0" name="380 Rectángulo"/>
                        <wps:cNvSpPr/>
                        <wps:spPr>
                          <a:xfrm>
                            <a:off x="301924" y="474453"/>
                            <a:ext cx="1017917" cy="421640"/>
                          </a:xfrm>
                          <a:prstGeom prst="rect">
                            <a:avLst/>
                          </a:prstGeom>
                          <a:ln>
                            <a:noFill/>
                          </a:ln>
                        </wps:spPr>
                        <wps:style>
                          <a:lnRef idx="2">
                            <a:schemeClr val="dk1"/>
                          </a:lnRef>
                          <a:fillRef idx="1">
                            <a:schemeClr val="lt1"/>
                          </a:fillRef>
                          <a:effectRef idx="0">
                            <a:schemeClr val="dk1"/>
                          </a:effectRef>
                          <a:fontRef idx="minor">
                            <a:schemeClr val="dk1"/>
                          </a:fontRef>
                        </wps:style>
                        <wps:txbx>
                          <w:txbxContent>
                            <w:p w:rsidR="002A21E4" w:rsidRPr="005A003A" w:rsidRDefault="002A21E4" w:rsidP="007D45AE">
                              <w:pPr>
                                <w:spacing w:after="0"/>
                                <w:jc w:val="center"/>
                                <w:rPr>
                                  <w:b/>
                                  <w:sz w:val="18"/>
                                </w:rPr>
                              </w:pPr>
                              <w:r w:rsidRPr="005A003A">
                                <w:rPr>
                                  <w:b/>
                                  <w:sz w:val="18"/>
                                </w:rPr>
                                <w:t>INTERNACIONAL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1" name="381 Rectángulo"/>
                        <wps:cNvSpPr/>
                        <wps:spPr>
                          <a:xfrm>
                            <a:off x="301924" y="1457865"/>
                            <a:ext cx="1017905" cy="421640"/>
                          </a:xfrm>
                          <a:prstGeom prst="rect">
                            <a:avLst/>
                          </a:prstGeom>
                          <a:ln>
                            <a:noFill/>
                          </a:ln>
                        </wps:spPr>
                        <wps:style>
                          <a:lnRef idx="2">
                            <a:schemeClr val="accent1"/>
                          </a:lnRef>
                          <a:fillRef idx="1">
                            <a:schemeClr val="lt1"/>
                          </a:fillRef>
                          <a:effectRef idx="0">
                            <a:schemeClr val="accent1"/>
                          </a:effectRef>
                          <a:fontRef idx="minor">
                            <a:schemeClr val="dk1"/>
                          </a:fontRef>
                        </wps:style>
                        <wps:txbx>
                          <w:txbxContent>
                            <w:p w:rsidR="002A21E4" w:rsidRPr="005A003A" w:rsidRDefault="002A21E4" w:rsidP="007D45AE">
                              <w:pPr>
                                <w:spacing w:after="0"/>
                                <w:jc w:val="center"/>
                                <w:rPr>
                                  <w:b/>
                                  <w:sz w:val="18"/>
                                </w:rPr>
                              </w:pPr>
                              <w:r w:rsidRPr="005A003A">
                                <w:rPr>
                                  <w:b/>
                                  <w:sz w:val="18"/>
                                </w:rPr>
                                <w:t>NACIONAL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3" name="383 Rectángulo"/>
                        <wps:cNvSpPr/>
                        <wps:spPr>
                          <a:xfrm>
                            <a:off x="301924" y="2104846"/>
                            <a:ext cx="1017905" cy="421640"/>
                          </a:xfrm>
                          <a:prstGeom prst="rect">
                            <a:avLst/>
                          </a:prstGeom>
                          <a:ln>
                            <a:noFill/>
                          </a:ln>
                        </wps:spPr>
                        <wps:style>
                          <a:lnRef idx="2">
                            <a:schemeClr val="accent1"/>
                          </a:lnRef>
                          <a:fillRef idx="1">
                            <a:schemeClr val="lt1"/>
                          </a:fillRef>
                          <a:effectRef idx="0">
                            <a:schemeClr val="accent1"/>
                          </a:effectRef>
                          <a:fontRef idx="minor">
                            <a:schemeClr val="dk1"/>
                          </a:fontRef>
                        </wps:style>
                        <wps:txbx>
                          <w:txbxContent>
                            <w:p w:rsidR="002A21E4" w:rsidRPr="005A003A" w:rsidRDefault="002A21E4" w:rsidP="007D45AE">
                              <w:pPr>
                                <w:spacing w:after="0"/>
                                <w:jc w:val="center"/>
                                <w:rPr>
                                  <w:b/>
                                  <w:sz w:val="18"/>
                                </w:rPr>
                              </w:pPr>
                              <w:r w:rsidRPr="005A003A">
                                <w:rPr>
                                  <w:b/>
                                  <w:sz w:val="18"/>
                                </w:rPr>
                                <w:t>REGIONAL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4" name="384 Rectángulo"/>
                        <wps:cNvSpPr/>
                        <wps:spPr>
                          <a:xfrm>
                            <a:off x="301924" y="2794959"/>
                            <a:ext cx="1017905" cy="421640"/>
                          </a:xfrm>
                          <a:prstGeom prst="rect">
                            <a:avLst/>
                          </a:prstGeom>
                          <a:ln>
                            <a:noFill/>
                          </a:ln>
                        </wps:spPr>
                        <wps:style>
                          <a:lnRef idx="2">
                            <a:schemeClr val="accent1"/>
                          </a:lnRef>
                          <a:fillRef idx="1">
                            <a:schemeClr val="lt1"/>
                          </a:fillRef>
                          <a:effectRef idx="0">
                            <a:schemeClr val="accent1"/>
                          </a:effectRef>
                          <a:fontRef idx="minor">
                            <a:schemeClr val="dk1"/>
                          </a:fontRef>
                        </wps:style>
                        <wps:txbx>
                          <w:txbxContent>
                            <w:p w:rsidR="002A21E4" w:rsidRPr="005A003A" w:rsidRDefault="002A21E4" w:rsidP="007D45AE">
                              <w:pPr>
                                <w:spacing w:after="0"/>
                                <w:jc w:val="center"/>
                                <w:rPr>
                                  <w:b/>
                                  <w:sz w:val="18"/>
                                </w:rPr>
                              </w:pPr>
                              <w:r w:rsidRPr="005A003A">
                                <w:rPr>
                                  <w:b/>
                                  <w:sz w:val="18"/>
                                </w:rPr>
                                <w:t>LOCAL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386 Grupo" o:spid="_x0000_s1038" style="position:absolute;left:0;text-align:left;margin-left:-6.25pt;margin-top:.1pt;width:441.5pt;height:360.3pt;z-index:251958272;mso-width-relative:margin;mso-height-relative:margin" coordorigin=",-865" coordsize="56071,52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">
                <v:rect id="385 Rectángulo" o:spid="_x0000_s1039" style="position:absolute;top:-865;width:56071;height:5201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eTYcYA&#10;AADcAAAADwAAAGRycy9kb3ducmV2LnhtbESPT2vCQBTE70K/w/IKvdVNW7SaZiNSWhCUin8OPT6y&#10;zySYfRt2t0n89q5Q8DjMzG+YbDGYRnTkfG1Zwcs4AUFcWF1zqeB4+H6egfABWWNjmRRcyMMifxhl&#10;mGrb8466fShFhLBPUUEVQptK6YuKDPqxbYmjd7LOYIjSlVI77CPcNPI1SabSYM1xocKWPisqzvs/&#10;o8Bu60uzdPOfbkPvv+ttSPph+qXU0+Ow/AARaAj38H97pRW8zSZwOxOPgMy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KeTYcYAAADcAAAADwAAAAAAAAAAAAAAAACYAgAAZHJz&#10;L2Rvd25yZXYueG1sUEsFBgAAAAAEAAQA9QAAAIsDAAAAAA==&#10;" fillcolor="white [3201]" strokecolor="black [3200]" strokeweight="1pt">
                  <v:textbox>
                    <w:txbxContent>
                      <w:p w:rsidR="002A21E4" w:rsidRPr="008A44C4" w:rsidRDefault="002A21E4" w:rsidP="007D45AE">
                        <w:pPr>
                          <w:spacing w:after="0"/>
                          <w:jc w:val="center"/>
                          <w:rPr>
                            <w:sz w:val="16"/>
                          </w:rPr>
                        </w:pPr>
                      </w:p>
                    </w:txbxContent>
                  </v:textbox>
                </v:rect>
                <v:rect id="347 Rectángulo" o:spid="_x0000_s1040" style="position:absolute;left:25361;top:7332;width:9748;height:421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uUUsQA&#10;AADcAAAADwAAAGRycy9kb3ducmV2LnhtbESP3YrCMBSE7wXfIRzBO011F12rUURYEJYV/Nn7Q3Ns&#10;S5uT0kSNPv1GELwcZuYbZrEKphZXal1pWcFomIAgzqwuOVdwOn4PvkA4j6yxtkwK7uRgtex2Fphq&#10;e+M9XQ8+FxHCLkUFhfdNKqXLCjLohrYhjt7ZtgZ9lG0udYu3CDe1HCfJRBosOS4U2NCmoKw6XIyC&#10;9ThcHtnvfXKaycfo529XGRMqpfq9sJ6D8BT8O/xqb7WCj88pPM/EIyC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3blFLEAAAA3AAAAA8AAAAAAAAAAAAAAAAAmAIAAGRycy9k&#10;b3ducmV2LnhtbFBLBQYAAAAABAAEAPUAAACJAwAAAAA=&#10;" fillcolor="white [3201]" strokecolor="#4f81bd [3204]" strokeweight="2pt">
                  <v:textbox>
                    <w:txbxContent>
                      <w:p w:rsidR="002A21E4" w:rsidRPr="00BD0EEC" w:rsidRDefault="002A21E4" w:rsidP="007D45AE">
                        <w:pPr>
                          <w:spacing w:after="0"/>
                          <w:jc w:val="center"/>
                          <w:rPr>
                            <w:sz w:val="16"/>
                            <w:u w:val="single"/>
                          </w:rPr>
                        </w:pPr>
                        <w:r>
                          <w:rPr>
                            <w:sz w:val="16"/>
                          </w:rPr>
                          <w:t>Empresas Agroexportadora</w:t>
                        </w:r>
                      </w:p>
                    </w:txbxContent>
                  </v:textbox>
                </v:rect>
                <v:rect id="349 Rectángulo" o:spid="_x0000_s1041" style="position:absolute;left:15958;top:1897;width:8014;height:421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ilu8QA&#10;AADcAAAADwAAAGRycy9kb3ducmV2LnhtbESP3YrCMBSE7wXfIRzBO039QdauUWRhQRAXrO79oTnb&#10;ljYnpYkafXojLHg5zMw3zGoTTCOu1LnKsoLJOAFBnFtdcaHgfPoefYBwHlljY5kU3MnBZt3vrTDV&#10;9sZHuma+EBHCLkUFpfdtKqXLSzLoxrYljt6f7Qz6KLtC6g5vEW4aOU2ShTRYcVwosaWvkvI6uxgF&#10;22m4PPLDfXFeysdk//tTGxNqpYaDsP0E4Sn4d/i/vdMKZvMlvM7EIyDX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MIpbvEAAAA3AAAAA8AAAAAAAAAAAAAAAAAmAIAAGRycy9k&#10;b3ducmV2LnhtbFBLBQYAAAAABAAEAPUAAACJAwAAAAA=&#10;" fillcolor="white [3201]" strokecolor="#4f81bd [3204]" strokeweight="2pt">
                  <v:textbox>
                    <w:txbxContent>
                      <w:p w:rsidR="002A21E4" w:rsidRPr="008A44C4" w:rsidRDefault="002A21E4" w:rsidP="007D45AE">
                        <w:pPr>
                          <w:spacing w:after="0"/>
                          <w:jc w:val="center"/>
                          <w:rPr>
                            <w:sz w:val="16"/>
                          </w:rPr>
                        </w:pPr>
                        <w:r>
                          <w:rPr>
                            <w:sz w:val="16"/>
                          </w:rPr>
                          <w:t>Inversionistas</w:t>
                        </w:r>
                      </w:p>
                    </w:txbxContent>
                  </v:textbox>
                </v:rect>
                <v:rect id="351 Rectángulo" o:spid="_x0000_s1042" style="position:absolute;left:25361;top:1984;width:9747;height:412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c/YMQA&#10;AADcAAAADwAAAGRycy9kb3ducmV2LnhtbESP3YrCMBSE7wXfIRzBO03rorjVKLKwsCAr+LP3h+bY&#10;ljYnpYkaffqNIHg5zMw3zHIdTCOu1LnKsoJ0nIAgzq2uuFBwOn6P5iCcR9bYWCYFd3KwXvV7S8y0&#10;vfGergdfiAhhl6GC0vs2k9LlJRl0Y9sSR+9sO4M+yq6QusNbhJtGTpJkJg1WHBdKbOmrpLw+XIyC&#10;zSRcHvnvfXb6lI90+7erjQm1UsNB2CxAeAr+HX61f7SCj2kKzzPxCMjV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inP2DEAAAA3AAAAA8AAAAAAAAAAAAAAAAAmAIAAGRycy9k&#10;b3ducmV2LnhtbFBLBQYAAAAABAAEAPUAAACJAwAAAAA=&#10;" fillcolor="white [3201]" strokecolor="#4f81bd [3204]" strokeweight="2pt">
                  <v:textbox>
                    <w:txbxContent>
                      <w:p w:rsidR="002A21E4" w:rsidRPr="008A44C4" w:rsidRDefault="002A21E4" w:rsidP="007D45AE">
                        <w:pPr>
                          <w:spacing w:after="0"/>
                          <w:jc w:val="center"/>
                          <w:rPr>
                            <w:sz w:val="16"/>
                          </w:rPr>
                        </w:pPr>
                        <w:r w:rsidRPr="008A44C4">
                          <w:rPr>
                            <w:sz w:val="16"/>
                          </w:rPr>
                          <w:t>Consumidores</w:t>
                        </w:r>
                      </w:p>
                    </w:txbxContent>
                  </v:textbox>
                </v:rect>
                <v:rect id="352 Rectángulo" o:spid="_x0000_s1043" style="position:absolute;left:16045;top:7332;width:7931;height:421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WhF8QA&#10;AADcAAAADwAAAGRycy9kb3ducmV2LnhtbESP3YrCMBSE7wXfIRzBO03torjVKLKwsCAr+LP3h+bY&#10;ljYnpYkaffqNIHg5zMw3zHIdTCOu1LnKsoLJOAFBnFtdcaHgdPwezUE4j6yxsUwK7uRgver3lphp&#10;e+M9XQ++EBHCLkMFpfdtJqXLSzLoxrYljt7ZdgZ9lF0hdYe3CDeNTJNkJg1WHBdKbOmrpLw+XIyC&#10;TRouj/z3Pjt9ysdk+7erjQm1UsNB2CxAeAr+HX61f7SCj2kKzzPxCMjV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h1oRfEAAAA3AAAAA8AAAAAAAAAAAAAAAAAmAIAAGRycy9k&#10;b3ducmV2LnhtbFBLBQYAAAAABAAEAPUAAACJAwAAAAA=&#10;" fillcolor="white [3201]" strokecolor="#4f81bd [3204]" strokeweight="2pt">
                  <v:textbox>
                    <w:txbxContent>
                      <w:p w:rsidR="002A21E4" w:rsidRPr="008A44C4" w:rsidRDefault="002A21E4" w:rsidP="007D45AE">
                        <w:pPr>
                          <w:spacing w:after="0"/>
                          <w:jc w:val="center"/>
                          <w:rPr>
                            <w:sz w:val="16"/>
                          </w:rPr>
                        </w:pPr>
                        <w:r>
                          <w:rPr>
                            <w:sz w:val="16"/>
                          </w:rPr>
                          <w:t>Compañía Minera</w:t>
                        </w:r>
                      </w:p>
                    </w:txbxContent>
                  </v:textbox>
                </v:rect>
                <v:rect id="353 Rectángulo" o:spid="_x0000_s1044" style="position:absolute;left:25275;top:27863;width:8966;height:421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kEjMMA&#10;AADcAAAADwAAAGRycy9kb3ducmV2LnhtbESPQYvCMBSE78L+h/AEb5qqKGs1iiwIguyC1b0/mmdb&#10;2ryUJmr012+EBY/DzHzDrDbBNOJGnassKxiPEhDEudUVFwrOp93wE4TzyBoby6TgQQ4264/eClNt&#10;73ykW+YLESHsUlRQet+mUrq8JINuZFvi6F1sZ9BH2RVSd3iPcNPISZLMpcGK40KJLX2VlNfZ1SjY&#10;TsL1mX8/5ueFfI4Pvz+1MaFWatAP2yUIT8G/w//tvVYwnU3hdSYeAb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zkEjMMAAADcAAAADwAAAAAAAAAAAAAAAACYAgAAZHJzL2Rv&#10;d25yZXYueG1sUEsFBgAAAAAEAAQA9QAAAIgDAAAAAA==&#10;" fillcolor="white [3201]" strokecolor="#4f81bd [3204]" strokeweight="2pt">
                  <v:textbox>
                    <w:txbxContent>
                      <w:p w:rsidR="002A21E4" w:rsidRPr="008A44C4" w:rsidRDefault="002A21E4" w:rsidP="007D45AE">
                        <w:pPr>
                          <w:spacing w:after="0"/>
                          <w:jc w:val="center"/>
                          <w:rPr>
                            <w:sz w:val="16"/>
                          </w:rPr>
                        </w:pPr>
                        <w:r>
                          <w:rPr>
                            <w:sz w:val="16"/>
                          </w:rPr>
                          <w:t>Contratistas</w:t>
                        </w:r>
                      </w:p>
                    </w:txbxContent>
                  </v:textbox>
                </v:rect>
                <v:rect id="354 Rectángulo" o:spid="_x0000_s1045" style="position:absolute;left:35799;top:27863;width:8014;height:421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Cc+MQA&#10;AADcAAAADwAAAGRycy9kb3ducmV2LnhtbESP3YrCMBSE7wXfIRzBO011V1mrUURYEJYV/Nn7Q3Ns&#10;S5uT0kSNPv1GELwcZuYbZrEKphZXal1pWcFomIAgzqwuOVdwOn4PvkA4j6yxtkwK7uRgtex2Fphq&#10;e+M9XQ8+FxHCLkUFhfdNKqXLCjLohrYhjt7ZtgZ9lG0udYu3CDe1HCfJVBosOS4U2NCmoKw6XIyC&#10;9ThcHtnvfXqaycfo529XGRMqpfq9sJ6D8BT8O/xqb7WCj8knPM/EIyC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jQnPjEAAAA3AAAAA8AAAAAAAAAAAAAAAAAmAIAAGRycy9k&#10;b3ducmV2LnhtbFBLBQYAAAAABAAEAPUAAACJAwAAAAA=&#10;" fillcolor="white [3201]" strokecolor="#4f81bd [3204]" strokeweight="2pt">
                  <v:textbox>
                    <w:txbxContent>
                      <w:p w:rsidR="002A21E4" w:rsidRPr="008A44C4" w:rsidRDefault="002A21E4" w:rsidP="007D45AE">
                        <w:pPr>
                          <w:spacing w:after="0"/>
                          <w:jc w:val="center"/>
                          <w:rPr>
                            <w:sz w:val="16"/>
                          </w:rPr>
                        </w:pPr>
                        <w:r>
                          <w:rPr>
                            <w:sz w:val="16"/>
                          </w:rPr>
                          <w:t>Trabajadores</w:t>
                        </w:r>
                      </w:p>
                    </w:txbxContent>
                  </v:textbox>
                </v:rect>
                <v:rect id="355 Rectángulo" o:spid="_x0000_s1046" style="position:absolute;left:16045;top:33470;width:7931;height:421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5w5Y8UA&#10;AADcAAAADwAAAGRycy9kb3ducmV2LnhtbESPzWrDMBCE74W8g9hCbo0ch4TUjRJMoFAILTQ/98Xa&#10;2sbWylhKLOfpo0Khx2FmvmE2u2BacaPe1ZYVzGcJCOLC6ppLBefT+8sahPPIGlvLpGAkB7vt5GmD&#10;mbYDf9Pt6EsRIewyVFB532VSuqIig25mO+Lo/djeoI+yL6XucYhw08o0SVbSYM1xocKO9hUVzfFq&#10;FORpuN6Lz3F1fpX3+eHy1RgTGqWmzyF/A+Ep+P/wX/tDK1gsl/B7Jh4BuX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nDljxQAAANwAAAAPAAAAAAAAAAAAAAAAAJgCAABkcnMv&#10;ZG93bnJldi54bWxQSwUGAAAAAAQABAD1AAAAigMAAAAA&#10;" fillcolor="white [3201]" strokecolor="#4f81bd [3204]" strokeweight="2pt">
                  <v:textbox>
                    <w:txbxContent>
                      <w:p w:rsidR="002A21E4" w:rsidRPr="008A44C4" w:rsidRDefault="002A21E4" w:rsidP="007D45AE">
                        <w:pPr>
                          <w:spacing w:after="0"/>
                          <w:jc w:val="center"/>
                          <w:rPr>
                            <w:sz w:val="16"/>
                          </w:rPr>
                        </w:pPr>
                        <w:r>
                          <w:rPr>
                            <w:sz w:val="16"/>
                          </w:rPr>
                          <w:t>Empresas locales</w:t>
                        </w:r>
                      </w:p>
                    </w:txbxContent>
                  </v:textbox>
                </v:rect>
                <v:rect id="356 Rectángulo" o:spid="_x0000_s1047" style="position:absolute;left:16045;top:39422;width:7842;height:421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06nFMUA&#10;AADcAAAADwAAAGRycy9kb3ducmV2LnhtbESPQWvCQBSE74X+h+UVeqsbIw01dRURBKFYqNX7I/ua&#10;hGTfhuxGN/n1bqHQ4zAz3zCrTTCtuFLvassK5rMEBHFhdc2lgvP3/uUNhPPIGlvLpGAkB5v148MK&#10;c21v/EXXky9FhLDLUUHlfZdL6YqKDLqZ7Yij92N7gz7KvpS6x1uEm1amSZJJgzXHhQo72lVUNKfB&#10;KNimYZiK45idl3Kaf1w+G2NCo9TzU9i+g/AU/H/4r33QChavGfyeiUdAr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TqcUxQAAANwAAAAPAAAAAAAAAAAAAAAAAJgCAABkcnMv&#10;ZG93bnJldi54bWxQSwUGAAAAAAQABAD1AAAAigMAAAAA&#10;" fillcolor="white [3201]" strokecolor="#4f81bd [3204]" strokeweight="2pt">
                  <v:textbox>
                    <w:txbxContent>
                      <w:p w:rsidR="002A21E4" w:rsidRPr="008A44C4" w:rsidRDefault="002A21E4" w:rsidP="007D45AE">
                        <w:pPr>
                          <w:spacing w:after="0"/>
                          <w:jc w:val="center"/>
                          <w:rPr>
                            <w:sz w:val="16"/>
                          </w:rPr>
                        </w:pPr>
                        <w:r>
                          <w:rPr>
                            <w:sz w:val="16"/>
                          </w:rPr>
                          <w:t>Comunidades Civiles</w:t>
                        </w:r>
                      </w:p>
                    </w:txbxContent>
                  </v:textbox>
                </v:rect>
                <v:rect id="357 Rectángulo" o:spid="_x0000_s1048" style="position:absolute;left:15958;top:45029;width:8192;height:421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ICj8QA&#10;AADcAAAADwAAAGRycy9kb3ducmV2LnhtbESP3YrCMBSE7wXfIRzBO011WV2rUURYEJYV/Nn7Q3Ns&#10;S5uT0kSNPv1GELwcZuYbZrEKphZXal1pWcFomIAgzqwuOVdwOn4PvkA4j6yxtkwK7uRgtex2Fphq&#10;e+M9XQ8+FxHCLkUFhfdNKqXLCjLohrYhjt7ZtgZ9lG0udYu3CDe1HCfJRBosOS4U2NCmoKw6XIyC&#10;9ThcHtnvfXKaycfo529XGRMqpfq9sJ6D8BT8O/xqb7WCj88pPM/EIyC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gCAo/EAAAA3AAAAA8AAAAAAAAAAAAAAAAAmAIAAGRycy9k&#10;b3ducmV2LnhtbFBLBQYAAAAABAAEAPUAAACJAwAAAAA=&#10;" fillcolor="white [3201]" strokecolor="#4f81bd [3204]" strokeweight="2pt">
                  <v:textbox>
                    <w:txbxContent>
                      <w:p w:rsidR="002A21E4" w:rsidRPr="008A44C4" w:rsidRDefault="002A21E4" w:rsidP="007D45AE">
                        <w:pPr>
                          <w:spacing w:after="0"/>
                          <w:jc w:val="center"/>
                          <w:rPr>
                            <w:sz w:val="16"/>
                          </w:rPr>
                        </w:pPr>
                        <w:r>
                          <w:rPr>
                            <w:sz w:val="16"/>
                          </w:rPr>
                          <w:t>Gobiernos Locales</w:t>
                        </w:r>
                      </w:p>
                    </w:txbxContent>
                  </v:textbox>
                </v:rect>
                <v:rect id="358 Rectángulo" o:spid="_x0000_s1049" style="position:absolute;left:16045;top:27863;width:7842;height:421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2W/cEA&#10;AADcAAAADwAAAGRycy9kb3ducmV2LnhtbERPy4rCMBTdC/MP4Qqzs6kOylgbRQYEQRzwMftLc21L&#10;m5vSRI1+vVkMuDycd74KphU36l1tWcE4SUEQF1bXXCo4nzajbxDOI2tsLZOCBzlYLT8GOWba3vlA&#10;t6MvRQxhl6GCyvsuk9IVFRl0ie2II3exvUEfYV9K3eM9hptWTtJ0Jg3WHBsq7OinoqI5Xo2C9SRc&#10;n8X+MTvP5XO8+/ttjAmNUp/DsF6A8BT8W/zv3moFX9O4Np6JR0Au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mdlv3BAAAA3AAAAA8AAAAAAAAAAAAAAAAAmAIAAGRycy9kb3du&#10;cmV2LnhtbFBLBQYAAAAABAAEAPUAAACGAwAAAAA=&#10;" fillcolor="white [3201]" strokecolor="#4f81bd [3204]" strokeweight="2pt">
                  <v:textbox>
                    <w:txbxContent>
                      <w:p w:rsidR="002A21E4" w:rsidRPr="008A44C4" w:rsidRDefault="002A21E4" w:rsidP="007D45AE">
                        <w:pPr>
                          <w:spacing w:after="0"/>
                          <w:jc w:val="center"/>
                          <w:rPr>
                            <w:sz w:val="16"/>
                          </w:rPr>
                        </w:pPr>
                        <w:r>
                          <w:rPr>
                            <w:sz w:val="16"/>
                          </w:rPr>
                          <w:t>Faena Minera</w:t>
                        </w:r>
                      </w:p>
                    </w:txbxContent>
                  </v:textbox>
                </v:rect>
                <v:line id="363 Conector recto" o:spid="_x0000_s1050" style="position:absolute;visibility:visible;mso-wrap-style:square" from="1207,13025" to="54928,130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ea06sUAAADcAAAADwAAAGRycy9kb3ducmV2LnhtbESPQWvCQBSE74X+h+UVeqsbla4SXUUE&#10;oZRKWxXPj+wziWbfxuzWJP/eLRR6HGbmG2a+7GwlbtT40rGG4SABQZw5U3Ku4bDfvExB+IBssHJM&#10;GnrysFw8PswxNa7lb7rtQi4ihH2KGooQ6lRKnxVk0Q9cTRy9k2sshiibXJoG2wi3lRwliZIWS44L&#10;Bda0Lii77H6shvb4qXpFH9Ket3bSX9/X6uu11Pr5qVvNQATqwn/4r/1mNIzVGH7PxCMgF3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ea06sUAAADcAAAADwAAAAAAAAAA&#10;AAAAAAChAgAAZHJzL2Rvd25yZXYueG1sUEsFBgAAAAAEAAQA+QAAAJMDAAAAAA==&#10;" strokecolor="#bc4542 [3045]" strokeweight="1.5pt">
                  <v:stroke dashstyle="dash"/>
                </v:line>
                <v:line id="365 Conector recto" o:spid="_x0000_s1051" style="position:absolute;visibility:visible;mso-wrap-style:square" from="1207,19840" to="54928,198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UOJBcUAAADcAAAADwAAAGRycy9kb3ducmV2LnhtbESP3WrCQBSE74W+w3IKvdONFteSuooI&#10;hVIq9af0+pA9JtHs2TS7NcnbuwXBy2FmvmHmy85W4kKNLx1rGI8SEMSZMyXnGr4Pb8MXED4gG6wc&#10;k4aePCwXD4M5psa1vKPLPuQiQtinqKEIoU6l9FlBFv3I1cTRO7rGYoiyyaVpsI1wW8lJkihpseS4&#10;UGBN64Ky8/7Pamh/vlSv6FPa08bO+t+PtdpOS62fHrvVK4hAXbiHb+13o+FZTeH/TDwCcnE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UOJBcUAAADcAAAADwAAAAAAAAAA&#10;AAAAAAChAgAAZHJzL2Rvd25yZXYueG1sUEsFBgAAAAAEAAQA+QAAAJMDAAAAAA==&#10;" strokecolor="#bc4542 [3045]" strokeweight="1.5pt">
                  <v:stroke dashstyle="dash"/>
                </v:line>
                <v:rect id="366 Rectángulo" o:spid="_x0000_s1052" style="position:absolute;left:16217;top:20962;width:7674;height:421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JtqcIA&#10;AADcAAAADwAAAGRycy9kb3ducmV2LnhtbESP3YrCMBSE74V9h3AWvNNUhaLVKCIIguyCf/eH5tiW&#10;NieliRp9+s2C4OUwM98wi1UwjbhT5yrLCkbDBARxbnXFhYLzaTuYgnAeWWNjmRQ8ycFq+dVbYKbt&#10;gw90P/pCRAi7DBWU3reZlC4vyaAb2pY4elfbGfRRdoXUHT4i3DRynCSpNFhxXCixpU1JeX28GQXr&#10;cbi98p9nep7J12h/+a2NCbVS/e+wnoPwFPwn/G7vtIJJmsL/mXgE5PI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Im2pwgAAANwAAAAPAAAAAAAAAAAAAAAAAJgCAABkcnMvZG93&#10;bnJldi54bWxQSwUGAAAAAAQABAD1AAAAhwMAAAAA&#10;" fillcolor="white [3201]" strokecolor="#4f81bd [3204]" strokeweight="2pt">
                  <v:textbox>
                    <w:txbxContent>
                      <w:p w:rsidR="002A21E4" w:rsidRPr="008A44C4" w:rsidRDefault="002A21E4" w:rsidP="007D45AE">
                        <w:pPr>
                          <w:spacing w:after="0"/>
                          <w:jc w:val="center"/>
                          <w:rPr>
                            <w:sz w:val="16"/>
                          </w:rPr>
                        </w:pPr>
                        <w:r>
                          <w:rPr>
                            <w:sz w:val="16"/>
                          </w:rPr>
                          <w:t>Gobiernos regionales</w:t>
                        </w:r>
                      </w:p>
                    </w:txbxContent>
                  </v:textbox>
                </v:rect>
                <v:rect id="367 Rectángulo" o:spid="_x0000_s1053" style="position:absolute;left:35627;top:21048;width:8191;height:421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7IMsQA&#10;AADcAAAADwAAAGRycy9kb3ducmV2LnhtbESP3YrCMBSE7wXfIRzBO011obrVKLKwsCAr+LP3h+bY&#10;ljYnpYkaffqNIHg5zMw3zHIdTCOu1LnKsoLJOAFBnFtdcaHgdPwezUE4j6yxsUwK7uRgver3lphp&#10;e+M9XQ++EBHCLkMFpfdtJqXLSzLoxrYljt7ZdgZ9lF0hdYe3CDeNnCZJKg1WHBdKbOmrpLw+XIyC&#10;zTRcHvnvPT19ysdk+7erjQm1UsNB2CxAeAr+HX61f7SCj3QGzzPxCMjV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ZuyDLEAAAA3AAAAA8AAAAAAAAAAAAAAAAAmAIAAGRycy9k&#10;b3ducmV2LnhtbFBLBQYAAAAABAAEAPUAAACJAwAAAAA=&#10;" fillcolor="white [3201]" strokecolor="#4f81bd [3204]" strokeweight="2pt">
                  <v:textbox>
                    <w:txbxContent>
                      <w:p w:rsidR="002A21E4" w:rsidRPr="008A44C4" w:rsidRDefault="002A21E4" w:rsidP="007D45AE">
                        <w:pPr>
                          <w:spacing w:after="0"/>
                          <w:jc w:val="center"/>
                          <w:rPr>
                            <w:sz w:val="16"/>
                          </w:rPr>
                        </w:pPr>
                        <w:r>
                          <w:rPr>
                            <w:sz w:val="16"/>
                          </w:rPr>
                          <w:t>Empresas productivas</w:t>
                        </w:r>
                      </w:p>
                    </w:txbxContent>
                  </v:textbox>
                </v:rect>
                <v:rect id="368 Rectángulo" o:spid="_x0000_s1054" style="position:absolute;left:25275;top:21048;width:8966;height:421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cQMEA&#10;AADcAAAADwAAAGRycy9kb3ducmV2LnhtbERPy4rCMBTdC/MP4QruNFWhaMdYyoAgiAM+Zn9prm1p&#10;c1OaqNGvnywGZnk4700eTCceNLjGsoL5LAFBXFrdcKXgetlNVyCcR9bYWSYFL3KQbz9GG8y0ffKJ&#10;HmdfiRjCLkMFtfd9JqUrazLoZrYnjtzNDgZ9hEMl9YDPGG46uUiSVBpsODbU2NNXTWV7vhsFxSLc&#10;3+XxlV7X8j0//Hy3xoRWqck4FJ8gPAX/L/5z77WCZRrXxjPxCMjt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fxXEDBAAAA3AAAAA8AAAAAAAAAAAAAAAAAmAIAAGRycy9kb3du&#10;cmV2LnhtbFBLBQYAAAAABAAEAPUAAACGAwAAAAA=&#10;" fillcolor="white [3201]" strokecolor="#4f81bd [3204]" strokeweight="2pt">
                  <v:textbox>
                    <w:txbxContent>
                      <w:p w:rsidR="002A21E4" w:rsidRPr="008A44C4" w:rsidRDefault="002A21E4" w:rsidP="007D45AE">
                        <w:pPr>
                          <w:spacing w:after="0"/>
                          <w:jc w:val="center"/>
                          <w:rPr>
                            <w:sz w:val="16"/>
                          </w:rPr>
                        </w:pPr>
                        <w:r>
                          <w:rPr>
                            <w:sz w:val="16"/>
                          </w:rPr>
                          <w:t>Organizaciones indígenas</w:t>
                        </w:r>
                      </w:p>
                    </w:txbxContent>
                  </v:textbox>
                </v:rect>
                <v:rect id="369 Rectángulo" o:spid="_x0000_s1055" style="position:absolute;left:45029;top:20962;width:9894;height:421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3528MA&#10;AADcAAAADwAAAGRycy9kb3ducmV2LnhtbESP3YrCMBSE7wXfIRxh7zTVhWK7RpGFhYVFwb/7Q3O2&#10;LW1OShM1+vRGELwcZuYbZrEKphUX6l1tWcF0koAgLqyuuVRwPPyM5yCcR9bYWiYFN3KwWg4HC8y1&#10;vfKOLntfighhl6OCyvsul9IVFRl0E9sRR+/f9gZ9lH0pdY/XCDetnCVJKg3WHBcq7Oi7oqLZn42C&#10;9Syc78Xmlh4zeZ/+nbaNMaFR6mMU1l8gPAX/Dr/av1rBZ5rB80w8AnL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L3528MAAADcAAAADwAAAAAAAAAAAAAAAACYAgAAZHJzL2Rv&#10;d25yZXYueG1sUEsFBgAAAAAEAAQA9QAAAIgDAAAAAA==&#10;" fillcolor="white [3201]" strokecolor="#4f81bd [3204]" strokeweight="2pt">
                  <v:textbox>
                    <w:txbxContent>
                      <w:p w:rsidR="002A21E4" w:rsidRPr="008A44C4" w:rsidRDefault="002A21E4" w:rsidP="007D45AE">
                        <w:pPr>
                          <w:spacing w:after="0"/>
                          <w:jc w:val="center"/>
                          <w:rPr>
                            <w:sz w:val="16"/>
                          </w:rPr>
                        </w:pPr>
                        <w:r>
                          <w:rPr>
                            <w:sz w:val="16"/>
                          </w:rPr>
                          <w:t>Organizaciones medioambientales</w:t>
                        </w:r>
                      </w:p>
                    </w:txbxContent>
                  </v:textbox>
                </v:rect>
                <v:rect id="370 Rectángulo" o:spid="_x0000_s1056" style="position:absolute;left:25275;top:39422;width:8960;height:421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7Gm8EA&#10;AADcAAAADwAAAGRycy9kb3ducmV2LnhtbERPy4rCMBTdC/MP4Qqzs6kO6FgbRQYEQRzwMftLc21L&#10;m5vSRI1+vVkIszycd74KphU36l1tWcE4SUEQF1bXXCo4nzajbxDOI2tsLZOCBzlYLT8GOWba3vlA&#10;t6MvRQxhl6GCyvsuk9IVFRl0ie2II3exvUEfYV9K3eM9hptWTtJ0Kg3WHBsq7OinoqI5Xo2C9SRc&#10;n8X+MT3P5XO8+/ttjAmNUp/DsF6A8BT8v/jt3moFX7M4P56JR0Au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xexpvBAAAA3AAAAA8AAAAAAAAAAAAAAAAAmAIAAGRycy9kb3du&#10;cmV2LnhtbFBLBQYAAAAABAAEAPUAAACGAwAAAAA=&#10;" fillcolor="white [3201]" strokecolor="#4f81bd [3204]" strokeweight="2pt">
                  <v:textbox>
                    <w:txbxContent>
                      <w:p w:rsidR="002A21E4" w:rsidRPr="008A44C4" w:rsidRDefault="002A21E4" w:rsidP="007D45AE">
                        <w:pPr>
                          <w:spacing w:after="0"/>
                          <w:jc w:val="center"/>
                          <w:rPr>
                            <w:sz w:val="16"/>
                          </w:rPr>
                        </w:pPr>
                        <w:r>
                          <w:rPr>
                            <w:sz w:val="16"/>
                          </w:rPr>
                          <w:t>Comunidades Indígenas</w:t>
                        </w:r>
                      </w:p>
                    </w:txbxContent>
                  </v:textbox>
                </v:rect>
                <v:rect id="371 Rectángulo" o:spid="_x0000_s1057" style="position:absolute;left:45029;top:27863;width:8192;height:421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JjAMQA&#10;AADcAAAADwAAAGRycy9kb3ducmV2LnhtbESP3YrCMBSE7wXfIRzBO03rgrrVKLKwsCAr+LP3h+bY&#10;ljYnpYkaffqNIHg5zMw3zHIdTCOu1LnKsoJ0nIAgzq2uuFBwOn6P5iCcR9bYWCYFd3KwXvV7S8y0&#10;vfGergdfiAhhl6GC0vs2k9LlJRl0Y9sSR+9sO4M+yq6QusNbhJtGTpJkKg1WHBdKbOmrpLw+XIyC&#10;zSRcHvnvfXr6lI90+7erjQm1UsNB2CxAeAr+HX61f7SCj1kKzzPxCMjV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MSYwDEAAAA3AAAAA8AAAAAAAAAAAAAAAAAmAIAAGRycy9k&#10;b3ducmV2LnhtbFBLBQYAAAAABAAEAPUAAACJAwAAAAA=&#10;" fillcolor="white [3201]" strokecolor="#4f81bd [3204]" strokeweight="2pt">
                  <v:textbox>
                    <w:txbxContent>
                      <w:p w:rsidR="002A21E4" w:rsidRPr="008A44C4" w:rsidRDefault="002A21E4" w:rsidP="007D45AE">
                        <w:pPr>
                          <w:spacing w:after="0"/>
                          <w:jc w:val="center"/>
                          <w:rPr>
                            <w:sz w:val="16"/>
                          </w:rPr>
                        </w:pPr>
                        <w:r>
                          <w:rPr>
                            <w:sz w:val="16"/>
                          </w:rPr>
                          <w:t>Pirquineros</w:t>
                        </w:r>
                      </w:p>
                    </w:txbxContent>
                  </v:textbox>
                </v:rect>
                <v:rect id="372 Rectángulo" o:spid="_x0000_s1058" style="position:absolute;left:25447;top:45029;width:8789;height:421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D9d8QA&#10;AADcAAAADwAAAGRycy9kb3ducmV2LnhtbESP3YrCMBSE7wXfIRzBO03tgrrVKLKwsCAr+LP3h+bY&#10;ljYnpYkaffqNIHg5zMw3zHIdTCOu1LnKsoLJOAFBnFtdcaHgdPwezUE4j6yxsUwK7uRgver3lphp&#10;e+M9XQ++EBHCLkMFpfdtJqXLSzLoxrYljt7ZdgZ9lF0hdYe3CDeNTJNkKg1WHBdKbOmrpLw+XIyC&#10;TRouj/z3Pj19ysdk+7erjQm1UsNB2CxAeAr+HX61f7SCj1kKzzPxCMjV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PA/XfEAAAA3AAAAA8AAAAAAAAAAAAAAAAAmAIAAGRycy9k&#10;b3ducmV2LnhtbFBLBQYAAAAABAAEAPUAAACJAwAAAAA=&#10;" fillcolor="white [3201]" strokecolor="#4f81bd [3204]" strokeweight="2pt">
                  <v:textbox>
                    <w:txbxContent>
                      <w:p w:rsidR="002A21E4" w:rsidRPr="008A44C4" w:rsidRDefault="002A21E4" w:rsidP="007D45AE">
                        <w:pPr>
                          <w:spacing w:after="0"/>
                          <w:jc w:val="center"/>
                          <w:rPr>
                            <w:sz w:val="16"/>
                          </w:rPr>
                        </w:pPr>
                        <w:r>
                          <w:rPr>
                            <w:sz w:val="16"/>
                          </w:rPr>
                          <w:t xml:space="preserve">Servicios Públicos </w:t>
                        </w:r>
                      </w:p>
                    </w:txbxContent>
                  </v:textbox>
                </v:rect>
                <v:rect id="373 Rectángulo" o:spid="_x0000_s1059" style="position:absolute;left:16217;top:14147;width:7671;height:421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Y7MMA&#10;AADcAAAADwAAAGRycy9kb3ducmV2LnhtbESPQYvCMBSE78L+h/AEb5qqoGs1iiwIguyC1b0/mmdb&#10;2ryUJmr0128WBI/DzHzDrDbBNOJGnassKxiPEhDEudUVFwrOp93wE4TzyBoby6TgQQ4264/eClNt&#10;73ykW+YLESHsUlRQet+mUrq8JINuZFvi6F1sZ9BH2RVSd3iPcNPISZLMpMGK40KJLX2VlNfZ1SjY&#10;TsL1mX8/ZueFfI4Pvz+1MaFWatAP2yUIT8G/w6/2XiuYzqfwfyYeAb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xY7MMAAADcAAAADwAAAAAAAAAAAAAAAACYAgAAZHJzL2Rv&#10;d25yZXYueG1sUEsFBgAAAAAEAAQA9QAAAIgDAAAAAA==&#10;" fillcolor="white [3201]" strokecolor="#4f81bd [3204]" strokeweight="2pt">
                  <v:textbox>
                    <w:txbxContent>
                      <w:p w:rsidR="002A21E4" w:rsidRPr="00BD0EEC" w:rsidRDefault="002A21E4" w:rsidP="007D45AE">
                        <w:pPr>
                          <w:spacing w:after="0"/>
                          <w:jc w:val="center"/>
                          <w:rPr>
                            <w:sz w:val="16"/>
                          </w:rPr>
                        </w:pPr>
                        <w:r w:rsidRPr="00BD0EEC">
                          <w:rPr>
                            <w:sz w:val="16"/>
                          </w:rPr>
                          <w:t>Gobiernos Nacionales</w:t>
                        </w:r>
                      </w:p>
                    </w:txbxContent>
                  </v:textbox>
                </v:rect>
                <v:line id="374 Conector recto" o:spid="_x0000_s1060" style="position:absolute;visibility:visible;mso-wrap-style:square" from="1207,26655" to="54928,266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9a6Q8UAAADcAAAADwAAAGRycy9kb3ducmV2LnhtbESP3WrCQBSE7wt9h+UUvKubVhsldZUi&#10;CCKK9YdeH7LHJDZ7NmZXk7y9KxR6OczMN8xk1ppS3Kh2hWUFb/0IBHFqdcGZguNh8ToG4TyyxtIy&#10;KejIwWz6/DTBRNuGd3Tb+0wECLsEFeTeV4mULs3JoOvbijh4J1sb9EHWmdQ1NgFuSvkeRbE0WHBY&#10;yLGieU7p7/5qFDQ/27iLaS3NeWNG3WU1j78/CqV6L+3XJwhPrf8P/7WXWsFgNITHmXAE5PQO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9a6Q8UAAADcAAAADwAAAAAAAAAA&#10;AAAAAAChAgAAZHJzL2Rvd25yZXYueG1sUEsFBgAAAAAEAAQA+QAAAJMDAAAAAA==&#10;" strokecolor="#bc4542 [3045]" strokeweight="1.5pt">
                  <v:stroke dashstyle="dash"/>
                </v:line>
                <v:rect id="375 Rectángulo" o:spid="_x0000_s1061" style="position:absolute;left:25275;top:33470;width:8960;height:421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llA8QA&#10;AADcAAAADwAAAGRycy9kb3ducmV2LnhtbESP3YrCMBSE7wXfIRzBO011WV2rUURYEJYV/Nn7Q3Ns&#10;S5uT0kSNPv1GELwcZuYbZrEKphZXal1pWcFomIAgzqwuOVdwOn4PvkA4j6yxtkwK7uRgtex2Fphq&#10;e+M9XQ8+FxHCLkUFhfdNKqXLCjLohrYhjt7ZtgZ9lG0udYu3CDe1HCfJRBosOS4U2NCmoKw6XIyC&#10;9ThcHtnvfXKaycfo529XGRMqpfq9sJ6D8BT8O/xqb7WCj+knPM/EIyC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wpZQPEAAAA3AAAAA8AAAAAAAAAAAAAAAAAmAIAAGRycy9k&#10;b3ducmV2LnhtbFBLBQYAAAAABAAEAPUAAACJAwAAAAA=&#10;" fillcolor="white [3201]" strokecolor="#4f81bd [3204]" strokeweight="2pt">
                  <v:textbox>
                    <w:txbxContent>
                      <w:p w:rsidR="002A21E4" w:rsidRPr="008A44C4" w:rsidRDefault="002A21E4" w:rsidP="007D45AE">
                        <w:pPr>
                          <w:spacing w:after="0"/>
                          <w:jc w:val="center"/>
                          <w:rPr>
                            <w:sz w:val="16"/>
                          </w:rPr>
                        </w:pPr>
                        <w:r>
                          <w:rPr>
                            <w:sz w:val="16"/>
                          </w:rPr>
                          <w:t>Agroindustria</w:t>
                        </w:r>
                      </w:p>
                    </w:txbxContent>
                  </v:textbox>
                </v:rect>
                <v:rect id="376 Rectángulo" o:spid="_x0000_s1062" style="position:absolute;left:35627;top:33556;width:8191;height:421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Pv7dMQA&#10;AADcAAAADwAAAGRycy9kb3ducmV2LnhtbESP3YrCMBSE7wXfIRzBO011obrVKLKwsCAr+LP3h+bY&#10;ljYnpYkaffqNIHg5zMw3zHIdTCOu1LnKsoLJOAFBnFtdcaHgdPwezUE4j6yxsUwK7uRgver3lphp&#10;e+M9XQ++EBHCLkMFpfdtJqXLSzLoxrYljt7ZdgZ9lF0hdYe3CDeNnCZJKg1WHBdKbOmrpLw+XIyC&#10;zTRcHvnvPT19ysdk+7erjQm1UsNB2CxAeAr+HX61f7SCj1kKzzPxCMjV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z7+3TEAAAA3AAAAA8AAAAAAAAAAAAAAAAAmAIAAGRycy9k&#10;b3ducmV2LnhtbFBLBQYAAAAABAAEAPUAAACJAwAAAAA=&#10;" fillcolor="white [3201]" strokecolor="#4f81bd [3204]" strokeweight="2pt">
                  <v:textbox>
                    <w:txbxContent>
                      <w:p w:rsidR="002A21E4" w:rsidRPr="008A44C4" w:rsidRDefault="002A21E4" w:rsidP="007D45AE">
                        <w:pPr>
                          <w:spacing w:after="0"/>
                          <w:jc w:val="center"/>
                          <w:rPr>
                            <w:sz w:val="16"/>
                          </w:rPr>
                        </w:pPr>
                        <w:r>
                          <w:rPr>
                            <w:sz w:val="16"/>
                          </w:rPr>
                          <w:t>Empresas Servicios</w:t>
                        </w:r>
                      </w:p>
                    </w:txbxContent>
                  </v:textbox>
                </v:rect>
                <v:rect id="377 Rectángulo" o:spid="_x0000_s1063" style="position:absolute;left:25275;top:14061;width:8105;height:421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7de78UA&#10;AADcAAAADwAAAGRycy9kb3ducmV2LnhtbESPzWrDMBCE74W8g9hCbo0cB5LUjRJMoFAILTQ/98Xa&#10;2sbWylhKLOfpo0Khx2FmvmE2u2BacaPe1ZYVzGcJCOLC6ppLBefT+8sahPPIGlvLpGAkB7vt5GmD&#10;mbYDf9Pt6EsRIewyVFB532VSuqIig25mO+Lo/djeoI+yL6XucYhw08o0SZbSYM1xocKO9hUVzfFq&#10;FORpuN6Lz3F5fpX3+eHy1RgTGqWmzyF/A+Ep+P/wX/tDK1isVvB7Jh4BuX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t17vxQAAANwAAAAPAAAAAAAAAAAAAAAAAJgCAABkcnMv&#10;ZG93bnJldi54bWxQSwUGAAAAAAQABAD1AAAAigMAAAAA&#10;" fillcolor="white [3201]" strokecolor="#4f81bd [3204]" strokeweight="2pt">
                  <v:textbox>
                    <w:txbxContent>
                      <w:p w:rsidR="002A21E4" w:rsidRPr="00BD0EEC" w:rsidRDefault="002A21E4" w:rsidP="007D45AE">
                        <w:pPr>
                          <w:spacing w:after="0"/>
                          <w:jc w:val="center"/>
                          <w:rPr>
                            <w:sz w:val="16"/>
                          </w:rPr>
                        </w:pPr>
                        <w:r>
                          <w:rPr>
                            <w:sz w:val="16"/>
                          </w:rPr>
                          <w:t>ONG’s</w:t>
                        </w:r>
                      </w:p>
                    </w:txbxContent>
                  </v:textbox>
                </v:rect>
                <v:rect id="378 Rectángulo" o:spid="_x0000_s1064" style="position:absolute;left:35627;top:39336;width:8363;height:421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ijKncEA&#10;AADcAAAADwAAAGRycy9kb3ducmV2LnhtbERPy4rCMBTdC/MP4Qqzs6kO6FgbRQYEQRzwMftLc21L&#10;m5vSRI1+vVkIszycd74KphU36l1tWcE4SUEQF1bXXCo4nzajbxDOI2tsLZOCBzlYLT8GOWba3vlA&#10;t6MvRQxhl6GCyvsuk9IVFRl0ie2II3exvUEfYV9K3eM9hptWTtJ0Kg3WHBsq7OinoqI5Xo2C9SRc&#10;n8X+MT3P5XO8+/ttjAmNUp/DsF6A8BT8v/jt3moFX7O4Np6JR0Au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Ioyp3BAAAA3AAAAA8AAAAAAAAAAAAAAAAAmAIAAGRycy9kb3du&#10;cmV2LnhtbFBLBQYAAAAABAAEAPUAAACGAwAAAAA=&#10;" fillcolor="white [3201]" strokecolor="#4f81bd [3204]" strokeweight="2pt">
                  <v:textbox>
                    <w:txbxContent>
                      <w:p w:rsidR="002A21E4" w:rsidRPr="008A44C4" w:rsidRDefault="002A21E4" w:rsidP="007D45AE">
                        <w:pPr>
                          <w:spacing w:after="0"/>
                          <w:jc w:val="center"/>
                          <w:rPr>
                            <w:sz w:val="16"/>
                          </w:rPr>
                        </w:pPr>
                        <w:r>
                          <w:rPr>
                            <w:sz w:val="16"/>
                          </w:rPr>
                          <w:t>Comunidades agrícolas</w:t>
                        </w:r>
                      </w:p>
                    </w:txbxContent>
                  </v:textbox>
                </v:rect>
                <v:rect id="380 Rectángulo" o:spid="_x0000_s1065" style="position:absolute;left:3019;top:4744;width:10179;height:421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yr8AA&#10;AADcAAAADwAAAGRycy9kb3ducmV2LnhtbERPzWrCQBC+F3yHZQRvdWOFVqKriEWwIEjVBxizYxLM&#10;zMbdNaZv3z0Uevz4/hernhvVkQ+1EwOTcQaKpHC2ltLA+bR9nYEKEcVi44QM/FCA1XLwssDcuqd8&#10;U3eMpUohEnI0UMXY5lqHoiLGMHYtSeKuzjPGBH2prcdnCudGv2XZu2asJTVU2NKmouJ2fLCBg71P&#10;Pj7bre/48tXt91wcPAdjRsN+PQcVqY//4j/3zhqYztL8dCYdAb38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Vyr8AAAADcAAAADwAAAAAAAAAAAAAAAACYAgAAZHJzL2Rvd25y&#10;ZXYueG1sUEsFBgAAAAAEAAQA9QAAAIUDAAAAAA==&#10;" fillcolor="white [3201]" stroked="f" strokeweight="2pt">
                  <v:textbox>
                    <w:txbxContent>
                      <w:p w:rsidR="002A21E4" w:rsidRPr="005A003A" w:rsidRDefault="002A21E4" w:rsidP="007D45AE">
                        <w:pPr>
                          <w:spacing w:after="0"/>
                          <w:jc w:val="center"/>
                          <w:rPr>
                            <w:b/>
                            <w:sz w:val="18"/>
                          </w:rPr>
                        </w:pPr>
                        <w:r w:rsidRPr="005A003A">
                          <w:rPr>
                            <w:b/>
                            <w:sz w:val="18"/>
                          </w:rPr>
                          <w:t>INTERNACIONAL</w:t>
                        </w:r>
                      </w:p>
                    </w:txbxContent>
                  </v:textbox>
                </v:rect>
                <v:rect id="381 Rectángulo" o:spid="_x0000_s1066" style="position:absolute;left:3019;top:14578;width:10179;height:421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KnXNMQA&#10;AADcAAAADwAAAGRycy9kb3ducmV2LnhtbESP3WrCQBSE7wXfYTlC73STFqqkriIWoQVB/HmA0+xp&#10;EppzNt3dxvTtuwXBy2FmvmGW64Fb1ZMPjRMD+SwDRVI620hl4HLeTRegQkSx2DohA78UYL0aj5ZY&#10;WHeVI/WnWKkEkVCggTrGrtA6lDUxhpnrSJL36TxjTNJX2nq8Jji3+jHLnjVjI2mhxo62NZVfpx82&#10;cLDf+fy12/meP977/Z7Lg+dgzMNk2LyAijTEe/jWfrMGnhY5/J9JR0Cv/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ip1zTEAAAA3AAAAA8AAAAAAAAAAAAAAAAAmAIAAGRycy9k&#10;b3ducmV2LnhtbFBLBQYAAAAABAAEAPUAAACJAwAAAAA=&#10;" fillcolor="white [3201]" stroked="f" strokeweight="2pt">
                  <v:textbox>
                    <w:txbxContent>
                      <w:p w:rsidR="002A21E4" w:rsidRPr="005A003A" w:rsidRDefault="002A21E4" w:rsidP="007D45AE">
                        <w:pPr>
                          <w:spacing w:after="0"/>
                          <w:jc w:val="center"/>
                          <w:rPr>
                            <w:b/>
                            <w:sz w:val="18"/>
                          </w:rPr>
                        </w:pPr>
                        <w:r w:rsidRPr="005A003A">
                          <w:rPr>
                            <w:b/>
                            <w:sz w:val="18"/>
                          </w:rPr>
                          <w:t>NACIONAL</w:t>
                        </w:r>
                      </w:p>
                    </w:txbxContent>
                  </v:textbox>
                </v:rect>
                <v:rect id="383 Rectángulo" o:spid="_x0000_s1067" style="position:absolute;left:3019;top:21048;width:10179;height:421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fs2MMA&#10;AADcAAAADwAAAGRycy9kb3ducmV2LnhtbESPUWvCQBCE3wv+h2MF3+pFhVZSTymKoCBI1R+w5rZJ&#10;aHYv3p0x/fe9QqGPw8x8wyxWPTeqIx9qJwYm4wwUSeFsLaWBy3n7PAcVIorFxgkZ+KYAq+XgaYG5&#10;dQ/5oO4US5UgEnI0UMXY5lqHoiLGMHYtSfI+nWeMSfpSW4+PBOdGT7PsRTPWkhYqbGldUfF1urOB&#10;o71NXjft1nd83XeHAxdHz8GY0bB/fwMVqY//4b/2zhqYzWfweyYdAb3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zfs2MMAAADcAAAADwAAAAAAAAAAAAAAAACYAgAAZHJzL2Rv&#10;d25yZXYueG1sUEsFBgAAAAAEAAQA9QAAAIgDAAAAAA==&#10;" fillcolor="white [3201]" stroked="f" strokeweight="2pt">
                  <v:textbox>
                    <w:txbxContent>
                      <w:p w:rsidR="002A21E4" w:rsidRPr="005A003A" w:rsidRDefault="002A21E4" w:rsidP="007D45AE">
                        <w:pPr>
                          <w:spacing w:after="0"/>
                          <w:jc w:val="center"/>
                          <w:rPr>
                            <w:b/>
                            <w:sz w:val="18"/>
                          </w:rPr>
                        </w:pPr>
                        <w:r w:rsidRPr="005A003A">
                          <w:rPr>
                            <w:b/>
                            <w:sz w:val="18"/>
                          </w:rPr>
                          <w:t>REGIONAL</w:t>
                        </w:r>
                      </w:p>
                    </w:txbxContent>
                  </v:textbox>
                </v:rect>
                <v:rect id="384 Rectángulo" o:spid="_x0000_s1068" style="position:absolute;left:3019;top:27949;width:10179;height:421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50rMQA&#10;AADcAAAADwAAAGRycy9kb3ducmV2LnhtbESPUWvCQBCE34X+h2MLvtWLVaqknlJaBAuCqP0B29w2&#10;Cc3upXdnTP+9Jwg+DjPzDbNY9dyojnyonRgYjzJQJIWztZQGvo7rpzmoEFEsNk7IwD8FWC0fBgvM&#10;rTvLnrpDLFWCSMjRQBVjm2sdiooYw8i1JMn7cZ4xJulLbT2eE5wb/ZxlL5qxlrRQYUvvFRW/hxMb&#10;2Nm/8eyjXfuOvz+77ZaLnedgzPCxf3sFFamP9/CtvbEGJvMpXM+kI6C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jedKzEAAAA3AAAAA8AAAAAAAAAAAAAAAAAmAIAAGRycy9k&#10;b3ducmV2LnhtbFBLBQYAAAAABAAEAPUAAACJAwAAAAA=&#10;" fillcolor="white [3201]" stroked="f" strokeweight="2pt">
                  <v:textbox>
                    <w:txbxContent>
                      <w:p w:rsidR="002A21E4" w:rsidRPr="005A003A" w:rsidRDefault="002A21E4" w:rsidP="007D45AE">
                        <w:pPr>
                          <w:spacing w:after="0"/>
                          <w:jc w:val="center"/>
                          <w:rPr>
                            <w:b/>
                            <w:sz w:val="18"/>
                          </w:rPr>
                        </w:pPr>
                        <w:r w:rsidRPr="005A003A">
                          <w:rPr>
                            <w:b/>
                            <w:sz w:val="18"/>
                          </w:rPr>
                          <w:t>LOCAL</w:t>
                        </w:r>
                      </w:p>
                    </w:txbxContent>
                  </v:textbox>
                </v:rect>
                <w10:wrap type="square"/>
              </v:group>
            </w:pict>
          </mc:Fallback>
        </mc:AlternateContent>
      </w:r>
      <w:r w:rsidRPr="002613F4">
        <w:rPr>
          <w:rFonts w:ascii="Arial" w:hAnsi="Arial" w:cs="Arial"/>
          <w:b w:val="0"/>
          <w:color w:val="000000" w:themeColor="text1"/>
          <w:sz w:val="22"/>
        </w:rPr>
        <w:t xml:space="preserve">Figura </w:t>
      </w:r>
      <w:r w:rsidRPr="002613F4">
        <w:rPr>
          <w:rFonts w:ascii="Arial" w:hAnsi="Arial" w:cs="Arial"/>
          <w:b w:val="0"/>
          <w:color w:val="000000" w:themeColor="text1"/>
          <w:sz w:val="22"/>
        </w:rPr>
        <w:fldChar w:fldCharType="begin"/>
      </w:r>
      <w:r w:rsidRPr="002613F4">
        <w:rPr>
          <w:rFonts w:ascii="Arial" w:hAnsi="Arial" w:cs="Arial"/>
          <w:b w:val="0"/>
          <w:color w:val="000000" w:themeColor="text1"/>
          <w:sz w:val="22"/>
        </w:rPr>
        <w:instrText xml:space="preserve"> SEQ Figura \* ARABIC </w:instrText>
      </w:r>
      <w:r w:rsidRPr="002613F4">
        <w:rPr>
          <w:rFonts w:ascii="Arial" w:hAnsi="Arial" w:cs="Arial"/>
          <w:b w:val="0"/>
          <w:color w:val="000000" w:themeColor="text1"/>
          <w:sz w:val="22"/>
        </w:rPr>
        <w:fldChar w:fldCharType="separate"/>
      </w:r>
      <w:r w:rsidR="00225844">
        <w:rPr>
          <w:rFonts w:ascii="Arial" w:hAnsi="Arial" w:cs="Arial"/>
          <w:b w:val="0"/>
          <w:noProof/>
          <w:color w:val="000000" w:themeColor="text1"/>
          <w:sz w:val="22"/>
        </w:rPr>
        <w:t>2</w:t>
      </w:r>
      <w:r w:rsidRPr="002613F4">
        <w:rPr>
          <w:rFonts w:ascii="Arial" w:hAnsi="Arial" w:cs="Arial"/>
          <w:b w:val="0"/>
          <w:color w:val="000000" w:themeColor="text1"/>
          <w:sz w:val="22"/>
        </w:rPr>
        <w:fldChar w:fldCharType="end"/>
      </w:r>
      <w:r w:rsidRPr="002613F4">
        <w:rPr>
          <w:rFonts w:ascii="Arial" w:hAnsi="Arial" w:cs="Arial"/>
          <w:b w:val="0"/>
          <w:color w:val="000000" w:themeColor="text1"/>
          <w:sz w:val="22"/>
        </w:rPr>
        <w:t xml:space="preserve">: Esquema de actores sociales según escala de análisis territorial (Adaptado de </w:t>
      </w:r>
      <w:sdt>
        <w:sdtPr>
          <w:rPr>
            <w:rFonts w:ascii="Arial" w:hAnsi="Arial" w:cs="Arial"/>
            <w:b w:val="0"/>
            <w:color w:val="000000" w:themeColor="text1"/>
            <w:sz w:val="22"/>
          </w:rPr>
          <w:id w:val="-260225470"/>
          <w:citation/>
        </w:sdtPr>
        <w:sdtEndPr/>
        <w:sdtContent>
          <w:r w:rsidRPr="002613F4">
            <w:rPr>
              <w:rFonts w:ascii="Arial" w:hAnsi="Arial" w:cs="Arial"/>
              <w:b w:val="0"/>
              <w:color w:val="000000" w:themeColor="text1"/>
              <w:sz w:val="22"/>
            </w:rPr>
            <w:fldChar w:fldCharType="begin"/>
          </w:r>
          <w:r w:rsidRPr="002613F4">
            <w:rPr>
              <w:rFonts w:ascii="Arial" w:hAnsi="Arial" w:cs="Arial"/>
              <w:b w:val="0"/>
              <w:color w:val="000000" w:themeColor="text1"/>
              <w:sz w:val="22"/>
            </w:rPr>
            <w:instrText xml:space="preserve"> CITATION Gas16 \l 13322 </w:instrText>
          </w:r>
          <w:r w:rsidRPr="002613F4">
            <w:rPr>
              <w:rFonts w:ascii="Arial" w:hAnsi="Arial" w:cs="Arial"/>
              <w:b w:val="0"/>
              <w:color w:val="000000" w:themeColor="text1"/>
              <w:sz w:val="22"/>
            </w:rPr>
            <w:fldChar w:fldCharType="separate"/>
          </w:r>
          <w:r w:rsidR="008D0261" w:rsidRPr="002613F4">
            <w:rPr>
              <w:rFonts w:ascii="Arial" w:hAnsi="Arial" w:cs="Arial"/>
              <w:b w:val="0"/>
              <w:noProof/>
              <w:color w:val="000000" w:themeColor="text1"/>
              <w:sz w:val="22"/>
            </w:rPr>
            <w:t>(Gastó, Gálvez, Subercauseaux, &amp; Fuentes, 2015)</w:t>
          </w:r>
          <w:r w:rsidRPr="002613F4">
            <w:rPr>
              <w:rFonts w:ascii="Arial" w:hAnsi="Arial" w:cs="Arial"/>
              <w:b w:val="0"/>
              <w:color w:val="000000" w:themeColor="text1"/>
              <w:sz w:val="22"/>
            </w:rPr>
            <w:fldChar w:fldCharType="end"/>
          </w:r>
        </w:sdtContent>
      </w:sdt>
    </w:p>
    <w:p w:rsidR="007D45AE" w:rsidRPr="000E0F90" w:rsidRDefault="007D45AE" w:rsidP="007D45AE">
      <w:pPr>
        <w:rPr>
          <w:rFonts w:ascii="Arial" w:hAnsi="Arial" w:cs="Arial"/>
          <w:color w:val="000000" w:themeColor="text1"/>
        </w:rPr>
      </w:pPr>
      <w:r w:rsidRPr="000E0F90">
        <w:rPr>
          <w:rFonts w:ascii="Arial" w:hAnsi="Arial" w:cs="Arial"/>
          <w:noProof/>
          <w:color w:val="000000" w:themeColor="text1"/>
          <w:lang w:eastAsia="es-CL"/>
        </w:rPr>
        <w:t xml:space="preserve"> </w:t>
      </w:r>
    </w:p>
    <w:p w:rsidR="001B3A2A" w:rsidRPr="000E0F90" w:rsidRDefault="00FA7890" w:rsidP="00B64699">
      <w:pPr>
        <w:rPr>
          <w:rFonts w:ascii="Arial" w:hAnsi="Arial" w:cs="Arial"/>
          <w:color w:val="000000" w:themeColor="text1"/>
        </w:rPr>
      </w:pPr>
      <w:r w:rsidRPr="000E0F90">
        <w:rPr>
          <w:rFonts w:ascii="Arial" w:hAnsi="Arial" w:cs="Arial"/>
          <w:noProof/>
          <w:color w:val="000000" w:themeColor="text1"/>
          <w:lang w:eastAsia="es-CL"/>
        </w:rPr>
        <w:lastRenderedPageBreak/>
        <mc:AlternateContent>
          <mc:Choice Requires="wps">
            <w:drawing>
              <wp:anchor distT="0" distB="0" distL="114300" distR="114300" simplePos="0" relativeHeight="251949056" behindDoc="0" locked="0" layoutInCell="1" allowOverlap="1" wp14:anchorId="6AF9CEE1" wp14:editId="0C828960">
                <wp:simplePos x="0" y="0"/>
                <wp:positionH relativeFrom="column">
                  <wp:posOffset>2271212</wp:posOffset>
                </wp:positionH>
                <wp:positionV relativeFrom="paragraph">
                  <wp:posOffset>-19685</wp:posOffset>
                </wp:positionV>
                <wp:extent cx="821055" cy="431800"/>
                <wp:effectExtent l="57150" t="38100" r="74295" b="101600"/>
                <wp:wrapNone/>
                <wp:docPr id="16" name="16 Rectángulo redondeado"/>
                <wp:cNvGraphicFramePr/>
                <a:graphic xmlns:a="http://schemas.openxmlformats.org/drawingml/2006/main">
                  <a:graphicData uri="http://schemas.microsoft.com/office/word/2010/wordprocessingShape">
                    <wps:wsp>
                      <wps:cNvSpPr/>
                      <wps:spPr>
                        <a:xfrm>
                          <a:off x="0" y="0"/>
                          <a:ext cx="821055" cy="431800"/>
                        </a:xfrm>
                        <a:prstGeom prst="roundRect">
                          <a:avLst/>
                        </a:prstGeom>
                      </wps:spPr>
                      <wps:style>
                        <a:lnRef idx="1">
                          <a:schemeClr val="dk1"/>
                        </a:lnRef>
                        <a:fillRef idx="2">
                          <a:schemeClr val="dk1"/>
                        </a:fillRef>
                        <a:effectRef idx="1">
                          <a:schemeClr val="dk1"/>
                        </a:effectRef>
                        <a:fontRef idx="minor">
                          <a:schemeClr val="dk1"/>
                        </a:fontRef>
                      </wps:style>
                      <wps:txbx>
                        <w:txbxContent>
                          <w:p w:rsidR="002A21E4" w:rsidRDefault="002A21E4" w:rsidP="00FA7890">
                            <w:pPr>
                              <w:spacing w:after="0"/>
                              <w:jc w:val="center"/>
                            </w:pPr>
                            <w:r>
                              <w:t>Estado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16 Rectángulo redondeado" o:spid="_x0000_s1069" style="position:absolute;left:0;text-align:left;margin-left:178.85pt;margin-top:-1.55pt;width:64.65pt;height:34pt;z-index:2519490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" fillcolor="gray [1616]" strokecolor="black [3040]">
                <v:fill color2="#d9d9d9 [496]" rotate="t" angle="180" colors="0 #bcbcbc;22938f #d0d0d0;1 #ededed" focus="100%" type="gradient"/>
                <v:shadow on="t" color="black" opacity="24903f" origin=",.5" offset="0,.55556mm"/>
                <v:textbox>
                  <w:txbxContent>
                    <w:p w:rsidR="002A21E4" w:rsidRDefault="002A21E4" w:rsidP="00FA7890">
                      <w:pPr>
                        <w:spacing w:after="0"/>
                        <w:jc w:val="center"/>
                      </w:pPr>
                      <w:r>
                        <w:t>Estado</w:t>
                      </w:r>
                    </w:p>
                  </w:txbxContent>
                </v:textbox>
              </v:roundrect>
            </w:pict>
          </mc:Fallback>
        </mc:AlternateContent>
      </w:r>
    </w:p>
    <w:bookmarkStart w:id="8" w:name="_Toc422411565"/>
    <w:p w:rsidR="00FA7890" w:rsidRPr="000E0F90" w:rsidRDefault="00FA7890" w:rsidP="00725053">
      <w:pPr>
        <w:pStyle w:val="Epgrafe"/>
        <w:jc w:val="center"/>
        <w:rPr>
          <w:rFonts w:ascii="Arial" w:hAnsi="Arial" w:cs="Arial"/>
          <w:color w:val="000000" w:themeColor="text1"/>
          <w:sz w:val="22"/>
        </w:rPr>
      </w:pPr>
      <w:r w:rsidRPr="000E0F90">
        <w:rPr>
          <w:rFonts w:ascii="Arial" w:hAnsi="Arial" w:cs="Arial"/>
          <w:noProof/>
          <w:color w:val="000000" w:themeColor="text1"/>
          <w:sz w:val="22"/>
          <w:lang w:eastAsia="es-CL"/>
        </w:rPr>
        <mc:AlternateContent>
          <mc:Choice Requires="wps">
            <w:drawing>
              <wp:anchor distT="0" distB="0" distL="114300" distR="114300" simplePos="0" relativeHeight="251955200" behindDoc="0" locked="0" layoutInCell="1" allowOverlap="1" wp14:anchorId="7F4217D0" wp14:editId="259891C8">
                <wp:simplePos x="0" y="0"/>
                <wp:positionH relativeFrom="column">
                  <wp:posOffset>1320800</wp:posOffset>
                </wp:positionH>
                <wp:positionV relativeFrom="paragraph">
                  <wp:posOffset>137795</wp:posOffset>
                </wp:positionV>
                <wp:extent cx="2731135" cy="1657350"/>
                <wp:effectExtent l="0" t="0" r="12065" b="19050"/>
                <wp:wrapNone/>
                <wp:docPr id="40" name="40 Triángulo isósceles"/>
                <wp:cNvGraphicFramePr/>
                <a:graphic xmlns:a="http://schemas.openxmlformats.org/drawingml/2006/main">
                  <a:graphicData uri="http://schemas.microsoft.com/office/word/2010/wordprocessingShape">
                    <wps:wsp>
                      <wps:cNvSpPr/>
                      <wps:spPr>
                        <a:xfrm>
                          <a:off x="0" y="0"/>
                          <a:ext cx="2731135" cy="1657350"/>
                        </a:xfrm>
                        <a:prstGeom prst="triangle">
                          <a:avLst/>
                        </a:prstGeom>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40 Triángulo isósceles" o:spid="_x0000_s1026" type="#_x0000_t5" style="position:absolute;margin-left:104pt;margin-top:10.85pt;width:215.05pt;height:130.5pt;z-index:251955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" fillcolor="white [3201]" strokecolor="black [3200]" strokeweight="1pt"/>
            </w:pict>
          </mc:Fallback>
        </mc:AlternateContent>
      </w:r>
    </w:p>
    <w:p w:rsidR="00FA7890" w:rsidRPr="000E0F90" w:rsidRDefault="00FA7890" w:rsidP="00725053">
      <w:pPr>
        <w:pStyle w:val="Epgrafe"/>
        <w:jc w:val="center"/>
        <w:rPr>
          <w:rFonts w:ascii="Arial" w:hAnsi="Arial" w:cs="Arial"/>
          <w:color w:val="000000" w:themeColor="text1"/>
          <w:sz w:val="22"/>
        </w:rPr>
      </w:pPr>
    </w:p>
    <w:p w:rsidR="00FA7890" w:rsidRPr="000E0F90" w:rsidRDefault="00FA7890" w:rsidP="00725053">
      <w:pPr>
        <w:pStyle w:val="Epgrafe"/>
        <w:jc w:val="center"/>
        <w:rPr>
          <w:rFonts w:ascii="Arial" w:hAnsi="Arial" w:cs="Arial"/>
          <w:color w:val="000000" w:themeColor="text1"/>
          <w:sz w:val="22"/>
        </w:rPr>
      </w:pPr>
      <w:r w:rsidRPr="000E0F90">
        <w:rPr>
          <w:rFonts w:ascii="Arial" w:hAnsi="Arial" w:cs="Arial"/>
          <w:noProof/>
          <w:color w:val="000000" w:themeColor="text1"/>
          <w:sz w:val="22"/>
          <w:lang w:eastAsia="es-CL"/>
        </w:rPr>
        <mc:AlternateContent>
          <mc:Choice Requires="wps">
            <w:drawing>
              <wp:anchor distT="0" distB="0" distL="114300" distR="114300" simplePos="0" relativeHeight="251956224" behindDoc="0" locked="0" layoutInCell="1" allowOverlap="1" wp14:anchorId="691D6BDD" wp14:editId="28BFDEB2">
                <wp:simplePos x="0" y="0"/>
                <wp:positionH relativeFrom="column">
                  <wp:posOffset>1744980</wp:posOffset>
                </wp:positionH>
                <wp:positionV relativeFrom="paragraph">
                  <wp:posOffset>19050</wp:posOffset>
                </wp:positionV>
                <wp:extent cx="1914525" cy="1238250"/>
                <wp:effectExtent l="0" t="0" r="0" b="0"/>
                <wp:wrapNone/>
                <wp:docPr id="333" name="333 Rectángulo"/>
                <wp:cNvGraphicFramePr/>
                <a:graphic xmlns:a="http://schemas.openxmlformats.org/drawingml/2006/main">
                  <a:graphicData uri="http://schemas.microsoft.com/office/word/2010/wordprocessingShape">
                    <wps:wsp>
                      <wps:cNvSpPr/>
                      <wps:spPr>
                        <a:xfrm>
                          <a:off x="0" y="0"/>
                          <a:ext cx="1914525" cy="1238250"/>
                        </a:xfrm>
                        <a:prstGeom prst="rect">
                          <a:avLst/>
                        </a:prstGeom>
                        <a:noFill/>
                        <a:ln w="12700">
                          <a:noFill/>
                        </a:ln>
                      </wps:spPr>
                      <wps:style>
                        <a:lnRef idx="2">
                          <a:schemeClr val="dk1"/>
                        </a:lnRef>
                        <a:fillRef idx="1">
                          <a:schemeClr val="lt1"/>
                        </a:fillRef>
                        <a:effectRef idx="0">
                          <a:schemeClr val="dk1"/>
                        </a:effectRef>
                        <a:fontRef idx="minor">
                          <a:schemeClr val="dk1"/>
                        </a:fontRef>
                      </wps:style>
                      <wps:txbx>
                        <w:txbxContent>
                          <w:p w:rsidR="002A21E4" w:rsidRDefault="002A21E4" w:rsidP="00FA7890">
                            <w:pPr>
                              <w:spacing w:after="0" w:line="240" w:lineRule="auto"/>
                              <w:jc w:val="center"/>
                              <w:rPr>
                                <w:sz w:val="20"/>
                              </w:rPr>
                            </w:pPr>
                            <w:r>
                              <w:rPr>
                                <w:sz w:val="20"/>
                              </w:rPr>
                              <w:t>Gobernanza</w:t>
                            </w:r>
                          </w:p>
                          <w:p w:rsidR="002A21E4" w:rsidRDefault="002A21E4" w:rsidP="00FA7890">
                            <w:pPr>
                              <w:spacing w:after="0" w:line="240" w:lineRule="auto"/>
                              <w:jc w:val="center"/>
                              <w:rPr>
                                <w:sz w:val="20"/>
                              </w:rPr>
                            </w:pPr>
                            <w:r>
                              <w:rPr>
                                <w:sz w:val="20"/>
                              </w:rPr>
                              <w:t>Desarrollo Local</w:t>
                            </w:r>
                          </w:p>
                          <w:p w:rsidR="002A21E4" w:rsidRDefault="002A21E4" w:rsidP="00B64699">
                            <w:pPr>
                              <w:spacing w:after="0" w:line="240" w:lineRule="auto"/>
                              <w:jc w:val="center"/>
                              <w:rPr>
                                <w:sz w:val="20"/>
                              </w:rPr>
                            </w:pPr>
                            <w:r>
                              <w:rPr>
                                <w:sz w:val="20"/>
                              </w:rPr>
                              <w:t>Licencia Social para Operar</w:t>
                            </w:r>
                          </w:p>
                          <w:p w:rsidR="002A21E4" w:rsidRDefault="002A21E4" w:rsidP="00B64699">
                            <w:pPr>
                              <w:spacing w:after="0" w:line="240" w:lineRule="auto"/>
                              <w:jc w:val="center"/>
                              <w:rPr>
                                <w:sz w:val="20"/>
                              </w:rPr>
                            </w:pPr>
                            <w:r>
                              <w:rPr>
                                <w:sz w:val="20"/>
                              </w:rPr>
                              <w:t>Aspectos Laborales</w:t>
                            </w:r>
                          </w:p>
                          <w:p w:rsidR="002A21E4" w:rsidRDefault="002A21E4" w:rsidP="00B64699">
                            <w:pPr>
                              <w:spacing w:after="0" w:line="240" w:lineRule="auto"/>
                              <w:jc w:val="center"/>
                              <w:rPr>
                                <w:sz w:val="20"/>
                              </w:rPr>
                            </w:pPr>
                            <w:r>
                              <w:rPr>
                                <w:sz w:val="20"/>
                              </w:rPr>
                              <w:t>Asuntos aborígenes</w:t>
                            </w:r>
                          </w:p>
                          <w:p w:rsidR="002A21E4" w:rsidRDefault="002A21E4" w:rsidP="00B64699">
                            <w:pPr>
                              <w:spacing w:after="0" w:line="240" w:lineRule="auto"/>
                              <w:jc w:val="center"/>
                              <w:rPr>
                                <w:sz w:val="20"/>
                              </w:rPr>
                            </w:pPr>
                            <w:r>
                              <w:rPr>
                                <w:sz w:val="20"/>
                              </w:rPr>
                              <w:t>Regulación y fiscalización</w:t>
                            </w:r>
                          </w:p>
                          <w:p w:rsidR="002A21E4" w:rsidRDefault="002A21E4" w:rsidP="00B64699">
                            <w:pPr>
                              <w:spacing w:after="0" w:line="240" w:lineRule="auto"/>
                              <w:jc w:val="center"/>
                              <w:rPr>
                                <w:sz w:val="20"/>
                              </w:rPr>
                            </w:pPr>
                            <w:r>
                              <w:rPr>
                                <w:sz w:val="20"/>
                              </w:rPr>
                              <w:t>Aspectos culturales y estéticos</w:t>
                            </w:r>
                          </w:p>
                          <w:p w:rsidR="002A21E4" w:rsidRPr="00254B53" w:rsidRDefault="002A21E4" w:rsidP="00B64699">
                            <w:pPr>
                              <w:spacing w:after="0" w:line="240" w:lineRule="auto"/>
                              <w:jc w:val="center"/>
                              <w:rPr>
                                <w:sz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333 Rectángulo" o:spid="_x0000_s1070" style="position:absolute;left:0;text-align:left;margin-left:137.4pt;margin-top:1.5pt;width:150.75pt;height:97.5pt;z-index:25195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" filled="f" stroked="f" strokeweight="1pt">
                <v:textbox>
                  <w:txbxContent>
                    <w:p w:rsidR="002A21E4" w:rsidRDefault="002A21E4" w:rsidP="00FA7890">
                      <w:pPr>
                        <w:spacing w:after="0" w:line="240" w:lineRule="auto"/>
                        <w:jc w:val="center"/>
                        <w:rPr>
                          <w:sz w:val="20"/>
                        </w:rPr>
                      </w:pPr>
                      <w:r>
                        <w:rPr>
                          <w:sz w:val="20"/>
                        </w:rPr>
                        <w:t>Gobernanza</w:t>
                      </w:r>
                    </w:p>
                    <w:p w:rsidR="002A21E4" w:rsidRDefault="002A21E4" w:rsidP="00FA7890">
                      <w:pPr>
                        <w:spacing w:after="0" w:line="240" w:lineRule="auto"/>
                        <w:jc w:val="center"/>
                        <w:rPr>
                          <w:sz w:val="20"/>
                        </w:rPr>
                      </w:pPr>
                      <w:r>
                        <w:rPr>
                          <w:sz w:val="20"/>
                        </w:rPr>
                        <w:t>Desarrollo Local</w:t>
                      </w:r>
                    </w:p>
                    <w:p w:rsidR="002A21E4" w:rsidRDefault="002A21E4" w:rsidP="00B64699">
                      <w:pPr>
                        <w:spacing w:after="0" w:line="240" w:lineRule="auto"/>
                        <w:jc w:val="center"/>
                        <w:rPr>
                          <w:sz w:val="20"/>
                        </w:rPr>
                      </w:pPr>
                      <w:r>
                        <w:rPr>
                          <w:sz w:val="20"/>
                        </w:rPr>
                        <w:t>Licencia Social para Operar</w:t>
                      </w:r>
                    </w:p>
                    <w:p w:rsidR="002A21E4" w:rsidRDefault="002A21E4" w:rsidP="00B64699">
                      <w:pPr>
                        <w:spacing w:after="0" w:line="240" w:lineRule="auto"/>
                        <w:jc w:val="center"/>
                        <w:rPr>
                          <w:sz w:val="20"/>
                        </w:rPr>
                      </w:pPr>
                      <w:r>
                        <w:rPr>
                          <w:sz w:val="20"/>
                        </w:rPr>
                        <w:t>Aspectos Laborales</w:t>
                      </w:r>
                    </w:p>
                    <w:p w:rsidR="002A21E4" w:rsidRDefault="002A21E4" w:rsidP="00B64699">
                      <w:pPr>
                        <w:spacing w:after="0" w:line="240" w:lineRule="auto"/>
                        <w:jc w:val="center"/>
                        <w:rPr>
                          <w:sz w:val="20"/>
                        </w:rPr>
                      </w:pPr>
                      <w:r>
                        <w:rPr>
                          <w:sz w:val="20"/>
                        </w:rPr>
                        <w:t>Asuntos aborígenes</w:t>
                      </w:r>
                    </w:p>
                    <w:p w:rsidR="002A21E4" w:rsidRDefault="002A21E4" w:rsidP="00B64699">
                      <w:pPr>
                        <w:spacing w:after="0" w:line="240" w:lineRule="auto"/>
                        <w:jc w:val="center"/>
                        <w:rPr>
                          <w:sz w:val="20"/>
                        </w:rPr>
                      </w:pPr>
                      <w:r>
                        <w:rPr>
                          <w:sz w:val="20"/>
                        </w:rPr>
                        <w:t>Regulación y fiscalización</w:t>
                      </w:r>
                    </w:p>
                    <w:p w:rsidR="002A21E4" w:rsidRDefault="002A21E4" w:rsidP="00B64699">
                      <w:pPr>
                        <w:spacing w:after="0" w:line="240" w:lineRule="auto"/>
                        <w:jc w:val="center"/>
                        <w:rPr>
                          <w:sz w:val="20"/>
                        </w:rPr>
                      </w:pPr>
                      <w:r>
                        <w:rPr>
                          <w:sz w:val="20"/>
                        </w:rPr>
                        <w:t>Aspectos culturales y estéticos</w:t>
                      </w:r>
                    </w:p>
                    <w:p w:rsidR="002A21E4" w:rsidRPr="00254B53" w:rsidRDefault="002A21E4" w:rsidP="00B64699">
                      <w:pPr>
                        <w:spacing w:after="0" w:line="240" w:lineRule="auto"/>
                        <w:jc w:val="center"/>
                        <w:rPr>
                          <w:sz w:val="20"/>
                        </w:rPr>
                      </w:pPr>
                    </w:p>
                  </w:txbxContent>
                </v:textbox>
              </v:rect>
            </w:pict>
          </mc:Fallback>
        </mc:AlternateContent>
      </w:r>
    </w:p>
    <w:p w:rsidR="00FA7890" w:rsidRPr="000E0F90" w:rsidRDefault="00FA7890" w:rsidP="00725053">
      <w:pPr>
        <w:pStyle w:val="Epgrafe"/>
        <w:jc w:val="center"/>
        <w:rPr>
          <w:rFonts w:ascii="Arial" w:hAnsi="Arial" w:cs="Arial"/>
          <w:color w:val="000000" w:themeColor="text1"/>
          <w:sz w:val="22"/>
        </w:rPr>
      </w:pPr>
    </w:p>
    <w:p w:rsidR="00FA7890" w:rsidRPr="000E0F90" w:rsidRDefault="00FA7890" w:rsidP="00725053">
      <w:pPr>
        <w:pStyle w:val="Epgrafe"/>
        <w:jc w:val="center"/>
        <w:rPr>
          <w:rFonts w:ascii="Arial" w:hAnsi="Arial" w:cs="Arial"/>
          <w:color w:val="000000" w:themeColor="text1"/>
          <w:sz w:val="22"/>
        </w:rPr>
      </w:pPr>
    </w:p>
    <w:p w:rsidR="00FA7890" w:rsidRPr="000E0F90" w:rsidRDefault="007D45AE" w:rsidP="00725053">
      <w:pPr>
        <w:pStyle w:val="Epgrafe"/>
        <w:jc w:val="center"/>
        <w:rPr>
          <w:rFonts w:ascii="Arial" w:hAnsi="Arial" w:cs="Arial"/>
          <w:color w:val="000000" w:themeColor="text1"/>
          <w:sz w:val="22"/>
        </w:rPr>
      </w:pPr>
      <w:r w:rsidRPr="000E0F90">
        <w:rPr>
          <w:rFonts w:ascii="Arial" w:hAnsi="Arial" w:cs="Arial"/>
          <w:noProof/>
          <w:color w:val="000000" w:themeColor="text1"/>
          <w:sz w:val="22"/>
          <w:lang w:eastAsia="es-CL"/>
        </w:rPr>
        <mc:AlternateContent>
          <mc:Choice Requires="wps">
            <w:drawing>
              <wp:anchor distT="0" distB="0" distL="114300" distR="114300" simplePos="0" relativeHeight="251953152" behindDoc="0" locked="0" layoutInCell="1" allowOverlap="1" wp14:anchorId="63CF0B3C" wp14:editId="18EEDBF5">
                <wp:simplePos x="0" y="0"/>
                <wp:positionH relativeFrom="column">
                  <wp:posOffset>420370</wp:posOffset>
                </wp:positionH>
                <wp:positionV relativeFrom="paragraph">
                  <wp:posOffset>78105</wp:posOffset>
                </wp:positionV>
                <wp:extent cx="821055" cy="431800"/>
                <wp:effectExtent l="57150" t="38100" r="74295" b="101600"/>
                <wp:wrapNone/>
                <wp:docPr id="34" name="34 Rectángulo redondeado"/>
                <wp:cNvGraphicFramePr/>
                <a:graphic xmlns:a="http://schemas.openxmlformats.org/drawingml/2006/main">
                  <a:graphicData uri="http://schemas.microsoft.com/office/word/2010/wordprocessingShape">
                    <wps:wsp>
                      <wps:cNvSpPr/>
                      <wps:spPr>
                        <a:xfrm>
                          <a:off x="0" y="0"/>
                          <a:ext cx="821055" cy="431800"/>
                        </a:xfrm>
                        <a:prstGeom prst="roundRect">
                          <a:avLst/>
                        </a:prstGeom>
                      </wps:spPr>
                      <wps:style>
                        <a:lnRef idx="1">
                          <a:schemeClr val="dk1"/>
                        </a:lnRef>
                        <a:fillRef idx="2">
                          <a:schemeClr val="dk1"/>
                        </a:fillRef>
                        <a:effectRef idx="1">
                          <a:schemeClr val="dk1"/>
                        </a:effectRef>
                        <a:fontRef idx="minor">
                          <a:schemeClr val="dk1"/>
                        </a:fontRef>
                      </wps:style>
                      <wps:txbx>
                        <w:txbxContent>
                          <w:p w:rsidR="002A21E4" w:rsidRPr="00FA7890" w:rsidRDefault="002A21E4" w:rsidP="00FA7890">
                            <w:pPr>
                              <w:spacing w:after="0" w:line="240" w:lineRule="auto"/>
                              <w:jc w:val="center"/>
                              <w:rPr>
                                <w:sz w:val="20"/>
                              </w:rPr>
                            </w:pPr>
                            <w:r>
                              <w:rPr>
                                <w:sz w:val="20"/>
                              </w:rPr>
                              <w:t>Compañías Mineras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34 Rectángulo redondeado" o:spid="_x0000_s1071" style="position:absolute;left:0;text-align:left;margin-left:33.1pt;margin-top:6.15pt;width:64.65pt;height:34pt;z-index:251953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" fillcolor="gray [1616]" strokecolor="black [3040]">
                <v:fill color2="#d9d9d9 [496]" rotate="t" angle="180" colors="0 #bcbcbc;22938f #d0d0d0;1 #ededed" focus="100%" type="gradient"/>
                <v:shadow on="t" color="black" opacity="24903f" origin=",.5" offset="0,.55556mm"/>
                <v:textbox>
                  <w:txbxContent>
                    <w:p w:rsidR="002A21E4" w:rsidRPr="00FA7890" w:rsidRDefault="002A21E4" w:rsidP="00FA7890">
                      <w:pPr>
                        <w:spacing w:after="0" w:line="240" w:lineRule="auto"/>
                        <w:jc w:val="center"/>
                        <w:rPr>
                          <w:sz w:val="20"/>
                        </w:rPr>
                      </w:pPr>
                      <w:r>
                        <w:rPr>
                          <w:sz w:val="20"/>
                        </w:rPr>
                        <w:t>Compañías Mineras</w:t>
                      </w:r>
                    </w:p>
                  </w:txbxContent>
                </v:textbox>
              </v:roundrect>
            </w:pict>
          </mc:Fallback>
        </mc:AlternateContent>
      </w:r>
      <w:r w:rsidRPr="000E0F90">
        <w:rPr>
          <w:rFonts w:ascii="Arial" w:hAnsi="Arial" w:cs="Arial"/>
          <w:noProof/>
          <w:color w:val="000000" w:themeColor="text1"/>
          <w:sz w:val="22"/>
          <w:lang w:eastAsia="es-CL"/>
        </w:rPr>
        <mc:AlternateContent>
          <mc:Choice Requires="wps">
            <w:drawing>
              <wp:anchor distT="0" distB="0" distL="114300" distR="114300" simplePos="0" relativeHeight="251951104" behindDoc="0" locked="0" layoutInCell="1" allowOverlap="1" wp14:anchorId="1E7913B5" wp14:editId="25F5C818">
                <wp:simplePos x="0" y="0"/>
                <wp:positionH relativeFrom="column">
                  <wp:posOffset>4116705</wp:posOffset>
                </wp:positionH>
                <wp:positionV relativeFrom="paragraph">
                  <wp:posOffset>84455</wp:posOffset>
                </wp:positionV>
                <wp:extent cx="821055" cy="431800"/>
                <wp:effectExtent l="57150" t="38100" r="74295" b="101600"/>
                <wp:wrapNone/>
                <wp:docPr id="31" name="31 Rectángulo redondeado"/>
                <wp:cNvGraphicFramePr/>
                <a:graphic xmlns:a="http://schemas.openxmlformats.org/drawingml/2006/main">
                  <a:graphicData uri="http://schemas.microsoft.com/office/word/2010/wordprocessingShape">
                    <wps:wsp>
                      <wps:cNvSpPr/>
                      <wps:spPr>
                        <a:xfrm>
                          <a:off x="0" y="0"/>
                          <a:ext cx="821055" cy="431800"/>
                        </a:xfrm>
                        <a:prstGeom prst="roundRect">
                          <a:avLst/>
                        </a:prstGeom>
                      </wps:spPr>
                      <wps:style>
                        <a:lnRef idx="1">
                          <a:schemeClr val="dk1"/>
                        </a:lnRef>
                        <a:fillRef idx="2">
                          <a:schemeClr val="dk1"/>
                        </a:fillRef>
                        <a:effectRef idx="1">
                          <a:schemeClr val="dk1"/>
                        </a:effectRef>
                        <a:fontRef idx="minor">
                          <a:schemeClr val="dk1"/>
                        </a:fontRef>
                      </wps:style>
                      <wps:txbx>
                        <w:txbxContent>
                          <w:p w:rsidR="002A21E4" w:rsidRPr="00FA7890" w:rsidRDefault="002A21E4" w:rsidP="00FA7890">
                            <w:pPr>
                              <w:spacing w:after="0" w:line="240" w:lineRule="auto"/>
                              <w:jc w:val="center"/>
                              <w:rPr>
                                <w:sz w:val="20"/>
                              </w:rPr>
                            </w:pPr>
                            <w:r w:rsidRPr="00FA7890">
                              <w:rPr>
                                <w:sz w:val="20"/>
                              </w:rPr>
                              <w:t>Sociedad Civil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31 Rectángulo redondeado" o:spid="_x0000_s1072" style="position:absolute;left:0;text-align:left;margin-left:324.15pt;margin-top:6.65pt;width:64.65pt;height:34pt;z-index:2519511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" fillcolor="gray [1616]" strokecolor="black [3040]">
                <v:fill color2="#d9d9d9 [496]" rotate="t" angle="180" colors="0 #bcbcbc;22938f #d0d0d0;1 #ededed" focus="100%" type="gradient"/>
                <v:shadow on="t" color="black" opacity="24903f" origin=",.5" offset="0,.55556mm"/>
                <v:textbox>
                  <w:txbxContent>
                    <w:p w:rsidR="002A21E4" w:rsidRPr="00FA7890" w:rsidRDefault="002A21E4" w:rsidP="00FA7890">
                      <w:pPr>
                        <w:spacing w:after="0" w:line="240" w:lineRule="auto"/>
                        <w:jc w:val="center"/>
                        <w:rPr>
                          <w:sz w:val="20"/>
                        </w:rPr>
                      </w:pPr>
                      <w:r w:rsidRPr="00FA7890">
                        <w:rPr>
                          <w:sz w:val="20"/>
                        </w:rPr>
                        <w:t>Sociedad Civil</w:t>
                      </w:r>
                    </w:p>
                  </w:txbxContent>
                </v:textbox>
              </v:roundrect>
            </w:pict>
          </mc:Fallback>
        </mc:AlternateContent>
      </w:r>
    </w:p>
    <w:p w:rsidR="00FA7890" w:rsidRPr="000E0F90" w:rsidRDefault="00FA7890" w:rsidP="00725053">
      <w:pPr>
        <w:pStyle w:val="Epgrafe"/>
        <w:jc w:val="center"/>
        <w:rPr>
          <w:rFonts w:ascii="Arial" w:hAnsi="Arial" w:cs="Arial"/>
          <w:color w:val="000000" w:themeColor="text1"/>
          <w:sz w:val="22"/>
        </w:rPr>
      </w:pPr>
    </w:p>
    <w:p w:rsidR="00B64699" w:rsidRPr="002613F4" w:rsidRDefault="00725053" w:rsidP="00FA7890">
      <w:pPr>
        <w:pStyle w:val="Epgrafe"/>
        <w:spacing w:after="0"/>
        <w:jc w:val="center"/>
        <w:rPr>
          <w:rFonts w:ascii="Arial" w:hAnsi="Arial" w:cs="Arial"/>
          <w:b w:val="0"/>
          <w:color w:val="000000" w:themeColor="text1"/>
          <w:sz w:val="22"/>
        </w:rPr>
      </w:pPr>
      <w:r w:rsidRPr="002613F4">
        <w:rPr>
          <w:rFonts w:ascii="Arial" w:hAnsi="Arial" w:cs="Arial"/>
          <w:b w:val="0"/>
          <w:color w:val="000000" w:themeColor="text1"/>
          <w:sz w:val="22"/>
        </w:rPr>
        <w:t xml:space="preserve">Figura </w:t>
      </w:r>
      <w:r w:rsidRPr="002613F4">
        <w:rPr>
          <w:rFonts w:ascii="Arial" w:hAnsi="Arial" w:cs="Arial"/>
          <w:b w:val="0"/>
          <w:color w:val="000000" w:themeColor="text1"/>
          <w:sz w:val="22"/>
        </w:rPr>
        <w:fldChar w:fldCharType="begin"/>
      </w:r>
      <w:r w:rsidRPr="002613F4">
        <w:rPr>
          <w:rFonts w:ascii="Arial" w:hAnsi="Arial" w:cs="Arial"/>
          <w:b w:val="0"/>
          <w:color w:val="000000" w:themeColor="text1"/>
          <w:sz w:val="22"/>
        </w:rPr>
        <w:instrText xml:space="preserve"> SEQ Figura \* ARABIC </w:instrText>
      </w:r>
      <w:r w:rsidRPr="002613F4">
        <w:rPr>
          <w:rFonts w:ascii="Arial" w:hAnsi="Arial" w:cs="Arial"/>
          <w:b w:val="0"/>
          <w:color w:val="000000" w:themeColor="text1"/>
          <w:sz w:val="22"/>
        </w:rPr>
        <w:fldChar w:fldCharType="separate"/>
      </w:r>
      <w:r w:rsidR="00225844">
        <w:rPr>
          <w:rFonts w:ascii="Arial" w:hAnsi="Arial" w:cs="Arial"/>
          <w:b w:val="0"/>
          <w:noProof/>
          <w:color w:val="000000" w:themeColor="text1"/>
          <w:sz w:val="22"/>
        </w:rPr>
        <w:t>3</w:t>
      </w:r>
      <w:r w:rsidRPr="002613F4">
        <w:rPr>
          <w:rFonts w:ascii="Arial" w:hAnsi="Arial" w:cs="Arial"/>
          <w:b w:val="0"/>
          <w:color w:val="000000" w:themeColor="text1"/>
          <w:sz w:val="22"/>
        </w:rPr>
        <w:fldChar w:fldCharType="end"/>
      </w:r>
      <w:r w:rsidR="005F13B8" w:rsidRPr="002613F4">
        <w:rPr>
          <w:rFonts w:ascii="Arial" w:hAnsi="Arial" w:cs="Arial"/>
          <w:b w:val="0"/>
          <w:color w:val="000000" w:themeColor="text1"/>
          <w:sz w:val="22"/>
        </w:rPr>
        <w:t xml:space="preserve">: </w:t>
      </w:r>
      <w:r w:rsidR="007D45AE" w:rsidRPr="002613F4">
        <w:rPr>
          <w:rFonts w:ascii="Arial" w:hAnsi="Arial" w:cs="Arial"/>
          <w:b w:val="0"/>
          <w:color w:val="000000" w:themeColor="text1"/>
          <w:sz w:val="22"/>
        </w:rPr>
        <w:t>Aspectos sociales y a</w:t>
      </w:r>
      <w:r w:rsidR="005F13B8" w:rsidRPr="002613F4">
        <w:rPr>
          <w:rFonts w:ascii="Arial" w:hAnsi="Arial" w:cs="Arial"/>
          <w:b w:val="0"/>
          <w:color w:val="000000" w:themeColor="text1"/>
          <w:sz w:val="22"/>
        </w:rPr>
        <w:t>ctores sociales identificados en los territorios mineros</w:t>
      </w:r>
    </w:p>
    <w:p w:rsidR="00B35339" w:rsidRPr="00B35339" w:rsidRDefault="00B35339" w:rsidP="00B35339"/>
    <w:bookmarkEnd w:id="8"/>
    <w:p w:rsidR="00AD2094" w:rsidRPr="000E0F90" w:rsidRDefault="00AD2094" w:rsidP="002B538F">
      <w:pPr>
        <w:spacing w:after="0" w:line="360" w:lineRule="auto"/>
        <w:rPr>
          <w:rFonts w:ascii="Arial" w:hAnsi="Arial" w:cs="Arial"/>
          <w:color w:val="000000" w:themeColor="text1"/>
        </w:rPr>
      </w:pPr>
      <w:r w:rsidRPr="000E0F90">
        <w:rPr>
          <w:rFonts w:ascii="Arial" w:hAnsi="Arial" w:cs="Arial"/>
          <w:color w:val="000000" w:themeColor="text1"/>
        </w:rPr>
        <w:t>Sociedad Civil</w:t>
      </w:r>
      <w:r w:rsidR="00B64699" w:rsidRPr="000E0F90">
        <w:rPr>
          <w:rFonts w:ascii="Arial" w:hAnsi="Arial" w:cs="Arial"/>
          <w:color w:val="000000" w:themeColor="text1"/>
        </w:rPr>
        <w:t xml:space="preserve">: </w:t>
      </w:r>
      <w:r w:rsidRPr="000E0F90">
        <w:rPr>
          <w:rFonts w:ascii="Arial" w:hAnsi="Arial" w:cs="Arial"/>
          <w:color w:val="000000" w:themeColor="text1"/>
        </w:rPr>
        <w:t>Dentro de los</w:t>
      </w:r>
      <w:r w:rsidR="002C2DC5" w:rsidRPr="000E0F90">
        <w:rPr>
          <w:rFonts w:ascii="Arial" w:hAnsi="Arial" w:cs="Arial"/>
          <w:color w:val="000000" w:themeColor="text1"/>
        </w:rPr>
        <w:t xml:space="preserve"> </w:t>
      </w:r>
      <w:r w:rsidRPr="000E0F90">
        <w:rPr>
          <w:rFonts w:ascii="Arial" w:hAnsi="Arial" w:cs="Arial"/>
          <w:color w:val="000000" w:themeColor="text1"/>
        </w:rPr>
        <w:t>impactos de las actividades mineras en las comunidades se reconocen impactos negativos y positivos</w:t>
      </w:r>
      <w:r w:rsidR="000356D9" w:rsidRPr="000E0F90">
        <w:rPr>
          <w:rFonts w:ascii="Arial" w:hAnsi="Arial" w:cs="Arial"/>
          <w:color w:val="000000" w:themeColor="text1"/>
        </w:rPr>
        <w:t>. D</w:t>
      </w:r>
      <w:r w:rsidR="002C2DC5" w:rsidRPr="000E0F90">
        <w:rPr>
          <w:rFonts w:ascii="Arial" w:hAnsi="Arial" w:cs="Arial"/>
          <w:color w:val="000000" w:themeColor="text1"/>
        </w:rPr>
        <w:t>entro de los positivos, se destacan los beneficios que transfieren las compañías mineras a las comunidades locales</w:t>
      </w:r>
    </w:p>
    <w:p w:rsidR="00AD2094" w:rsidRPr="000E0F90" w:rsidRDefault="00AD2094" w:rsidP="002B538F">
      <w:pPr>
        <w:spacing w:after="0" w:line="360" w:lineRule="auto"/>
        <w:rPr>
          <w:rFonts w:ascii="Arial" w:hAnsi="Arial" w:cs="Arial"/>
          <w:color w:val="000000" w:themeColor="text1"/>
        </w:rPr>
      </w:pPr>
    </w:p>
    <w:p w:rsidR="000356D9" w:rsidRPr="000E0F90" w:rsidRDefault="000356D9" w:rsidP="002B538F">
      <w:pPr>
        <w:spacing w:after="0" w:line="360" w:lineRule="auto"/>
        <w:rPr>
          <w:rFonts w:ascii="Arial" w:hAnsi="Arial" w:cs="Arial"/>
          <w:color w:val="000000" w:themeColor="text1"/>
        </w:rPr>
      </w:pPr>
      <w:bookmarkStart w:id="9" w:name="_Toc422411566"/>
      <w:r w:rsidRPr="000E0F90">
        <w:rPr>
          <w:rFonts w:ascii="Arial" w:hAnsi="Arial" w:cs="Arial"/>
          <w:color w:val="000000" w:themeColor="text1"/>
        </w:rPr>
        <w:t xml:space="preserve">Dentro de los beneficios de la actividad minera en las comunidades donde opera, se identifica el mejoramiento de las condiciones socioeconómicas locales, dado por la provisión de servicios, programas comunitarios e infraestructura, que mejora el bienestar de las comunidades locales, la provisión de empleo y capacitación a la mano de obra local, entre otros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"10.1111/j.1477-8947.1999.tb00919.x", "ISSN" : "01650203", "author" : [ { "dropping-particle" : "", "family" : "Labonne", "given" : "B\u00e9atrice", "non-dropping-particle" : "", "parse-names" : false, "suffix" : "" } ], "container-title" : "Natural Resources Forum", "id" : "ITEM-1", "issue" : "4", "issued" : { "date-parts" : [ [ "1999", "11" ] ] }, "page" : "315-322", "title" : "The mining industry and the community: joining forces for sustainable social development", "type" : "article-journal", "volume" : "23" }, "uris" : [ "http://www.mendeley.com/documents/?uuid=9175082f-f301-49c9-8327-23ac73cb236c" ] } ], "mendeley" : { "formattedCitation" : "(Labonne, 1999)", "plainTextFormattedCitation" : "(Labonne, 1999)", "previouslyFormattedCitation" : "(Labonne, 1999)"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(Labonne, 1999)</w:t>
      </w:r>
      <w:r w:rsidRPr="000E0F90">
        <w:rPr>
          <w:rFonts w:ascii="Arial" w:hAnsi="Arial" w:cs="Arial"/>
          <w:color w:val="000000" w:themeColor="text1"/>
        </w:rPr>
        <w:fldChar w:fldCharType="end"/>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"author" : [ { "dropping-particle" : "", "family" : "Hilson", "given" : "Gavin", "non-dropping-particle" : "", "parse-names" : false, "suffix" : "" }, { "dropping-particle" : "", "family" : "Murck", "given" : "Barbara", "non-dropping-particle" : "", "parse-names" : false, "suffix" : "" } ], "id" : "ITEM-1", "issue" : "2000", "issued" : { "date-parts" : [ [ "2000" ] ] }, "page" : "227-238", "title" : "Sustainable development in the mining industry : clarifying the corporate perspective", "type" : "article-journal", "volume" : "26" }, "uris" : [ "http://www.mendeley.com/documents/?uuid=f8aeb7a1-70d0-42bd-ae96-6e53b2ce6cb4" ] } ], "mendeley" : { "formattedCitation" : "(Hilson &amp; Murck, 2000)", "plainTextFormattedCitation" : "(Hilson &amp; Murck, 2000)", "previouslyFormattedCitation" : "(Hilson &amp; Murck, 2000)"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(Hilson &amp; Murck, 2000)</w:t>
      </w:r>
      <w:r w:rsidRPr="000E0F90">
        <w:rPr>
          <w:rFonts w:ascii="Arial" w:hAnsi="Arial" w:cs="Arial"/>
          <w:color w:val="000000" w:themeColor="text1"/>
        </w:rPr>
        <w:fldChar w:fldCharType="end"/>
      </w:r>
      <w:r w:rsidRPr="000E0F90">
        <w:rPr>
          <w:rFonts w:ascii="Arial" w:hAnsi="Arial" w:cs="Arial"/>
          <w:color w:val="000000" w:themeColor="text1"/>
        </w:rPr>
        <w:t xml:space="preserve">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"10.1080/00049182.2011.569985", "ISSN" : "0004-9182", "author" : [ { "dropping-particle" : "", "family" : "Lawrie", "given" : "Misty", "non-dropping-particle" : "", "parse-names" : false, "suffix" : "" }, { "dropping-particle" : "", "family" : "Tonts", "given" : "Matthew", "non-dropping-particle" : "", "parse-names" : false, "suffix" : "" }, { "dropping-particle" : "", "family" : "Plummer", "given" : "Paul", "non-dropping-particle" : "", "parse-names" : false, "suffix" : "" } ], "container-title" : "Australian Geographer", "id" : "ITEM-1", "issue" : "2", "issued" : { "date-parts" : [ [ "2011", "6" ] ] }, "page" : "139-164", "title" : "Boomtowns, Resource Dependence and Socio-economic Well-being", "type" : "article-journal", "volume" : "42" }, "uris" : [ "http://www.mendeley.com/documents/?uuid=555d35b7-8555-4f04-b3a6-1e8b061db4b0" ] } ], "mendeley" : { "formattedCitation" : "(Lawrie et al., 2011)", "plainTextFormattedCitation" : "(Lawrie et al., 2011)", "previouslyFormattedCitation" : "(Lawrie et al., 2011)"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(Lawrie et al., 2011)</w:t>
      </w:r>
      <w:r w:rsidRPr="000E0F90">
        <w:rPr>
          <w:rFonts w:ascii="Arial" w:hAnsi="Arial" w:cs="Arial"/>
          <w:color w:val="000000" w:themeColor="text1"/>
        </w:rPr>
        <w:fldChar w:fldCharType="end"/>
      </w:r>
      <w:r w:rsidRPr="000E0F90">
        <w:rPr>
          <w:rFonts w:ascii="Arial" w:hAnsi="Arial" w:cs="Arial"/>
          <w:color w:val="000000" w:themeColor="text1"/>
        </w:rPr>
        <w:t xml:space="preserve">. Situación que ha reducido la dependencia de las comunidades por los beneficios otorgados por el estado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"author" : [ { "dropping-particle" : "", "family" : "Petrova", "given" : "Svetla", "non-dropping-particle" : "", "parse-names" : false, "suffix" : "" } ], "id" : "ITEM-1", "issue" : "2", "issued" : { "date-parts" : [ [ "2013" ] ] }, "page" : "153-165", "title" : "Social impacts of mining: Changes within the local social landscape", "type" : "article-journal", "volume" : "22" }, "uris" : [ "http://www.mendeley.com/documents/?uuid=6a8f743a-46c5-4d8b-99d0-9b1b4f12f6f8" ] } ], "mendeley" : { "formattedCitation" : "(Petrova, 2013)", "plainTextFormattedCitation" : "(Petrova, 2013)", "previouslyFormattedCitation" : "(Petrova, 2013)"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(Petrova, 2013)</w:t>
      </w:r>
      <w:r w:rsidRPr="000E0F90">
        <w:rPr>
          <w:rFonts w:ascii="Arial" w:hAnsi="Arial" w:cs="Arial"/>
          <w:color w:val="000000" w:themeColor="text1"/>
        </w:rPr>
        <w:fldChar w:fldCharType="end"/>
      </w:r>
      <w:r w:rsidRPr="000E0F90">
        <w:rPr>
          <w:rFonts w:ascii="Arial" w:hAnsi="Arial" w:cs="Arial"/>
          <w:color w:val="000000" w:themeColor="text1"/>
        </w:rPr>
        <w:t xml:space="preserve">. Lo cual se ha llevado a cabo a través de un mayor involucramiento de los privados en temáticas, más allá de la extracción, estableciendo alianzas con gobiernos locales, organizaciones comunitarias y agencias de estado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"10.1526/003601104323087606", "ISSN" : "00360112", "author" : [ { "dropping-particle" : "", "family" : "Wilson", "given" : "Lisa J.", "non-dropping-particle" : "", "parse-names" : false, "suffix" : "" } ], "container-title" : "Rural Sociology", "id" : "ITEM-1", "issue" : "2", "issued" : { "date-parts" : [ [ "2004", "6", "1" ] ] }, "page" : "261-281", "title" : "Riding the Resource Roller Coaster: Understanding Socioeconomic Differences between Mining Communities", "type" : "article-journal", "volume" : "69" }, "uris" : [ "http://www.mendeley.com/documents/?uuid=5ca5f5f9-71bc-4a05-9246-fad7a8c7e119" ] } ], "mendeley" : { "formattedCitation" : "(Wilson, 2004)", "plainTextFormattedCitation" : "(Wilson, 2004)", "previouslyFormattedCitation" : "(Wilson, 2004)"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(Wilson, 2004)</w:t>
      </w:r>
      <w:r w:rsidRPr="000E0F90">
        <w:rPr>
          <w:rFonts w:ascii="Arial" w:hAnsi="Arial" w:cs="Arial"/>
          <w:color w:val="000000" w:themeColor="text1"/>
        </w:rPr>
        <w:fldChar w:fldCharType="end"/>
      </w:r>
      <w:r w:rsidRPr="000E0F90">
        <w:rPr>
          <w:rFonts w:ascii="Arial" w:hAnsi="Arial" w:cs="Arial"/>
          <w:color w:val="000000" w:themeColor="text1"/>
        </w:rPr>
        <w:t xml:space="preserve">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"10.1080/00049182.2011.569985", "ISSN" : "0004-9182", "author" : [ { "dropping-particle" : "", "family" : "Lawrie", "given" : "Misty", "non-dropping-particle" : "", "parse-names" : false, "suffix" : "" }, { "dropping-particle" : "", "family" : "Tonts", "given" : "Matthew", "non-dropping-particle" : "", "parse-names" : false, "suffix" : "" }, { "dropping-particle" : "", "family" : "Plummer", "given" : "Paul", "non-dropping-particle" : "", "parse-names" : false, "suffix" : "" } ], "container-title" : "Australian Geographer", "id" : "ITEM-1", "issue" : "2", "issued" : { "date-parts" : [ [ "2011", "6" ] ] }, "page" : "139-164", "title" : "Boomtowns, Resource Dependence and Socio-economic Well-being", "type" : "article-journal", "volume" : "42" }, "uris" : [ "http://www.mendeley.com/documents/?uuid=555d35b7-8555-4f04-b3a6-1e8b061db4b0" ] } ], "mendeley" : { "formattedCitation" : "(Lawrie et al., 2011)", "manualFormatting" : "(Lawrie et al., 2011; ", "plainTextFormattedCitation" : "(Lawrie et al., 2011)", "previouslyFormattedCitation" : "(Lawrie et al., 2011)"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 xml:space="preserve">(Lawrie et al., 2011; </w:t>
      </w:r>
      <w:r w:rsidRPr="000E0F90">
        <w:rPr>
          <w:rFonts w:ascii="Arial" w:hAnsi="Arial" w:cs="Arial"/>
          <w:color w:val="000000" w:themeColor="text1"/>
        </w:rPr>
        <w:fldChar w:fldCharType="end"/>
      </w:r>
      <w:r w:rsidRPr="000E0F90">
        <w:rPr>
          <w:rFonts w:ascii="Arial" w:hAnsi="Arial" w:cs="Arial"/>
          <w:color w:val="000000" w:themeColor="text1"/>
        </w:rPr>
        <w:t xml:space="preserve">Petkova et al., 2009), los cuales probablemente están relacionados con el arribo de las actividades extractivas a la localidad. </w:t>
      </w:r>
    </w:p>
    <w:p w:rsidR="000356D9" w:rsidRPr="000E0F90" w:rsidRDefault="000356D9" w:rsidP="002B538F">
      <w:pPr>
        <w:spacing w:before="240" w:after="0" w:line="360" w:lineRule="auto"/>
        <w:rPr>
          <w:rFonts w:ascii="Arial" w:hAnsi="Arial" w:cs="Arial"/>
          <w:color w:val="000000" w:themeColor="text1"/>
        </w:rPr>
      </w:pPr>
      <w:r w:rsidRPr="000E0F90">
        <w:rPr>
          <w:rFonts w:ascii="Arial" w:hAnsi="Arial" w:cs="Arial"/>
          <w:color w:val="000000" w:themeColor="text1"/>
        </w:rPr>
        <w:t xml:space="preserve">Estos beneficios inmediatos, no obstante, pueden desarrollar dependencia de los habitantes en torno a la actividad minera, basado en la expectación de que la mina continuara proveyendo a lo largo del tiempo, afectando el desarrollo y economía local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"10.1080/00049182.2011.569985", "ISSN" : "0004-9182", "author" : [ { "dropping-particle" : "", "family" : "Lawrie", "given" : "Misty", "non-dropping-particle" : "", "parse-names" : false, "suffix" : "" }, { "dropping-particle" : "", "family" : "Tonts", "given" : "Matthew", "non-dropping-particle" : "", "parse-names" : false, "suffix" : "" }, { "dropping-particle" : "", "family" : "Plummer", "given" : "Paul", "non-dropping-particle" : "", "parse-names" : false, "suffix" : "" } ], "container-title" : "Australian Geographer", "id" : "ITEM-1", "issue" : "2", "issued" : { "date-parts" : [ [ "2011", "6" ] ] }, "page" : "139-164", "title" : "Boomtowns, Resource Dependence and Socio-economic Well-being", "type" : "article-journal", "volume" : "42" }, "uris" : [ "http://www.mendeley.com/documents/?uuid=555d35b7-8555-4f04-b3a6-1e8b061db4b0" ] } ], "mendeley" : { "formattedCitation" : "(Lawrie et al., 2011)", "plainTextFormattedCitation" : "(Lawrie et al., 2011)", "previouslyFormattedCitation" : "(Lawrie et al., 2011)"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(Lawrie et al., 2011)</w:t>
      </w:r>
      <w:r w:rsidRPr="000E0F90">
        <w:rPr>
          <w:rFonts w:ascii="Arial" w:hAnsi="Arial" w:cs="Arial"/>
          <w:color w:val="000000" w:themeColor="text1"/>
        </w:rPr>
        <w:fldChar w:fldCharType="end"/>
      </w:r>
      <w:r w:rsidRPr="000E0F90">
        <w:rPr>
          <w:rFonts w:ascii="Arial" w:hAnsi="Arial" w:cs="Arial"/>
          <w:color w:val="000000" w:themeColor="text1"/>
        </w:rPr>
        <w:t xml:space="preserve">. Generando incluso una problemática a las mineras por una sobre intervención y dependencia, lo que hace que no se puedan desligar de ellas, </w:t>
      </w:r>
      <w:r w:rsidRPr="000E0F90">
        <w:rPr>
          <w:rFonts w:ascii="Arial" w:hAnsi="Arial" w:cs="Arial"/>
          <w:color w:val="000000" w:themeColor="text1"/>
        </w:rPr>
        <w:lastRenderedPageBreak/>
        <w:t xml:space="preserve">particularmente al momento de cierre de las faenas, lo que es finalmente considerado un desarrollo insostenible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"10.1016/j.jrurstud.2009.06.005", "ISSN" : "07430167", "author" : [ { "dropping-particle" : "", "family" : "Cheshire", "given" : "Lynda", "non-dropping-particle" : "", "parse-names" : false, "suffix" : "" } ], "container-title" : "Journal of Rural Studies", "id" : "ITEM-1", "issue" : "1", "issued" : { "date-parts" : [ [ "2010", "1" ] ] }, "page" : "12-20", "publisher" : "Elsevier Ltd", "title" : "A corporate responsibility? The constitution of fly-in, fly-out mining companies as governance partners in remote, mine-affected localities", "type" : "article-journal", "volume" : "26" }, "uris" : [ "http://www.mendeley.com/documents/?uuid=11694aef-f151-40e7-8f4b-f9615f2ba8de" ] } ], "mendeley" : { "formattedCitation" : "(Cheshire, 2010)", "plainTextFormattedCitation" : "(Cheshire, 2010)", "previouslyFormattedCitation" : "(Cheshire, 2010)"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(Cheshire, 2010)</w:t>
      </w:r>
      <w:r w:rsidRPr="000E0F90">
        <w:rPr>
          <w:rFonts w:ascii="Arial" w:hAnsi="Arial" w:cs="Arial"/>
          <w:color w:val="000000" w:themeColor="text1"/>
        </w:rPr>
        <w:fldChar w:fldCharType="end"/>
      </w:r>
      <w:r w:rsidRPr="000E0F90">
        <w:rPr>
          <w:rFonts w:ascii="Arial" w:hAnsi="Arial" w:cs="Arial"/>
          <w:color w:val="000000" w:themeColor="text1"/>
        </w:rPr>
        <w:t xml:space="preserve">. Conjuntamente a la dependencia económica se crea también una dependencia mental a nivel local, lo cual provoca que se generen altas expectativas con la llegada de la industria minera, en especial con proyectos de gran escala. Esto se traduce en comunidades más demandantes y propensos a exigir a la operación minera, mejoras en la calidad de vida al interior de su comunidad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"author" : [ { "dropping-particle" : "", "family" : "Petrova", "given" : "Svetla", "non-dropping-particle" : "", "parse-names" : false, "suffix" : "" } ], "id" : "ITEM-1", "issue" : "2", "issued" : { "date-parts" : [ [ "2013" ] ] }, "page" : "153-165", "title" : "Social impacts of mining: Changes within the local social landscape", "type" : "article-journal", "volume" : "22" }, "uris" : [ "http://www.mendeley.com/documents/?uuid=6a8f743a-46c5-4d8b-99d0-9b1b4f12f6f8" ] } ], "mendeley" : { "formattedCitation" : "(Petrova, 2013)", "plainTextFormattedCitation" : "(Petrova, 2013)", "previouslyFormattedCitation" : "(Petrova, 2013)"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(Petrova, 2013)</w:t>
      </w:r>
      <w:r w:rsidRPr="000E0F90">
        <w:rPr>
          <w:rFonts w:ascii="Arial" w:hAnsi="Arial" w:cs="Arial"/>
          <w:color w:val="000000" w:themeColor="text1"/>
        </w:rPr>
        <w:fldChar w:fldCharType="end"/>
      </w:r>
      <w:r w:rsidRPr="000E0F90">
        <w:rPr>
          <w:rFonts w:ascii="Arial" w:hAnsi="Arial" w:cs="Arial"/>
          <w:color w:val="000000" w:themeColor="text1"/>
        </w:rPr>
        <w:t xml:space="preserve">.  </w:t>
      </w:r>
    </w:p>
    <w:p w:rsidR="000356D9" w:rsidRPr="000E0F90" w:rsidRDefault="000356D9" w:rsidP="002B538F">
      <w:pPr>
        <w:spacing w:before="240" w:line="360" w:lineRule="auto"/>
        <w:rPr>
          <w:rFonts w:ascii="Arial" w:hAnsi="Arial" w:cs="Arial"/>
          <w:color w:val="000000" w:themeColor="text1"/>
        </w:rPr>
      </w:pPr>
      <w:r w:rsidRPr="000E0F90">
        <w:rPr>
          <w:rFonts w:ascii="Arial" w:hAnsi="Arial" w:cs="Arial"/>
          <w:color w:val="000000" w:themeColor="text1"/>
        </w:rPr>
        <w:t xml:space="preserve">En relación a la mano de obra, se evidencian situaciones disimiles, en caso que la industria demande fuerza laboral local, se reduce la mano de obra local al privilegiar la oferta laboral de minería, con desmedro del desarrollo de otras actividades económicas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"10.1016/j.eiar.2009.01.008", "ISSN" : "01959255", "author" : [ { "dropping-particle" : "", "family" : "Lockie", "given" : "Stewart", "non-dropping-particle" : "", "parse-names" : false, "suffix" : "" }, { "dropping-particle" : "", "family" : "Franettovich", "given" : "Maree", "non-dropping-particle" : "", "parse-names" : false, "suffix" : "" }, { "dropping-particle" : "", "family" : "Petkova-Timmer", "given" : "Vanessa", "non-dropping-particle" : "", "parse-names" : false, "suffix" : "" }, { "dropping-particle" : "", "family" : "Rolfe", "given" : "John", "non-dropping-particle" : "", "parse-names" : false, "suffix" : "" }, { "dropping-particle" : "", "family" : "Ivanova", "given" : "Galina", "non-dropping-particle" : "", "parse-names" : false, "suffix" : "" } ], "container-title" : "Environmental Impact Assessment Review", "id" : "ITEM-1", "issue" : "5", "issued" : { "date-parts" : [ [ "2009", "9" ] ] }, "page" : "330-339", "publisher" : "Elsevier Inc.", "title" : "Coal mining and the resource community cycle: A longitudinal assessment of the social impacts of the Coppabella coal mine", "type" : "article-journal", "volume" : "29" }, "uris" : [ "http://www.mendeley.com/documents/?uuid=7e1188db-736f-461b-990b-37cbdf11500b" ] }, { "id" : "ITEM-2", "itemData" : { "DOI" : "10.1111/j.1745-5871.2009.00624.x", "ISSN" : "17455863", "author" : [ { "dropping-particle" : "", "family" : "Tonts", "given" : "Matthew", "non-dropping-particle" : "", "parse-names" : false, "suffix" : "" } ], "container-title" : "Geographical Research", "id" : "ITEM-2", "issue" : "2", "issued" : { "date-parts" : [ [ "2009", "11", "2" ] ] }, "page" : "148-165", "title" : "Labour Market Dynamics in Resource Dependent Regions: an Examination of the Western Australian Goldfields", "type" : "article-journal", "volume" : "48" }, "uris" : [ "http://www.mendeley.com/documents/?uuid=ec5671c3-656e-4760-875b-4124817b5c6e" ] }, { "id" : "ITEM-3", "itemData" : { "author" : [ { "dropping-particle" : "", "family" : "Petrova", "given" : "Svetla", "non-dropping-particle" : "", "parse-names" : false, "suffix" : "" } ], "id" : "ITEM-3", "issue" : "2", "issued" : { "date-parts" : [ [ "2013" ] ] }, "page" : "153-165", "title" : "Social impacts of mining: Changes within the local social landscape", "type" : "article-journal", "volume" : "22" }, "uris" : [ "http://www.mendeley.com/documents/?uuid=6a8f743a-46c5-4d8b-99d0-9b1b4f12f6f8" ] } ], "mendeley" : { "formattedCitation" : "(Lockie, Franettovich, Petkova-Timmer, Rolfe, &amp; Ivanova, 2009; Petrova, 2013; Tonts, 2009)", "plainTextFormattedCitation" : "(Lockie, Franettovich, Petkova-Timmer, Rolfe, &amp; Ivanova, 2009; Petrova, 2013; Tonts, 2009)", "previouslyFormattedCitation" : "(Lockie, Franettovich, Petkova-Timmer, Rolfe, &amp; Ivanova, 2009; Petrova, 2013; Tonts, 2009)"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(Lockie, Franettovich, Petkova-Timmer, Rolfe, &amp; Ivanova, 2009; Petrova, 2013; Tonts, 2009)</w:t>
      </w:r>
      <w:r w:rsidRPr="000E0F90">
        <w:rPr>
          <w:rFonts w:ascii="Arial" w:hAnsi="Arial" w:cs="Arial"/>
          <w:color w:val="000000" w:themeColor="text1"/>
        </w:rPr>
        <w:fldChar w:fldCharType="end"/>
      </w:r>
      <w:r w:rsidRPr="000E0F90">
        <w:rPr>
          <w:rFonts w:ascii="Arial" w:hAnsi="Arial" w:cs="Arial"/>
          <w:color w:val="000000" w:themeColor="text1"/>
        </w:rPr>
        <w:t>. Por otra parte, en el caso que exista reducida mano de obra</w:t>
      </w:r>
      <w:r w:rsidRPr="000E0F90">
        <w:rPr>
          <w:rFonts w:ascii="Arial" w:hAnsi="Arial" w:cs="Arial"/>
          <w:b/>
          <w:color w:val="000000" w:themeColor="text1"/>
        </w:rPr>
        <w:t xml:space="preserve"> </w:t>
      </w:r>
      <w:r w:rsidRPr="000E0F90">
        <w:rPr>
          <w:rFonts w:ascii="Arial" w:hAnsi="Arial" w:cs="Arial"/>
          <w:color w:val="000000" w:themeColor="text1"/>
        </w:rPr>
        <w:t xml:space="preserve">local o bien limitada para operaciones de gran escala, trae consigo que la actividad se desarrolle sobre la base de fuerza de trabajo externa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"author" : [ { "dropping-particle" : "", "family" : "Petrova", "given" : "Svetla", "non-dropping-particle" : "", "parse-names" : false, "suffix" : "" } ], "id" : "ITEM-1", "issue" : "2", "issued" : { "date-parts" : [ [ "2013" ] ] }, "page" : "153-165", "title" : "Social impacts of mining: Changes within the local social landscape", "type" : "article-journal", "volume" : "22" }, "uris" : [ "http://www.mendeley.com/documents/?uuid=6a8f743a-46c5-4d8b-99d0-9b1b4f12f6f8" ] } ], "mendeley" : { "formattedCitation" : "(Petrova, 2013)", "plainTextFormattedCitation" : "(Petrova, 2013)", "previouslyFormattedCitation" : "(Petrova, 2013)"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(Petrova, 2013)</w:t>
      </w:r>
      <w:r w:rsidRPr="000E0F90">
        <w:rPr>
          <w:rFonts w:ascii="Arial" w:hAnsi="Arial" w:cs="Arial"/>
          <w:color w:val="000000" w:themeColor="text1"/>
        </w:rPr>
        <w:fldChar w:fldCharType="end"/>
      </w:r>
      <w:r w:rsidRPr="000E0F90">
        <w:rPr>
          <w:rFonts w:ascii="Arial" w:hAnsi="Arial" w:cs="Arial"/>
          <w:color w:val="000000" w:themeColor="text1"/>
        </w:rPr>
        <w:t xml:space="preserve"> con un bajo porcentaje de mano de obra local empleada para la operación minera  lo cual se traduce en pérdida de beneficios sociales y económicos para la comunidad los cuales son depositados en centros urbanos o regiones distantes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"10.1080/00049180120066616", "ISSN" : "0004-9182", "author" : [ { "dropping-particle" : "", "family" : "Storey", "given" : "Keith", "non-dropping-particle" : "", "parse-names" : false, "suffix" : "" } ], "container-title" : "Australian Geographer", "id" : "ITEM-1", "issue" : "2", "issued" : { "date-parts" : [ [ "2001", "7" ] ] }, "page" : "133-148", "title" : "Fly-in/Fly-out and Fly-over: Mining and regional development in Western Australia", "type" : "article-journal", "volume" : "32" }, "uris" : [ "http://www.mendeley.com/documents/?uuid=53952be7-f2b9-428c-a50c-1c024194e5a7" ] } ], "mendeley" : { "formattedCitation" : "(Storey, 2001)", "plainTextFormattedCitation" : "(Storey, 2001)", "previouslyFormattedCitation" : "(Storey, 2001)"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(Storey, 2001)</w:t>
      </w:r>
      <w:r w:rsidRPr="000E0F90">
        <w:rPr>
          <w:rFonts w:ascii="Arial" w:hAnsi="Arial" w:cs="Arial"/>
          <w:color w:val="000000" w:themeColor="text1"/>
        </w:rPr>
        <w:fldChar w:fldCharType="end"/>
      </w:r>
      <w:r w:rsidRPr="000E0F90">
        <w:rPr>
          <w:rFonts w:ascii="Arial" w:hAnsi="Arial" w:cs="Arial"/>
          <w:color w:val="000000" w:themeColor="text1"/>
        </w:rPr>
        <w:t xml:space="preserve">, (Rowley &amp; Haslam-McKenzie 2010; Pick et al. 2008; Petkova et al. 2009); y en otros casos se incrementa la población local, con la llegada de empleados de la operación lo cual por una parte contribuye al desarrollo económico local, pero también se generan y profundizan las desigualdades en especial en los sectores más desaventajados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"10.1080/00049182.2011.569985", "ISSN" : "0004-9182", "author" : [ { "dropping-particle" : "", "family" : "Lawrie", "given" : "Misty", "non-dropping-particle" : "", "parse-names" : false, "suffix" : "" }, { "dropping-particle" : "", "family" : "Tonts", "given" : "Matthew", "non-dropping-particle" : "", "parse-names" : false, "suffix" : "" }, { "dropping-particle" : "", "family" : "Plummer", "given" : "Paul", "non-dropping-particle" : "", "parse-names" : false, "suffix" : "" } ], "container-title" : "Australian Geographer", "id" : "ITEM-1", "issue" : "2", "issued" : { "date-parts" : [ [ "2011", "6" ] ] }, "page" : "139-164", "title" : "Boomtowns, Resource Dependence and Socio-economic Well-being", "type" : "article-journal", "volume" : "42" }, "uris" : [ "http://www.mendeley.com/documents/?uuid=555d35b7-8555-4f04-b3a6-1e8b061db4b0" ] } ], "mendeley" : { "formattedCitation" : "(Lawrie et al., 2011)", "plainTextFormattedCitation" : "(Lawrie et al., 2011)", "previouslyFormattedCitation" : "(Lawrie et al., 2011)"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(Lawrie et al., 2011)</w:t>
      </w:r>
      <w:r w:rsidRPr="000E0F90">
        <w:rPr>
          <w:rFonts w:ascii="Arial" w:hAnsi="Arial" w:cs="Arial"/>
          <w:color w:val="000000" w:themeColor="text1"/>
        </w:rPr>
        <w:fldChar w:fldCharType="end"/>
      </w:r>
      <w:r w:rsidRPr="000E0F90">
        <w:rPr>
          <w:rFonts w:ascii="Arial" w:hAnsi="Arial" w:cs="Arial"/>
          <w:color w:val="000000" w:themeColor="text1"/>
        </w:rPr>
        <w:t xml:space="preserve">. </w:t>
      </w:r>
    </w:p>
    <w:p w:rsidR="000356D9" w:rsidRPr="000E0F90" w:rsidRDefault="000356D9" w:rsidP="002B538F">
      <w:pPr>
        <w:spacing w:before="240" w:line="360" w:lineRule="auto"/>
        <w:rPr>
          <w:rFonts w:ascii="Arial" w:hAnsi="Arial" w:cs="Arial"/>
          <w:color w:val="000000" w:themeColor="text1"/>
        </w:rPr>
      </w:pPr>
      <w:r w:rsidRPr="000E0F90">
        <w:rPr>
          <w:rFonts w:ascii="Arial" w:hAnsi="Arial" w:cs="Arial"/>
          <w:color w:val="000000" w:themeColor="text1"/>
        </w:rPr>
        <w:t xml:space="preserve">La llegada de proyectos de minería de gran escala, genera alteraciones a las dinámicas de la comunidad, disminuyendo la cohesión y el capital social, ya que estos nuevos actores traen su cultura al lugar, provocando dilución social, quiebre de lazos al interior de la comunidad amenazando el sentido de lugar y cultura original (Taylor &amp; Simmonds 2009;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"author" : [ { "dropping-particle" : "", "family" : "Petrova", "given" : "Svetla", "non-dropping-particle" : "", "parse-names" : false, "suffix" : "" } ], "id" : "ITEM-1", "issue" : "2", "issued" : { "date-parts" : [ [ "2013" ] ] }, "page" : "153-165", "title" : "Social impacts of mining: Changes within the local social landscape", "type" : "article-journal", "volume" : "22" }, "uris" : [ "http://www.mendeley.com/documents/?uuid=6a8f743a-46c5-4d8b-99d0-9b1b4f12f6f8" ] } ], "mendeley" : { "formattedCitation" : "(Petrova, 2013)", "manualFormatting" : "Petrova, 2013)", "plainTextFormattedCitation" : "(Petrova, 2013)", "previouslyFormattedCitation" : "(Petrova, 2013)"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Petrova, 2013)</w:t>
      </w:r>
      <w:r w:rsidRPr="000E0F90">
        <w:rPr>
          <w:rFonts w:ascii="Arial" w:hAnsi="Arial" w:cs="Arial"/>
          <w:color w:val="000000" w:themeColor="text1"/>
        </w:rPr>
        <w:fldChar w:fldCharType="end"/>
      </w:r>
      <w:r w:rsidRPr="000E0F90">
        <w:rPr>
          <w:rFonts w:ascii="Arial" w:hAnsi="Arial" w:cs="Arial"/>
          <w:color w:val="000000" w:themeColor="text1"/>
        </w:rPr>
        <w:t xml:space="preserve">. </w:t>
      </w:r>
    </w:p>
    <w:p w:rsidR="000356D9" w:rsidRPr="000E0F90" w:rsidRDefault="000356D9" w:rsidP="002B538F">
      <w:pPr>
        <w:spacing w:line="360" w:lineRule="auto"/>
        <w:rPr>
          <w:rFonts w:ascii="Arial" w:hAnsi="Arial" w:cs="Arial"/>
          <w:color w:val="000000" w:themeColor="text1"/>
        </w:rPr>
      </w:pPr>
      <w:r w:rsidRPr="000E0F90">
        <w:rPr>
          <w:rFonts w:ascii="Arial" w:hAnsi="Arial" w:cs="Arial"/>
          <w:color w:val="000000" w:themeColor="text1"/>
        </w:rPr>
        <w:t>Otros efectos mencionados son el alto costo y disponibilidad de vivienda, incremento de presión por los servicios básicos e infraestructura con el consecuente aumento del costo de vida, crecientes niveles de desigualdad; y percepción de que el gobierno ha delegado responsabilidades (Rolfe et al. 2006;</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"10.1016/j.resourpol.2008.01.005", "ISSN" : "03014207", "author" : [ { "dropping-particle" : "", "family" : "Solomon", "given" : "Fiona", "non-dropping-particle" : "", "parse-names" : false, "suffix" : "" }, { "dropping-particle" : "", "family" : "Katz", "given" : "Evie", "non-dropping-particle" : "", "parse-names" : false, "suffix" : "" }, { "dropping-particle" : "", "family" : "Lovel", "given" : "Roy", "non-dropping-particle" : "", "parse-names" : false, "suffix" : "" } ], "container-title" : "Resources Policy", "id" : "ITEM-1", "issue" : "3", "issued" : { "date-parts" : [ [ "2008", "9" ] ] }, "page" : "142-149", "title" : "Social dimensions of mining: Research, policy and practice challenges for the minerals industry in Australia", "type" : "article-journal", "volume" : "33" }, "uris" : [ "http://www.mendeley.com/documents/?uuid=3c454c00-2d5e-492e-af35-7975fe8bcde4" ] }, { "id" : "ITEM-2", "itemData" : { "DOI" : "10.1080/00049182.2011.569985", "ISSN" : "0004-9182", "author" : [ { "dropping-particle" : "", "family" : "Lawrie", "given" : "Misty", "non-dropping-particle" : "", "parse-names" : false, "suffix" : "" }, { "dropping-particle" : "", "family" : "Tonts", "given" : "Matthew", "non-dropping-particle" : "", "parse-names" : false, "suffix" : "" }, { "dropping-particle" : "", "family" : "Plummer", "given" : "Paul", "non-dropping-particle" : "", "parse-names" : false, "suffix" : "" } ], "container-title" : "Australian Geographer", "id" : "ITEM-2", "issue" : "2", "issued" : { "date-parts" : [ [ "2011", "6" ] ] }, "page" : "139-164", "title" : "Boomtowns, Resource Dependence and Socio-economic Well-being", "type" : "article-journal", "volume" : "42" }, "uris" : [ "http://www.mendeley.com/documents/?uuid=555d35b7-8555-4f04-b3a6-1e8b061db4b0" ] } ], "mendeley" : { "formattedCitation" : "(Lawrie et al., 2011; Solomon et al., 2008)", "manualFormatting" : " Lawrie et al., 2011; Solomon et al., 2008)", "plainTextFormattedCitation" : "(Lawrie et al., 2011; Solomon et al., 2008)", "previouslyFormattedCitation" : "(Lawrie et al., 2011; Solomon et al., 2008)"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 xml:space="preserve"> Lawrie et al., 2011; Solomon et al., 2008)</w:t>
      </w:r>
      <w:r w:rsidRPr="000E0F90">
        <w:rPr>
          <w:rFonts w:ascii="Arial" w:hAnsi="Arial" w:cs="Arial"/>
          <w:color w:val="000000" w:themeColor="text1"/>
        </w:rPr>
        <w:fldChar w:fldCharType="end"/>
      </w:r>
      <w:r w:rsidRPr="000E0F90">
        <w:rPr>
          <w:rFonts w:ascii="Arial" w:hAnsi="Arial" w:cs="Arial"/>
          <w:color w:val="000000" w:themeColor="text1"/>
        </w:rPr>
        <w:t xml:space="preserve">. También se incluye el aumento de crimen y violencia, abuso de sustancias ilícitas y alcohol, reducción del sentido de lugar y comunidad, menos niveles de </w:t>
      </w:r>
      <w:r w:rsidRPr="000E0F90">
        <w:rPr>
          <w:rFonts w:ascii="Arial" w:hAnsi="Arial" w:cs="Arial"/>
          <w:color w:val="000000" w:themeColor="text1"/>
        </w:rPr>
        <w:lastRenderedPageBreak/>
        <w:t xml:space="preserve">participación en trabajo comunitario y en actividades deportivas y recreativas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"ISBN" : "9781921610165", "author" : [ { "dropping-particle" : "", "family" : "Mckenzie", "given" : "Fiona Haslam", "non-dropping-particle" : "", "parse-names" : false, "suffix" : "" }, { "dropping-particle" : "", "family" : "Phillips", "given" : "Rhonda", "non-dropping-particle" : "", "parse-names" : false, "suffix" : "" }, { "dropping-particle" : "", "family" : "Rowley", "given" : "Steven", "non-dropping-particle" : "", "parse-names" : false, "suffix" : "" }, { "dropping-particle" : "", "family" : "Brereton", "given" : "David", "non-dropping-particle" : "", "parse-names" : false, "suffix" : "" } ], "id" : "ITEM-1", "issue" : "135", "issued" : { "date-parts" : [ [ "2009" ] ] }, "title" : "Housing market dynamics in resource boom towns authored by", "type" : "book" }, "uris" : [ "http://www.mendeley.com/documents/?uuid=dfd2da54-17bc-4759-98e5-75ffde7d38aa" ] } ], "mendeley" : { "formattedCitation" : "(Mckenzie, Phillips, Rowley, &amp; Brereton, 2009)", "plainTextFormattedCitation" : "(Mckenzie, Phillips, Rowley, &amp; Brereton, 2009)", "previouslyFormattedCitation" : "(Mckenzie, Phillips, Rowley, &amp; Brereton, 2009)"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(Mckenzie, Phillips, Rowley, &amp; Brereton, 2009)</w:t>
      </w:r>
      <w:r w:rsidRPr="000E0F90">
        <w:rPr>
          <w:rFonts w:ascii="Arial" w:hAnsi="Arial" w:cs="Arial"/>
          <w:color w:val="000000" w:themeColor="text1"/>
        </w:rPr>
        <w:fldChar w:fldCharType="end"/>
      </w:r>
      <w:r w:rsidRPr="000E0F90">
        <w:rPr>
          <w:rFonts w:ascii="Arial" w:hAnsi="Arial" w:cs="Arial"/>
          <w:color w:val="000000" w:themeColor="text1"/>
        </w:rPr>
        <w:t xml:space="preserve">. </w:t>
      </w:r>
    </w:p>
    <w:p w:rsidR="000356D9" w:rsidRPr="000E0F90" w:rsidRDefault="000356D9" w:rsidP="002B538F">
      <w:pPr>
        <w:spacing w:line="360" w:lineRule="auto"/>
        <w:rPr>
          <w:rFonts w:ascii="Arial" w:hAnsi="Arial" w:cs="Arial"/>
          <w:color w:val="000000" w:themeColor="text1"/>
        </w:rPr>
      </w:pPr>
      <w:r w:rsidRPr="000E0F90">
        <w:rPr>
          <w:rFonts w:ascii="Arial" w:hAnsi="Arial" w:cs="Arial"/>
          <w:color w:val="000000" w:themeColor="text1"/>
        </w:rPr>
        <w:t xml:space="preserve">Dentro de los impactos de la actividad minera en los territorios se considera relevante las influencias en la gobernanza local. La instalación de operaciones en, o en las cercanías de localidades aisladas y/o remotas, influencia la gobernanza rural, estableciendo compromisos con actores de gobierno y la comunidad para hacer frente a diversos desafíos sociales, económicos y medioambientales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"10.1016/j.jrurstud.2009.06.005", "ISSN" : "07430167", "author" : [ { "dropping-particle" : "", "family" : "Cheshire", "given" : "Lynda", "non-dropping-particle" : "", "parse-names" : false, "suffix" : "" } ], "container-title" : "Journal of Rural Studies", "id" : "ITEM-1", "issue" : "1", "issued" : { "date-parts" : [ [ "2010", "1" ] ] }, "page" : "12-20", "publisher" : "Elsevier Ltd", "title" : "A corporate responsibility? The constitution of fly-in, fly-out mining companies as governance partners in remote, mine-affected localities", "type" : "article-journal", "volume" : "26" }, "uris" : [ "http://www.mendeley.com/documents/?uuid=11694aef-f151-40e7-8f4b-f9615f2ba8de" ] }, { "id" : "ITEM-2", "itemData" : { "DOI" : "10.1016/j.resourpol.2012.04.002", "ISSN" : "03014207", "author" : [ { "dropping-particle" : "", "family" : "Prno", "given" : "Jason", "non-dropping-particle" : "", "parse-names" : false, "suffix" : "" }, { "dropping-particle" : "", "family" : "Scott Slocombe", "given" : "D.", "non-dropping-particle" : "", "parse-names" : false, "suffix" : "" } ], "container-title" : "Resources Policy", "id" : "ITEM-2", "issue" : "3", "issued" : { "date-parts" : [ [ "2012", "9" ] ] }, "page" : "346-357", "publisher" : "Elsevier", "title" : "Exploring the origins of \u2018social license to operate\u2019 in the mining sector: Perspectives from governance and sustainability theories", "type" : "article-journal", "volume" : "37" }, "uris" : [ "http://www.mendeley.com/documents/?uuid=127eea5d-e9d3-4dbd-9dbc-d34324e82251" ] } ], "mendeley" : { "formattedCitation" : "(Cheshire, 2010; Prno &amp; Scott Slocombe, 2012)", "plainTextFormattedCitation" : "(Cheshire, 2010; Prno &amp; Scott Slocombe, 2012)", "previouslyFormattedCitation" : "(Cheshire, 2010; Prno &amp; Scott Slocombe, 2012)"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(Cheshire, 2010; Prno &amp; Scott Slocombe, 2012)</w:t>
      </w:r>
      <w:r w:rsidRPr="000E0F90">
        <w:rPr>
          <w:rFonts w:ascii="Arial" w:hAnsi="Arial" w:cs="Arial"/>
          <w:color w:val="000000" w:themeColor="text1"/>
        </w:rPr>
        <w:fldChar w:fldCharType="end"/>
      </w:r>
      <w:r w:rsidRPr="000E0F90">
        <w:rPr>
          <w:rFonts w:ascii="Arial" w:hAnsi="Arial" w:cs="Arial"/>
          <w:color w:val="000000" w:themeColor="text1"/>
        </w:rPr>
        <w:t xml:space="preserve">. No obstante, el grado y tipo de intervención de las empresas es variable, y su efecto depende en cierto grado de la cultura, historia de actividad regional, receptividad de la comunidad y tamaño de la compañía, por nombrar algunos factores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"10.1080/00049182.2011.569985", "ISSN" : "0004-9182", "author" : [ { "dropping-particle" : "", "family" : "Lawrie", "given" : "Misty", "non-dropping-particle" : "", "parse-names" : false, "suffix" : "" }, { "dropping-particle" : "", "family" : "Tonts", "given" : "Matthew", "non-dropping-particle" : "", "parse-names" : false, "suffix" : "" }, { "dropping-particle" : "", "family" : "Plummer", "given" : "Paul", "non-dropping-particle" : "", "parse-names" : false, "suffix" : "" } ], "container-title" : "Australian Geographer", "id" : "ITEM-1", "issue" : "2", "issued" : { "date-parts" : [ [ "2011", "6" ] ] }, "page" : "139-164", "title" : "Boomtowns, Resource Dependence and Socio-economic Well-being", "type" : "article-journal", "volume" : "42" }, "uris" : [ "http://www.mendeley.com/documents/?uuid=555d35b7-8555-4f04-b3a6-1e8b061db4b0" ] } ], "mendeley" : { "formattedCitation" : "(Lawrie et al., 2011)", "plainTextFormattedCitation" : "(Lawrie et al., 2011)", "previouslyFormattedCitation" : "(Lawrie et al., 2011)"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(Lawrie et al., 2011)</w:t>
      </w:r>
      <w:r w:rsidRPr="000E0F90">
        <w:rPr>
          <w:rFonts w:ascii="Arial" w:hAnsi="Arial" w:cs="Arial"/>
          <w:color w:val="000000" w:themeColor="text1"/>
        </w:rPr>
        <w:fldChar w:fldCharType="end"/>
      </w:r>
      <w:r w:rsidRPr="000E0F90">
        <w:rPr>
          <w:rFonts w:ascii="Arial" w:hAnsi="Arial" w:cs="Arial"/>
          <w:color w:val="000000" w:themeColor="text1"/>
        </w:rPr>
        <w:t xml:space="preserve">. </w:t>
      </w:r>
    </w:p>
    <w:p w:rsidR="000356D9" w:rsidRPr="000E0F90" w:rsidRDefault="000356D9" w:rsidP="002B538F">
      <w:pPr>
        <w:spacing w:line="360" w:lineRule="auto"/>
        <w:rPr>
          <w:rFonts w:ascii="Arial" w:hAnsi="Arial" w:cs="Arial"/>
          <w:color w:val="000000" w:themeColor="text1"/>
        </w:rPr>
      </w:pPr>
      <w:r w:rsidRPr="000E0F90">
        <w:rPr>
          <w:rFonts w:ascii="Arial" w:hAnsi="Arial" w:cs="Arial"/>
          <w:color w:val="000000" w:themeColor="text1"/>
        </w:rPr>
        <w:t xml:space="preserve">Cabe señalar que a medida que la gobernanza ha evolucionado, en la industria minera, se han vislumbrado tres aspectos fundamentales que han modificado el ambiente del desarrollo minero y con los cuales la minería tiene que lidiar: acceso a la tierra, rapidez en la obtención de permisos, el derecho de minar los yacimientos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"10.1016/j.resourpol.2012.04.002", "ISSN" : "03014207", "author" : [ { "dropping-particle" : "", "family" : "Prno", "given" : "Jason", "non-dropping-particle" : "", "parse-names" : false, "suffix" : "" }, { "dropping-particle" : "", "family" : "Scott Slocombe", "given" : "D.", "non-dropping-particle" : "", "parse-names" : false, "suffix" : "" } ], "container-title" : "Resources Policy", "id" : "ITEM-1", "issue" : "3", "issued" : { "date-parts" : [ [ "2012", "9" ] ] }, "page" : "346-357", "publisher" : "Elsevier", "title" : "Exploring the origins of \u2018social license to operate\u2019 in the mining sector: Perspectives from governance and sustainability theories", "type" : "article-journal", "volume" : "37" }, "uris" : [ "http://www.mendeley.com/documents/?uuid=127eea5d-e9d3-4dbd-9dbc-d34324e82251" ] } ], "mendeley" : { "formattedCitation" : "(Prno &amp; Scott Slocombe, 2012)", "plainTextFormattedCitation" : "(Prno &amp; Scott Slocombe, 2012)", "previouslyFormattedCitation" : "(Prno &amp; Scott Slocombe, 2012)"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(Prno &amp; Scott Slocombe, 2012)</w:t>
      </w:r>
      <w:r w:rsidRPr="000E0F90">
        <w:rPr>
          <w:rFonts w:ascii="Arial" w:hAnsi="Arial" w:cs="Arial"/>
          <w:color w:val="000000" w:themeColor="text1"/>
        </w:rPr>
        <w:fldChar w:fldCharType="end"/>
      </w:r>
      <w:r w:rsidRPr="000E0F90">
        <w:rPr>
          <w:rFonts w:ascii="Arial" w:hAnsi="Arial" w:cs="Arial"/>
          <w:color w:val="000000" w:themeColor="text1"/>
        </w:rPr>
        <w:t xml:space="preserve"> (MacDonald and Gibson, 2006) </w:t>
      </w:r>
    </w:p>
    <w:p w:rsidR="000356D9" w:rsidRPr="000E0F90" w:rsidRDefault="000356D9" w:rsidP="002B538F">
      <w:pPr>
        <w:spacing w:line="360" w:lineRule="auto"/>
        <w:rPr>
          <w:rFonts w:ascii="Arial" w:hAnsi="Arial" w:cs="Arial"/>
          <w:color w:val="000000" w:themeColor="text1"/>
        </w:rPr>
      </w:pPr>
      <w:r w:rsidRPr="000E0F90">
        <w:rPr>
          <w:rFonts w:ascii="Arial" w:hAnsi="Arial" w:cs="Arial"/>
          <w:color w:val="000000" w:themeColor="text1"/>
        </w:rPr>
        <w:t xml:space="preserve">Dentro de éstos, un aspecto muy relevante en la gobernanza es el rol del estado y la política económica imperante, el cual es un factor desencadenante de diversos impactos de la minería sobre las comunidades.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"10.1146/annurev.energy.28.011503.163434", "ISSN" : "1543-5938", "author" : [ { "dropping-particle" : "", "family" : "Bridge", "given" : "Gavin", "non-dropping-particle" : "", "parse-names" : false, "suffix" : "" } ], "container-title" : "Annual Review of Environment and Resources", "id" : "ITEM-1", "issue" : "1", "issued" : { "date-parts" : [ [ "2004", "11", "21" ] ] }, "page" : "205-259", "title" : "CONTESTED TERRAIN: Mining and the Environment", "type" : "article-journal", "volume" : "29" }, "uris" : [ "http://www.mendeley.com/documents/?uuid=3856b087-468f-47e0-aa60-26b2415a5e72" ] } ], "mendeley" : { "formattedCitation" : "(Bridge, 2004)", "manualFormatting" : "Bridge (2004)", "plainTextFormattedCitation" : "(Bridge, 2004)", "previouslyFormattedCitation" : "(Bridge, 2004)"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Bridge (2004)</w:t>
      </w:r>
      <w:r w:rsidRPr="000E0F90">
        <w:rPr>
          <w:rFonts w:ascii="Arial" w:hAnsi="Arial" w:cs="Arial"/>
          <w:color w:val="000000" w:themeColor="text1"/>
        </w:rPr>
        <w:fldChar w:fldCharType="end"/>
      </w:r>
      <w:r w:rsidRPr="000E0F90">
        <w:rPr>
          <w:rFonts w:ascii="Arial" w:hAnsi="Arial" w:cs="Arial"/>
          <w:color w:val="000000" w:themeColor="text1"/>
        </w:rPr>
        <w:t xml:space="preserve"> ha identificado algunas posturas de estado y sus efectos en las comunidades y medio ambiente. En el caso que el estado comparte los intereses económicos de la minería, al recibir impuestos y regalías, permite la explotación de recursos sin ceder a presiones de otros sectores (sectores distintos a minería, protección ambiental, entre otros). Esto ocurre en economías pobremente diversificadas en donde los recursos minerales son el principal motor del desarrollo. En naciones donde el estado promueve la minería, facilita la operación en dichos estados (cediendo títulos de propiedad, remoción de comunidades aborígenes e ignorando de otros usos de tierra), las empresas quedan dependientes de la autoridad y legitimidad del poder del estado para llevar a cabo el desarrollo del mineral. La posición que toma una nación cuando la economía se diversifica, posterior a un uso único extractivo, permite establecer requerimientos ambientales estrictos para asegurar la protección del uso histórico de la tierra, ya que las acciones del estado no son tomadas en conjunto con la industria, lo cual conlleva inevitablemente que las </w:t>
      </w:r>
      <w:r w:rsidRPr="000E0F90">
        <w:rPr>
          <w:rFonts w:ascii="Arial" w:hAnsi="Arial" w:cs="Arial"/>
          <w:color w:val="000000" w:themeColor="text1"/>
        </w:rPr>
        <w:lastRenderedPageBreak/>
        <w:t xml:space="preserve">empresas mineras deban entablar lazos los diversos agentes claves del territorio para asegurar el desarrollo de proyectos mineros. </w:t>
      </w:r>
    </w:p>
    <w:p w:rsidR="000356D9" w:rsidRPr="000E0F90" w:rsidRDefault="000356D9" w:rsidP="002B538F">
      <w:pPr>
        <w:spacing w:after="0" w:line="360" w:lineRule="auto"/>
        <w:rPr>
          <w:rFonts w:ascii="Arial" w:hAnsi="Arial" w:cs="Arial"/>
          <w:color w:val="000000" w:themeColor="text1"/>
        </w:rPr>
      </w:pPr>
      <w:r w:rsidRPr="000E0F90">
        <w:rPr>
          <w:rFonts w:ascii="Arial" w:hAnsi="Arial" w:cs="Arial"/>
          <w:color w:val="000000" w:themeColor="text1"/>
        </w:rPr>
        <w:t xml:space="preserve">Los impactos de la minería sobre los pueblos originarios se encuentra bastante documentado, y en general los principales tópicos han sido las asimetrías de poder entre los pueblos indígenas y las empresas mineras; las luchas políticas entre las empresas, los pueblos indígenas y el estado sobre acceso a los recursos, derechos sobre la tierra, distribución de los ingresos y los impactos ambientales </w:t>
      </w:r>
      <w:sdt>
        <w:sdtPr>
          <w:rPr>
            <w:rFonts w:ascii="Arial" w:hAnsi="Arial" w:cs="Arial"/>
            <w:color w:val="000000" w:themeColor="text1"/>
          </w:rPr>
          <w:id w:val="-1628225117"/>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Gib11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(Gibson, Macdonald, &amp; O'Faircheallaigh, 2011)</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"10.1146/annurev.energy.28.011503.163434", "ISSN" : "1543-5938", "author" : [ { "dropping-particle" : "", "family" : "Bridge", "given" : "Gavin", "non-dropping-particle" : "", "parse-names" : false, "suffix" : "" } ], "container-title" : "Annual Review of Environment and Resources", "id" : "ITEM-1", "issue" : "1", "issued" : { "date-parts" : [ [ "2004", "11", "21" ] ] }, "page" : "205-259", "title" : "CONTESTED TERRAIN: Mining and the Environment", "type" : "article-journal", "volume" : "29" }, "uris" : [ "http://www.mendeley.com/documents/?uuid=3856b087-468f-47e0-aa60-26b2415a5e72" ] } ], "mendeley" : { "formattedCitation" : "(Bridge, 2004)", "plainTextFormattedCitation" : "(Bridge, 2004)", "previouslyFormattedCitation" : "(Bridge, 2004)"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(Bridge, 2004)</w:t>
      </w:r>
      <w:r w:rsidRPr="000E0F90">
        <w:rPr>
          <w:rFonts w:ascii="Arial" w:hAnsi="Arial" w:cs="Arial"/>
          <w:color w:val="000000" w:themeColor="text1"/>
        </w:rPr>
        <w:fldChar w:fldCharType="end"/>
      </w:r>
      <w:r w:rsidRPr="000E0F90">
        <w:rPr>
          <w:rFonts w:ascii="Arial" w:hAnsi="Arial" w:cs="Arial"/>
          <w:color w:val="000000" w:themeColor="text1"/>
        </w:rPr>
        <w:t xml:space="preserve">. Siendo la industria extractiva identificada como una de las principales fuentes de abuso de los derechos de personas indígenas en el mundo; la cual parece ir en contra de la determinación de las personas indígenas en los ámbitos políticos, sociales y económicos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"author" : [ { "dropping-particle" : "", "family" : "Anaya", "given" : "James", "non-dropping-particle" : "", "parse-names" : false, "suffix" : "" } ], "id" : "ITEM-1", "issue" : "July", "issued" : { "date-parts" : [ [ "2011" ] ] }, "page" : "1-27", "title" : "Report of the Special Rapporteur on the rights of", "type" : "article-journal" }, "uris" : [ "http://www.mendeley.com/documents/?uuid=91cddd41-837e-4757-81ab-935edf9d8e37" ] } ], "mendeley" : { "formattedCitation" : "(Anaya, 2011)", "plainTextFormattedCitation" : "(Anaya, 2011)", "previouslyFormattedCitation" : "(Anaya, 2011)"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(Anaya, 2011)</w:t>
      </w:r>
      <w:r w:rsidRPr="000E0F90">
        <w:rPr>
          <w:rFonts w:ascii="Arial" w:hAnsi="Arial" w:cs="Arial"/>
          <w:color w:val="000000" w:themeColor="text1"/>
        </w:rPr>
        <w:fldChar w:fldCharType="end"/>
      </w:r>
      <w:r w:rsidRPr="000E0F90">
        <w:rPr>
          <w:rFonts w:ascii="Arial" w:hAnsi="Arial" w:cs="Arial"/>
          <w:color w:val="000000" w:themeColor="text1"/>
        </w:rPr>
        <w:t>.</w:t>
      </w:r>
    </w:p>
    <w:p w:rsidR="000356D9" w:rsidRPr="000E0F90" w:rsidRDefault="000356D9" w:rsidP="002B538F">
      <w:pPr>
        <w:spacing w:line="360" w:lineRule="auto"/>
        <w:rPr>
          <w:rFonts w:ascii="Arial" w:hAnsi="Arial" w:cs="Arial"/>
          <w:color w:val="000000" w:themeColor="text1"/>
        </w:rPr>
      </w:pPr>
      <w:r w:rsidRPr="000E0F90">
        <w:rPr>
          <w:rFonts w:ascii="Arial" w:hAnsi="Arial" w:cs="Arial"/>
          <w:color w:val="000000" w:themeColor="text1"/>
        </w:rPr>
        <w:t xml:space="preserve">Las comunidades indígenas, producto del Convenio 169 de la OIT (Organización Internacional del Trabajo) sobre Pueblos Indígenas y Tribales en Países Independientes, se han empoderado para exigir vigorosamente sus derechos.  Dicho convenio establece el deber para el Estado de Chile de consultar las medidas legislativas y administrativas susceptibles de afectar directamente a los pueblos originarios, regula además materias relacionadas con la costumbre y derecho consuetudinario de los pueblos originarios, establece ciertos principios acerca del uso y transferencia de las tierras indígenas y recursos naturales, junto con su traslado o relocalización </w:t>
      </w:r>
      <w:sdt>
        <w:sdtPr>
          <w:rPr>
            <w:rFonts w:ascii="Arial" w:hAnsi="Arial" w:cs="Arial"/>
            <w:color w:val="000000" w:themeColor="text1"/>
          </w:rPr>
          <w:id w:val="1761641147"/>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Min17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(Ministerio de Desarrollo Social, 2017)</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w:t>
      </w:r>
    </w:p>
    <w:p w:rsidR="000356D9" w:rsidRPr="000E0F90" w:rsidRDefault="000356D9" w:rsidP="002B538F">
      <w:pPr>
        <w:spacing w:line="360" w:lineRule="auto"/>
        <w:rPr>
          <w:rFonts w:ascii="Arial" w:hAnsi="Arial" w:cs="Arial"/>
          <w:color w:val="000000" w:themeColor="text1"/>
        </w:rPr>
      </w:pPr>
    </w:p>
    <w:p w:rsidR="000356D9" w:rsidRPr="000E0F90" w:rsidRDefault="000356D9" w:rsidP="002B538F">
      <w:pPr>
        <w:spacing w:line="360" w:lineRule="auto"/>
        <w:jc w:val="left"/>
        <w:rPr>
          <w:rFonts w:ascii="Arial" w:eastAsiaTheme="majorEastAsia" w:hAnsi="Arial" w:cs="Arial"/>
          <w:b/>
          <w:bCs/>
          <w:color w:val="000000" w:themeColor="text1"/>
          <w:sz w:val="24"/>
          <w:szCs w:val="26"/>
        </w:rPr>
      </w:pPr>
      <w:r w:rsidRPr="000E0F90">
        <w:rPr>
          <w:rFonts w:ascii="Arial" w:hAnsi="Arial" w:cs="Arial"/>
          <w:color w:val="000000" w:themeColor="text1"/>
        </w:rPr>
        <w:br w:type="page"/>
      </w:r>
    </w:p>
    <w:p w:rsidR="008975CA" w:rsidRPr="000E0F90" w:rsidRDefault="00123D7C" w:rsidP="002B538F">
      <w:pPr>
        <w:pStyle w:val="Ttulo2"/>
        <w:spacing w:line="360" w:lineRule="auto"/>
        <w:rPr>
          <w:rFonts w:cs="Arial"/>
        </w:rPr>
      </w:pPr>
      <w:bookmarkStart w:id="10" w:name="_Toc488774910"/>
      <w:bookmarkEnd w:id="9"/>
      <w:r w:rsidRPr="000E0F90">
        <w:rPr>
          <w:rFonts w:cs="Arial"/>
        </w:rPr>
        <w:lastRenderedPageBreak/>
        <w:t>S</w:t>
      </w:r>
      <w:r w:rsidR="00AF6811">
        <w:rPr>
          <w:rFonts w:cs="Arial"/>
        </w:rPr>
        <w:t>ostenibilidad</w:t>
      </w:r>
      <w:r w:rsidR="007342CE" w:rsidRPr="000E0F90">
        <w:rPr>
          <w:rFonts w:cs="Arial"/>
        </w:rPr>
        <w:t xml:space="preserve"> </w:t>
      </w:r>
      <w:r w:rsidR="007E495C" w:rsidRPr="000E0F90">
        <w:rPr>
          <w:rFonts w:cs="Arial"/>
        </w:rPr>
        <w:t>en la minería</w:t>
      </w:r>
      <w:bookmarkEnd w:id="10"/>
    </w:p>
    <w:p w:rsidR="000631CD" w:rsidRPr="000E0F90" w:rsidRDefault="00000598" w:rsidP="002B538F">
      <w:pPr>
        <w:spacing w:before="120" w:line="360" w:lineRule="auto"/>
        <w:rPr>
          <w:rFonts w:ascii="Arial" w:hAnsi="Arial" w:cs="Arial"/>
          <w:color w:val="000000" w:themeColor="text1"/>
        </w:rPr>
      </w:pPr>
      <w:r w:rsidRPr="000E0F90">
        <w:rPr>
          <w:rFonts w:ascii="Arial" w:hAnsi="Arial" w:cs="Arial"/>
          <w:color w:val="000000" w:themeColor="text1"/>
        </w:rPr>
        <w:t>Con</w:t>
      </w:r>
      <w:r w:rsidR="00123D7C" w:rsidRPr="000E0F90">
        <w:rPr>
          <w:rFonts w:ascii="Arial" w:hAnsi="Arial" w:cs="Arial"/>
          <w:color w:val="000000" w:themeColor="text1"/>
        </w:rPr>
        <w:t xml:space="preserve"> la emergencia de la definición de desarrollo </w:t>
      </w:r>
      <w:r w:rsidR="00083C14" w:rsidRPr="000E0F90">
        <w:rPr>
          <w:rFonts w:ascii="Arial" w:hAnsi="Arial" w:cs="Arial"/>
          <w:color w:val="000000" w:themeColor="text1"/>
        </w:rPr>
        <w:t>sostenible</w:t>
      </w:r>
      <w:r w:rsidR="00123D7C" w:rsidRPr="000E0F90">
        <w:rPr>
          <w:rFonts w:ascii="Arial" w:hAnsi="Arial" w:cs="Arial"/>
          <w:color w:val="000000" w:themeColor="text1"/>
        </w:rPr>
        <w:t xml:space="preserve"> (WCED, 1987), la industria minera </w:t>
      </w:r>
      <w:r w:rsidR="00860BB6" w:rsidRPr="000E0F90">
        <w:rPr>
          <w:rFonts w:ascii="Arial" w:hAnsi="Arial" w:cs="Arial"/>
          <w:color w:val="000000" w:themeColor="text1"/>
        </w:rPr>
        <w:t xml:space="preserve">ha buscado contribuir </w:t>
      </w:r>
      <w:r w:rsidR="00083C14" w:rsidRPr="000E0F90">
        <w:rPr>
          <w:rFonts w:ascii="Arial" w:hAnsi="Arial" w:cs="Arial"/>
          <w:color w:val="000000" w:themeColor="text1"/>
        </w:rPr>
        <w:t xml:space="preserve">con </w:t>
      </w:r>
      <w:r w:rsidR="003130FF" w:rsidRPr="000E0F90">
        <w:rPr>
          <w:rFonts w:ascii="Arial" w:hAnsi="Arial" w:cs="Arial"/>
          <w:color w:val="000000" w:themeColor="text1"/>
        </w:rPr>
        <w:t>sus operaciones</w:t>
      </w:r>
      <w:r w:rsidR="00083C14" w:rsidRPr="000E0F90">
        <w:rPr>
          <w:rFonts w:ascii="Arial" w:hAnsi="Arial" w:cs="Arial"/>
          <w:color w:val="000000" w:themeColor="text1"/>
        </w:rPr>
        <w:t>, r</w:t>
      </w:r>
      <w:r w:rsidR="003130FF" w:rsidRPr="000E0F90">
        <w:rPr>
          <w:rFonts w:ascii="Arial" w:hAnsi="Arial" w:cs="Arial"/>
          <w:color w:val="000000" w:themeColor="text1"/>
        </w:rPr>
        <w:t>econociendo</w:t>
      </w:r>
      <w:r w:rsidR="00860BB6" w:rsidRPr="000E0F90">
        <w:rPr>
          <w:rFonts w:ascii="Arial" w:hAnsi="Arial" w:cs="Arial"/>
          <w:color w:val="000000" w:themeColor="text1"/>
        </w:rPr>
        <w:t xml:space="preserve"> </w:t>
      </w:r>
      <w:r w:rsidR="005D08F4" w:rsidRPr="000E0F90">
        <w:rPr>
          <w:rFonts w:ascii="Arial" w:hAnsi="Arial" w:cs="Arial"/>
          <w:color w:val="000000" w:themeColor="text1"/>
        </w:rPr>
        <w:t xml:space="preserve">los aspectos sociales, medioambientales y económicos </w:t>
      </w:r>
      <w:r w:rsidRPr="000E0F90">
        <w:rPr>
          <w:rFonts w:ascii="Arial" w:hAnsi="Arial" w:cs="Arial"/>
          <w:color w:val="000000" w:themeColor="text1"/>
        </w:rPr>
        <w:t>como</w:t>
      </w:r>
      <w:r w:rsidR="005D08F4" w:rsidRPr="000E0F90">
        <w:rPr>
          <w:rFonts w:ascii="Arial" w:hAnsi="Arial" w:cs="Arial"/>
          <w:color w:val="000000" w:themeColor="text1"/>
        </w:rPr>
        <w:t xml:space="preserve"> fundamentales para alcanzar el desarrollo s</w:t>
      </w:r>
      <w:r w:rsidR="00083C14" w:rsidRPr="000E0F90">
        <w:rPr>
          <w:rFonts w:ascii="Arial" w:hAnsi="Arial" w:cs="Arial"/>
          <w:color w:val="000000" w:themeColor="text1"/>
        </w:rPr>
        <w:t xml:space="preserve">ostenible </w:t>
      </w:r>
      <w:r w:rsidR="005D08F4" w:rsidRPr="000E0F90">
        <w:rPr>
          <w:rFonts w:ascii="Arial" w:hAnsi="Arial" w:cs="Arial"/>
          <w:color w:val="000000" w:themeColor="text1"/>
        </w:rPr>
        <w:fldChar w:fldCharType="begin" w:fldLock="1"/>
      </w:r>
      <w:r w:rsidR="005D08F4" w:rsidRPr="000E0F90">
        <w:rPr>
          <w:rFonts w:ascii="Arial" w:hAnsi="Arial" w:cs="Arial"/>
          <w:color w:val="000000" w:themeColor="text1"/>
        </w:rPr>
        <w:instrText>ADDIN CSL_CITATION { "citationItems" : [ { "id" : "ITEM-1", "itemData" : { "author" : [ { "dropping-particle" : "", "family" : "James", "given" : "Patrick M", "non-dropping-particle" : "", "parse-names" : false, "suffix" : "" } ], "id" : "ITEM-1", "issued" : { "date-parts" : [ [ "1999" ] ] }, "page" : "89-92", "title" : "The miner and sustainable development", "type" : "article-journal" }, "uris" : [ "http://www.mendeley.com/documents/?uuid=d1d0c06f-7e52-4081-b017-fa1d4e10c525" ] } ], "mendeley" : { "formattedCitation" : "(James, 1999)", "plainTextFormattedCitation" : "(James, 1999)", "previouslyFormattedCitation" : "(James, 1999)" }, "properties" : { "noteIndex" : 0 }, "schema" : "https://github.com/citation-style-language/schema/raw/master/csl-citation.json" }</w:instrText>
      </w:r>
      <w:r w:rsidR="005D08F4" w:rsidRPr="000E0F90">
        <w:rPr>
          <w:rFonts w:ascii="Arial" w:hAnsi="Arial" w:cs="Arial"/>
          <w:color w:val="000000" w:themeColor="text1"/>
        </w:rPr>
        <w:fldChar w:fldCharType="separate"/>
      </w:r>
      <w:r w:rsidR="005D08F4" w:rsidRPr="000E0F90">
        <w:rPr>
          <w:rFonts w:ascii="Arial" w:hAnsi="Arial" w:cs="Arial"/>
          <w:noProof/>
          <w:color w:val="000000" w:themeColor="text1"/>
        </w:rPr>
        <w:t>(James, 1999)</w:t>
      </w:r>
      <w:r w:rsidR="005D08F4" w:rsidRPr="000E0F90">
        <w:rPr>
          <w:rFonts w:ascii="Arial" w:hAnsi="Arial" w:cs="Arial"/>
          <w:color w:val="000000" w:themeColor="text1"/>
        </w:rPr>
        <w:fldChar w:fldCharType="end"/>
      </w:r>
      <w:r w:rsidR="005D08F4" w:rsidRPr="000E0F90">
        <w:rPr>
          <w:rFonts w:ascii="Arial" w:hAnsi="Arial" w:cs="Arial"/>
          <w:color w:val="000000" w:themeColor="text1"/>
        </w:rPr>
        <w:t xml:space="preserve"> </w:t>
      </w:r>
      <w:r w:rsidR="005D08F4" w:rsidRPr="000E0F90">
        <w:rPr>
          <w:rFonts w:ascii="Arial" w:hAnsi="Arial" w:cs="Arial"/>
          <w:color w:val="000000" w:themeColor="text1"/>
        </w:rPr>
        <w:fldChar w:fldCharType="begin" w:fldLock="1"/>
      </w:r>
      <w:r w:rsidR="005D08F4" w:rsidRPr="000E0F90">
        <w:rPr>
          <w:rFonts w:ascii="Arial" w:hAnsi="Arial" w:cs="Arial"/>
          <w:color w:val="000000" w:themeColor="text1"/>
        </w:rPr>
        <w:instrText>ADDIN CSL_CITATION { "citationItems" : [ { "id" : "ITEM-1", "itemData" : { "author" : [ { "dropping-particle" : "", "family" : "Amezaga", "given" : "Jaime M", "non-dropping-particle" : "", "parse-names" : false, "suffix" : "" }, { "dropping-particle" : "", "family" : "Younger", "given" : "Paul L", "non-dropping-particle" : "", "parse-names" : false, "suffix" : "" }, { "dropping-particle" : "", "family" : "U", "given" : "Ricardo Oyarz", "non-dropping-particle" : "", "parse-names" : false, "suffix" : "" }, { "dropping-particle" : "", "family" : "Mayor", "given" : "Universidad", "non-dropping-particle" : "", "parse-names" : false, "suffix" : "" }, { "dropping-particle" : "", "family" : "Andre", "given" : "De San", "non-dropping-particle" : "", "parse-names" : false, "suffix" : "" } ], "id" : "ITEM-1", "issued" : { "date-parts" : [ [ "2011" ] ] }, "page" : "21-26", "title" : "A Rich Vein ? Mining and the Pursuit of Sustainability \u2020", "type" : "article-journal" }, "uris" : [ "http://www.mendeley.com/documents/?uuid=23d694c8-9bfc-4f5f-a048-d902336bb8e3" ] } ], "mendeley" : { "formattedCitation" : "(Amezaga et al., 2011)", "plainTextFormattedCitation" : "(Amezaga et al., 2011)", "previouslyFormattedCitation" : "(Amezaga et al., 2011)" }, "properties" : { "noteIndex" : 0 }, "schema" : "https://github.com/citation-style-language/schema/raw/master/csl-citation.json" }</w:instrText>
      </w:r>
      <w:r w:rsidR="005D08F4" w:rsidRPr="000E0F90">
        <w:rPr>
          <w:rFonts w:ascii="Arial" w:hAnsi="Arial" w:cs="Arial"/>
          <w:color w:val="000000" w:themeColor="text1"/>
        </w:rPr>
        <w:fldChar w:fldCharType="separate"/>
      </w:r>
      <w:r w:rsidR="005D08F4" w:rsidRPr="000E0F90">
        <w:rPr>
          <w:rFonts w:ascii="Arial" w:hAnsi="Arial" w:cs="Arial"/>
          <w:noProof/>
          <w:color w:val="000000" w:themeColor="text1"/>
        </w:rPr>
        <w:t>(Amezaga et al., 2011)</w:t>
      </w:r>
      <w:r w:rsidR="005D08F4" w:rsidRPr="000E0F90">
        <w:rPr>
          <w:rFonts w:ascii="Arial" w:hAnsi="Arial" w:cs="Arial"/>
          <w:color w:val="000000" w:themeColor="text1"/>
        </w:rPr>
        <w:fldChar w:fldCharType="end"/>
      </w:r>
      <w:r w:rsidR="003130FF" w:rsidRPr="000E0F90">
        <w:rPr>
          <w:rFonts w:ascii="Arial" w:hAnsi="Arial" w:cs="Arial"/>
          <w:color w:val="000000" w:themeColor="text1"/>
        </w:rPr>
        <w:t xml:space="preserve">, los cuales fueron </w:t>
      </w:r>
      <w:r w:rsidR="00A210EB" w:rsidRPr="000E0F90">
        <w:rPr>
          <w:rFonts w:ascii="Arial" w:hAnsi="Arial" w:cs="Arial"/>
          <w:color w:val="000000" w:themeColor="text1"/>
        </w:rPr>
        <w:t xml:space="preserve">abordados en </w:t>
      </w:r>
      <w:r w:rsidR="0049698D" w:rsidRPr="000E0F90">
        <w:rPr>
          <w:rFonts w:ascii="Arial" w:hAnsi="Arial" w:cs="Arial"/>
          <w:color w:val="000000" w:themeColor="text1"/>
        </w:rPr>
        <w:t>conjunto</w:t>
      </w:r>
      <w:r w:rsidR="00A210EB" w:rsidRPr="000E0F90">
        <w:rPr>
          <w:rFonts w:ascii="Arial" w:hAnsi="Arial" w:cs="Arial"/>
          <w:color w:val="000000" w:themeColor="text1"/>
        </w:rPr>
        <w:t xml:space="preserve"> y </w:t>
      </w:r>
      <w:r w:rsidR="003130FF" w:rsidRPr="000E0F90">
        <w:rPr>
          <w:rFonts w:ascii="Arial" w:hAnsi="Arial" w:cs="Arial"/>
          <w:color w:val="000000" w:themeColor="text1"/>
        </w:rPr>
        <w:t xml:space="preserve">popularizados </w:t>
      </w:r>
      <w:r w:rsidRPr="000E0F90">
        <w:rPr>
          <w:rFonts w:ascii="Arial" w:hAnsi="Arial" w:cs="Arial"/>
          <w:color w:val="000000" w:themeColor="text1"/>
        </w:rPr>
        <w:t xml:space="preserve">bajo </w:t>
      </w:r>
      <w:r w:rsidR="003130FF" w:rsidRPr="000E0F90">
        <w:rPr>
          <w:rFonts w:ascii="Arial" w:hAnsi="Arial" w:cs="Arial"/>
          <w:color w:val="000000" w:themeColor="text1"/>
        </w:rPr>
        <w:t xml:space="preserve">el marco conceptual de la </w:t>
      </w:r>
      <w:r w:rsidRPr="000E0F90">
        <w:rPr>
          <w:rFonts w:ascii="Arial" w:hAnsi="Arial" w:cs="Arial"/>
          <w:color w:val="000000" w:themeColor="text1"/>
        </w:rPr>
        <w:t xml:space="preserve">Triple Línea Base </w:t>
      </w:r>
      <w:r w:rsidR="003130FF" w:rsidRPr="000E0F90">
        <w:rPr>
          <w:rFonts w:ascii="Arial" w:hAnsi="Arial" w:cs="Arial"/>
          <w:color w:val="000000" w:themeColor="text1"/>
        </w:rPr>
        <w:fldChar w:fldCharType="begin" w:fldLock="1"/>
      </w:r>
      <w:r w:rsidR="003130FF" w:rsidRPr="000E0F90">
        <w:rPr>
          <w:rFonts w:ascii="Arial" w:hAnsi="Arial" w:cs="Arial"/>
          <w:color w:val="000000" w:themeColor="text1"/>
        </w:rPr>
        <w:instrText>ADDIN CSL_CITATION { "citationItems" : [ { "id" : "ITEM-1", "itemData" : { "DOI" : "10.1002/jid", "author" : [ { "dropping-particle" : "", "family" : "DIMITRIOS", "given" : "", "non-dropping-particle" : "", "parse-names" : false, "suffix" : "" }, { "dropping-particle" : "", "family" : "PESMATZOGLOU", "given" : "", "non-dropping-particle" : "", "parse-names" : false, "suffix" : "" }, { "dropping-particle" : "", "family" : "IOANNIS", "given" : "", "non-dropping-particle" : "", "parse-names" : false, "suffix" : "" }, { "dropping-particle" : "", "family" : "NIKOLAOU", "given" : "", "non-dropping-particle" : "", "parse-names" : false, "suffix" : "" }, { "dropping-particle" : "", "family" : "KONSTANTINOS", "given" : "", "non-dropping-particle" : "", "parse-names" : false, "suffix" : "" }, { "dropping-particle" : "", "family" : "EVANGELINOS", "given" : "", "non-dropping-particle" : "", "parse-names" : false, "suffix" : "" }, { "dropping-particle" : "", "family" : "ALLAN", "given" : "STUART", "non-dropping-particle" : "", "parse-names" : false, "suffix" : "" } ], "id" : "ITEM-1", "issue" : "August 2012", "issued" : { "date-parts" : [ [ "2014" ] ] }, "page" : "187-206", "title" : "REVIEW ARTICLE EXTRACTIVE MULTINATIONALS AND CORPORATE SOCIAL RESPONSIBILITY : A COMMITMENT TOWARDS ACHIEVING THE GOALS OF SUSTAINABLE DEVELOPMENT OR ONLY A MANAGEMENT STRATEGY ?", "type" : "article-journal", "volume" : "206" }, "uris" : [ "http://www.mendeley.com/documents/?uuid=7a6d9547-bb52-4481-a8a4-3f00ed8c24f8" ] } ], "mendeley" : { "formattedCitation" : "(DIMITRIOS et al., 2014)", "plainTextFormattedCitation" : "(DIMITRIOS et al., 2014)", "previouslyFormattedCitation" : "(DIMITRIOS et al., 2014)" }, "properties" : { "noteIndex" : 0 }, "schema" : "https://github.com/citation-style-language/schema/raw/master/csl-citation.json" }</w:instrText>
      </w:r>
      <w:r w:rsidR="003130FF" w:rsidRPr="000E0F90">
        <w:rPr>
          <w:rFonts w:ascii="Arial" w:hAnsi="Arial" w:cs="Arial"/>
          <w:color w:val="000000" w:themeColor="text1"/>
        </w:rPr>
        <w:fldChar w:fldCharType="separate"/>
      </w:r>
      <w:r w:rsidR="003130FF" w:rsidRPr="000E0F90">
        <w:rPr>
          <w:rFonts w:ascii="Arial" w:hAnsi="Arial" w:cs="Arial"/>
          <w:noProof/>
          <w:color w:val="000000" w:themeColor="text1"/>
        </w:rPr>
        <w:t>(DIMITRIOS et al., 2014)</w:t>
      </w:r>
      <w:r w:rsidR="003130FF" w:rsidRPr="000E0F90">
        <w:rPr>
          <w:rFonts w:ascii="Arial" w:hAnsi="Arial" w:cs="Arial"/>
          <w:color w:val="000000" w:themeColor="text1"/>
        </w:rPr>
        <w:fldChar w:fldCharType="end"/>
      </w:r>
      <w:r w:rsidRPr="000E0F90">
        <w:rPr>
          <w:rFonts w:ascii="Arial" w:hAnsi="Arial" w:cs="Arial"/>
          <w:color w:val="000000" w:themeColor="text1"/>
        </w:rPr>
        <w:t xml:space="preserve"> (Rajaram et al., 2005)</w:t>
      </w:r>
      <w:r w:rsidR="0033467E" w:rsidRPr="000E0F90">
        <w:rPr>
          <w:rFonts w:ascii="Arial" w:hAnsi="Arial" w:cs="Arial"/>
          <w:color w:val="000000" w:themeColor="text1"/>
        </w:rPr>
        <w:t xml:space="preserve">. </w:t>
      </w:r>
    </w:p>
    <w:p w:rsidR="007A4D33" w:rsidRPr="000E0F90" w:rsidRDefault="007C0728" w:rsidP="002B538F">
      <w:pPr>
        <w:spacing w:line="360" w:lineRule="auto"/>
        <w:rPr>
          <w:rFonts w:ascii="Arial" w:hAnsi="Arial" w:cs="Arial"/>
          <w:color w:val="000000" w:themeColor="text1"/>
        </w:rPr>
      </w:pPr>
      <w:r w:rsidRPr="000E0F90">
        <w:rPr>
          <w:rFonts w:ascii="Arial" w:hAnsi="Arial" w:cs="Arial"/>
          <w:color w:val="000000" w:themeColor="text1"/>
        </w:rPr>
        <w:t xml:space="preserve">Desde la industria, recogiendo las inquietudes respecto al concepto de la sostenibilidad, en 1998 se impulsó el desarrollo de la Iniciativa Minera Global (GMI, </w:t>
      </w:r>
      <w:r w:rsidRPr="000E0F90">
        <w:rPr>
          <w:rFonts w:ascii="Arial" w:hAnsi="Arial" w:cs="Arial"/>
          <w:i/>
          <w:color w:val="000000" w:themeColor="text1"/>
        </w:rPr>
        <w:t>Global Mining Initiative</w:t>
      </w:r>
      <w:r w:rsidRPr="000E0F90">
        <w:rPr>
          <w:rFonts w:ascii="Arial" w:hAnsi="Arial" w:cs="Arial"/>
          <w:color w:val="000000" w:themeColor="text1"/>
        </w:rPr>
        <w:t xml:space="preserve">), liderada por 9 de las mayores compañías mineras, como forma de evaluar la minería, </w:t>
      </w:r>
      <w:r w:rsidR="001E7D66" w:rsidRPr="000E0F90">
        <w:rPr>
          <w:rFonts w:ascii="Arial" w:hAnsi="Arial" w:cs="Arial"/>
          <w:color w:val="000000" w:themeColor="text1"/>
        </w:rPr>
        <w:t xml:space="preserve">la </w:t>
      </w:r>
      <w:r w:rsidRPr="000E0F90">
        <w:rPr>
          <w:rFonts w:ascii="Arial" w:hAnsi="Arial" w:cs="Arial"/>
          <w:color w:val="000000" w:themeColor="text1"/>
        </w:rPr>
        <w:t>s</w:t>
      </w:r>
      <w:r w:rsidR="00083C14" w:rsidRPr="000E0F90">
        <w:rPr>
          <w:rFonts w:ascii="Arial" w:hAnsi="Arial" w:cs="Arial"/>
          <w:color w:val="000000" w:themeColor="text1"/>
        </w:rPr>
        <w:t>ostenibilidad</w:t>
      </w:r>
      <w:r w:rsidRPr="000E0F90">
        <w:rPr>
          <w:rFonts w:ascii="Arial" w:hAnsi="Arial" w:cs="Arial"/>
          <w:color w:val="000000" w:themeColor="text1"/>
        </w:rPr>
        <w:t xml:space="preserve"> y </w:t>
      </w:r>
      <w:r w:rsidR="001E7D66" w:rsidRPr="000E0F90">
        <w:rPr>
          <w:rFonts w:ascii="Arial" w:hAnsi="Arial" w:cs="Arial"/>
          <w:color w:val="000000" w:themeColor="text1"/>
        </w:rPr>
        <w:t xml:space="preserve">el desempeño de la industria </w:t>
      </w:r>
      <w:r w:rsidRPr="000E0F90">
        <w:rPr>
          <w:rFonts w:ascii="Arial" w:hAnsi="Arial" w:cs="Arial"/>
          <w:color w:val="000000" w:themeColor="text1"/>
        </w:rPr>
        <w:t>(ICMM, 2014).</w:t>
      </w:r>
      <w:r w:rsidR="00000598" w:rsidRPr="000E0F90">
        <w:rPr>
          <w:rFonts w:ascii="Arial" w:hAnsi="Arial" w:cs="Arial"/>
          <w:color w:val="000000" w:themeColor="text1"/>
        </w:rPr>
        <w:t xml:space="preserve"> Llevándose </w:t>
      </w:r>
      <w:r w:rsidR="007A4D33" w:rsidRPr="000E0F90">
        <w:rPr>
          <w:rFonts w:ascii="Arial" w:hAnsi="Arial" w:cs="Arial"/>
          <w:color w:val="000000" w:themeColor="text1"/>
        </w:rPr>
        <w:t>a cabo un proceso de investigación colaborativ</w:t>
      </w:r>
      <w:r w:rsidR="00F35BB8" w:rsidRPr="000E0F90">
        <w:rPr>
          <w:rFonts w:ascii="Arial" w:hAnsi="Arial" w:cs="Arial"/>
          <w:color w:val="000000" w:themeColor="text1"/>
        </w:rPr>
        <w:t>o</w:t>
      </w:r>
      <w:r w:rsidR="007A4D33" w:rsidRPr="000E0F90">
        <w:rPr>
          <w:rFonts w:ascii="Arial" w:hAnsi="Arial" w:cs="Arial"/>
          <w:color w:val="000000" w:themeColor="text1"/>
        </w:rPr>
        <w:t xml:space="preserve"> y consulta pública en el sector, </w:t>
      </w:r>
      <w:r w:rsidR="00000598" w:rsidRPr="000E0F90">
        <w:rPr>
          <w:rFonts w:ascii="Arial" w:hAnsi="Arial" w:cs="Arial"/>
          <w:color w:val="000000" w:themeColor="text1"/>
        </w:rPr>
        <w:t xml:space="preserve">durante el 2001 y 2002, </w:t>
      </w:r>
      <w:r w:rsidR="007A4D33" w:rsidRPr="000E0F90">
        <w:rPr>
          <w:rFonts w:ascii="Arial" w:hAnsi="Arial" w:cs="Arial"/>
          <w:color w:val="000000" w:themeColor="text1"/>
        </w:rPr>
        <w:t xml:space="preserve">denominado </w:t>
      </w:r>
      <w:r w:rsidR="007A4D33" w:rsidRPr="002F44F7">
        <w:rPr>
          <w:rFonts w:ascii="Arial" w:hAnsi="Arial" w:cs="Arial"/>
          <w:color w:val="000000" w:themeColor="text1"/>
        </w:rPr>
        <w:t xml:space="preserve">Proyecto Minería, Metales y Desarrollo </w:t>
      </w:r>
      <w:r w:rsidR="00F35BB8" w:rsidRPr="002F44F7">
        <w:rPr>
          <w:rFonts w:ascii="Arial" w:hAnsi="Arial" w:cs="Arial"/>
          <w:color w:val="000000" w:themeColor="text1"/>
        </w:rPr>
        <w:t>Sostenible</w:t>
      </w:r>
      <w:r w:rsidR="007A4D33" w:rsidRPr="000E0F90">
        <w:rPr>
          <w:rFonts w:ascii="Arial" w:hAnsi="Arial" w:cs="Arial"/>
          <w:color w:val="000000" w:themeColor="text1"/>
        </w:rPr>
        <w:t xml:space="preserve"> (</w:t>
      </w:r>
      <w:r w:rsidR="007A4D33" w:rsidRPr="000E0F90">
        <w:rPr>
          <w:rFonts w:ascii="Arial" w:hAnsi="Arial" w:cs="Arial"/>
          <w:i/>
          <w:color w:val="000000" w:themeColor="text1"/>
        </w:rPr>
        <w:t>MMSD, Mining Metals and Sustainable Development</w:t>
      </w:r>
      <w:r w:rsidR="007A4D33" w:rsidRPr="000E0F90">
        <w:rPr>
          <w:rFonts w:ascii="Arial" w:hAnsi="Arial" w:cs="Arial"/>
          <w:color w:val="000000" w:themeColor="text1"/>
        </w:rPr>
        <w:t>), con la finalidad de explorar e identificar la contribución de la industria al desarrollo s</w:t>
      </w:r>
      <w:r w:rsidR="00083C14" w:rsidRPr="000E0F90">
        <w:rPr>
          <w:rFonts w:ascii="Arial" w:hAnsi="Arial" w:cs="Arial"/>
          <w:color w:val="000000" w:themeColor="text1"/>
        </w:rPr>
        <w:t>ostenible</w:t>
      </w:r>
      <w:r w:rsidR="00200D00" w:rsidRPr="000E0F90">
        <w:rPr>
          <w:rFonts w:ascii="Arial" w:hAnsi="Arial" w:cs="Arial"/>
          <w:color w:val="000000" w:themeColor="text1"/>
        </w:rPr>
        <w:t>, i</w:t>
      </w:r>
      <w:r w:rsidR="007A4D33" w:rsidRPr="000E0F90">
        <w:rPr>
          <w:rFonts w:ascii="Arial" w:hAnsi="Arial" w:cs="Arial"/>
          <w:color w:val="000000" w:themeColor="text1"/>
        </w:rPr>
        <w:t>n</w:t>
      </w:r>
      <w:r w:rsidR="00000598" w:rsidRPr="000E0F90">
        <w:rPr>
          <w:rFonts w:ascii="Arial" w:hAnsi="Arial" w:cs="Arial"/>
          <w:color w:val="000000" w:themeColor="text1"/>
        </w:rPr>
        <w:t xml:space="preserve">corporando </w:t>
      </w:r>
      <w:r w:rsidR="007A4D33" w:rsidRPr="000E0F90">
        <w:rPr>
          <w:rFonts w:ascii="Arial" w:hAnsi="Arial" w:cs="Arial"/>
          <w:color w:val="000000" w:themeColor="text1"/>
        </w:rPr>
        <w:t xml:space="preserve">aspectos sociales, económicos y ambientales </w:t>
      </w:r>
      <w:r w:rsidR="007A4D33" w:rsidRPr="000E0F90">
        <w:rPr>
          <w:rFonts w:ascii="Arial" w:hAnsi="Arial" w:cs="Arial"/>
          <w:color w:val="000000" w:themeColor="text1"/>
        </w:rPr>
        <w:fldChar w:fldCharType="begin" w:fldLock="1"/>
      </w:r>
      <w:r w:rsidR="007A4D33" w:rsidRPr="000E0F90">
        <w:rPr>
          <w:rFonts w:ascii="Arial" w:hAnsi="Arial" w:cs="Arial"/>
          <w:color w:val="000000" w:themeColor="text1"/>
        </w:rPr>
        <w:instrText>ADDIN CSL_CITATION { "citationItems" : [ { "id" : "ITEM-1", "itemData" : { "DOI" : "10.1016/j.resourpol.2009.12.001", "ISSN" : "03014207", "author" : [ { "dropping-particle" : "", "family" : "Mudd", "given" : "Gavin M.", "non-dropping-particle" : "", "parse-names" : false, "suffix" : "" } ], "container-title" : "Resources Policy", "id" : "ITEM-1", "issue" : "2", "issued" : { "date-parts" : [ [ "2010", "6" ] ] }, "page" : "98-115", "publisher" : "Elsevier", "title" : "The Environmental sustainability of mining in Australia: key mega-trends and looming constraints", "type" : "article-journal", "volume" : "35" }, "uris" : [ "http://www.mendeley.com/documents/?uuid=ff129118-ca05-46c3-9832-36feaf335780" ] } ], "mendeley" : { "formattedCitation" : "(Gavin M. Mudd, 2010)", "plainTextFormattedCitation" : "(Gavin M. Mudd, 2010)", "previouslyFormattedCitation" : "(Gavin M. Mudd, 2010)" }, "properties" : { "noteIndex" : 0 }, "schema" : "https://github.com/citation-style-language/schema/raw/master/csl-citation.json" }</w:instrText>
      </w:r>
      <w:r w:rsidR="007A4D33" w:rsidRPr="000E0F90">
        <w:rPr>
          <w:rFonts w:ascii="Arial" w:hAnsi="Arial" w:cs="Arial"/>
          <w:color w:val="000000" w:themeColor="text1"/>
        </w:rPr>
        <w:fldChar w:fldCharType="separate"/>
      </w:r>
      <w:r w:rsidR="007A4D33" w:rsidRPr="000E0F90">
        <w:rPr>
          <w:rFonts w:ascii="Arial" w:hAnsi="Arial" w:cs="Arial"/>
          <w:noProof/>
          <w:color w:val="000000" w:themeColor="text1"/>
        </w:rPr>
        <w:t>(Gavin M. Mudd, 2010)</w:t>
      </w:r>
      <w:r w:rsidR="007A4D33" w:rsidRPr="000E0F90">
        <w:rPr>
          <w:rFonts w:ascii="Arial" w:hAnsi="Arial" w:cs="Arial"/>
          <w:color w:val="000000" w:themeColor="text1"/>
        </w:rPr>
        <w:fldChar w:fldCharType="end"/>
      </w:r>
      <w:r w:rsidR="007A4D33" w:rsidRPr="000E0F90">
        <w:rPr>
          <w:rFonts w:ascii="Arial" w:hAnsi="Arial" w:cs="Arial"/>
          <w:color w:val="000000" w:themeColor="text1"/>
        </w:rPr>
        <w:t xml:space="preserve">. Este reporte junto con el GMI, propiciaron </w:t>
      </w:r>
      <w:r w:rsidR="005E0D0D" w:rsidRPr="000E0F90">
        <w:rPr>
          <w:rFonts w:ascii="Arial" w:hAnsi="Arial" w:cs="Arial"/>
          <w:color w:val="000000" w:themeColor="text1"/>
        </w:rPr>
        <w:t xml:space="preserve">la emergencia </w:t>
      </w:r>
      <w:r w:rsidR="007A4D33" w:rsidRPr="000E0F90">
        <w:rPr>
          <w:rFonts w:ascii="Arial" w:hAnsi="Arial" w:cs="Arial"/>
          <w:color w:val="000000" w:themeColor="text1"/>
        </w:rPr>
        <w:t xml:space="preserve">del ICMM (ICMM, </w:t>
      </w:r>
      <w:r w:rsidR="007A4D33" w:rsidRPr="000E0F90">
        <w:rPr>
          <w:rFonts w:ascii="Arial" w:hAnsi="Arial" w:cs="Arial"/>
          <w:i/>
          <w:color w:val="000000" w:themeColor="text1"/>
        </w:rPr>
        <w:t>International Council on Mining and Metals</w:t>
      </w:r>
      <w:r w:rsidR="007A4D33" w:rsidRPr="000E0F90">
        <w:rPr>
          <w:rFonts w:ascii="Arial" w:hAnsi="Arial" w:cs="Arial"/>
          <w:color w:val="000000" w:themeColor="text1"/>
        </w:rPr>
        <w:t>), representante de la principales compañías mi</w:t>
      </w:r>
      <w:r w:rsidR="00000598" w:rsidRPr="000E0F90">
        <w:rPr>
          <w:rFonts w:ascii="Arial" w:hAnsi="Arial" w:cs="Arial"/>
          <w:color w:val="000000" w:themeColor="text1"/>
        </w:rPr>
        <w:t>neras del mundo</w:t>
      </w:r>
      <w:r w:rsidR="007A4D33" w:rsidRPr="000E0F90">
        <w:rPr>
          <w:rFonts w:ascii="Arial" w:hAnsi="Arial" w:cs="Arial"/>
          <w:color w:val="000000" w:themeColor="text1"/>
        </w:rPr>
        <w:t>,</w:t>
      </w:r>
      <w:r w:rsidR="000631CD" w:rsidRPr="000E0F90">
        <w:rPr>
          <w:rFonts w:ascii="Arial" w:hAnsi="Arial" w:cs="Arial"/>
          <w:color w:val="000000" w:themeColor="text1"/>
        </w:rPr>
        <w:t xml:space="preserve"> s</w:t>
      </w:r>
      <w:r w:rsidR="007A4D33" w:rsidRPr="000E0F90">
        <w:rPr>
          <w:rFonts w:ascii="Arial" w:hAnsi="Arial" w:cs="Arial"/>
          <w:color w:val="000000" w:themeColor="text1"/>
        </w:rPr>
        <w:t xml:space="preserve">iendo su objetivo principal, mejorar el desempeño </w:t>
      </w:r>
      <w:r w:rsidR="00000598" w:rsidRPr="000E0F90">
        <w:rPr>
          <w:rFonts w:ascii="Arial" w:hAnsi="Arial" w:cs="Arial"/>
          <w:color w:val="000000" w:themeColor="text1"/>
        </w:rPr>
        <w:t xml:space="preserve">de la </w:t>
      </w:r>
      <w:r w:rsidR="007A4D33" w:rsidRPr="000E0F90">
        <w:rPr>
          <w:rFonts w:ascii="Arial" w:hAnsi="Arial" w:cs="Arial"/>
          <w:color w:val="000000" w:themeColor="text1"/>
        </w:rPr>
        <w:t>s</w:t>
      </w:r>
      <w:r w:rsidR="00F35BB8" w:rsidRPr="000E0F90">
        <w:rPr>
          <w:rFonts w:ascii="Arial" w:hAnsi="Arial" w:cs="Arial"/>
          <w:color w:val="000000" w:themeColor="text1"/>
        </w:rPr>
        <w:t>ostenibilidad</w:t>
      </w:r>
      <w:r w:rsidR="007A4D33" w:rsidRPr="000E0F90">
        <w:rPr>
          <w:rFonts w:ascii="Arial" w:hAnsi="Arial" w:cs="Arial"/>
          <w:color w:val="000000" w:themeColor="text1"/>
        </w:rPr>
        <w:t xml:space="preserve"> </w:t>
      </w:r>
      <w:r w:rsidR="00000598" w:rsidRPr="000E0F90">
        <w:rPr>
          <w:rFonts w:ascii="Arial" w:hAnsi="Arial" w:cs="Arial"/>
          <w:color w:val="000000" w:themeColor="text1"/>
        </w:rPr>
        <w:t xml:space="preserve">minera </w:t>
      </w:r>
      <w:r w:rsidR="007A4D33" w:rsidRPr="000E0F90">
        <w:rPr>
          <w:rFonts w:ascii="Arial" w:hAnsi="Arial" w:cs="Arial"/>
          <w:color w:val="000000" w:themeColor="text1"/>
        </w:rPr>
        <w:t xml:space="preserve">(ICMM, 2014) </w:t>
      </w:r>
    </w:p>
    <w:p w:rsidR="001A4999" w:rsidRPr="000E0F90" w:rsidRDefault="007A4D33" w:rsidP="002B538F">
      <w:pPr>
        <w:spacing w:line="360" w:lineRule="auto"/>
        <w:rPr>
          <w:rFonts w:ascii="Arial" w:hAnsi="Arial" w:cs="Arial"/>
          <w:color w:val="000000" w:themeColor="text1"/>
        </w:rPr>
      </w:pPr>
      <w:r w:rsidRPr="000E0F90">
        <w:rPr>
          <w:rFonts w:ascii="Arial" w:hAnsi="Arial" w:cs="Arial"/>
          <w:color w:val="000000" w:themeColor="text1"/>
        </w:rPr>
        <w:t>Dentro del Enfoque de Desarrollo S</w:t>
      </w:r>
      <w:r w:rsidR="00083C14" w:rsidRPr="000E0F90">
        <w:rPr>
          <w:rFonts w:ascii="Arial" w:hAnsi="Arial" w:cs="Arial"/>
          <w:color w:val="000000" w:themeColor="text1"/>
        </w:rPr>
        <w:t>ostenible</w:t>
      </w:r>
      <w:r w:rsidRPr="000E0F90">
        <w:rPr>
          <w:rFonts w:ascii="Arial" w:hAnsi="Arial" w:cs="Arial"/>
          <w:color w:val="000000" w:themeColor="text1"/>
        </w:rPr>
        <w:t xml:space="preserve"> (SDF, </w:t>
      </w:r>
      <w:r w:rsidRPr="000E0F90">
        <w:rPr>
          <w:rFonts w:ascii="Arial" w:hAnsi="Arial" w:cs="Arial"/>
          <w:i/>
          <w:color w:val="000000" w:themeColor="text1"/>
        </w:rPr>
        <w:t>Sustainable Development Framework</w:t>
      </w:r>
      <w:r w:rsidRPr="000E0F90">
        <w:rPr>
          <w:rFonts w:ascii="Arial" w:hAnsi="Arial" w:cs="Arial"/>
          <w:color w:val="000000" w:themeColor="text1"/>
        </w:rPr>
        <w:t xml:space="preserve">), se elaboraron 10 principios </w:t>
      </w:r>
      <w:r w:rsidR="00F35BB8" w:rsidRPr="000E0F90">
        <w:rPr>
          <w:rFonts w:ascii="Arial" w:hAnsi="Arial" w:cs="Arial"/>
          <w:color w:val="000000" w:themeColor="text1"/>
        </w:rPr>
        <w:t xml:space="preserve">en base a los resultados del proyecto MMSD, </w:t>
      </w:r>
      <w:r w:rsidRPr="000E0F90">
        <w:rPr>
          <w:rFonts w:ascii="Arial" w:hAnsi="Arial" w:cs="Arial"/>
          <w:color w:val="000000" w:themeColor="text1"/>
        </w:rPr>
        <w:t>para las compañías mineras</w:t>
      </w:r>
      <w:r w:rsidR="00F35BB8" w:rsidRPr="000E0F90">
        <w:rPr>
          <w:rFonts w:ascii="Arial" w:hAnsi="Arial" w:cs="Arial"/>
          <w:color w:val="000000" w:themeColor="text1"/>
        </w:rPr>
        <w:t xml:space="preserve">. </w:t>
      </w:r>
      <w:r w:rsidRPr="000E0F90">
        <w:rPr>
          <w:rFonts w:ascii="Arial" w:hAnsi="Arial" w:cs="Arial"/>
          <w:color w:val="000000" w:themeColor="text1"/>
        </w:rPr>
        <w:t>Los principios incluyen referencias a las prácticas comerciales éticas; defender los derechos humanos fundamentales y el respeto de las culturas; implementación de estrategias de gestión de riesgo; mejora continua en seguridad, salud y desempeño ambiental; y contribuir al desarrollo social, económico e institucional de las comunidades en las que las minas operan (ICMM, 2014).</w:t>
      </w:r>
      <w:r w:rsidR="002D43F7" w:rsidRPr="000E0F90">
        <w:rPr>
          <w:rFonts w:ascii="Arial" w:hAnsi="Arial" w:cs="Arial"/>
          <w:color w:val="000000" w:themeColor="text1"/>
        </w:rPr>
        <w:t xml:space="preserve"> Este enfoque además impulsa la </w:t>
      </w:r>
      <w:r w:rsidR="0049698D" w:rsidRPr="000E0F90">
        <w:rPr>
          <w:rFonts w:ascii="Arial" w:hAnsi="Arial" w:cs="Arial"/>
          <w:color w:val="000000" w:themeColor="text1"/>
        </w:rPr>
        <w:t>iniciativa</w:t>
      </w:r>
      <w:r w:rsidR="002D43F7" w:rsidRPr="000E0F90">
        <w:rPr>
          <w:rFonts w:ascii="Arial" w:hAnsi="Arial" w:cs="Arial"/>
          <w:color w:val="000000" w:themeColor="text1"/>
        </w:rPr>
        <w:t xml:space="preserve"> de reportes de la industria a los cua</w:t>
      </w:r>
      <w:r w:rsidR="001A4999" w:rsidRPr="000E0F90">
        <w:rPr>
          <w:rFonts w:ascii="Arial" w:hAnsi="Arial" w:cs="Arial"/>
          <w:color w:val="000000" w:themeColor="text1"/>
        </w:rPr>
        <w:t xml:space="preserve">les los miembros deben adherir </w:t>
      </w:r>
      <w:r w:rsidR="002D43F7" w:rsidRPr="000E0F90">
        <w:rPr>
          <w:rFonts w:ascii="Arial" w:hAnsi="Arial" w:cs="Arial"/>
          <w:color w:val="000000" w:themeColor="text1"/>
        </w:rPr>
        <w:fldChar w:fldCharType="begin" w:fldLock="1"/>
      </w:r>
      <w:r w:rsidR="00A210EB" w:rsidRPr="000E0F90">
        <w:rPr>
          <w:rFonts w:ascii="Arial" w:hAnsi="Arial" w:cs="Arial"/>
          <w:color w:val="000000" w:themeColor="text1"/>
        </w:rPr>
        <w:instrText>ADDIN CSL_CITATION { "citationItems" : [ { "id" : "ITEM-1", "itemData" : { "DOI" : "10.1016/j.jclepro.2009.04.013", "ISSN" : "09596526", "author" : [ { "dropping-particle" : "", "family" : "Worrall", "given" : "Rhys", "non-dropping-particle" : "", "parse-names" : false, "suffix" : "" }, { "dropping-particle" : "", "family" : "Neil", "given" : "David", "non-dropping-particle" : "", "parse-names" : false, "suffix" : "" }, { "dropping-particle" : "", "family" : "Brereton", "given" : "David", "non-dropping-particle" : "", "parse-names" : false, "suffix" : "" }, { "dropping-particle" : "", "family" : "Mulligan", "given" : "David", "non-dropping-particle" : "", "parse-names" : false, "suffix" : "" } ], "container-title" : "Journal of Cleaner Production", "id" : "ITEM-1", "issue" : "16", "issued" : { "date-parts" : [ [ "2009", "11" ] ] }, "page" : "1426-1434", "publisher" : "Elsevier Ltd", "title" : "Towards a sustainability criteria and indicators framework for legacy mine land", "type" : "article-journal", "volume" : "17" }, "uris" : [ "http://www.mendeley.com/documents/?uuid=ab575b20-fa72-4f71-9cda-8dfefeac6b76" ] } ], "mendeley" : { "formattedCitation" : "(Worrall et al., 2009)", "plainTextFormattedCitation" : "(Worrall et al., 2009)", "previouslyFormattedCitation" : "(Worrall et al., 2009)" }, "properties" : { "noteIndex" : 0 }, "schema" : "https://github.com/citation-style-language/schema/raw/master/csl-citation.json" }</w:instrText>
      </w:r>
      <w:r w:rsidR="002D43F7" w:rsidRPr="000E0F90">
        <w:rPr>
          <w:rFonts w:ascii="Arial" w:hAnsi="Arial" w:cs="Arial"/>
          <w:color w:val="000000" w:themeColor="text1"/>
        </w:rPr>
        <w:fldChar w:fldCharType="separate"/>
      </w:r>
      <w:r w:rsidR="002D43F7" w:rsidRPr="000E0F90">
        <w:rPr>
          <w:rFonts w:ascii="Arial" w:hAnsi="Arial" w:cs="Arial"/>
          <w:noProof/>
          <w:color w:val="000000" w:themeColor="text1"/>
        </w:rPr>
        <w:t>(Worrall et al., 2009)</w:t>
      </w:r>
      <w:r w:rsidR="002D43F7" w:rsidRPr="000E0F90">
        <w:rPr>
          <w:rFonts w:ascii="Arial" w:hAnsi="Arial" w:cs="Arial"/>
          <w:color w:val="000000" w:themeColor="text1"/>
        </w:rPr>
        <w:fldChar w:fldCharType="end"/>
      </w:r>
      <w:r w:rsidR="00B32AE5" w:rsidRPr="000E0F90">
        <w:rPr>
          <w:rFonts w:ascii="Arial" w:hAnsi="Arial" w:cs="Arial"/>
          <w:color w:val="000000" w:themeColor="text1"/>
        </w:rPr>
        <w:t xml:space="preserve">. </w:t>
      </w:r>
    </w:p>
    <w:p w:rsidR="000526BD" w:rsidRPr="000E0F90" w:rsidRDefault="007A4D33" w:rsidP="002B538F">
      <w:pPr>
        <w:spacing w:before="120" w:line="360" w:lineRule="auto"/>
        <w:rPr>
          <w:rFonts w:ascii="Arial" w:hAnsi="Arial" w:cs="Arial"/>
          <w:color w:val="000000" w:themeColor="text1"/>
        </w:rPr>
      </w:pPr>
      <w:r w:rsidRPr="000E0F90">
        <w:rPr>
          <w:rFonts w:ascii="Arial" w:hAnsi="Arial" w:cs="Arial"/>
          <w:color w:val="000000" w:themeColor="text1"/>
        </w:rPr>
        <w:t xml:space="preserve">De esta forma se amplió la definición de la TBL, empleada por la minería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"10.1016/j.jclepro.2010.08.019", "ISSN" : "09596526", "author" : [ { "dropping-particle" : "", "family" : "Laurence", "given" : "David", "non-dropping-particle" : "", "parse-names" : false, "suffix" : "" } ], "container-title" : "Journal of Cleaner Production", "id" : "ITEM-1", "issue" : "2-3", "issued" : { "date-parts" : [ [ "2011", "1" ] ] }, "page" : "278-284", "publisher" : "Elsevier Ltd", "title" : "Establishing a sustainable mining operation: an overview", "type" : "article-journal", "volume" : "19" }, "uris" : [ "http://www.mendeley.com/documents/?uuid=b1b1a5ce-2c8f-4ad7-a07d-19792ae1d7d8" ] } ], "mendeley" : { "formattedCitation" : "(Laurence, 2011)", "plainTextFormattedCitation" : "(Laurence, 2011)", "previouslyFormattedCitation" : "(Laurence, 2011)"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(Laurence, 2011)</w:t>
      </w:r>
      <w:r w:rsidRPr="000E0F90">
        <w:rPr>
          <w:rFonts w:ascii="Arial" w:hAnsi="Arial" w:cs="Arial"/>
          <w:color w:val="000000" w:themeColor="text1"/>
        </w:rPr>
        <w:fldChar w:fldCharType="end"/>
      </w:r>
      <w:r w:rsidRPr="000E0F90">
        <w:rPr>
          <w:rFonts w:ascii="Arial" w:hAnsi="Arial" w:cs="Arial"/>
          <w:color w:val="000000" w:themeColor="text1"/>
        </w:rPr>
        <w:t xml:space="preserve"> a una conceptualización mucho más holística</w:t>
      </w:r>
      <w:r w:rsidR="00000598" w:rsidRPr="000E0F90">
        <w:rPr>
          <w:rFonts w:ascii="Arial" w:hAnsi="Arial" w:cs="Arial"/>
          <w:color w:val="000000" w:themeColor="text1"/>
        </w:rPr>
        <w:t xml:space="preserve">, pasando de una visión de la </w:t>
      </w:r>
      <w:r w:rsidR="00000598" w:rsidRPr="000E0F90">
        <w:rPr>
          <w:rFonts w:ascii="Arial" w:hAnsi="Arial" w:cs="Arial"/>
          <w:color w:val="000000" w:themeColor="text1"/>
        </w:rPr>
        <w:lastRenderedPageBreak/>
        <w:t>s</w:t>
      </w:r>
      <w:r w:rsidR="00083C14" w:rsidRPr="000E0F90">
        <w:rPr>
          <w:rFonts w:ascii="Arial" w:hAnsi="Arial" w:cs="Arial"/>
          <w:color w:val="000000" w:themeColor="text1"/>
        </w:rPr>
        <w:t>ostenibilidad</w:t>
      </w:r>
      <w:r w:rsidR="00000598" w:rsidRPr="000E0F90">
        <w:rPr>
          <w:rFonts w:ascii="Arial" w:hAnsi="Arial" w:cs="Arial"/>
          <w:color w:val="000000" w:themeColor="text1"/>
        </w:rPr>
        <w:t xml:space="preserve"> de la mina a la </w:t>
      </w:r>
      <w:r w:rsidR="00F35BB8" w:rsidRPr="000E0F90">
        <w:rPr>
          <w:rFonts w:ascii="Arial" w:hAnsi="Arial" w:cs="Arial"/>
          <w:color w:val="000000" w:themeColor="text1"/>
        </w:rPr>
        <w:t>sostenibilidad</w:t>
      </w:r>
      <w:r w:rsidR="00000598" w:rsidRPr="000E0F90">
        <w:rPr>
          <w:rFonts w:ascii="Arial" w:hAnsi="Arial" w:cs="Arial"/>
          <w:color w:val="000000" w:themeColor="text1"/>
        </w:rPr>
        <w:t xml:space="preserve"> del sector minero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"10.1016/j.resourpol.2009.12.001", "ISSN" : "03014207", "author" : [ { "dropping-particle" : "", "family" : "Mudd", "given" : "Gavin M.", "non-dropping-particle" : "", "parse-names" : false, "suffix" : "" } ], "container-title" : "Resources Policy", "id" : "ITEM-1", "issue" : "2", "issued" : { "date-parts" : [ [ "2010", "6" ] ] }, "page" : "98-115", "publisher" : "Elsevier", "title" : "The Environmental sustainability of mining in Australia: key mega-trends and looming constraints", "type" : "article-journal", "volume" : "35" }, "uris" : [ "http://www.mendeley.com/documents/?uuid=ff129118-ca05-46c3-9832-36feaf335780" ] } ], "mendeley" : { "formattedCitation" : "(Gavin M. Mudd, 2010)", "plainTextFormattedCitation" : "(Gavin M. Mudd, 2010)", "previouslyFormattedCitation" : "(Gavin M. Mudd, 2010)"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(Gavin M. Mudd, 2010)</w:t>
      </w:r>
      <w:r w:rsidRPr="000E0F90">
        <w:rPr>
          <w:rFonts w:ascii="Arial" w:hAnsi="Arial" w:cs="Arial"/>
          <w:color w:val="000000" w:themeColor="text1"/>
        </w:rPr>
        <w:fldChar w:fldCharType="end"/>
      </w:r>
      <w:r w:rsidRPr="000E0F90">
        <w:rPr>
          <w:rFonts w:ascii="Arial" w:hAnsi="Arial" w:cs="Arial"/>
          <w:color w:val="000000" w:themeColor="text1"/>
        </w:rPr>
        <w:t xml:space="preserve">. </w:t>
      </w:r>
      <w:r w:rsidR="000526BD" w:rsidRPr="000E0F90">
        <w:rPr>
          <w:rFonts w:ascii="Arial" w:hAnsi="Arial" w:cs="Arial"/>
          <w:color w:val="000000" w:themeColor="text1"/>
        </w:rPr>
        <w:t xml:space="preserve">Estas iniciativas han facilitado la adaptación </w:t>
      </w:r>
      <w:r w:rsidR="0049698D" w:rsidRPr="000E0F90">
        <w:rPr>
          <w:rFonts w:ascii="Arial" w:hAnsi="Arial" w:cs="Arial"/>
          <w:color w:val="000000" w:themeColor="text1"/>
        </w:rPr>
        <w:t>conjunta</w:t>
      </w:r>
      <w:r w:rsidR="009774D1" w:rsidRPr="000E0F90">
        <w:rPr>
          <w:rFonts w:ascii="Arial" w:hAnsi="Arial" w:cs="Arial"/>
          <w:color w:val="000000" w:themeColor="text1"/>
        </w:rPr>
        <w:t xml:space="preserve"> </w:t>
      </w:r>
      <w:r w:rsidR="000526BD" w:rsidRPr="000E0F90">
        <w:rPr>
          <w:rFonts w:ascii="Arial" w:hAnsi="Arial" w:cs="Arial"/>
          <w:color w:val="000000" w:themeColor="text1"/>
        </w:rPr>
        <w:t xml:space="preserve">de la industria minera con la sociedad </w:t>
      </w:r>
      <w:r w:rsidR="000526BD" w:rsidRPr="000E0F90">
        <w:rPr>
          <w:rFonts w:ascii="Arial" w:hAnsi="Arial" w:cs="Arial"/>
          <w:color w:val="000000" w:themeColor="text1"/>
        </w:rPr>
        <w:fldChar w:fldCharType="begin" w:fldLock="1"/>
      </w:r>
      <w:r w:rsidR="000526BD" w:rsidRPr="000E0F90">
        <w:rPr>
          <w:rFonts w:ascii="Arial" w:hAnsi="Arial" w:cs="Arial"/>
          <w:color w:val="000000" w:themeColor="text1"/>
        </w:rPr>
        <w:instrText>ADDIN CSL_CITATION { "citationItems" : [ { "id" : "ITEM-1", "itemData" : { "DOI" : "10.1111/j.1477-8947.1999.tb00919.x", "ISSN" : "01650203", "author" : [ { "dropping-particle" : "", "family" : "Labonne", "given" : "B\u00e9atrice", "non-dropping-particle" : "", "parse-names" : false, "suffix" : "" } ], "container-title" : "Natural Resources Forum", "id" : "ITEM-1", "issue" : "4", "issued" : { "date-parts" : [ [ "1999", "11" ] ] }, "page" : "315-322", "title" : "The mining industry and the community: joining forces for sustainable social development", "type" : "article-journal", "volume" : "23" }, "uris" : [ "http://www.mendeley.com/documents/?uuid=9175082f-f301-49c9-8327-23ac73cb236c" ] } ], "mendeley" : { "formattedCitation" : "(Labonne, 1999)", "plainTextFormattedCitation" : "(Labonne, 1999)", "previouslyFormattedCitation" : "(Labonne, 1999)" }, "properties" : { "noteIndex" : 0 }, "schema" : "https://github.com/citation-style-language/schema/raw/master/csl-citation.json" }</w:instrText>
      </w:r>
      <w:r w:rsidR="000526BD" w:rsidRPr="000E0F90">
        <w:rPr>
          <w:rFonts w:ascii="Arial" w:hAnsi="Arial" w:cs="Arial"/>
          <w:color w:val="000000" w:themeColor="text1"/>
        </w:rPr>
        <w:fldChar w:fldCharType="separate"/>
      </w:r>
      <w:r w:rsidR="000526BD" w:rsidRPr="000E0F90">
        <w:rPr>
          <w:rFonts w:ascii="Arial" w:hAnsi="Arial" w:cs="Arial"/>
          <w:noProof/>
          <w:color w:val="000000" w:themeColor="text1"/>
        </w:rPr>
        <w:t>(Labonne, 1999)</w:t>
      </w:r>
      <w:r w:rsidR="000526BD" w:rsidRPr="000E0F90">
        <w:rPr>
          <w:rFonts w:ascii="Arial" w:hAnsi="Arial" w:cs="Arial"/>
          <w:color w:val="000000" w:themeColor="text1"/>
        </w:rPr>
        <w:fldChar w:fldCharType="end"/>
      </w:r>
      <w:r w:rsidR="000526BD" w:rsidRPr="000E0F90">
        <w:rPr>
          <w:rFonts w:ascii="Arial" w:hAnsi="Arial" w:cs="Arial"/>
          <w:color w:val="000000" w:themeColor="text1"/>
        </w:rPr>
        <w:t xml:space="preserve">, incorporado progresivamente los aspectos sociales y medioambientales, permitiendo la homogenización de las mayores compañías mineras. </w:t>
      </w:r>
      <w:r w:rsidR="000526BD" w:rsidRPr="000E0F90">
        <w:rPr>
          <w:rFonts w:ascii="Arial" w:hAnsi="Arial" w:cs="Arial"/>
          <w:color w:val="000000" w:themeColor="text1"/>
        </w:rPr>
        <w:fldChar w:fldCharType="begin" w:fldLock="1"/>
      </w:r>
      <w:r w:rsidR="000526BD" w:rsidRPr="000E0F90">
        <w:rPr>
          <w:rFonts w:ascii="Arial" w:hAnsi="Arial" w:cs="Arial"/>
          <w:color w:val="000000" w:themeColor="text1"/>
        </w:rPr>
        <w:instrText>ADDIN CSL_CITATION { "citationItems" : [ { "id" : "ITEM-1", "itemData" : { "author" : [ { "dropping-particle" : "", "family" : "Amezaga", "given" : "Jaime M", "non-dropping-particle" : "", "parse-names" : false, "suffix" : "" }, { "dropping-particle" : "", "family" : "Younger", "given" : "Paul L", "non-dropping-particle" : "", "parse-names" : false, "suffix" : "" }, { "dropping-particle" : "", "family" : "U", "given" : "Ricardo Oyarz", "non-dropping-particle" : "", "parse-names" : false, "suffix" : "" }, { "dropping-particle" : "", "family" : "Mayor", "given" : "Universidad", "non-dropping-particle" : "", "parse-names" : false, "suffix" : "" }, { "dropping-particle" : "", "family" : "Andre", "given" : "De San", "non-dropping-particle" : "", "parse-names" : false, "suffix" : "" } ], "id" : "ITEM-1", "issued" : { "date-parts" : [ [ "2011" ] ] }, "page" : "21-26", "title" : "A Rich Vein ? Mining and the Pursuit of Sustainability \u2020", "type" : "article-journal" }, "uris" : [ "http://www.mendeley.com/documents/?uuid=23d694c8-9bfc-4f5f-a048-d902336bb8e3" ] } ], "mendeley" : { "formattedCitation" : "(Amezaga et al., 2011)", "plainTextFormattedCitation" : "(Amezaga et al., 2011)", "previouslyFormattedCitation" : "(Amezaga et al., 2011)" }, "properties" : { "noteIndex" : 0 }, "schema" : "https://github.com/citation-style-language/schema/raw/master/csl-citation.json" }</w:instrText>
      </w:r>
      <w:r w:rsidR="000526BD" w:rsidRPr="000E0F90">
        <w:rPr>
          <w:rFonts w:ascii="Arial" w:hAnsi="Arial" w:cs="Arial"/>
          <w:color w:val="000000" w:themeColor="text1"/>
        </w:rPr>
        <w:fldChar w:fldCharType="separate"/>
      </w:r>
      <w:r w:rsidR="000526BD" w:rsidRPr="000E0F90">
        <w:rPr>
          <w:rFonts w:ascii="Arial" w:hAnsi="Arial" w:cs="Arial"/>
          <w:noProof/>
          <w:color w:val="000000" w:themeColor="text1"/>
        </w:rPr>
        <w:t>(Amezaga et al., 2011)</w:t>
      </w:r>
      <w:r w:rsidR="000526BD" w:rsidRPr="000E0F90">
        <w:rPr>
          <w:rFonts w:ascii="Arial" w:hAnsi="Arial" w:cs="Arial"/>
          <w:color w:val="000000" w:themeColor="text1"/>
        </w:rPr>
        <w:fldChar w:fldCharType="end"/>
      </w:r>
      <w:r w:rsidR="000526BD" w:rsidRPr="000E0F90">
        <w:rPr>
          <w:rFonts w:ascii="Arial" w:hAnsi="Arial" w:cs="Arial"/>
          <w:color w:val="000000" w:themeColor="text1"/>
        </w:rPr>
        <w:t xml:space="preserve">. Contribuyendo de esta forma a la licencia social para operar de la industria </w:t>
      </w:r>
      <w:r w:rsidR="000526BD" w:rsidRPr="000E0F90">
        <w:rPr>
          <w:rFonts w:ascii="Arial" w:hAnsi="Arial" w:cs="Arial"/>
          <w:color w:val="000000" w:themeColor="text1"/>
        </w:rPr>
        <w:fldChar w:fldCharType="begin" w:fldLock="1"/>
      </w:r>
      <w:r w:rsidR="000526BD" w:rsidRPr="000E0F90">
        <w:rPr>
          <w:rFonts w:ascii="Arial" w:hAnsi="Arial" w:cs="Arial"/>
          <w:color w:val="000000" w:themeColor="text1"/>
        </w:rPr>
        <w:instrText>ADDIN CSL_CITATION { "citationItems" : [ { "id" : "ITEM-1", "itemData" : { "DOI" : "10.1016/j.jclepro.2009.04.013", "ISSN" : "09596526", "author" : [ { "dropping-particle" : "", "family" : "Worrall", "given" : "Rhys", "non-dropping-particle" : "", "parse-names" : false, "suffix" : "" }, { "dropping-particle" : "", "family" : "Neil", "given" : "David", "non-dropping-particle" : "", "parse-names" : false, "suffix" : "" }, { "dropping-particle" : "", "family" : "Brereton", "given" : "David", "non-dropping-particle" : "", "parse-names" : false, "suffix" : "" }, { "dropping-particle" : "", "family" : "Mulligan", "given" : "David", "non-dropping-particle" : "", "parse-names" : false, "suffix" : "" } ], "container-title" : "Journal of Cleaner Production", "id" : "ITEM-1", "issue" : "16", "issued" : { "date-parts" : [ [ "2009", "11" ] ] }, "page" : "1426-1434", "publisher" : "Elsevier Ltd", "title" : "Towards a sustainability criteria and indicators framework for legacy mine land", "type" : "article-journal", "volume" : "17" }, "uris" : [ "http://www.mendeley.com/documents/?uuid=ab575b20-fa72-4f71-9cda-8dfefeac6b76" ] } ], "mendeley" : { "formattedCitation" : "(Worrall et al., 2009)", "plainTextFormattedCitation" : "(Worrall et al., 2009)", "previouslyFormattedCitation" : "(Worrall et al., 2009)" }, "properties" : { "noteIndex" : 0 }, "schema" : "https://github.com/citation-style-language/schema/raw/master/csl-citation.json" }</w:instrText>
      </w:r>
      <w:r w:rsidR="000526BD" w:rsidRPr="000E0F90">
        <w:rPr>
          <w:rFonts w:ascii="Arial" w:hAnsi="Arial" w:cs="Arial"/>
          <w:color w:val="000000" w:themeColor="text1"/>
        </w:rPr>
        <w:fldChar w:fldCharType="separate"/>
      </w:r>
      <w:r w:rsidR="000526BD" w:rsidRPr="000E0F90">
        <w:rPr>
          <w:rFonts w:ascii="Arial" w:hAnsi="Arial" w:cs="Arial"/>
          <w:noProof/>
          <w:color w:val="000000" w:themeColor="text1"/>
        </w:rPr>
        <w:t>(Worrall et al., 2009)</w:t>
      </w:r>
      <w:r w:rsidR="000526BD" w:rsidRPr="000E0F90">
        <w:rPr>
          <w:rFonts w:ascii="Arial" w:hAnsi="Arial" w:cs="Arial"/>
          <w:color w:val="000000" w:themeColor="text1"/>
        </w:rPr>
        <w:fldChar w:fldCharType="end"/>
      </w:r>
      <w:r w:rsidR="000526BD" w:rsidRPr="000E0F90">
        <w:rPr>
          <w:rFonts w:ascii="Arial" w:hAnsi="Arial" w:cs="Arial"/>
          <w:color w:val="000000" w:themeColor="text1"/>
        </w:rPr>
        <w:t>. Cabe señalar que existen brechas que deben ser alcanzadas como la incorporación de</w:t>
      </w:r>
      <w:r w:rsidR="009774D1" w:rsidRPr="000E0F90">
        <w:rPr>
          <w:rFonts w:ascii="Arial" w:hAnsi="Arial" w:cs="Arial"/>
          <w:color w:val="000000" w:themeColor="text1"/>
        </w:rPr>
        <w:t xml:space="preserve"> la pequeña y mediana minería </w:t>
      </w:r>
      <w:r w:rsidR="000526BD" w:rsidRPr="000E0F90">
        <w:rPr>
          <w:rFonts w:ascii="Arial" w:hAnsi="Arial" w:cs="Arial"/>
          <w:color w:val="000000" w:themeColor="text1"/>
        </w:rPr>
        <w:fldChar w:fldCharType="begin" w:fldLock="1"/>
      </w:r>
      <w:r w:rsidR="000526BD" w:rsidRPr="000E0F90">
        <w:rPr>
          <w:rFonts w:ascii="Arial" w:hAnsi="Arial" w:cs="Arial"/>
          <w:color w:val="000000" w:themeColor="text1"/>
        </w:rPr>
        <w:instrText>ADDIN CSL_CITATION { "citationItems" : [ { "id" : "ITEM-1", "itemData" : { "author" : [ { "dropping-particle" : "", "family" : "Amezaga", "given" : "Jaime M", "non-dropping-particle" : "", "parse-names" : false, "suffix" : "" }, { "dropping-particle" : "", "family" : "Younger", "given" : "Paul L", "non-dropping-particle" : "", "parse-names" : false, "suffix" : "" }, { "dropping-particle" : "", "family" : "U", "given" : "Ricardo Oyarz", "non-dropping-particle" : "", "parse-names" : false, "suffix" : "" }, { "dropping-particle" : "", "family" : "Mayor", "given" : "Universidad", "non-dropping-particle" : "", "parse-names" : false, "suffix" : "" }, { "dropping-particle" : "", "family" : "Andre", "given" : "De San", "non-dropping-particle" : "", "parse-names" : false, "suffix" : "" } ], "id" : "ITEM-1", "issued" : { "date-parts" : [ [ "2011" ] ] }, "page" : "21-26", "title" : "A Rich Vein ? Mining and the Pursuit of Sustainability \u2020", "type" : "article-journal" }, "uris" : [ "http://www.mendeley.com/documents/?uuid=23d694c8-9bfc-4f5f-a048-d902336bb8e3" ] } ], "mendeley" : { "formattedCitation" : "(Amezaga et al., 2011)", "plainTextFormattedCitation" : "(Amezaga et al., 2011)", "previouslyFormattedCitation" : "(Amezaga et al., 2011)" }, "properties" : { "noteIndex" : 0 }, "schema" : "https://github.com/citation-style-language/schema/raw/master/csl-citation.json" }</w:instrText>
      </w:r>
      <w:r w:rsidR="000526BD" w:rsidRPr="000E0F90">
        <w:rPr>
          <w:rFonts w:ascii="Arial" w:hAnsi="Arial" w:cs="Arial"/>
          <w:color w:val="000000" w:themeColor="text1"/>
        </w:rPr>
        <w:fldChar w:fldCharType="separate"/>
      </w:r>
      <w:r w:rsidR="000526BD" w:rsidRPr="000E0F90">
        <w:rPr>
          <w:rFonts w:ascii="Arial" w:hAnsi="Arial" w:cs="Arial"/>
          <w:noProof/>
          <w:color w:val="000000" w:themeColor="text1"/>
        </w:rPr>
        <w:t>(Amezaga et al., 2011)</w:t>
      </w:r>
      <w:r w:rsidR="000526BD" w:rsidRPr="000E0F90">
        <w:rPr>
          <w:rFonts w:ascii="Arial" w:hAnsi="Arial" w:cs="Arial"/>
          <w:color w:val="000000" w:themeColor="text1"/>
        </w:rPr>
        <w:fldChar w:fldCharType="end"/>
      </w:r>
      <w:r w:rsidR="000526BD" w:rsidRPr="000E0F90">
        <w:rPr>
          <w:rFonts w:ascii="Arial" w:hAnsi="Arial" w:cs="Arial"/>
          <w:color w:val="000000" w:themeColor="text1"/>
        </w:rPr>
        <w:t>. Así como también inco</w:t>
      </w:r>
      <w:r w:rsidR="0049698D" w:rsidRPr="000E0F90">
        <w:rPr>
          <w:rFonts w:ascii="Arial" w:hAnsi="Arial" w:cs="Arial"/>
          <w:color w:val="000000" w:themeColor="text1"/>
        </w:rPr>
        <w:t>r</w:t>
      </w:r>
      <w:r w:rsidR="000526BD" w:rsidRPr="000E0F90">
        <w:rPr>
          <w:rFonts w:ascii="Arial" w:hAnsi="Arial" w:cs="Arial"/>
          <w:color w:val="000000" w:themeColor="text1"/>
        </w:rPr>
        <w:t xml:space="preserve">porar la naturaleza finita de los recursos minerales y su manejo </w:t>
      </w:r>
      <w:r w:rsidR="00F35BB8" w:rsidRPr="000E0F90">
        <w:rPr>
          <w:rFonts w:ascii="Arial" w:hAnsi="Arial" w:cs="Arial"/>
          <w:color w:val="000000" w:themeColor="text1"/>
        </w:rPr>
        <w:t>sostenible</w:t>
      </w:r>
      <w:r w:rsidR="000526BD" w:rsidRPr="000E0F90">
        <w:rPr>
          <w:rFonts w:ascii="Arial" w:hAnsi="Arial" w:cs="Arial"/>
          <w:color w:val="000000" w:themeColor="text1"/>
        </w:rPr>
        <w:t xml:space="preserve"> en dichos enfoques </w:t>
      </w:r>
      <w:r w:rsidR="000526BD" w:rsidRPr="000E0F90">
        <w:rPr>
          <w:rFonts w:ascii="Arial" w:hAnsi="Arial" w:cs="Arial"/>
          <w:color w:val="000000" w:themeColor="text1"/>
        </w:rPr>
        <w:fldChar w:fldCharType="begin" w:fldLock="1"/>
      </w:r>
      <w:r w:rsidR="000526BD" w:rsidRPr="000E0F90">
        <w:rPr>
          <w:rFonts w:ascii="Arial" w:hAnsi="Arial" w:cs="Arial"/>
          <w:color w:val="000000" w:themeColor="text1"/>
        </w:rPr>
        <w:instrText>ADDIN CSL_CITATION { "citationItems" : [ { "id" : "ITEM-1", "itemData" : { "DOI" : "10.1016/j.jclepro.2010.08.019", "ISSN" : "09596526", "author" : [ { "dropping-particle" : "", "family" : "Laurence", "given" : "David", "non-dropping-particle" : "", "parse-names" : false, "suffix" : "" } ], "container-title" : "Journal of Cleaner Production", "id" : "ITEM-1", "issue" : "2-3", "issued" : { "date-parts" : [ [ "2011", "1" ] ] }, "page" : "278-284", "publisher" : "Elsevier Ltd", "title" : "Establishing a sustainable mining operation: an overview", "type" : "article-journal", "volume" : "19" }, "uris" : [ "http://www.mendeley.com/documents/?uuid=b1b1a5ce-2c8f-4ad7-a07d-19792ae1d7d8" ] } ], "mendeley" : { "formattedCitation" : "(Laurence, 2011)", "plainTextFormattedCitation" : "(Laurence, 2011)", "previouslyFormattedCitation" : "(Laurence, 2011)" }, "properties" : { "noteIndex" : 0 }, "schema" : "https://github.com/citation-style-language/schema/raw/master/csl-citation.json" }</w:instrText>
      </w:r>
      <w:r w:rsidR="000526BD" w:rsidRPr="000E0F90">
        <w:rPr>
          <w:rFonts w:ascii="Arial" w:hAnsi="Arial" w:cs="Arial"/>
          <w:color w:val="000000" w:themeColor="text1"/>
        </w:rPr>
        <w:fldChar w:fldCharType="separate"/>
      </w:r>
      <w:r w:rsidR="000526BD" w:rsidRPr="000E0F90">
        <w:rPr>
          <w:rFonts w:ascii="Arial" w:hAnsi="Arial" w:cs="Arial"/>
          <w:noProof/>
          <w:color w:val="000000" w:themeColor="text1"/>
        </w:rPr>
        <w:t>(Laurence, 2011)</w:t>
      </w:r>
      <w:r w:rsidR="000526BD" w:rsidRPr="000E0F90">
        <w:rPr>
          <w:rFonts w:ascii="Arial" w:hAnsi="Arial" w:cs="Arial"/>
          <w:color w:val="000000" w:themeColor="text1"/>
        </w:rPr>
        <w:fldChar w:fldCharType="end"/>
      </w:r>
      <w:r w:rsidR="000526BD" w:rsidRPr="000E0F90">
        <w:rPr>
          <w:rFonts w:ascii="Arial" w:hAnsi="Arial" w:cs="Arial"/>
          <w:color w:val="000000" w:themeColor="text1"/>
        </w:rPr>
        <w:t xml:space="preserve">. </w:t>
      </w:r>
    </w:p>
    <w:p w:rsidR="004C7C38" w:rsidRPr="00AF6811" w:rsidRDefault="00F35BB8" w:rsidP="002B538F">
      <w:pPr>
        <w:spacing w:after="0" w:line="360" w:lineRule="auto"/>
        <w:rPr>
          <w:rFonts w:ascii="Arial" w:hAnsi="Arial" w:cs="Arial"/>
          <w:b/>
          <w:color w:val="000000" w:themeColor="text1"/>
        </w:rPr>
      </w:pPr>
      <w:bookmarkStart w:id="11" w:name="_Toc422411550"/>
      <w:r w:rsidRPr="00AF6811">
        <w:rPr>
          <w:rFonts w:ascii="Arial" w:hAnsi="Arial" w:cs="Arial"/>
          <w:b/>
          <w:color w:val="000000" w:themeColor="text1"/>
        </w:rPr>
        <w:t>Sostenibilidad</w:t>
      </w:r>
      <w:r w:rsidR="004841AC" w:rsidRPr="00AF6811">
        <w:rPr>
          <w:rFonts w:ascii="Arial" w:hAnsi="Arial" w:cs="Arial"/>
          <w:b/>
          <w:color w:val="000000" w:themeColor="text1"/>
        </w:rPr>
        <w:t xml:space="preserve"> Corporativa</w:t>
      </w:r>
      <w:bookmarkEnd w:id="11"/>
    </w:p>
    <w:p w:rsidR="004C7C38" w:rsidRPr="000E0F90" w:rsidRDefault="004C7C38" w:rsidP="002B538F">
      <w:pPr>
        <w:spacing w:line="360" w:lineRule="auto"/>
        <w:rPr>
          <w:rFonts w:ascii="Arial" w:hAnsi="Arial" w:cs="Arial"/>
          <w:color w:val="000000" w:themeColor="text1"/>
        </w:rPr>
      </w:pPr>
      <w:r w:rsidRPr="000E0F90">
        <w:rPr>
          <w:rFonts w:ascii="Arial" w:hAnsi="Arial" w:cs="Arial"/>
          <w:color w:val="000000" w:themeColor="text1"/>
        </w:rPr>
        <w:t xml:space="preserve">La </w:t>
      </w:r>
      <w:r w:rsidR="00F35BB8" w:rsidRPr="000E0F90">
        <w:rPr>
          <w:rFonts w:ascii="Arial" w:hAnsi="Arial" w:cs="Arial"/>
          <w:color w:val="000000" w:themeColor="text1"/>
        </w:rPr>
        <w:t>sostenibilidad</w:t>
      </w:r>
      <w:r w:rsidRPr="000E0F90">
        <w:rPr>
          <w:rFonts w:ascii="Arial" w:hAnsi="Arial" w:cs="Arial"/>
          <w:color w:val="000000" w:themeColor="text1"/>
        </w:rPr>
        <w:t xml:space="preserve"> corporativa, es entendida como las acciones realizadas a nivel de la industria de forma de contribuir al desarrollo </w:t>
      </w:r>
      <w:r w:rsidR="00F35BB8" w:rsidRPr="000E0F90">
        <w:rPr>
          <w:rFonts w:ascii="Arial" w:hAnsi="Arial" w:cs="Arial"/>
          <w:color w:val="000000" w:themeColor="text1"/>
        </w:rPr>
        <w:t>sostenible</w:t>
      </w:r>
      <w:r w:rsidRPr="000E0F90">
        <w:rPr>
          <w:rFonts w:ascii="Arial" w:hAnsi="Arial" w:cs="Arial"/>
          <w:color w:val="000000" w:themeColor="text1"/>
        </w:rPr>
        <w:t>, consiste en la elaboración</w:t>
      </w:r>
      <w:r w:rsidR="00D04C63" w:rsidRPr="000E0F90">
        <w:rPr>
          <w:rFonts w:ascii="Arial" w:hAnsi="Arial" w:cs="Arial"/>
          <w:color w:val="000000" w:themeColor="text1"/>
        </w:rPr>
        <w:t xml:space="preserve"> y publicación</w:t>
      </w:r>
      <w:r w:rsidRPr="000E0F90">
        <w:rPr>
          <w:rFonts w:ascii="Arial" w:hAnsi="Arial" w:cs="Arial"/>
          <w:color w:val="000000" w:themeColor="text1"/>
        </w:rPr>
        <w:t xml:space="preserve"> de reportes o evaluaciones de </w:t>
      </w:r>
      <w:r w:rsidR="00F35BB8" w:rsidRPr="000E0F90">
        <w:rPr>
          <w:rFonts w:ascii="Arial" w:hAnsi="Arial" w:cs="Arial"/>
          <w:color w:val="000000" w:themeColor="text1"/>
        </w:rPr>
        <w:t>sostenibilidad</w:t>
      </w:r>
      <w:r w:rsidRPr="000E0F90">
        <w:rPr>
          <w:rFonts w:ascii="Arial" w:hAnsi="Arial" w:cs="Arial"/>
          <w:color w:val="000000" w:themeColor="text1"/>
        </w:rPr>
        <w:t xml:space="preserve"> con el objetivo de apoyar la toma de decisiones en </w:t>
      </w:r>
      <w:r w:rsidR="00D04C63" w:rsidRPr="000E0F90">
        <w:rPr>
          <w:rFonts w:ascii="Arial" w:hAnsi="Arial" w:cs="Arial"/>
          <w:color w:val="000000" w:themeColor="text1"/>
        </w:rPr>
        <w:t xml:space="preserve">la industria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"10.1002/jid", "author" : [ { "dropping-particle" : "", "family" : "DIMITRIOS", "given" : "", "non-dropping-particle" : "", "parse-names" : false, "suffix" : "" }, { "dropping-particle" : "", "family" : "PESMATZOGLOU", "given" : "", "non-dropping-particle" : "", "parse-names" : false, "suffix" : "" }, { "dropping-particle" : "", "family" : "IOANNIS", "given" : "", "non-dropping-particle" : "", "parse-names" : false, "suffix" : "" }, { "dropping-particle" : "", "family" : "NIKOLAOU", "given" : "", "non-dropping-particle" : "", "parse-names" : false, "suffix" : "" }, { "dropping-particle" : "", "family" : "KONSTANTINOS", "given" : "", "non-dropping-particle" : "", "parse-names" : false, "suffix" : "" }, { "dropping-particle" : "", "family" : "EVANGELINOS", "given" : "", "non-dropping-particle" : "", "parse-names" : false, "suffix" : "" }, { "dropping-particle" : "", "family" : "ALLAN", "given" : "STUART", "non-dropping-particle" : "", "parse-names" : false, "suffix" : "" } ], "id" : "ITEM-1", "issue" : "August 2012", "issued" : { "date-parts" : [ [ "2014" ] ] }, "page" : "187-206", "title" : "REVIEW ARTICLE EXTRACTIVE MULTINATIONALS AND CORPORATE SOCIAL RESPONSIBILITY : A COMMITMENT TOWARDS ACHIEVING THE GOALS OF SUSTAINABLE DEVELOPMENT OR ONLY A MANAGEMENT STRATEGY ?", "type" : "article-journal", "volume" : "206" }, "uris" : [ "http://www.mendeley.com/documents/?uuid=7a6d9547-bb52-4481-a8a4-3f00ed8c24f8" ] } ], "mendeley" : { "formattedCitation" : "(DIMITRIOS et al., 2014)", "plainTextFormattedCitation" : "(DIMITRIOS et al., 2014)", "previouslyFormattedCitation" : "(DIMITRIOS et al., 2014)"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(DIMITRIOS et al., 2014)</w:t>
      </w:r>
      <w:r w:rsidRPr="000E0F90">
        <w:rPr>
          <w:rFonts w:ascii="Arial" w:hAnsi="Arial" w:cs="Arial"/>
          <w:color w:val="000000" w:themeColor="text1"/>
        </w:rPr>
        <w:fldChar w:fldCharType="end"/>
      </w:r>
      <w:r w:rsidR="00D04C63" w:rsidRPr="000E0F90">
        <w:rPr>
          <w:rFonts w:ascii="Arial" w:hAnsi="Arial" w:cs="Arial"/>
          <w:color w:val="000000" w:themeColor="text1"/>
        </w:rPr>
        <w:t xml:space="preserve"> </w:t>
      </w:r>
      <w:r w:rsidR="00D04C63" w:rsidRPr="000E0F90">
        <w:rPr>
          <w:rFonts w:ascii="Arial" w:hAnsi="Arial" w:cs="Arial"/>
          <w:color w:val="000000" w:themeColor="text1"/>
        </w:rPr>
        <w:fldChar w:fldCharType="begin" w:fldLock="1"/>
      </w:r>
      <w:r w:rsidR="00F22AA6" w:rsidRPr="000E0F90">
        <w:rPr>
          <w:rFonts w:ascii="Arial" w:hAnsi="Arial" w:cs="Arial"/>
          <w:color w:val="000000" w:themeColor="text1"/>
        </w:rPr>
        <w:instrText>ADDIN CSL_CITATION { "citationItems" : [ { "id" : "ITEM-1", "itemData" : { "DOI" : "10.1016/j.mineng.2013.04.008", "ISSN" : "08926875", "author" : [ { "dropping-particle" : "", "family" : "Fonseca", "given" : "Alberto", "non-dropping-particle" : "", "parse-names" : false, "suffix" : "" }, { "dropping-particle" : "", "family" : "McAllister", "given" : "Mary Louise", "non-dropping-particle" : "", "parse-names" : false, "suffix" : "" }, { "dropping-particle" : "", "family" : "Fitzpatrick", "given" : "Patricia", "non-dropping-particle" : "", "parse-names" : false, "suffix" : "" } ], "container-title" : "Minerals Engineering", "id" : "ITEM-1", "issued" : { "date-parts" : [ [ "2013", "6" ] ] }, "page" : "180-186", "publisher" : "Elsevier Ltd", "title" : "Measuring what? A comparative anatomy of five mining sustainability frameworks", "type" : "article-journal", "volume" : "46-47" }, "uris" : [ "http://www.mendeley.com/documents/?uuid=7daefc24-618a-4523-9760-2c9148265937" ] } ], "mendeley" : { "formattedCitation" : "(Fonseca et al., 2013)", "plainTextFormattedCitation" : "(Fonseca et al., 2013)", "previouslyFormattedCitation" : "(Fonseca et al., 2013)" }, "properties" : { "noteIndex" : 0 }, "schema" : "https://github.com/citation-style-language/schema/raw/master/csl-citation.json" }</w:instrText>
      </w:r>
      <w:r w:rsidR="00D04C63" w:rsidRPr="000E0F90">
        <w:rPr>
          <w:rFonts w:ascii="Arial" w:hAnsi="Arial" w:cs="Arial"/>
          <w:color w:val="000000" w:themeColor="text1"/>
        </w:rPr>
        <w:fldChar w:fldCharType="separate"/>
      </w:r>
      <w:r w:rsidR="006768C3" w:rsidRPr="000E0F90">
        <w:rPr>
          <w:rFonts w:ascii="Arial" w:hAnsi="Arial" w:cs="Arial"/>
          <w:noProof/>
          <w:color w:val="000000" w:themeColor="text1"/>
        </w:rPr>
        <w:t>(Fonseca et al., 2013)</w:t>
      </w:r>
      <w:r w:rsidR="00D04C63" w:rsidRPr="000E0F90">
        <w:rPr>
          <w:rFonts w:ascii="Arial" w:hAnsi="Arial" w:cs="Arial"/>
          <w:color w:val="000000" w:themeColor="text1"/>
        </w:rPr>
        <w:fldChar w:fldCharType="end"/>
      </w:r>
      <w:r w:rsidR="00D04C63" w:rsidRPr="000E0F90">
        <w:rPr>
          <w:rFonts w:ascii="Arial" w:hAnsi="Arial" w:cs="Arial"/>
          <w:color w:val="000000" w:themeColor="text1"/>
        </w:rPr>
        <w:t>.</w:t>
      </w:r>
      <w:r w:rsidR="009774D1" w:rsidRPr="000E0F90">
        <w:rPr>
          <w:rFonts w:ascii="Arial" w:hAnsi="Arial" w:cs="Arial"/>
          <w:color w:val="000000" w:themeColor="text1"/>
        </w:rPr>
        <w:t xml:space="preserve"> </w:t>
      </w:r>
      <w:r w:rsidRPr="000E0F90">
        <w:rPr>
          <w:rFonts w:ascii="Arial" w:hAnsi="Arial" w:cs="Arial"/>
          <w:color w:val="000000" w:themeColor="text1"/>
        </w:rPr>
        <w:t xml:space="preserve">Estos reportes buscan reflejar la implementación de principios, objetivos o criterios de </w:t>
      </w:r>
      <w:r w:rsidR="00F35BB8" w:rsidRPr="000E0F90">
        <w:rPr>
          <w:rFonts w:ascii="Arial" w:hAnsi="Arial" w:cs="Arial"/>
          <w:color w:val="000000" w:themeColor="text1"/>
        </w:rPr>
        <w:t>sostenibilidad</w:t>
      </w:r>
      <w:r w:rsidRPr="000E0F90">
        <w:rPr>
          <w:rFonts w:ascii="Arial" w:hAnsi="Arial" w:cs="Arial"/>
          <w:color w:val="000000" w:themeColor="text1"/>
        </w:rPr>
        <w:t>, establecidos ya sea, por entidades internacionales como el ICMM (ICMM, 2014) o por iniciativas locales</w:t>
      </w:r>
      <w:r w:rsidR="00D04C63" w:rsidRPr="000E0F90">
        <w:rPr>
          <w:rFonts w:ascii="Arial" w:hAnsi="Arial" w:cs="Arial"/>
          <w:color w:val="000000" w:themeColor="text1"/>
        </w:rPr>
        <w:t xml:space="preserve"> (“Towards Sustainable Mining” MAC; </w:t>
      </w:r>
      <w:r w:rsidRPr="000E0F90">
        <w:rPr>
          <w:rFonts w:ascii="Arial" w:hAnsi="Arial" w:cs="Arial"/>
          <w:color w:val="000000" w:themeColor="text1"/>
        </w:rPr>
        <w:t>“Seven Questions to Sustainability”</w:t>
      </w:r>
      <w:r w:rsidR="00D04C63" w:rsidRPr="000E0F90">
        <w:rPr>
          <w:rFonts w:ascii="Arial" w:hAnsi="Arial" w:cs="Arial"/>
          <w:color w:val="000000" w:themeColor="text1"/>
        </w:rPr>
        <w:t>,</w:t>
      </w:r>
      <w:r w:rsidRPr="000E0F90">
        <w:rPr>
          <w:rFonts w:ascii="Arial" w:hAnsi="Arial" w:cs="Arial"/>
          <w:color w:val="000000" w:themeColor="text1"/>
        </w:rPr>
        <w:t xml:space="preserve"> MMSD). </w:t>
      </w:r>
    </w:p>
    <w:p w:rsidR="004C7C38" w:rsidRPr="000E0F90" w:rsidRDefault="004C7C38" w:rsidP="002B538F">
      <w:pPr>
        <w:spacing w:after="0" w:line="360" w:lineRule="auto"/>
        <w:rPr>
          <w:rFonts w:ascii="Arial" w:hAnsi="Arial" w:cs="Arial"/>
          <w:b/>
          <w:i/>
          <w:color w:val="000000" w:themeColor="text1"/>
        </w:rPr>
      </w:pPr>
      <w:bookmarkStart w:id="12" w:name="_Toc422411551"/>
      <w:r w:rsidRPr="000E0F90">
        <w:rPr>
          <w:rFonts w:ascii="Arial" w:hAnsi="Arial" w:cs="Arial"/>
          <w:b/>
          <w:i/>
          <w:color w:val="000000" w:themeColor="text1"/>
        </w:rPr>
        <w:t>ICMM-GRI</w:t>
      </w:r>
      <w:bookmarkEnd w:id="12"/>
    </w:p>
    <w:p w:rsidR="001A4999" w:rsidRPr="000E0F90" w:rsidRDefault="004C7C38" w:rsidP="002B538F">
      <w:pPr>
        <w:spacing w:line="360" w:lineRule="auto"/>
        <w:rPr>
          <w:rFonts w:ascii="Arial" w:hAnsi="Arial" w:cs="Arial"/>
          <w:color w:val="000000" w:themeColor="text1"/>
        </w:rPr>
      </w:pPr>
      <w:r w:rsidRPr="000E0F90">
        <w:rPr>
          <w:rFonts w:ascii="Arial" w:hAnsi="Arial" w:cs="Arial"/>
          <w:color w:val="000000" w:themeColor="text1"/>
        </w:rPr>
        <w:t xml:space="preserve">El protocolo de reporte de </w:t>
      </w:r>
      <w:r w:rsidR="00F35BB8" w:rsidRPr="000E0F90">
        <w:rPr>
          <w:rFonts w:ascii="Arial" w:hAnsi="Arial" w:cs="Arial"/>
          <w:color w:val="000000" w:themeColor="text1"/>
        </w:rPr>
        <w:t>sostenibilidad</w:t>
      </w:r>
      <w:r w:rsidRPr="000E0F90">
        <w:rPr>
          <w:rFonts w:ascii="Arial" w:hAnsi="Arial" w:cs="Arial"/>
          <w:color w:val="000000" w:themeColor="text1"/>
        </w:rPr>
        <w:t xml:space="preserve">, Iniciativa de Reporte Global (GRI, </w:t>
      </w:r>
      <w:r w:rsidRPr="000E0F90">
        <w:rPr>
          <w:rFonts w:ascii="Arial" w:hAnsi="Arial" w:cs="Arial"/>
          <w:i/>
          <w:color w:val="000000" w:themeColor="text1"/>
        </w:rPr>
        <w:t>Global Reporting Initative</w:t>
      </w:r>
      <w:r w:rsidRPr="000E0F90">
        <w:rPr>
          <w:rFonts w:ascii="Arial" w:hAnsi="Arial" w:cs="Arial"/>
          <w:color w:val="000000" w:themeColor="text1"/>
        </w:rPr>
        <w:t xml:space="preserve">), para el sector de minería y metales MMSD (MMSS, </w:t>
      </w:r>
      <w:r w:rsidRPr="000E0F90">
        <w:rPr>
          <w:rFonts w:ascii="Arial" w:hAnsi="Arial" w:cs="Arial"/>
          <w:i/>
          <w:color w:val="000000" w:themeColor="text1"/>
        </w:rPr>
        <w:t>Mining and Metals Sector Disclousure</w:t>
      </w:r>
      <w:r w:rsidR="00C12772" w:rsidRPr="000E0F90">
        <w:rPr>
          <w:rFonts w:ascii="Arial" w:hAnsi="Arial" w:cs="Arial"/>
          <w:color w:val="000000" w:themeColor="text1"/>
        </w:rPr>
        <w:t xml:space="preserve">), </w:t>
      </w:r>
      <w:r w:rsidR="00042224" w:rsidRPr="000E0F90">
        <w:rPr>
          <w:rFonts w:ascii="Arial" w:hAnsi="Arial" w:cs="Arial"/>
          <w:color w:val="000000" w:themeColor="text1"/>
        </w:rPr>
        <w:t>informa</w:t>
      </w:r>
      <w:r w:rsidRPr="000E0F90">
        <w:rPr>
          <w:rFonts w:ascii="Arial" w:hAnsi="Arial" w:cs="Arial"/>
          <w:color w:val="000000" w:themeColor="text1"/>
        </w:rPr>
        <w:t xml:space="preserve"> acerca del desempeño de las empresas miembro del ICMM</w:t>
      </w:r>
      <w:r w:rsidR="00042224" w:rsidRPr="000E0F90">
        <w:rPr>
          <w:rFonts w:ascii="Arial" w:hAnsi="Arial" w:cs="Arial"/>
          <w:color w:val="000000" w:themeColor="text1"/>
        </w:rPr>
        <w:t xml:space="preserve"> </w:t>
      </w:r>
      <w:r w:rsidRPr="000E0F90">
        <w:rPr>
          <w:rFonts w:ascii="Arial" w:hAnsi="Arial" w:cs="Arial"/>
          <w:color w:val="000000" w:themeColor="text1"/>
        </w:rPr>
        <w:t>(ICMM, 2014).</w:t>
      </w:r>
      <w:r w:rsidR="00051C13" w:rsidRPr="000E0F90">
        <w:rPr>
          <w:rFonts w:ascii="Arial" w:hAnsi="Arial" w:cs="Arial"/>
          <w:color w:val="000000" w:themeColor="text1"/>
        </w:rPr>
        <w:t xml:space="preserve"> </w:t>
      </w:r>
      <w:r w:rsidR="001A4999" w:rsidRPr="000E0F90">
        <w:rPr>
          <w:rFonts w:ascii="Arial" w:hAnsi="Arial" w:cs="Arial"/>
          <w:color w:val="000000" w:themeColor="text1"/>
        </w:rPr>
        <w:t xml:space="preserve">Protocolo elaborado por diversos grupos de interés, del ámbito privado, estado, sociedad civil, academia, del ámbito local y global </w:t>
      </w:r>
      <w:r w:rsidR="001A4999" w:rsidRPr="000E0F90">
        <w:rPr>
          <w:rFonts w:ascii="Arial" w:hAnsi="Arial" w:cs="Arial"/>
          <w:color w:val="000000" w:themeColor="text1"/>
        </w:rPr>
        <w:fldChar w:fldCharType="begin" w:fldLock="1"/>
      </w:r>
      <w:r w:rsidR="001A4999" w:rsidRPr="000E0F90">
        <w:rPr>
          <w:rFonts w:ascii="Arial" w:hAnsi="Arial" w:cs="Arial"/>
          <w:color w:val="000000" w:themeColor="text1"/>
        </w:rPr>
        <w:instrText>ADDIN CSL_CITATION { "citationItems" : [ { "id" : "ITEM-1", "itemData" : { "author" : [ { "dropping-particle" : "", "family" : "GRI", "given" : "(Global REporting Initiative)", "non-dropping-particle" : "", "parse-names" : false, "suffix" : "" } ], "id" : "ITEM-1", "issued" : { "date-parts" : [ [ "2013" ] ] }, "title" : "G4 SECTOR DISCLOSURES MINING AND METALS", "type" : "article-journal" }, "uris" : [ "http://www.mendeley.com/documents/?uuid=c51989cc-1c72-4ab1-b037-94bb7e31d7d5" ] } ], "mendeley" : { "formattedCitation" : "(GRI, 2013)", "manualFormatting" : "((Global Reporting Initiative) GRI, 2013)", "plainTextFormattedCitation" : "(GRI, 2013)", "previouslyFormattedCitation" : "(GRI, 2013)" }, "properties" : { "noteIndex" : 0 }, "schema" : "https://github.com/citation-style-language/schema/raw/master/csl-citation.json" }</w:instrText>
      </w:r>
      <w:r w:rsidR="001A4999" w:rsidRPr="000E0F90">
        <w:rPr>
          <w:rFonts w:ascii="Arial" w:hAnsi="Arial" w:cs="Arial"/>
          <w:color w:val="000000" w:themeColor="text1"/>
        </w:rPr>
        <w:fldChar w:fldCharType="separate"/>
      </w:r>
      <w:r w:rsidR="001A4999" w:rsidRPr="000E0F90">
        <w:rPr>
          <w:rFonts w:ascii="Arial" w:hAnsi="Arial" w:cs="Arial"/>
          <w:noProof/>
          <w:color w:val="000000" w:themeColor="text1"/>
        </w:rPr>
        <w:t>((Global Reporting Initiative) GRI, 2013)</w:t>
      </w:r>
      <w:r w:rsidR="001A4999" w:rsidRPr="000E0F90">
        <w:rPr>
          <w:rFonts w:ascii="Arial" w:hAnsi="Arial" w:cs="Arial"/>
          <w:color w:val="000000" w:themeColor="text1"/>
        </w:rPr>
        <w:fldChar w:fldCharType="end"/>
      </w:r>
      <w:r w:rsidR="001A4999" w:rsidRPr="000E0F90">
        <w:rPr>
          <w:rFonts w:ascii="Arial" w:hAnsi="Arial" w:cs="Arial"/>
          <w:color w:val="000000" w:themeColor="text1"/>
        </w:rPr>
        <w:t xml:space="preserve">. Siendo el protocolo más frecuentemente utilizado en la industria </w:t>
      </w:r>
      <w:r w:rsidR="001A4999" w:rsidRPr="000E0F90">
        <w:rPr>
          <w:rFonts w:ascii="Arial" w:hAnsi="Arial" w:cs="Arial"/>
          <w:color w:val="000000" w:themeColor="text1"/>
        </w:rPr>
        <w:fldChar w:fldCharType="begin" w:fldLock="1"/>
      </w:r>
      <w:r w:rsidR="001A4999" w:rsidRPr="000E0F90">
        <w:rPr>
          <w:rFonts w:ascii="Arial" w:hAnsi="Arial" w:cs="Arial"/>
          <w:color w:val="000000" w:themeColor="text1"/>
        </w:rPr>
        <w:instrText>ADDIN CSL_CITATION { "citationItems" : [ { "id" : "ITEM-1", "itemData" : { "DOI" : "10.1016/j.mineng.2013.04.008", "ISSN" : "08926875", "author" : [ { "dropping-particle" : "", "family" : "Fonseca", "given" : "Alberto", "non-dropping-particle" : "", "parse-names" : false, "suffix" : "" }, { "dropping-particle" : "", "family" : "McAllister", "given" : "Mary Louise", "non-dropping-particle" : "", "parse-names" : false, "suffix" : "" }, { "dropping-particle" : "", "family" : "Fitzpatrick", "given" : "Patricia", "non-dropping-particle" : "", "parse-names" : false, "suffix" : "" } ], "container-title" : "Minerals Engineering", "id" : "ITEM-1", "issued" : { "date-parts" : [ [ "2013", "6" ] ] }, "page" : "180-186", "publisher" : "Elsevier Ltd", "title" : "Measuring what? A comparative anatomy of five mining sustainability frameworks", "type" : "article-journal", "volume" : "46-47" }, "uris" : [ "http://www.mendeley.com/documents/?uuid=7daefc24-618a-4523-9760-2c9148265937" ] } ], "mendeley" : { "formattedCitation" : "(Fonseca et al., 2013)", "plainTextFormattedCitation" : "(Fonseca et al., 2013)", "previouslyFormattedCitation" : "(Fonseca et al., 2013)" }, "properties" : { "noteIndex" : 0 }, "schema" : "https://github.com/citation-style-language/schema/raw/master/csl-citation.json" }</w:instrText>
      </w:r>
      <w:r w:rsidR="001A4999" w:rsidRPr="000E0F90">
        <w:rPr>
          <w:rFonts w:ascii="Arial" w:hAnsi="Arial" w:cs="Arial"/>
          <w:color w:val="000000" w:themeColor="text1"/>
        </w:rPr>
        <w:fldChar w:fldCharType="separate"/>
      </w:r>
      <w:r w:rsidR="001A4999" w:rsidRPr="000E0F90">
        <w:rPr>
          <w:rFonts w:ascii="Arial" w:hAnsi="Arial" w:cs="Arial"/>
          <w:noProof/>
          <w:color w:val="000000" w:themeColor="text1"/>
        </w:rPr>
        <w:t>(Fonseca et al., 2013)</w:t>
      </w:r>
      <w:r w:rsidR="001A4999" w:rsidRPr="000E0F90">
        <w:rPr>
          <w:rFonts w:ascii="Arial" w:hAnsi="Arial" w:cs="Arial"/>
          <w:color w:val="000000" w:themeColor="text1"/>
        </w:rPr>
        <w:fldChar w:fldCharType="end"/>
      </w:r>
      <w:r w:rsidR="001A4999" w:rsidRPr="000E0F90">
        <w:rPr>
          <w:rFonts w:ascii="Arial" w:hAnsi="Arial" w:cs="Arial"/>
          <w:color w:val="000000" w:themeColor="text1"/>
        </w:rPr>
        <w:t>.</w:t>
      </w:r>
      <w:r w:rsidR="009774D1" w:rsidRPr="000E0F90">
        <w:rPr>
          <w:rFonts w:ascii="Arial" w:hAnsi="Arial" w:cs="Arial"/>
          <w:color w:val="000000" w:themeColor="text1"/>
        </w:rPr>
        <w:t xml:space="preserve"> </w:t>
      </w:r>
      <w:r w:rsidR="00CE0F59" w:rsidRPr="000E0F90">
        <w:rPr>
          <w:rFonts w:ascii="Arial" w:hAnsi="Arial" w:cs="Arial"/>
          <w:color w:val="000000" w:themeColor="text1"/>
        </w:rPr>
        <w:t>A</w:t>
      </w:r>
      <w:r w:rsidRPr="000E0F90">
        <w:rPr>
          <w:rFonts w:ascii="Arial" w:hAnsi="Arial" w:cs="Arial"/>
          <w:color w:val="000000" w:themeColor="text1"/>
        </w:rPr>
        <w:t xml:space="preserve">barca temas relacionados con medio ambiente, economía y sociedad, conformando un total de 101 indicadores. </w:t>
      </w:r>
      <w:r w:rsidR="00F35BB8" w:rsidRPr="000E0F90">
        <w:rPr>
          <w:rFonts w:ascii="Arial" w:hAnsi="Arial" w:cs="Arial"/>
          <w:color w:val="000000" w:themeColor="text1"/>
        </w:rPr>
        <w:t>Se caracteriza por</w:t>
      </w:r>
      <w:r w:rsidRPr="000E0F90">
        <w:rPr>
          <w:rFonts w:ascii="Arial" w:hAnsi="Arial" w:cs="Arial"/>
          <w:color w:val="000000" w:themeColor="text1"/>
        </w:rPr>
        <w:t xml:space="preserve"> su orientación temporal retrospectiva</w:t>
      </w:r>
      <w:r w:rsidR="00CE0F59" w:rsidRPr="000E0F90">
        <w:rPr>
          <w:rFonts w:ascii="Arial" w:hAnsi="Arial" w:cs="Arial"/>
          <w:color w:val="000000" w:themeColor="text1"/>
        </w:rPr>
        <w:t xml:space="preserve"> y </w:t>
      </w:r>
      <w:r w:rsidRPr="000E0F90">
        <w:rPr>
          <w:rFonts w:ascii="Arial" w:hAnsi="Arial" w:cs="Arial"/>
          <w:color w:val="000000" w:themeColor="text1"/>
        </w:rPr>
        <w:t>su e</w:t>
      </w:r>
      <w:r w:rsidR="009774D1" w:rsidRPr="000E0F90">
        <w:rPr>
          <w:rFonts w:ascii="Arial" w:hAnsi="Arial" w:cs="Arial"/>
          <w:color w:val="000000" w:themeColor="text1"/>
        </w:rPr>
        <w:t>xhaustividad</w:t>
      </w:r>
      <w:r w:rsidR="00CE0F59" w:rsidRPr="000E0F90">
        <w:rPr>
          <w:rFonts w:ascii="Arial" w:hAnsi="Arial" w:cs="Arial"/>
          <w:color w:val="000000" w:themeColor="text1"/>
        </w:rPr>
        <w:t xml:space="preserve">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"10.1016/j.mineng.2013.04.008", "ISSN" : "08926875", "author" : [ { "dropping-particle" : "", "family" : "Fonseca", "given" : "Alberto", "non-dropping-particle" : "", "parse-names" : false, "suffix" : "" }, { "dropping-particle" : "", "family" : "McAllister", "given" : "Mary Louise", "non-dropping-particle" : "", "parse-names" : false, "suffix" : "" }, { "dropping-particle" : "", "family" : "Fitzpatrick", "given" : "Patricia", "non-dropping-particle" : "", "parse-names" : false, "suffix" : "" } ], "container-title" : "Minerals Engineering", "id" : "ITEM-1", "issued" : { "date-parts" : [ [ "2013", "6" ] ] }, "page" : "180-186", "publisher" : "Elsevier Ltd", "title" : "Measuring what? A comparative anatomy of five mining sustainability frameworks", "type" : "article-journal", "volume" : "46-47" }, "uris" : [ "http://www.mendeley.com/documents/?uuid=7daefc24-618a-4523-9760-2c9148265937" ] } ], "mendeley" : { "formattedCitation" : "(Fonseca et al., 2013)", "plainTextFormattedCitation" : "(Fonseca et al., 2013)", "previouslyFormattedCitation" : "(Fonseca et al., 2013)"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(Fonseca et al., 2013)</w:t>
      </w:r>
      <w:r w:rsidRPr="000E0F90">
        <w:rPr>
          <w:rFonts w:ascii="Arial" w:hAnsi="Arial" w:cs="Arial"/>
          <w:color w:val="000000" w:themeColor="text1"/>
        </w:rPr>
        <w:fldChar w:fldCharType="end"/>
      </w:r>
      <w:r w:rsidRPr="000E0F90">
        <w:rPr>
          <w:rFonts w:ascii="Arial" w:hAnsi="Arial" w:cs="Arial"/>
          <w:color w:val="000000" w:themeColor="text1"/>
        </w:rPr>
        <w:t xml:space="preserve">. </w:t>
      </w:r>
      <w:r w:rsidR="00042224" w:rsidRPr="000E0F90">
        <w:rPr>
          <w:rFonts w:ascii="Arial" w:hAnsi="Arial" w:cs="Arial"/>
          <w:color w:val="000000" w:themeColor="text1"/>
        </w:rPr>
        <w:t xml:space="preserve"> </w:t>
      </w:r>
    </w:p>
    <w:p w:rsidR="004C7C38" w:rsidRPr="000E0F90" w:rsidRDefault="004C7C38" w:rsidP="002B538F">
      <w:pPr>
        <w:spacing w:after="0" w:line="360" w:lineRule="auto"/>
        <w:rPr>
          <w:rFonts w:ascii="Arial" w:hAnsi="Arial" w:cs="Arial"/>
          <w:b/>
          <w:i/>
          <w:color w:val="000000" w:themeColor="text1"/>
        </w:rPr>
      </w:pPr>
      <w:bookmarkStart w:id="13" w:name="_Toc422411552"/>
      <w:r w:rsidRPr="000E0F90">
        <w:rPr>
          <w:rFonts w:ascii="Arial" w:hAnsi="Arial" w:cs="Arial"/>
          <w:b/>
          <w:i/>
          <w:color w:val="000000" w:themeColor="text1"/>
        </w:rPr>
        <w:t>Towards sustainable mining (TSM)</w:t>
      </w:r>
      <w:bookmarkEnd w:id="13"/>
    </w:p>
    <w:p w:rsidR="009774D1" w:rsidRPr="000E0F90" w:rsidRDefault="004C7C38" w:rsidP="002B538F">
      <w:pPr>
        <w:spacing w:line="360" w:lineRule="auto"/>
        <w:rPr>
          <w:rFonts w:ascii="Arial" w:hAnsi="Arial" w:cs="Arial"/>
          <w:color w:val="000000" w:themeColor="text1"/>
        </w:rPr>
      </w:pPr>
      <w:r w:rsidRPr="000E0F90">
        <w:rPr>
          <w:rFonts w:ascii="Arial" w:hAnsi="Arial" w:cs="Arial"/>
          <w:color w:val="000000" w:themeColor="text1"/>
        </w:rPr>
        <w:t xml:space="preserve">Este marco fue desarrollado por la Asociación de Minería en Canadá (MAC) en 2004, mediante un proceso de consulta </w:t>
      </w:r>
      <w:r w:rsidR="008F32AB" w:rsidRPr="000E0F90">
        <w:rPr>
          <w:rFonts w:ascii="Arial" w:hAnsi="Arial" w:cs="Arial"/>
          <w:color w:val="000000" w:themeColor="text1"/>
        </w:rPr>
        <w:t xml:space="preserve">público privada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"10.1016/j.jclepro.2010.10.013", "ISSN" : "09596526", "author" : [ { "dropping-particle" : "", "family" : "Fitzpatrick", "given" : "Patricia", "non-dropping-particle" : "", "parse-names" : false, "suffix" : "" }, { "dropping-particle" : "", "family" : "Fonseca", "given" : "Alberto", "non-dropping-particle" : "", "parse-names" : false, "suffix" : "" }, { "dropping-particle" : "", "family" : "McAllister", "given" : "Mary Louise", "non-dropping-particle" : "", "parse-names" : false, "suffix" : "" } ], "container-title" : "Journal of Cleaner Production", "id" : "ITEM-1", "issue" : "4", "issued" : { "date-parts" : [ [ "2011", "3" ] ] }, "page" : "376-384", "publisher" : "Elsevier Ltd", "title" : "From the Whitehorse Mining Initiative Towards Sustainable Mining: lessons learned", "type" : "article-journal", "volume" : "19" }, "uris" : [ "http://www.mendeley.com/documents/?uuid=71766b0a-8a1a-4866-b3c8-fa85627f42a2" ] } ], "mendeley" : { "formattedCitation" : "(Fitzpatrick, Fonseca, &amp; McAllister, 2011)", "plainTextFormattedCitation" : "(Fitzpatrick, Fonseca, &amp; McAllister, 2011)", "previouslyFormattedCitation" : "(Fitzpatrick, Fonseca, &amp; McAllister, 2011)"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(Fitzpatrick, Fonseca, &amp; McAllister, 2011)</w:t>
      </w:r>
      <w:r w:rsidRPr="000E0F90">
        <w:rPr>
          <w:rFonts w:ascii="Arial" w:hAnsi="Arial" w:cs="Arial"/>
          <w:color w:val="000000" w:themeColor="text1"/>
        </w:rPr>
        <w:fldChar w:fldCharType="end"/>
      </w:r>
      <w:r w:rsidR="008F32AB" w:rsidRPr="000E0F90">
        <w:rPr>
          <w:rFonts w:ascii="Arial" w:hAnsi="Arial" w:cs="Arial"/>
          <w:color w:val="000000" w:themeColor="text1"/>
        </w:rPr>
        <w:t>. C</w:t>
      </w:r>
      <w:r w:rsidRPr="000E0F90">
        <w:rPr>
          <w:rFonts w:ascii="Arial" w:hAnsi="Arial" w:cs="Arial"/>
          <w:color w:val="000000" w:themeColor="text1"/>
        </w:rPr>
        <w:t xml:space="preserve">onsiste en una serie de principios fundamentales, los cuales son llevados a </w:t>
      </w:r>
      <w:r w:rsidRPr="000E0F90">
        <w:rPr>
          <w:rFonts w:ascii="Arial" w:hAnsi="Arial" w:cs="Arial"/>
          <w:color w:val="000000" w:themeColor="text1"/>
        </w:rPr>
        <w:lastRenderedPageBreak/>
        <w:t xml:space="preserve">cabo mediante protocolos e indicadores de desempeño en áreas consideradas críticas. Comprende </w:t>
      </w:r>
      <w:r w:rsidR="00755561" w:rsidRPr="000E0F90">
        <w:rPr>
          <w:rFonts w:ascii="Arial" w:hAnsi="Arial" w:cs="Arial"/>
          <w:color w:val="000000" w:themeColor="text1"/>
        </w:rPr>
        <w:t>los ámbitos</w:t>
      </w:r>
      <w:r w:rsidRPr="000E0F90">
        <w:rPr>
          <w:rFonts w:ascii="Arial" w:hAnsi="Arial" w:cs="Arial"/>
          <w:color w:val="000000" w:themeColor="text1"/>
        </w:rPr>
        <w:t xml:space="preserve">: manejo de relaves; uso de la energía y gestión de emisiones de gases de efecto invernadero; compromiso con aborígenes y la comunidad; planificación y gestión de crisis; manejo de conservación de la biodiversidad; seguridad y salud. </w:t>
      </w:r>
      <w:r w:rsidR="009774D1" w:rsidRPr="000E0F90">
        <w:rPr>
          <w:rFonts w:ascii="Arial" w:hAnsi="Arial" w:cs="Arial"/>
          <w:color w:val="000000" w:themeColor="text1"/>
        </w:rPr>
        <w:t>Su</w:t>
      </w:r>
      <w:r w:rsidRPr="000E0F90">
        <w:rPr>
          <w:rFonts w:ascii="Arial" w:hAnsi="Arial" w:cs="Arial"/>
          <w:color w:val="000000" w:themeColor="text1"/>
        </w:rPr>
        <w:t xml:space="preserve"> orientación temporal </w:t>
      </w:r>
      <w:r w:rsidR="009774D1" w:rsidRPr="000E0F90">
        <w:rPr>
          <w:rFonts w:ascii="Arial" w:hAnsi="Arial" w:cs="Arial"/>
          <w:color w:val="000000" w:themeColor="text1"/>
        </w:rPr>
        <w:t>es retrospectiva y presenta</w:t>
      </w:r>
      <w:r w:rsidRPr="000E0F90">
        <w:rPr>
          <w:rFonts w:ascii="Arial" w:hAnsi="Arial" w:cs="Arial"/>
          <w:color w:val="000000" w:themeColor="text1"/>
        </w:rPr>
        <w:t xml:space="preserve"> enfoque a nivel de sitio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"10.1016/j.mineng.2013.04.008", "ISSN" : "08926875", "author" : [ { "dropping-particle" : "", "family" : "Fonseca", "given" : "Alberto", "non-dropping-particle" : "", "parse-names" : false, "suffix" : "" }, { "dropping-particle" : "", "family" : "McAllister", "given" : "Mary Louise", "non-dropping-particle" : "", "parse-names" : false, "suffix" : "" }, { "dropping-particle" : "", "family" : "Fitzpatrick", "given" : "Patricia", "non-dropping-particle" : "", "parse-names" : false, "suffix" : "" } ], "container-title" : "Minerals Engineering", "id" : "ITEM-1", "issued" : { "date-parts" : [ [ "2013", "6" ] ] }, "page" : "180-186", "publisher" : "Elsevier Ltd", "title" : "Measuring what? A comparative anatomy of five mining sustainability frameworks", "type" : "article-journal", "volume" : "46-47" }, "uris" : [ "http://www.mendeley.com/documents/?uuid=7daefc24-618a-4523-9760-2c9148265937" ] } ], "mendeley" : { "formattedCitation" : "(Fonseca et al., 2013)", "plainTextFormattedCitation" : "(Fonseca et al., 2013)", "previouslyFormattedCitation" : "(Fonseca et al., 2013)"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(Fonseca et al., 2013)</w:t>
      </w:r>
      <w:r w:rsidRPr="000E0F90">
        <w:rPr>
          <w:rFonts w:ascii="Arial" w:hAnsi="Arial" w:cs="Arial"/>
          <w:color w:val="000000" w:themeColor="text1"/>
        </w:rPr>
        <w:fldChar w:fldCharType="end"/>
      </w:r>
      <w:r w:rsidRPr="000E0F90">
        <w:rPr>
          <w:rFonts w:ascii="Arial" w:hAnsi="Arial" w:cs="Arial"/>
          <w:color w:val="000000" w:themeColor="text1"/>
        </w:rPr>
        <w:t xml:space="preserve">. </w:t>
      </w:r>
    </w:p>
    <w:p w:rsidR="004C7C38" w:rsidRPr="000E0F90" w:rsidRDefault="004C7C38" w:rsidP="002B538F">
      <w:pPr>
        <w:spacing w:before="240" w:after="0" w:line="360" w:lineRule="auto"/>
        <w:rPr>
          <w:rFonts w:ascii="Arial" w:hAnsi="Arial" w:cs="Arial"/>
          <w:b/>
          <w:i/>
          <w:color w:val="000000" w:themeColor="text1"/>
          <w:lang w:val="en-US"/>
        </w:rPr>
      </w:pPr>
      <w:bookmarkStart w:id="14" w:name="_Toc422411553"/>
      <w:r w:rsidRPr="000E0F90">
        <w:rPr>
          <w:rFonts w:ascii="Arial" w:hAnsi="Arial" w:cs="Arial"/>
          <w:b/>
          <w:i/>
          <w:color w:val="000000" w:themeColor="text1"/>
          <w:lang w:val="en-US"/>
        </w:rPr>
        <w:t>Seven questions to sustainability (7QS)</w:t>
      </w:r>
      <w:bookmarkEnd w:id="14"/>
    </w:p>
    <w:p w:rsidR="004C7C38" w:rsidRPr="000E0F90" w:rsidRDefault="004C7C38" w:rsidP="002B538F">
      <w:pPr>
        <w:spacing w:line="360" w:lineRule="auto"/>
        <w:rPr>
          <w:rFonts w:ascii="Arial" w:hAnsi="Arial" w:cs="Arial"/>
          <w:color w:val="000000" w:themeColor="text1"/>
        </w:rPr>
      </w:pPr>
      <w:r w:rsidRPr="000E0F90">
        <w:rPr>
          <w:rFonts w:ascii="Arial" w:hAnsi="Arial" w:cs="Arial"/>
          <w:color w:val="000000" w:themeColor="text1"/>
        </w:rPr>
        <w:t>E</w:t>
      </w:r>
      <w:r w:rsidR="00042224" w:rsidRPr="000E0F90">
        <w:rPr>
          <w:rFonts w:ascii="Arial" w:hAnsi="Arial" w:cs="Arial"/>
          <w:color w:val="000000" w:themeColor="text1"/>
        </w:rPr>
        <w:t>ste</w:t>
      </w:r>
      <w:r w:rsidRPr="000E0F90">
        <w:rPr>
          <w:rFonts w:ascii="Arial" w:hAnsi="Arial" w:cs="Arial"/>
          <w:color w:val="000000" w:themeColor="text1"/>
        </w:rPr>
        <w:t xml:space="preserve"> enfoque se origina a partir del proyecto MMSD y su reporte regional desarrollado en Norteamérica. </w:t>
      </w:r>
      <w:r w:rsidR="00042224" w:rsidRPr="000E0F90">
        <w:rPr>
          <w:rFonts w:ascii="Arial" w:hAnsi="Arial" w:cs="Arial"/>
          <w:color w:val="000000" w:themeColor="text1"/>
        </w:rPr>
        <w:t>S</w:t>
      </w:r>
      <w:r w:rsidRPr="000E0F90">
        <w:rPr>
          <w:rFonts w:ascii="Arial" w:hAnsi="Arial" w:cs="Arial"/>
          <w:color w:val="000000" w:themeColor="text1"/>
        </w:rPr>
        <w:t xml:space="preserve">e caracteriza por visualizar el futuro en relación a la 7 </w:t>
      </w:r>
      <w:r w:rsidR="00051C13" w:rsidRPr="000E0F90">
        <w:rPr>
          <w:rFonts w:ascii="Arial" w:hAnsi="Arial" w:cs="Arial"/>
          <w:color w:val="000000" w:themeColor="text1"/>
        </w:rPr>
        <w:t xml:space="preserve">áreas </w:t>
      </w:r>
      <w:r w:rsidRPr="000E0F90">
        <w:rPr>
          <w:rFonts w:ascii="Arial" w:hAnsi="Arial" w:cs="Arial"/>
          <w:color w:val="000000" w:themeColor="text1"/>
        </w:rPr>
        <w:t xml:space="preserve">temáticas: compromiso, personas, ambiente, economía, actividades de mercado no tradicionales, compromisos institucionales y gobernanza, síntesis y aprendizaje continuo (MMSD, 2002). El objetivo de este marco es que </w:t>
      </w:r>
      <w:r w:rsidR="00B97B24" w:rsidRPr="000E0F90">
        <w:rPr>
          <w:rFonts w:ascii="Arial" w:hAnsi="Arial" w:cs="Arial"/>
          <w:color w:val="000000" w:themeColor="text1"/>
        </w:rPr>
        <w:t>los tomadores de decisión defina</w:t>
      </w:r>
      <w:r w:rsidRPr="000E0F90">
        <w:rPr>
          <w:rFonts w:ascii="Arial" w:hAnsi="Arial" w:cs="Arial"/>
          <w:color w:val="000000" w:themeColor="text1"/>
        </w:rPr>
        <w:t>n respuestas ideales, así como indicadores y medi</w:t>
      </w:r>
      <w:r w:rsidR="00B97B24" w:rsidRPr="000E0F90">
        <w:rPr>
          <w:rFonts w:ascii="Arial" w:hAnsi="Arial" w:cs="Arial"/>
          <w:color w:val="000000" w:themeColor="text1"/>
        </w:rPr>
        <w:t xml:space="preserve">das específicas </w:t>
      </w:r>
      <w:r w:rsidR="00994F4B" w:rsidRPr="000E0F90">
        <w:rPr>
          <w:rFonts w:ascii="Arial" w:hAnsi="Arial" w:cs="Arial"/>
          <w:color w:val="000000" w:themeColor="text1"/>
        </w:rPr>
        <w:t>para</w:t>
      </w:r>
      <w:r w:rsidR="00B97B24" w:rsidRPr="000E0F90">
        <w:rPr>
          <w:rFonts w:ascii="Arial" w:hAnsi="Arial" w:cs="Arial"/>
          <w:color w:val="000000" w:themeColor="text1"/>
        </w:rPr>
        <w:t xml:space="preserve"> cada una de las siete preguntas</w:t>
      </w:r>
      <w:r w:rsidRPr="000E0F90">
        <w:rPr>
          <w:rFonts w:ascii="Arial" w:hAnsi="Arial" w:cs="Arial"/>
          <w:color w:val="000000" w:themeColor="text1"/>
        </w:rPr>
        <w:t xml:space="preserve">. </w:t>
      </w:r>
      <w:r w:rsidR="00994F4B" w:rsidRPr="000E0F90">
        <w:rPr>
          <w:rFonts w:ascii="Arial" w:hAnsi="Arial" w:cs="Arial"/>
          <w:color w:val="000000" w:themeColor="text1"/>
        </w:rPr>
        <w:t>D</w:t>
      </w:r>
      <w:r w:rsidR="008F32AB" w:rsidRPr="000E0F90">
        <w:rPr>
          <w:rFonts w:ascii="Arial" w:hAnsi="Arial" w:cs="Arial"/>
          <w:color w:val="000000" w:themeColor="text1"/>
        </w:rPr>
        <w:t xml:space="preserve">estaca la perspectiva espacial, aplicándose tanto a proyectos mineros en prospección como en operación; considera el ciclo de vida de la mina abarcando desde la exploración hasta el post cierre, lo cual le permite dimensionar los efectos de legado </w:t>
      </w:r>
      <w:r w:rsidR="008F32AB" w:rsidRPr="000E0F90">
        <w:rPr>
          <w:rFonts w:ascii="Arial" w:hAnsi="Arial" w:cs="Arial"/>
          <w:color w:val="000000" w:themeColor="text1"/>
        </w:rPr>
        <w:fldChar w:fldCharType="begin" w:fldLock="1"/>
      </w:r>
      <w:r w:rsidR="008F32AB" w:rsidRPr="000E0F90">
        <w:rPr>
          <w:rFonts w:ascii="Arial" w:hAnsi="Arial" w:cs="Arial"/>
          <w:color w:val="000000" w:themeColor="text1"/>
        </w:rPr>
        <w:instrText>ADDIN CSL_CITATION { "citationItems" : [ { "id" : "ITEM-1", "itemData" : { "DOI" : "10.1016/j.mineng.2013.04.008", "ISSN" : "08926875", "author" : [ { "dropping-particle" : "", "family" : "Fonseca", "given" : "Alberto", "non-dropping-particle" : "", "parse-names" : false, "suffix" : "" }, { "dropping-particle" : "", "family" : "McAllister", "given" : "Mary Louise", "non-dropping-particle" : "", "parse-names" : false, "suffix" : "" }, { "dropping-particle" : "", "family" : "Fitzpatrick", "given" : "Patricia", "non-dropping-particle" : "", "parse-names" : false, "suffix" : "" } ], "container-title" : "Minerals Engineering", "id" : "ITEM-1", "issued" : { "date-parts" : [ [ "2013", "6" ] ] }, "page" : "180-186", "publisher" : "Elsevier Ltd", "title" : "Measuring what? A comparative anatomy of five mining sustainability frameworks", "type" : "article-journal", "volume" : "46-47" }, "uris" : [ "http://www.mendeley.com/documents/?uuid=7daefc24-618a-4523-9760-2c9148265937" ] } ], "mendeley" : { "formattedCitation" : "(Fonseca et al., 2013)", "plainTextFormattedCitation" : "(Fonseca et al., 2013)", "previouslyFormattedCitation" : "(Fonseca et al., 2013)" }, "properties" : { "noteIndex" : 0 }, "schema" : "https://github.com/citation-style-language/schema/raw/master/csl-citation.json" }</w:instrText>
      </w:r>
      <w:r w:rsidR="008F32AB" w:rsidRPr="000E0F90">
        <w:rPr>
          <w:rFonts w:ascii="Arial" w:hAnsi="Arial" w:cs="Arial"/>
          <w:color w:val="000000" w:themeColor="text1"/>
        </w:rPr>
        <w:fldChar w:fldCharType="separate"/>
      </w:r>
      <w:r w:rsidR="008F32AB" w:rsidRPr="000E0F90">
        <w:rPr>
          <w:rFonts w:ascii="Arial" w:hAnsi="Arial" w:cs="Arial"/>
          <w:noProof/>
          <w:color w:val="000000" w:themeColor="text1"/>
        </w:rPr>
        <w:t>(Fonseca et al., 2013)</w:t>
      </w:r>
      <w:r w:rsidR="008F32AB" w:rsidRPr="000E0F90">
        <w:rPr>
          <w:rFonts w:ascii="Arial" w:hAnsi="Arial" w:cs="Arial"/>
          <w:color w:val="000000" w:themeColor="text1"/>
        </w:rPr>
        <w:fldChar w:fldCharType="end"/>
      </w:r>
      <w:r w:rsidR="008F32AB" w:rsidRPr="000E0F90">
        <w:rPr>
          <w:rFonts w:ascii="Arial" w:hAnsi="Arial" w:cs="Arial"/>
          <w:color w:val="000000" w:themeColor="text1"/>
        </w:rPr>
        <w:t xml:space="preserve">. </w:t>
      </w:r>
    </w:p>
    <w:p w:rsidR="00232B21" w:rsidRPr="000E0F90" w:rsidRDefault="00232B21" w:rsidP="002B538F">
      <w:pPr>
        <w:spacing w:after="0" w:line="360" w:lineRule="auto"/>
        <w:rPr>
          <w:rFonts w:ascii="Arial" w:hAnsi="Arial" w:cs="Arial"/>
          <w:b/>
          <w:i/>
          <w:color w:val="000000" w:themeColor="text1"/>
        </w:rPr>
      </w:pPr>
      <w:bookmarkStart w:id="15" w:name="_Toc422411554"/>
    </w:p>
    <w:p w:rsidR="004C7C38" w:rsidRPr="000E0F90" w:rsidRDefault="004C7C38" w:rsidP="002B538F">
      <w:pPr>
        <w:spacing w:after="0" w:line="360" w:lineRule="auto"/>
        <w:rPr>
          <w:rFonts w:ascii="Arial" w:hAnsi="Arial" w:cs="Arial"/>
          <w:b/>
          <w:i/>
          <w:color w:val="000000" w:themeColor="text1"/>
          <w:lang w:val="en-US"/>
        </w:rPr>
      </w:pPr>
      <w:r w:rsidRPr="000E0F90">
        <w:rPr>
          <w:rFonts w:ascii="Arial" w:hAnsi="Arial" w:cs="Arial"/>
          <w:b/>
          <w:i/>
          <w:color w:val="000000" w:themeColor="text1"/>
          <w:lang w:val="en-US"/>
        </w:rPr>
        <w:t>Enduring Value-The Australian Minerals Industry Framework for SD</w:t>
      </w:r>
      <w:bookmarkEnd w:id="15"/>
    </w:p>
    <w:p w:rsidR="008F32AB" w:rsidRPr="000E0F90" w:rsidRDefault="004C7C38" w:rsidP="002B538F">
      <w:pPr>
        <w:spacing w:line="360" w:lineRule="auto"/>
        <w:rPr>
          <w:rFonts w:ascii="Arial" w:hAnsi="Arial" w:cs="Arial"/>
          <w:color w:val="000000" w:themeColor="text1"/>
        </w:rPr>
      </w:pPr>
      <w:r w:rsidRPr="000E0F90">
        <w:rPr>
          <w:rFonts w:ascii="Arial" w:hAnsi="Arial" w:cs="Arial"/>
          <w:color w:val="000000" w:themeColor="text1"/>
        </w:rPr>
        <w:t>Este enfoque</w:t>
      </w:r>
      <w:r w:rsidR="00051C13" w:rsidRPr="000E0F90">
        <w:rPr>
          <w:rFonts w:ascii="Arial" w:hAnsi="Arial" w:cs="Arial"/>
          <w:color w:val="000000" w:themeColor="text1"/>
        </w:rPr>
        <w:t xml:space="preserve"> </w:t>
      </w:r>
      <w:r w:rsidR="00994F4B" w:rsidRPr="000E0F90">
        <w:rPr>
          <w:rFonts w:ascii="Arial" w:hAnsi="Arial" w:cs="Arial"/>
          <w:color w:val="000000" w:themeColor="text1"/>
        </w:rPr>
        <w:t>s</w:t>
      </w:r>
      <w:r w:rsidRPr="000E0F90">
        <w:rPr>
          <w:rFonts w:ascii="Arial" w:hAnsi="Arial" w:cs="Arial"/>
          <w:color w:val="000000" w:themeColor="text1"/>
        </w:rPr>
        <w:t xml:space="preserve">e construye a partir del el Código para Manejo Ambiental de la Industria de Minerales australiana implementado en 1996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"author" : [ { "dropping-particle" : "", "family" : "MCA", "given" : "Minerals Council of Australia", "non-dropping-particle" : "", "parse-names" : false, "suffix" : "" } ], "container-title" : "Enduring Value Secretariat", "id" : "ITEM-1", "issued" : { "date-parts" : [ [ "2005" ] ] }, "title" : "Enduring Value:The Australian Minerals Industry Framework for Sustainable Development", "type" : "article-journal" }, "uris" : [ "http://www.mendeley.com/documents/?uuid=62660c84-9696-4f78-9f13-6eaf50e3d10f" ] } ], "mendeley" : { "formattedCitation" : "(MCA, 2005b)", "plainTextFormattedCitation" : "(MCA, 2005b)", "previouslyFormattedCitation" : "(MCA, 2005b)"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(MCA, 2005b)</w:t>
      </w:r>
      <w:r w:rsidRPr="000E0F90">
        <w:rPr>
          <w:rFonts w:ascii="Arial" w:hAnsi="Arial" w:cs="Arial"/>
          <w:color w:val="000000" w:themeColor="text1"/>
        </w:rPr>
        <w:fldChar w:fldCharType="end"/>
      </w:r>
      <w:r w:rsidRPr="000E0F90">
        <w:rPr>
          <w:rFonts w:ascii="Arial" w:hAnsi="Arial" w:cs="Arial"/>
          <w:color w:val="000000" w:themeColor="text1"/>
        </w:rPr>
        <w:t>.</w:t>
      </w:r>
      <w:r w:rsidR="00994F4B" w:rsidRPr="000E0F90">
        <w:rPr>
          <w:rFonts w:ascii="Arial" w:hAnsi="Arial" w:cs="Arial"/>
          <w:color w:val="000000" w:themeColor="text1"/>
        </w:rPr>
        <w:t xml:space="preserve"> I</w:t>
      </w:r>
      <w:r w:rsidRPr="000E0F90">
        <w:rPr>
          <w:rFonts w:ascii="Arial" w:hAnsi="Arial" w:cs="Arial"/>
          <w:color w:val="000000" w:themeColor="text1"/>
        </w:rPr>
        <w:t xml:space="preserve">ntegra el progreso económico, el desarrollo social responsables y un manejo medioambiental efectivo, enmarcándose en el modelo de la TBL, a nivel de sitio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"author" : [ { "dropping-particle" : "", "family" : "MCA", "given" : "Minerals Council of Australia", "non-dropping-particle" : "", "parse-names" : false, "suffix" : "" } ], "container-title" : "Enduring Value Secretariat", "id" : "ITEM-1", "issued" : { "date-parts" : [ [ "2005" ] ] }, "title" : "Enduring Value:The Australian Minerals Industry Framework for Sustainable Development", "type" : "article-journal" }, "uris" : [ "http://www.mendeley.com/documents/?uuid=62660c84-9696-4f78-9f13-6eaf50e3d10f" ] } ], "mendeley" : { "formattedCitation" : "(MCA, 2005b)", "plainTextFormattedCitation" : "(MCA, 2005b)", "previouslyFormattedCitation" : "(MCA, 2005b)"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(MCA, 2005b)</w:t>
      </w:r>
      <w:r w:rsidRPr="000E0F90">
        <w:rPr>
          <w:rFonts w:ascii="Arial" w:hAnsi="Arial" w:cs="Arial"/>
          <w:color w:val="000000" w:themeColor="text1"/>
        </w:rPr>
        <w:fldChar w:fldCharType="end"/>
      </w:r>
      <w:r w:rsidRPr="000E0F90">
        <w:rPr>
          <w:rFonts w:ascii="Arial" w:hAnsi="Arial" w:cs="Arial"/>
          <w:color w:val="000000" w:themeColor="text1"/>
        </w:rPr>
        <w:t>.</w:t>
      </w:r>
      <w:r w:rsidR="002D1652" w:rsidRPr="000E0F90">
        <w:rPr>
          <w:rFonts w:ascii="Arial" w:hAnsi="Arial" w:cs="Arial"/>
          <w:color w:val="000000" w:themeColor="text1"/>
        </w:rPr>
        <w:t xml:space="preserve"> </w:t>
      </w:r>
      <w:r w:rsidR="008F32AB" w:rsidRPr="000E0F90">
        <w:rPr>
          <w:rFonts w:ascii="Arial" w:hAnsi="Arial" w:cs="Arial"/>
          <w:color w:val="000000" w:themeColor="text1"/>
        </w:rPr>
        <w:t xml:space="preserve">Es el resultado de un proceso de compromiso con individuos asociados con la industria y las comunidades en las que se desarrollan actividades mineras </w:t>
      </w:r>
      <w:r w:rsidR="008F32AB" w:rsidRPr="000E0F90">
        <w:rPr>
          <w:rFonts w:ascii="Arial" w:hAnsi="Arial" w:cs="Arial"/>
          <w:color w:val="000000" w:themeColor="text1"/>
        </w:rPr>
        <w:fldChar w:fldCharType="begin" w:fldLock="1"/>
      </w:r>
      <w:r w:rsidR="008F32AB" w:rsidRPr="000E0F90">
        <w:rPr>
          <w:rFonts w:ascii="Arial" w:hAnsi="Arial" w:cs="Arial"/>
          <w:color w:val="000000" w:themeColor="text1"/>
        </w:rPr>
        <w:instrText>ADDIN CSL_CITATION { "citationItems" : [ { "id" : "ITEM-1", "itemData" : { "author" : [ { "dropping-particle" : "", "family" : "MCA", "given" : "Minerals Council of Australia", "non-dropping-particle" : "", "parse-names" : false, "suffix" : "" } ], "id" : "ITEM-1", "issued" : { "date-parts" : [ [ "2005" ] ] }, "title" : "Endring Value: Guidance for implementation", "type" : "article-journal" }, "uris" : [ "http://www.mendeley.com/documents/?uuid=204b6c4e-6076-4a92-9047-6ac4f0404c17" ] } ], "mendeley" : { "formattedCitation" : "(MCA, 2005a)", "plainTextFormattedCitation" : "(MCA, 2005a)", "previouslyFormattedCitation" : "(MCA, 2005a)" }, "properties" : { "noteIndex" : 0 }, "schema" : "https://github.com/citation-style-language/schema/raw/master/csl-citation.json" }</w:instrText>
      </w:r>
      <w:r w:rsidR="008F32AB" w:rsidRPr="000E0F90">
        <w:rPr>
          <w:rFonts w:ascii="Arial" w:hAnsi="Arial" w:cs="Arial"/>
          <w:color w:val="000000" w:themeColor="text1"/>
        </w:rPr>
        <w:fldChar w:fldCharType="separate"/>
      </w:r>
      <w:r w:rsidR="008F32AB" w:rsidRPr="000E0F90">
        <w:rPr>
          <w:rFonts w:ascii="Arial" w:hAnsi="Arial" w:cs="Arial"/>
          <w:noProof/>
          <w:color w:val="000000" w:themeColor="text1"/>
        </w:rPr>
        <w:t>(MCA, 2005a)</w:t>
      </w:r>
      <w:r w:rsidR="008F32AB" w:rsidRPr="000E0F90">
        <w:rPr>
          <w:rFonts w:ascii="Arial" w:hAnsi="Arial" w:cs="Arial"/>
          <w:color w:val="000000" w:themeColor="text1"/>
        </w:rPr>
        <w:fldChar w:fldCharType="end"/>
      </w:r>
      <w:r w:rsidR="008F32AB" w:rsidRPr="000E0F90">
        <w:rPr>
          <w:rFonts w:ascii="Arial" w:hAnsi="Arial" w:cs="Arial"/>
          <w:color w:val="000000" w:themeColor="text1"/>
        </w:rPr>
        <w:t>. Las obligaciones que establece este enfoque son: implementación progresiva de principios y elementos del ICMM; reporte público anual a nivel de sitio</w:t>
      </w:r>
      <w:r w:rsidR="00F35BB8" w:rsidRPr="000E0F90">
        <w:rPr>
          <w:rFonts w:ascii="Arial" w:hAnsi="Arial" w:cs="Arial"/>
          <w:color w:val="000000" w:themeColor="text1"/>
        </w:rPr>
        <w:t xml:space="preserve"> (</w:t>
      </w:r>
      <w:r w:rsidR="008F32AB" w:rsidRPr="000E0F90">
        <w:rPr>
          <w:rFonts w:ascii="Arial" w:hAnsi="Arial" w:cs="Arial"/>
          <w:color w:val="000000" w:themeColor="text1"/>
        </w:rPr>
        <w:t>GRI, GRI-MMS</w:t>
      </w:r>
      <w:r w:rsidR="00F35BB8" w:rsidRPr="000E0F90">
        <w:rPr>
          <w:rFonts w:ascii="Arial" w:hAnsi="Arial" w:cs="Arial"/>
          <w:color w:val="000000" w:themeColor="text1"/>
        </w:rPr>
        <w:t>D)</w:t>
      </w:r>
      <w:r w:rsidR="008F32AB" w:rsidRPr="000E0F90">
        <w:rPr>
          <w:rFonts w:ascii="Arial" w:hAnsi="Arial" w:cs="Arial"/>
          <w:color w:val="000000" w:themeColor="text1"/>
        </w:rPr>
        <w:t xml:space="preserve">; evaluación de los sistemas para manejar riesgos operacionales críticos </w:t>
      </w:r>
      <w:r w:rsidR="008F32AB" w:rsidRPr="000E0F90">
        <w:rPr>
          <w:rFonts w:ascii="Arial" w:hAnsi="Arial" w:cs="Arial"/>
          <w:color w:val="000000" w:themeColor="text1"/>
        </w:rPr>
        <w:fldChar w:fldCharType="begin" w:fldLock="1"/>
      </w:r>
      <w:r w:rsidR="008F32AB" w:rsidRPr="000E0F90">
        <w:rPr>
          <w:rFonts w:ascii="Arial" w:hAnsi="Arial" w:cs="Arial"/>
          <w:color w:val="000000" w:themeColor="text1"/>
        </w:rPr>
        <w:instrText>ADDIN CSL_CITATION { "citationItems" : [ { "id" : "ITEM-1", "itemData" : { "author" : [ { "dropping-particle" : "", "family" : "MCA", "given" : "Minerals Council of Australia", "non-dropping-particle" : "", "parse-names" : false, "suffix" : "" } ], "id" : "ITEM-1", "issued" : { "date-parts" : [ [ "2005" ] ] }, "title" : "Endring Value: Guidance for implementation", "type" : "article-journal" }, "uris" : [ "http://www.mendeley.com/documents/?uuid=204b6c4e-6076-4a92-9047-6ac4f0404c17" ] } ], "mendeley" : { "formattedCitation" : "(MCA, 2005a)", "plainTextFormattedCitation" : "(MCA, 2005a)", "previouslyFormattedCitation" : "(MCA, 2005a)" }, "properties" : { "noteIndex" : 0 }, "schema" : "https://github.com/citation-style-language/schema/raw/master/csl-citation.json" }</w:instrText>
      </w:r>
      <w:r w:rsidR="008F32AB" w:rsidRPr="000E0F90">
        <w:rPr>
          <w:rFonts w:ascii="Arial" w:hAnsi="Arial" w:cs="Arial"/>
          <w:color w:val="000000" w:themeColor="text1"/>
        </w:rPr>
        <w:fldChar w:fldCharType="separate"/>
      </w:r>
      <w:r w:rsidR="008F32AB" w:rsidRPr="000E0F90">
        <w:rPr>
          <w:rFonts w:ascii="Arial" w:hAnsi="Arial" w:cs="Arial"/>
          <w:noProof/>
          <w:color w:val="000000" w:themeColor="text1"/>
        </w:rPr>
        <w:t>(MCA, 2005a)</w:t>
      </w:r>
      <w:r w:rsidR="008F32AB" w:rsidRPr="000E0F90">
        <w:rPr>
          <w:rFonts w:ascii="Arial" w:hAnsi="Arial" w:cs="Arial"/>
          <w:color w:val="000000" w:themeColor="text1"/>
        </w:rPr>
        <w:fldChar w:fldCharType="end"/>
      </w:r>
      <w:r w:rsidR="008F32AB" w:rsidRPr="000E0F90">
        <w:rPr>
          <w:rFonts w:ascii="Arial" w:hAnsi="Arial" w:cs="Arial"/>
          <w:color w:val="000000" w:themeColor="text1"/>
        </w:rPr>
        <w:t xml:space="preserve">.  </w:t>
      </w:r>
    </w:p>
    <w:p w:rsidR="004C7C38" w:rsidRPr="000E0F90" w:rsidRDefault="004C7C38" w:rsidP="002B538F">
      <w:pPr>
        <w:spacing w:after="0" w:line="360" w:lineRule="auto"/>
        <w:jc w:val="left"/>
        <w:rPr>
          <w:rFonts w:ascii="Arial" w:hAnsi="Arial" w:cs="Arial"/>
          <w:b/>
          <w:color w:val="000000" w:themeColor="text1"/>
        </w:rPr>
      </w:pPr>
      <w:bookmarkStart w:id="16" w:name="_Toc422411555"/>
      <w:r w:rsidRPr="000E0F90">
        <w:rPr>
          <w:rFonts w:ascii="Arial" w:hAnsi="Arial" w:cs="Arial"/>
          <w:b/>
          <w:i/>
          <w:color w:val="000000" w:themeColor="text1"/>
        </w:rPr>
        <w:t xml:space="preserve">Evaluación de los marcos de evaluación y reporte de </w:t>
      </w:r>
      <w:r w:rsidR="00F35BB8" w:rsidRPr="000E0F90">
        <w:rPr>
          <w:rFonts w:ascii="Arial" w:hAnsi="Arial" w:cs="Arial"/>
          <w:b/>
          <w:i/>
          <w:color w:val="000000" w:themeColor="text1"/>
        </w:rPr>
        <w:t>sostenibilidad</w:t>
      </w:r>
      <w:bookmarkEnd w:id="16"/>
      <w:r w:rsidR="00C65FB3" w:rsidRPr="000E0F90">
        <w:rPr>
          <w:rFonts w:ascii="Arial" w:hAnsi="Arial" w:cs="Arial"/>
          <w:b/>
          <w:color w:val="000000" w:themeColor="text1"/>
        </w:rPr>
        <w:t xml:space="preserve"> </w:t>
      </w:r>
    </w:p>
    <w:p w:rsidR="009E39E2" w:rsidRPr="000E0F90" w:rsidRDefault="00D72E5E" w:rsidP="002B538F">
      <w:pPr>
        <w:spacing w:line="360" w:lineRule="auto"/>
        <w:rPr>
          <w:rFonts w:ascii="Arial" w:hAnsi="Arial" w:cs="Arial"/>
          <w:color w:val="000000" w:themeColor="text1"/>
        </w:rPr>
      </w:pPr>
      <w:r w:rsidRPr="000E0F90">
        <w:rPr>
          <w:rFonts w:ascii="Arial" w:hAnsi="Arial" w:cs="Arial"/>
          <w:color w:val="000000" w:themeColor="text1"/>
        </w:rPr>
        <w:t xml:space="preserve">Dentro de las principales críticas, se discute si lo reportado es implementado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"10.1016/j.jclepro.2004.10.005", "ISSN" : "09596526", "author" : [ { "dropping-particle" : "", "family" : "Whitmore", "given" : "Andy", "non-dropping-particle" : "", "parse-names" : false, "suffix" : "" } ], "container-title" : "Journal of Cleaner Production", "id" : "ITEM-1", "issue" : "3-4", "issued" : { "date-parts" : [ [ "2006", "1" ] ] }, "page" : "309-314", "title" : "The emperors new clothes: Sustainable mining?", "type" : "article-journal", "volume" : "14" }, "uris" : [ "http://www.mendeley.com/documents/?uuid=0a64e23a-66a4-44df-af19-bd2b7ba84040" ] } ], "mendeley" : { "formattedCitation" : "(Whitmore, 2006)", "plainTextFormattedCitation" : "(Whitmore, 2006)", "previouslyFormattedCitation" : "(Whitmore, 2006)"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(Whitmore, 2006)</w:t>
      </w:r>
      <w:r w:rsidRPr="000E0F90">
        <w:rPr>
          <w:rFonts w:ascii="Arial" w:hAnsi="Arial" w:cs="Arial"/>
          <w:color w:val="000000" w:themeColor="text1"/>
        </w:rPr>
        <w:fldChar w:fldCharType="end"/>
      </w:r>
      <w:r w:rsidRPr="000E0F90">
        <w:rPr>
          <w:rFonts w:ascii="Arial" w:hAnsi="Arial" w:cs="Arial"/>
          <w:color w:val="000000" w:themeColor="text1"/>
        </w:rPr>
        <w:t xml:space="preserve">, </w:t>
      </w:r>
      <w:r w:rsidR="002105A7" w:rsidRPr="000E0F90">
        <w:rPr>
          <w:rFonts w:ascii="Arial" w:hAnsi="Arial" w:cs="Arial"/>
          <w:color w:val="000000" w:themeColor="text1"/>
        </w:rPr>
        <w:t xml:space="preserve">dado </w:t>
      </w:r>
      <w:r w:rsidRPr="000E0F90">
        <w:rPr>
          <w:rFonts w:ascii="Arial" w:hAnsi="Arial" w:cs="Arial"/>
          <w:color w:val="000000" w:themeColor="text1"/>
        </w:rPr>
        <w:t xml:space="preserve">por los recursos extras que se requieren para realizar la </w:t>
      </w:r>
      <w:r w:rsidR="009E39E2" w:rsidRPr="000E0F90">
        <w:rPr>
          <w:rFonts w:ascii="Arial" w:hAnsi="Arial" w:cs="Arial"/>
          <w:color w:val="000000" w:themeColor="text1"/>
        </w:rPr>
        <w:t xml:space="preserve">implementación y </w:t>
      </w:r>
      <w:r w:rsidR="00BF15D0" w:rsidRPr="000E0F90">
        <w:rPr>
          <w:rFonts w:ascii="Arial" w:hAnsi="Arial" w:cs="Arial"/>
          <w:color w:val="000000" w:themeColor="text1"/>
        </w:rPr>
        <w:t>elaboración</w:t>
      </w:r>
      <w:r w:rsidRPr="000E0F90">
        <w:rPr>
          <w:rFonts w:ascii="Arial" w:hAnsi="Arial" w:cs="Arial"/>
          <w:color w:val="000000" w:themeColor="text1"/>
        </w:rPr>
        <w:t xml:space="preserve"> de los reportes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"author" : [ { "dropping-particle" : "", "family" : "Hilson", "given" : "Gavin", "non-dropping-particle" : "", "parse-names" : false, "suffix" : "" }, { "dropping-particle" : "", "family" : "Murck", "given" : "Barbara", "non-dropping-particle" : "", "parse-names" : false, "suffix" : "" } ], "id" : "ITEM-1", "issue" : "2000", "issued" : { "date-parts" : [ [ "2000" ] ] }, "page" : "227-238", "title" : "Sustainable development in the mining industry : clarifying the corporate perspective", "type" : "article-journal", "volume" : "26" }, "uris" : [ "http://www.mendeley.com/documents/?uuid=f8aeb7a1-70d0-42bd-ae96-6e53b2ce6cb4" ] } ], "mendeley" : { "formattedCitation" : "(Hilson &amp; Murck, 2000)", "plainTextFormattedCitation" : "(Hilson &amp; Murck, 2000)", "previouslyFormattedCitation" : "(Hilson &amp; Murck, 2000)"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(Hilson &amp; Murck, 2000)</w:t>
      </w:r>
      <w:r w:rsidRPr="000E0F90">
        <w:rPr>
          <w:rFonts w:ascii="Arial" w:hAnsi="Arial" w:cs="Arial"/>
          <w:color w:val="000000" w:themeColor="text1"/>
        </w:rPr>
        <w:fldChar w:fldCharType="end"/>
      </w:r>
      <w:r w:rsidRPr="000E0F90">
        <w:rPr>
          <w:rFonts w:ascii="Arial" w:hAnsi="Arial" w:cs="Arial"/>
          <w:color w:val="000000" w:themeColor="text1"/>
        </w:rPr>
        <w:t xml:space="preserve">. Así como por la </w:t>
      </w:r>
      <w:r w:rsidRPr="000E0F90">
        <w:rPr>
          <w:rFonts w:ascii="Arial" w:hAnsi="Arial" w:cs="Arial"/>
          <w:color w:val="000000" w:themeColor="text1"/>
        </w:rPr>
        <w:lastRenderedPageBreak/>
        <w:t xml:space="preserve">baja calidad de la información de los reportes afectando la credibilidad de éstos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"10.1016/j.jclepro.2014.08.094", "ISSN" : "09596526", "author" : [ { "dropping-particle" : "", "family" : "Lodhia", "given" : "Sumit", "non-dropping-particle" : "", "parse-names" : false, "suffix" : "" }, { "dropping-particle" : "", "family" : "Hess", "given" : "Nadia", "non-dropping-particle" : "", "parse-names" : false, "suffix" : "" } ], "container-title" : "Journal of Cleaner Production", "id" : "ITEM-1", "issued" : { "date-parts" : [ [ "2014", "9" ] ] }, "publisher" : "Elsevier Ltd", "title" : "Sustainability accounting and reporting in the mining industry: current literature and directions for future research", "type" : "article-journal" }, "uris" : [ "http://www.mendeley.com/documents/?uuid=631f826c-0bb8-4a44-be95-ed34b953af6c" ] } ], "mendeley" : { "formattedCitation" : "(Lodhia &amp; Hess, 2014)", "plainTextFormattedCitation" : "(Lodhia &amp; Hess, 2014)", "previouslyFormattedCitation" : "(Lodhia &amp; Hess, 2014)"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(Lodhia &amp; Hess, 2014)</w:t>
      </w:r>
      <w:r w:rsidRPr="000E0F90">
        <w:rPr>
          <w:rFonts w:ascii="Arial" w:hAnsi="Arial" w:cs="Arial"/>
          <w:color w:val="000000" w:themeColor="text1"/>
        </w:rPr>
        <w:fldChar w:fldCharType="end"/>
      </w:r>
      <w:r w:rsidRPr="000E0F90">
        <w:rPr>
          <w:rFonts w:ascii="Arial" w:hAnsi="Arial" w:cs="Arial"/>
          <w:color w:val="000000" w:themeColor="text1"/>
        </w:rPr>
        <w:t>.</w:t>
      </w:r>
      <w:r w:rsidR="00994F4B" w:rsidRPr="000E0F90">
        <w:rPr>
          <w:rFonts w:ascii="Arial" w:hAnsi="Arial" w:cs="Arial"/>
          <w:color w:val="000000" w:themeColor="text1"/>
        </w:rPr>
        <w:t xml:space="preserve"> </w:t>
      </w:r>
    </w:p>
    <w:p w:rsidR="00D531FE" w:rsidRPr="000E0F90" w:rsidRDefault="00D72E5E" w:rsidP="002B538F">
      <w:pPr>
        <w:spacing w:line="360" w:lineRule="auto"/>
        <w:rPr>
          <w:rFonts w:ascii="Arial" w:hAnsi="Arial" w:cs="Arial"/>
          <w:color w:val="000000" w:themeColor="text1"/>
        </w:rPr>
      </w:pPr>
      <w:r w:rsidRPr="000E0F90">
        <w:rPr>
          <w:rFonts w:ascii="Arial" w:hAnsi="Arial" w:cs="Arial"/>
          <w:color w:val="000000" w:themeColor="text1"/>
        </w:rPr>
        <w:t xml:space="preserve">Se </w:t>
      </w:r>
      <w:r w:rsidR="002105A7" w:rsidRPr="000E0F90">
        <w:rPr>
          <w:rFonts w:ascii="Arial" w:hAnsi="Arial" w:cs="Arial"/>
          <w:color w:val="000000" w:themeColor="text1"/>
        </w:rPr>
        <w:t>critica</w:t>
      </w:r>
      <w:r w:rsidRPr="000E0F90">
        <w:rPr>
          <w:rFonts w:ascii="Arial" w:hAnsi="Arial" w:cs="Arial"/>
          <w:color w:val="000000" w:themeColor="text1"/>
        </w:rPr>
        <w:t xml:space="preserve"> la ausencia de elementos fundamentales de l</w:t>
      </w:r>
      <w:r w:rsidR="002105A7" w:rsidRPr="000E0F90">
        <w:rPr>
          <w:rFonts w:ascii="Arial" w:hAnsi="Arial" w:cs="Arial"/>
          <w:color w:val="000000" w:themeColor="text1"/>
        </w:rPr>
        <w:t>as evaluaciones y reportes</w:t>
      </w:r>
      <w:r w:rsidRPr="000E0F90">
        <w:rPr>
          <w:rFonts w:ascii="Arial" w:hAnsi="Arial" w:cs="Arial"/>
          <w:color w:val="000000" w:themeColor="text1"/>
        </w:rPr>
        <w:t xml:space="preserve">, como es la  ausencia de una aproximación clara hacia la escasez de las reservas de mineral, </w:t>
      </w:r>
      <w:r w:rsidR="00994F4B" w:rsidRPr="000E0F90">
        <w:rPr>
          <w:rFonts w:ascii="Arial" w:hAnsi="Arial" w:cs="Arial"/>
          <w:color w:val="000000" w:themeColor="text1"/>
        </w:rPr>
        <w:t xml:space="preserve">así como el manejo sostenible </w:t>
      </w:r>
      <w:r w:rsidR="002105A7" w:rsidRPr="000E0F90">
        <w:rPr>
          <w:rFonts w:ascii="Arial" w:hAnsi="Arial" w:cs="Arial"/>
          <w:color w:val="000000" w:themeColor="text1"/>
        </w:rPr>
        <w:t xml:space="preserve">de los recursos minerales </w:t>
      </w:r>
      <w:r w:rsidRPr="000E0F90">
        <w:rPr>
          <w:rFonts w:ascii="Arial" w:hAnsi="Arial" w:cs="Arial"/>
          <w:color w:val="000000" w:themeColor="text1"/>
        </w:rPr>
        <w:fldChar w:fldCharType="begin" w:fldLock="1"/>
      </w:r>
      <w:r w:rsidR="00CF11BB" w:rsidRPr="000E0F90">
        <w:rPr>
          <w:rFonts w:ascii="Arial" w:hAnsi="Arial" w:cs="Arial"/>
          <w:color w:val="000000" w:themeColor="text1"/>
        </w:rPr>
        <w:instrText>ADDIN CSL_CITATION { "citationItems" : [ { "id" : "ITEM-1", "itemData" : { "DOI" : "10.1016/j.mineng.2013.04.008", "ISSN" : "08926875", "author" : [ { "dropping-particle" : "", "family" : "Fonseca", "given" : "Alberto", "non-dropping-particle" : "", "parse-names" : false, "suffix" : "" }, { "dropping-particle" : "", "family" : "McAllister", "given" : "Mary Louise", "non-dropping-particle" : "", "parse-names" : false, "suffix" : "" }, { "dropping-particle" : "", "family" : "Fitzpatrick", "given" : "Patricia", "non-dropping-particle" : "", "parse-names" : false, "suffix" : "" } ], "container-title" : "Minerals Engineering", "id" : "ITEM-1", "issued" : { "date-parts" : [ [ "2013", "6" ] ] }, "page" : "180-186", "publisher" : "Elsevier Ltd", "title" : "Measuring what? A comparative anatomy of five mining sustainability frameworks", "type" : "article-journal", "volume" : "46-47" }, "uris" : [ "http://www.mendeley.com/documents/?uuid=7daefc24-618a-4523-9760-2c9148265937" ] }, { "id" : "ITEM-2", "itemData" : { "DOI" : "10.1016/j.jclepro.2010.08.019", "ISSN" : "09596526", "author" : [ { "dropping-particle" : "", "family" : "Laurence", "given" : "David", "non-dropping-particle" : "", "parse-names" : false, "suffix" : "" } ], "container-title" : "Journal of Cleaner Production", "id" : "ITEM-2", "issue" : "2-3", "issued" : { "date-parts" : [ [ "2011", "1" ] ] }, "page" : "278-284", "publisher" : "Elsevier Ltd", "title" : "Establishing a sustainable mining operation: an overview", "type" : "article-journal", "volume" : "19" }, "uris" : [ "http://www.mendeley.com/documents/?uuid=b1b1a5ce-2c8f-4ad7-a07d-19792ae1d7d8" ] } ], "mendeley" : { "formattedCitation" : "(Fonseca et al., 2013; Laurence, 2011)", "plainTextFormattedCitation" : "(Fonseca et al., 2013; Laurence, 2011)", "previouslyFormattedCitation" : "(Fonseca et al., 2013; Laurence, 2011)" }, "properties" : { "noteIndex" : 0 }, "schema" : "https://github.com/citation-style-language/schema/raw/master/csl-citation.json" }</w:instrText>
      </w:r>
      <w:r w:rsidRPr="000E0F90">
        <w:rPr>
          <w:rFonts w:ascii="Arial" w:hAnsi="Arial" w:cs="Arial"/>
          <w:color w:val="000000" w:themeColor="text1"/>
        </w:rPr>
        <w:fldChar w:fldCharType="separate"/>
      </w:r>
      <w:r w:rsidR="00994F4B" w:rsidRPr="000E0F90">
        <w:rPr>
          <w:rFonts w:ascii="Arial" w:hAnsi="Arial" w:cs="Arial"/>
          <w:noProof/>
          <w:color w:val="000000" w:themeColor="text1"/>
        </w:rPr>
        <w:t>(Fonseca et al., 2013; Laurence, 2011)</w:t>
      </w:r>
      <w:r w:rsidRPr="000E0F90">
        <w:rPr>
          <w:rFonts w:ascii="Arial" w:hAnsi="Arial" w:cs="Arial"/>
          <w:color w:val="000000" w:themeColor="text1"/>
        </w:rPr>
        <w:fldChar w:fldCharType="end"/>
      </w:r>
      <w:r w:rsidR="00994F4B" w:rsidRPr="000E0F90">
        <w:rPr>
          <w:rFonts w:ascii="Arial" w:hAnsi="Arial" w:cs="Arial"/>
          <w:color w:val="000000" w:themeColor="text1"/>
        </w:rPr>
        <w:t>.</w:t>
      </w:r>
      <w:r w:rsidRPr="000E0F90">
        <w:rPr>
          <w:rFonts w:ascii="Arial" w:hAnsi="Arial" w:cs="Arial"/>
          <w:color w:val="000000" w:themeColor="text1"/>
        </w:rPr>
        <w:t xml:space="preserve"> </w:t>
      </w:r>
      <w:r w:rsidR="00994F4B" w:rsidRPr="000E0F90">
        <w:rPr>
          <w:rFonts w:ascii="Arial" w:hAnsi="Arial" w:cs="Arial"/>
          <w:color w:val="000000" w:themeColor="text1"/>
        </w:rPr>
        <w:t>Se señala también la</w:t>
      </w:r>
      <w:r w:rsidR="00C749FA" w:rsidRPr="000E0F90">
        <w:rPr>
          <w:rFonts w:ascii="Arial" w:hAnsi="Arial" w:cs="Arial"/>
          <w:color w:val="000000" w:themeColor="text1"/>
        </w:rPr>
        <w:t xml:space="preserve"> escasa consideración a los efectos de legado de las operaciones mineras </w:t>
      </w:r>
      <w:r w:rsidR="00C749FA" w:rsidRPr="000E0F90">
        <w:rPr>
          <w:rFonts w:ascii="Arial" w:hAnsi="Arial" w:cs="Arial"/>
          <w:color w:val="000000" w:themeColor="text1"/>
        </w:rPr>
        <w:fldChar w:fldCharType="begin" w:fldLock="1"/>
      </w:r>
      <w:r w:rsidR="00C749FA" w:rsidRPr="000E0F90">
        <w:rPr>
          <w:rFonts w:ascii="Arial" w:hAnsi="Arial" w:cs="Arial"/>
          <w:color w:val="000000" w:themeColor="text1"/>
        </w:rPr>
        <w:instrText>ADDIN CSL_CITATION { "citationItems" : [ { "id" : "ITEM-1", "itemData" : { "DOI" : "10.1016/j.mineng.2013.04.008", "ISSN" : "08926875", "author" : [ { "dropping-particle" : "", "family" : "Fonseca", "given" : "Alberto", "non-dropping-particle" : "", "parse-names" : false, "suffix" : "" }, { "dropping-particle" : "", "family" : "McAllister", "given" : "Mary Louise", "non-dropping-particle" : "", "parse-names" : false, "suffix" : "" }, { "dropping-particle" : "", "family" : "Fitzpatrick", "given" : "Patricia", "non-dropping-particle" : "", "parse-names" : false, "suffix" : "" } ], "container-title" : "Minerals Engineering", "id" : "ITEM-1", "issued" : { "date-parts" : [ [ "2013", "6" ] ] }, "page" : "180-186", "publisher" : "Elsevier Ltd", "title" : "Measuring what? A comparative anatomy of five mining sustainability frameworks", "type" : "article-journal", "volume" : "46-47" }, "uris" : [ "http://www.mendeley.com/documents/?uuid=7daefc24-618a-4523-9760-2c9148265937" ] } ], "mendeley" : { "formattedCitation" : "(Fonseca et al., 2013)", "plainTextFormattedCitation" : "(Fonseca et al., 2013)", "previouslyFormattedCitation" : "(Fonseca et al., 2013)" }, "properties" : { "noteIndex" : 0 }, "schema" : "https://github.com/citation-style-language/schema/raw/master/csl-citation.json" }</w:instrText>
      </w:r>
      <w:r w:rsidR="00C749FA" w:rsidRPr="000E0F90">
        <w:rPr>
          <w:rFonts w:ascii="Arial" w:hAnsi="Arial" w:cs="Arial"/>
          <w:color w:val="000000" w:themeColor="text1"/>
        </w:rPr>
        <w:fldChar w:fldCharType="separate"/>
      </w:r>
      <w:r w:rsidR="00C749FA" w:rsidRPr="000E0F90">
        <w:rPr>
          <w:rFonts w:ascii="Arial" w:hAnsi="Arial" w:cs="Arial"/>
          <w:noProof/>
          <w:color w:val="000000" w:themeColor="text1"/>
        </w:rPr>
        <w:t>(Fonseca et al., 2013)</w:t>
      </w:r>
      <w:r w:rsidR="00C749FA" w:rsidRPr="000E0F90">
        <w:rPr>
          <w:rFonts w:ascii="Arial" w:hAnsi="Arial" w:cs="Arial"/>
          <w:color w:val="000000" w:themeColor="text1"/>
        </w:rPr>
        <w:fldChar w:fldCharType="end"/>
      </w:r>
      <w:r w:rsidR="00C749FA" w:rsidRPr="000E0F90">
        <w:rPr>
          <w:rFonts w:ascii="Arial" w:hAnsi="Arial" w:cs="Arial"/>
          <w:color w:val="000000" w:themeColor="text1"/>
        </w:rPr>
        <w:t xml:space="preserve">; </w:t>
      </w:r>
      <w:r w:rsidR="00994F4B" w:rsidRPr="000E0F90">
        <w:rPr>
          <w:rFonts w:ascii="Arial" w:hAnsi="Arial" w:cs="Arial"/>
          <w:color w:val="000000" w:themeColor="text1"/>
        </w:rPr>
        <w:t>l</w:t>
      </w:r>
      <w:r w:rsidR="00C749FA" w:rsidRPr="000E0F90">
        <w:rPr>
          <w:rFonts w:ascii="Arial" w:hAnsi="Arial" w:cs="Arial"/>
          <w:color w:val="000000" w:themeColor="text1"/>
        </w:rPr>
        <w:t>a menor consideración de aspectos sociales en relación a los aspectos ambientales</w:t>
      </w:r>
      <w:r w:rsidR="00994F4B" w:rsidRPr="000E0F90">
        <w:rPr>
          <w:rFonts w:ascii="Arial" w:hAnsi="Arial" w:cs="Arial"/>
          <w:color w:val="000000" w:themeColor="text1"/>
        </w:rPr>
        <w:t xml:space="preserve"> y su manejo en forma aislada</w:t>
      </w:r>
      <w:r w:rsidR="00C749FA" w:rsidRPr="000E0F90">
        <w:rPr>
          <w:rFonts w:ascii="Arial" w:hAnsi="Arial" w:cs="Arial"/>
          <w:color w:val="000000" w:themeColor="text1"/>
        </w:rPr>
        <w:t xml:space="preserve"> </w:t>
      </w:r>
      <w:r w:rsidR="00C749FA" w:rsidRPr="000E0F90">
        <w:rPr>
          <w:rFonts w:ascii="Arial" w:hAnsi="Arial" w:cs="Arial"/>
          <w:color w:val="000000" w:themeColor="text1"/>
        </w:rPr>
        <w:fldChar w:fldCharType="begin" w:fldLock="1"/>
      </w:r>
      <w:r w:rsidR="00C749FA" w:rsidRPr="000E0F90">
        <w:rPr>
          <w:rFonts w:ascii="Arial" w:hAnsi="Arial" w:cs="Arial"/>
          <w:color w:val="000000" w:themeColor="text1"/>
        </w:rPr>
        <w:instrText>ADDIN CSL_CITATION { "citationItems" : [ { "id" : "ITEM-1", "itemData" : { "DOI" : "10.1016/j.jclepro.2014.08.094", "ISSN" : "09596526", "author" : [ { "dropping-particle" : "", "family" : "Lodhia", "given" : "Sumit", "non-dropping-particle" : "", "parse-names" : false, "suffix" : "" }, { "dropping-particle" : "", "family" : "Hess", "given" : "Nadia", "non-dropping-particle" : "", "parse-names" : false, "suffix" : "" } ], "container-title" : "Journal of Cleaner Production", "id" : "ITEM-1", "issued" : { "date-parts" : [ [ "2014", "9" ] ] }, "publisher" : "Elsevier Ltd", "title" : "Sustainability accounting and reporting in the mining industry: current literature and directions for future research", "type" : "article-journal" }, "uris" : [ "http://www.mendeley.com/documents/?uuid=631f826c-0bb8-4a44-be95-ed34b953af6c" ] } ], "mendeley" : { "formattedCitation" : "(Lodhia &amp; Hess, 2014)", "plainTextFormattedCitation" : "(Lodhia &amp; Hess, 2014)", "previouslyFormattedCitation" : "(Lodhia &amp; Hess, 2014)" }, "properties" : { "noteIndex" : 0 }, "schema" : "https://github.com/citation-style-language/schema/raw/master/csl-citation.json" }</w:instrText>
      </w:r>
      <w:r w:rsidR="00C749FA" w:rsidRPr="000E0F90">
        <w:rPr>
          <w:rFonts w:ascii="Arial" w:hAnsi="Arial" w:cs="Arial"/>
          <w:color w:val="000000" w:themeColor="text1"/>
        </w:rPr>
        <w:fldChar w:fldCharType="separate"/>
      </w:r>
      <w:r w:rsidR="00C749FA" w:rsidRPr="000E0F90">
        <w:rPr>
          <w:rFonts w:ascii="Arial" w:hAnsi="Arial" w:cs="Arial"/>
          <w:noProof/>
          <w:color w:val="000000" w:themeColor="text1"/>
        </w:rPr>
        <w:t>(Lodhia &amp; Hess, 2014)</w:t>
      </w:r>
      <w:r w:rsidR="00C749FA" w:rsidRPr="000E0F90">
        <w:rPr>
          <w:rFonts w:ascii="Arial" w:hAnsi="Arial" w:cs="Arial"/>
          <w:color w:val="000000" w:themeColor="text1"/>
        </w:rPr>
        <w:fldChar w:fldCharType="end"/>
      </w:r>
      <w:r w:rsidR="00C749FA" w:rsidRPr="000E0F90">
        <w:rPr>
          <w:rFonts w:ascii="Arial" w:hAnsi="Arial" w:cs="Arial"/>
          <w:color w:val="000000" w:themeColor="text1"/>
        </w:rPr>
        <w:t xml:space="preserve">; </w:t>
      </w:r>
      <w:r w:rsidR="00994F4B" w:rsidRPr="000E0F90">
        <w:rPr>
          <w:rFonts w:ascii="Arial" w:hAnsi="Arial" w:cs="Arial"/>
          <w:color w:val="000000" w:themeColor="text1"/>
        </w:rPr>
        <w:t xml:space="preserve">la </w:t>
      </w:r>
      <w:r w:rsidR="00C749FA" w:rsidRPr="000E0F90">
        <w:rPr>
          <w:rFonts w:ascii="Arial" w:hAnsi="Arial" w:cs="Arial"/>
          <w:color w:val="000000" w:themeColor="text1"/>
        </w:rPr>
        <w:t xml:space="preserve">dificultad para identificar los efectos a nivel de sitio </w:t>
      </w:r>
      <w:r w:rsidR="00C749FA" w:rsidRPr="000E0F90">
        <w:rPr>
          <w:rFonts w:ascii="Arial" w:hAnsi="Arial" w:cs="Arial"/>
          <w:color w:val="000000" w:themeColor="text1"/>
        </w:rPr>
        <w:fldChar w:fldCharType="begin" w:fldLock="1"/>
      </w:r>
      <w:r w:rsidR="00C749FA" w:rsidRPr="000E0F90">
        <w:rPr>
          <w:rFonts w:ascii="Arial" w:hAnsi="Arial" w:cs="Arial"/>
          <w:color w:val="000000" w:themeColor="text1"/>
        </w:rPr>
        <w:instrText>ADDIN CSL_CITATION { "citationItems" : [ { "id" : "ITEM-1", "itemData" : { "DOI" : "10.1016/j.jclepro.2012.11.050", "ISSN" : "09596526", "author" : [ { "dropping-particle" : "", "family" : "Fonseca", "given" : "Alberto", "non-dropping-particle" : "", "parse-names" : false, "suffix" : "" }, { "dropping-particle" : "", "family" : "McAllister", "given" : "Mary Louise", "non-dropping-particle" : "", "parse-names" : false, "suffix" : "" }, { "dropping-particle" : "", "family" : "Fitzpatrick", "given" : "Patricia", "non-dropping-particle" : "", "parse-names" : false, "suffix" : "" } ], "container-title" : "Journal of Cleaner Production", "id" : "ITEM-1", "issued" : { "date-parts" : [ [ "2012", "12" ] ] }, "publisher" : "Elsevier Ltd", "title" : "Sustainability reporting among mining corporations: a constructive critique of the GRI approach", "type" : "article-journal" }, "uris" : [ "http://www.mendeley.com/documents/?uuid=d26c3cff-ccd2-4751-a6c8-631d7adca437" ] } ], "mendeley" : { "formattedCitation" : "(Fonseca, McAllister, &amp; Fitzpatrick, 2012)", "plainTextFormattedCitation" : "(Fonseca, McAllister, &amp; Fitzpatrick, 2012)", "previouslyFormattedCitation" : "(Fonseca, McAllister, &amp; Fitzpatrick, 2012)" }, "properties" : { "noteIndex" : 0 }, "schema" : "https://github.com/citation-style-language/schema/raw/master/csl-citation.json" }</w:instrText>
      </w:r>
      <w:r w:rsidR="00C749FA" w:rsidRPr="000E0F90">
        <w:rPr>
          <w:rFonts w:ascii="Arial" w:hAnsi="Arial" w:cs="Arial"/>
          <w:color w:val="000000" w:themeColor="text1"/>
        </w:rPr>
        <w:fldChar w:fldCharType="separate"/>
      </w:r>
      <w:r w:rsidR="00C749FA" w:rsidRPr="000E0F90">
        <w:rPr>
          <w:rFonts w:ascii="Arial" w:hAnsi="Arial" w:cs="Arial"/>
          <w:noProof/>
          <w:color w:val="000000" w:themeColor="text1"/>
        </w:rPr>
        <w:t>(Fonseca, McAllister, &amp; Fitzpatrick, 2012)</w:t>
      </w:r>
      <w:r w:rsidR="00C749FA" w:rsidRPr="000E0F90">
        <w:rPr>
          <w:rFonts w:ascii="Arial" w:hAnsi="Arial" w:cs="Arial"/>
          <w:color w:val="000000" w:themeColor="text1"/>
        </w:rPr>
        <w:fldChar w:fldCharType="end"/>
      </w:r>
      <w:r w:rsidR="00994F4B" w:rsidRPr="000E0F90">
        <w:rPr>
          <w:rFonts w:ascii="Arial" w:hAnsi="Arial" w:cs="Arial"/>
          <w:color w:val="000000" w:themeColor="text1"/>
        </w:rPr>
        <w:t xml:space="preserve">; la falta de integración de los reportes de </w:t>
      </w:r>
      <w:r w:rsidR="00F35BB8" w:rsidRPr="000E0F90">
        <w:rPr>
          <w:rFonts w:ascii="Arial" w:hAnsi="Arial" w:cs="Arial"/>
          <w:color w:val="000000" w:themeColor="text1"/>
        </w:rPr>
        <w:t>sostenibilidad</w:t>
      </w:r>
      <w:r w:rsidR="00994F4B" w:rsidRPr="000E0F90">
        <w:rPr>
          <w:rFonts w:ascii="Arial" w:hAnsi="Arial" w:cs="Arial"/>
          <w:color w:val="000000" w:themeColor="text1"/>
        </w:rPr>
        <w:t xml:space="preserve"> en las propias compañías</w:t>
      </w:r>
      <w:r w:rsidR="00F35BB8" w:rsidRPr="000E0F90">
        <w:rPr>
          <w:rFonts w:ascii="Arial" w:hAnsi="Arial" w:cs="Arial"/>
          <w:color w:val="000000" w:themeColor="text1"/>
        </w:rPr>
        <w:t xml:space="preserve"> </w:t>
      </w:r>
      <w:r w:rsidR="00F35BB8" w:rsidRPr="000E0F90">
        <w:rPr>
          <w:rFonts w:ascii="Arial" w:hAnsi="Arial" w:cs="Arial"/>
          <w:color w:val="000000" w:themeColor="text1"/>
        </w:rPr>
        <w:fldChar w:fldCharType="begin" w:fldLock="1"/>
      </w:r>
      <w:r w:rsidR="00F35BB8" w:rsidRPr="000E0F90">
        <w:rPr>
          <w:rFonts w:ascii="Arial" w:hAnsi="Arial" w:cs="Arial"/>
          <w:color w:val="000000" w:themeColor="text1"/>
        </w:rPr>
        <w:instrText>ADDIN CSL_CITATION { "citationItems" : [ { "id" : "ITEM-1", "itemData" : { "DOI" : "10.1016/j.mineng.2013.04.008", "ISSN" : "08926875", "author" : [ { "dropping-particle" : "", "family" : "Fonseca", "given" : "Alberto", "non-dropping-particle" : "", "parse-names" : false, "suffix" : "" }, { "dropping-particle" : "", "family" : "McAllister", "given" : "Mary Louise", "non-dropping-particle" : "", "parse-names" : false, "suffix" : "" }, { "dropping-particle" : "", "family" : "Fitzpatrick", "given" : "Patricia", "non-dropping-particle" : "", "parse-names" : false, "suffix" : "" } ], "container-title" : "Minerals Engineering", "id" : "ITEM-1", "issued" : { "date-parts" : [ [ "2013", "6" ] ] }, "page" : "180-186", "publisher" : "Elsevier Ltd", "title" : "Measuring what? A comparative anatomy of five mining sustainability frameworks", "type" : "article-journal", "volume" : "46-47" }, "uris" : [ "http://www.mendeley.com/documents/?uuid=7daefc24-618a-4523-9760-2c9148265937" ] } ], "mendeley" : { "formattedCitation" : "(Fonseca et al., 2013)", "plainTextFormattedCitation" : "(Fonseca et al., 2013)", "previouslyFormattedCitation" : "(Fonseca et al., 2013)" }, "properties" : { "noteIndex" : 0 }, "schema" : "https://github.com/citation-style-language/schema/raw/master/csl-citation.json" }</w:instrText>
      </w:r>
      <w:r w:rsidR="00F35BB8" w:rsidRPr="000E0F90">
        <w:rPr>
          <w:rFonts w:ascii="Arial" w:hAnsi="Arial" w:cs="Arial"/>
          <w:color w:val="000000" w:themeColor="text1"/>
        </w:rPr>
        <w:fldChar w:fldCharType="separate"/>
      </w:r>
      <w:r w:rsidR="00F35BB8" w:rsidRPr="000E0F90">
        <w:rPr>
          <w:rFonts w:ascii="Arial" w:hAnsi="Arial" w:cs="Arial"/>
          <w:noProof/>
          <w:color w:val="000000" w:themeColor="text1"/>
        </w:rPr>
        <w:t>(Fonseca et al., 2013)</w:t>
      </w:r>
      <w:r w:rsidR="00F35BB8" w:rsidRPr="000E0F90">
        <w:rPr>
          <w:rFonts w:ascii="Arial" w:hAnsi="Arial" w:cs="Arial"/>
          <w:color w:val="000000" w:themeColor="text1"/>
        </w:rPr>
        <w:fldChar w:fldCharType="end"/>
      </w:r>
      <w:r w:rsidR="00F35BB8" w:rsidRPr="000E0F90">
        <w:rPr>
          <w:rFonts w:ascii="Arial" w:hAnsi="Arial" w:cs="Arial"/>
          <w:color w:val="000000" w:themeColor="text1"/>
        </w:rPr>
        <w:t xml:space="preserve">; y su enfoque a asegurar las mejoras en el rendimiento de la industria </w:t>
      </w:r>
      <w:r w:rsidR="00F35BB8" w:rsidRPr="000E0F90">
        <w:rPr>
          <w:rFonts w:ascii="Arial" w:hAnsi="Arial" w:cs="Arial"/>
          <w:color w:val="000000" w:themeColor="text1"/>
        </w:rPr>
        <w:fldChar w:fldCharType="begin" w:fldLock="1"/>
      </w:r>
      <w:r w:rsidR="00F35BB8" w:rsidRPr="000E0F90">
        <w:rPr>
          <w:rFonts w:ascii="Arial" w:hAnsi="Arial" w:cs="Arial"/>
          <w:color w:val="000000" w:themeColor="text1"/>
        </w:rPr>
        <w:instrText>ADDIN CSL_CITATION { "citationItems" : [ { "id" : "ITEM-1", "itemData" : { "DOI" : "10.1016/j.mineng.2013.04.008", "ISSN" : "08926875", "author" : [ { "dropping-particle" : "", "family" : "Fonseca", "given" : "Alberto", "non-dropping-particle" : "", "parse-names" : false, "suffix" : "" }, { "dropping-particle" : "", "family" : "McAllister", "given" : "Mary Louise", "non-dropping-particle" : "", "parse-names" : false, "suffix" : "" }, { "dropping-particle" : "", "family" : "Fitzpatrick", "given" : "Patricia", "non-dropping-particle" : "", "parse-names" : false, "suffix" : "" } ], "container-title" : "Minerals Engineering", "id" : "ITEM-1", "issued" : { "date-parts" : [ [ "2013", "6" ] ] }, "page" : "180-186", "publisher" : "Elsevier Ltd", "title" : "Measuring what? A comparative anatomy of five mining sustainability frameworks", "type" : "article-journal", "volume" : "46-47" }, "uris" : [ "http://www.mendeley.com/documents/?uuid=7daefc24-618a-4523-9760-2c9148265937" ] } ], "mendeley" : { "formattedCitation" : "(Fonseca et al., 2013)", "plainTextFormattedCitation" : "(Fonseca et al., 2013)", "previouslyFormattedCitation" : "(Fonseca et al., 2013)" }, "properties" : { "noteIndex" : 0 }, "schema" : "https://github.com/citation-style-language/schema/raw/master/csl-citation.json" }</w:instrText>
      </w:r>
      <w:r w:rsidR="00F35BB8" w:rsidRPr="000E0F90">
        <w:rPr>
          <w:rFonts w:ascii="Arial" w:hAnsi="Arial" w:cs="Arial"/>
          <w:color w:val="000000" w:themeColor="text1"/>
        </w:rPr>
        <w:fldChar w:fldCharType="separate"/>
      </w:r>
      <w:r w:rsidR="00F35BB8" w:rsidRPr="000E0F90">
        <w:rPr>
          <w:rFonts w:ascii="Arial" w:hAnsi="Arial" w:cs="Arial"/>
          <w:noProof/>
          <w:color w:val="000000" w:themeColor="text1"/>
        </w:rPr>
        <w:t>(Fonseca et al., 2013)</w:t>
      </w:r>
      <w:r w:rsidR="00F35BB8" w:rsidRPr="000E0F90">
        <w:rPr>
          <w:rFonts w:ascii="Arial" w:hAnsi="Arial" w:cs="Arial"/>
          <w:color w:val="000000" w:themeColor="text1"/>
        </w:rPr>
        <w:fldChar w:fldCharType="end"/>
      </w:r>
      <w:r w:rsidR="00F35BB8" w:rsidRPr="000E0F90">
        <w:rPr>
          <w:rFonts w:ascii="Arial" w:hAnsi="Arial" w:cs="Arial"/>
          <w:color w:val="000000" w:themeColor="text1"/>
        </w:rPr>
        <w:t>.</w:t>
      </w:r>
      <w:r w:rsidR="00D531FE" w:rsidRPr="000E0F90">
        <w:rPr>
          <w:rFonts w:ascii="Arial" w:hAnsi="Arial" w:cs="Arial"/>
          <w:color w:val="000000" w:themeColor="text1"/>
        </w:rPr>
        <w:t xml:space="preserve"> Se plantea como una debilidad, que las compañías multinacionales no extiendan las prácticas de sostenibilidad de su país de origen, afectando las comunidades locales foráneas </w:t>
      </w:r>
      <w:r w:rsidR="00D531FE" w:rsidRPr="000E0F90">
        <w:rPr>
          <w:rFonts w:ascii="Arial" w:hAnsi="Arial" w:cs="Arial"/>
          <w:color w:val="000000" w:themeColor="text1"/>
        </w:rPr>
        <w:fldChar w:fldCharType="begin" w:fldLock="1"/>
      </w:r>
      <w:r w:rsidR="00D531FE" w:rsidRPr="000E0F90">
        <w:rPr>
          <w:rFonts w:ascii="Arial" w:hAnsi="Arial" w:cs="Arial"/>
          <w:color w:val="000000" w:themeColor="text1"/>
        </w:rPr>
        <w:instrText>ADDIN CSL_CITATION { "citationItems" : [ { "id" : "ITEM-1", "itemData" : { "DOI" : "10.1016/j.jclepro.2014.08.094", "ISSN" : "09596526", "author" : [ { "dropping-particle" : "", "family" : "Lodhia", "given" : "Sumit", "non-dropping-particle" : "", "parse-names" : false, "suffix" : "" }, { "dropping-particle" : "", "family" : "Hess", "given" : "Nadia", "non-dropping-particle" : "", "parse-names" : false, "suffix" : "" } ], "container-title" : "Journal of Cleaner Production", "id" : "ITEM-1", "issued" : { "date-parts" : [ [ "2014", "9" ] ] }, "publisher" : "Elsevier Ltd", "title" : "Sustainability accounting and reporting in the mining industry: current literature and directions for future research", "type" : "article-journal" }, "uris" : [ "http://www.mendeley.com/documents/?uuid=631f826c-0bb8-4a44-be95-ed34b953af6c" ] } ], "mendeley" : { "formattedCitation" : "(Lodhia &amp; Hess, 2014)", "plainTextFormattedCitation" : "(Lodhia &amp; Hess, 2014)", "previouslyFormattedCitation" : "(Lodhia &amp; Hess, 2014)" }, "properties" : { "noteIndex" : 0 }, "schema" : "https://github.com/citation-style-language/schema/raw/master/csl-citation.json" }</w:instrText>
      </w:r>
      <w:r w:rsidR="00D531FE" w:rsidRPr="000E0F90">
        <w:rPr>
          <w:rFonts w:ascii="Arial" w:hAnsi="Arial" w:cs="Arial"/>
          <w:color w:val="000000" w:themeColor="text1"/>
        </w:rPr>
        <w:fldChar w:fldCharType="separate"/>
      </w:r>
      <w:r w:rsidR="00D531FE" w:rsidRPr="000E0F90">
        <w:rPr>
          <w:rFonts w:ascii="Arial" w:hAnsi="Arial" w:cs="Arial"/>
          <w:noProof/>
          <w:color w:val="000000" w:themeColor="text1"/>
        </w:rPr>
        <w:t>(Lodhia &amp; Hess, 2014)</w:t>
      </w:r>
      <w:r w:rsidR="00D531FE" w:rsidRPr="000E0F90">
        <w:rPr>
          <w:rFonts w:ascii="Arial" w:hAnsi="Arial" w:cs="Arial"/>
          <w:color w:val="000000" w:themeColor="text1"/>
        </w:rPr>
        <w:fldChar w:fldCharType="end"/>
      </w:r>
      <w:r w:rsidR="00D531FE" w:rsidRPr="000E0F90">
        <w:rPr>
          <w:rFonts w:ascii="Arial" w:hAnsi="Arial" w:cs="Arial"/>
          <w:color w:val="000000" w:themeColor="text1"/>
        </w:rPr>
        <w:t xml:space="preserve">. </w:t>
      </w:r>
    </w:p>
    <w:p w:rsidR="00994F4B" w:rsidRPr="000E0F90" w:rsidRDefault="00994F4B" w:rsidP="002B538F">
      <w:pPr>
        <w:spacing w:line="360" w:lineRule="auto"/>
        <w:rPr>
          <w:rFonts w:ascii="Arial" w:hAnsi="Arial" w:cs="Arial"/>
          <w:color w:val="000000" w:themeColor="text1"/>
        </w:rPr>
      </w:pPr>
      <w:r w:rsidRPr="000E0F90">
        <w:rPr>
          <w:rFonts w:ascii="Arial" w:hAnsi="Arial" w:cs="Arial"/>
          <w:color w:val="000000" w:themeColor="text1"/>
        </w:rPr>
        <w:t xml:space="preserve">Por otro lado, la implementación de la </w:t>
      </w:r>
      <w:r w:rsidR="00F35BB8" w:rsidRPr="000E0F90">
        <w:rPr>
          <w:rFonts w:ascii="Arial" w:hAnsi="Arial" w:cs="Arial"/>
          <w:color w:val="000000" w:themeColor="text1"/>
        </w:rPr>
        <w:t>sostenibilidad</w:t>
      </w:r>
      <w:r w:rsidRPr="000E0F90">
        <w:rPr>
          <w:rFonts w:ascii="Arial" w:hAnsi="Arial" w:cs="Arial"/>
          <w:color w:val="000000" w:themeColor="text1"/>
        </w:rPr>
        <w:t xml:space="preserve"> de la industria estaría limitada por la ambigüedad en las definiciones del término </w:t>
      </w:r>
      <w:r w:rsidR="00F35BB8" w:rsidRPr="000E0F90">
        <w:rPr>
          <w:rFonts w:ascii="Arial" w:hAnsi="Arial" w:cs="Arial"/>
          <w:color w:val="000000" w:themeColor="text1"/>
        </w:rPr>
        <w:t>sostenibilidad</w:t>
      </w:r>
      <w:r w:rsidRPr="000E0F90">
        <w:rPr>
          <w:rFonts w:ascii="Arial" w:hAnsi="Arial" w:cs="Arial"/>
          <w:color w:val="000000" w:themeColor="text1"/>
        </w:rPr>
        <w:t xml:space="preserve"> y desarrollo </w:t>
      </w:r>
      <w:r w:rsidR="00F35BB8" w:rsidRPr="000E0F90">
        <w:rPr>
          <w:rFonts w:ascii="Arial" w:hAnsi="Arial" w:cs="Arial"/>
          <w:color w:val="000000" w:themeColor="text1"/>
        </w:rPr>
        <w:t>sostenible</w:t>
      </w:r>
      <w:r w:rsidRPr="000E0F90">
        <w:rPr>
          <w:rFonts w:ascii="Arial" w:hAnsi="Arial" w:cs="Arial"/>
          <w:color w:val="000000" w:themeColor="text1"/>
        </w:rPr>
        <w:t xml:space="preserve">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"10.1016/j.jclepro.2014.03.086", "ISSN" : "09596526", "author" : [ { "dropping-particle" : "", "family" : "Han Onn", "given" : "a.", "non-dropping-particle" : "", "parse-names" : false, "suffix" : "" }, { "dropping-particle" : "", "family" : "Woodley", "given" : "a.", "non-dropping-particle" : "", "parse-names" : false, "suffix" : "" } ], "container-title" : "Journal of Cleaner Production", "id" : "ITEM-1", "issued" : { "date-parts" : [ [ "2014", "4" ] ] }, "publisher" : "Elsevier Ltd", "title" : "A discourse analysis on how the sustainability agenda is defined within the mining industry", "type" : "article-journal" }, "uris" : [ "http://www.mendeley.com/documents/?uuid=fe14dbfd-b542-4328-a56b-fee9ec16c42e" ] } ], "mendeley" : { "formattedCitation" : "(Han Onn &amp; Woodley, 2014)", "plainTextFormattedCitation" : "(Han Onn &amp; Woodley, 2014)", "previouslyFormattedCitation" : "(Han Onn &amp; Woodley, 2014)"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(Han Onn &amp; Woodley, 2014)</w:t>
      </w:r>
      <w:r w:rsidRPr="000E0F90">
        <w:rPr>
          <w:rFonts w:ascii="Arial" w:hAnsi="Arial" w:cs="Arial"/>
          <w:color w:val="000000" w:themeColor="text1"/>
        </w:rPr>
        <w:fldChar w:fldCharType="end"/>
      </w:r>
      <w:r w:rsidRPr="000E0F90">
        <w:rPr>
          <w:rFonts w:ascii="Arial" w:hAnsi="Arial" w:cs="Arial"/>
          <w:color w:val="000000" w:themeColor="text1"/>
        </w:rPr>
        <w:t>, así como también por la escasa información para orientar a los operadores en la interpretación y aplicación de los principios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"10.1016/j.mineng.2013.04.008", "ISSN" : "08926875", "author" : [ { "dropping-particle" : "", "family" : "Fonseca", "given" : "Alberto", "non-dropping-particle" : "", "parse-names" : false, "suffix" : "" }, { "dropping-particle" : "", "family" : "McAllister", "given" : "Mary Louise", "non-dropping-particle" : "", "parse-names" : false, "suffix" : "" }, { "dropping-particle" : "", "family" : "Fitzpatrick", "given" : "Patricia", "non-dropping-particle" : "", "parse-names" : false, "suffix" : "" } ], "container-title" : "Minerals Engineering", "id" : "ITEM-1", "issued" : { "date-parts" : [ [ "2013", "6" ] ] }, "page" : "180-186", "publisher" : "Elsevier Ltd", "title" : "Measuring what? A comparative anatomy of five mining sustainability frameworks", "type" : "article-journal", "volume" : "46-47" }, "uris" : [ "http://www.mendeley.com/documents/?uuid=7daefc24-618a-4523-9760-2c9148265937" ] } ], "mendeley" : { "formattedCitation" : "(Fonseca et al., 2013)", "manualFormatting" : "Fonseca et al. (2013)", "plainTextFormattedCitation" : "(Fonseca et al., 2013)", "previouslyFormattedCitation" : "(Fonseca et al., 2013)"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Fonseca et al. (2013)</w:t>
      </w:r>
      <w:r w:rsidRPr="000E0F90">
        <w:rPr>
          <w:rFonts w:ascii="Arial" w:hAnsi="Arial" w:cs="Arial"/>
          <w:color w:val="000000" w:themeColor="text1"/>
        </w:rPr>
        <w:fldChar w:fldCharType="end"/>
      </w:r>
      <w:r w:rsidRPr="000E0F90">
        <w:rPr>
          <w:rFonts w:ascii="Arial" w:hAnsi="Arial" w:cs="Arial"/>
          <w:color w:val="000000" w:themeColor="text1"/>
        </w:rPr>
        <w:t xml:space="preserve">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"10.1016/j.jclepro.2010.08.019", "ISSN" : "09596526", "author" : [ { "dropping-particle" : "", "family" : "Laurence", "given" : "David", "non-dropping-particle" : "", "parse-names" : false, "suffix" : "" } ], "container-title" : "Journal of Cleaner Production", "id" : "ITEM-1", "issue" : "2-3", "issued" : { "date-parts" : [ [ "2011", "1" ] ] }, "page" : "278-284", "publisher" : "Elsevier Ltd", "title" : "Establishing a sustainable mining operation: an overview", "type" : "article-journal", "volume" : "19" }, "uris" : [ "http://www.mendeley.com/documents/?uuid=b1b1a5ce-2c8f-4ad7-a07d-19792ae1d7d8" ] } ], "mendeley" : { "formattedCitation" : "(Laurence, 2011)", "manualFormatting" : "Laurence, 2011)", "plainTextFormattedCitation" : "(Laurence, 2011)", "previouslyFormattedCitation" : "(Laurence, 2011)"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Laurence, 2011)</w:t>
      </w:r>
      <w:r w:rsidRPr="000E0F90">
        <w:rPr>
          <w:rFonts w:ascii="Arial" w:hAnsi="Arial" w:cs="Arial"/>
          <w:color w:val="000000" w:themeColor="text1"/>
        </w:rPr>
        <w:fldChar w:fldCharType="end"/>
      </w:r>
      <w:r w:rsidRPr="000E0F90">
        <w:rPr>
          <w:rFonts w:ascii="Arial" w:hAnsi="Arial" w:cs="Arial"/>
          <w:color w:val="000000" w:themeColor="text1"/>
        </w:rPr>
        <w:t xml:space="preserve">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"10.1007/s00267-008-9269-1", "ISBN" : "0026700892691", "ISSN" : "1432-1009", "PMID" : "19238481", "abstract" : "Since the 1990s several large companies have been publishing nonfinancial performance reports. Focusing initially on the physical environment, these reports evolved to consider social relations, as well as data on the firm's economic performance. A few mining companies pioneered this trend, and in the last years some of them incorporated the three dimensions of sustainable development, publishing so-called sustainability reports. This article reviews 31 reports published between 2001 and 2006 by four major mining companies. A set of 62 assessment items organized in six categories (namely context and commitment, management, environmental, social and economic performance, and accessibility and assurance) were selected to guide the review. The items were derived from international literature and recommended best practices, including the Global Reporting Initiative G3 framework. A content analysis was performed using the report as a sampling unit, and using phrases, graphics, or tables containing certain information as data collection units. A basic rating scale (0 or 1) was used for noting the presence or absence of information and a final percentage score was obtained for each report. Results show that there is a clear evolution in report's comprehensiveness and depth. Categories \"accessibility and assurance\" and \"economic performance\" featured the lowest scores and do not present a clear evolution trend in the period, whereas categories \"context and commitment\" and \"social performance\" presented the best results and regular improvement; the category \"environmental performance,\" despite it not reaching the biggest scores, also featured constant evolution. Description of data measurement techniques, besides more comprehensive third-party verification are the items most in need of improvement.", "author" : [ { "dropping-particle" : "", "family" : "Perez", "given" : "Fabiana", "non-dropping-particle" : "", "parse-names" : false, "suffix" : "" }, { "dropping-particle" : "", "family" : "Sanchez", "given" : "Luis E", "non-dropping-particle" : "", "parse-names" : false, "suffix" : "" } ], "container-title" : "Environmental management", "id" : "ITEM-1", "issue" : "6", "issued" : { "date-parts" : [ [ "2009", "6" ] ] }, "page" : "949-61", "title" : "Assessing the evolution of sustainability reporting in the mining sector.", "type" : "article-journal", "volume" : "43" }, "uris" : [ "http://www.mendeley.com/documents/?uuid=1cd2a8bf-7f86-4591-9ba6-be3ad1cf123e" ] } ], "mendeley" : { "formattedCitation" : "(Perez &amp; Sanchez, 2009)", "plainTextFormattedCitation" : "(Perez &amp; Sanchez, 2009)", "previouslyFormattedCitation" : "(Perez &amp; Sanchez, 2009)"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(Perez &amp; Sanchez, 2009)</w:t>
      </w:r>
      <w:r w:rsidRPr="000E0F90">
        <w:rPr>
          <w:rFonts w:ascii="Arial" w:hAnsi="Arial" w:cs="Arial"/>
          <w:color w:val="000000" w:themeColor="text1"/>
        </w:rPr>
        <w:fldChar w:fldCharType="end"/>
      </w:r>
      <w:r w:rsidRPr="000E0F90">
        <w:rPr>
          <w:rFonts w:ascii="Arial" w:hAnsi="Arial" w:cs="Arial"/>
          <w:color w:val="000000" w:themeColor="text1"/>
        </w:rPr>
        <w:t xml:space="preserve">. </w:t>
      </w:r>
    </w:p>
    <w:p w:rsidR="00791084" w:rsidRPr="000E0F90" w:rsidRDefault="00471D69" w:rsidP="002B538F">
      <w:pPr>
        <w:spacing w:line="360" w:lineRule="auto"/>
        <w:rPr>
          <w:rFonts w:ascii="Arial" w:hAnsi="Arial" w:cs="Arial"/>
          <w:b/>
          <w:color w:val="000000" w:themeColor="text1"/>
        </w:rPr>
      </w:pPr>
      <w:r w:rsidRPr="000E0F90">
        <w:rPr>
          <w:rFonts w:ascii="Arial" w:hAnsi="Arial" w:cs="Arial"/>
          <w:color w:val="000000" w:themeColor="text1"/>
        </w:rPr>
        <w:t xml:space="preserve">Finalmente, algunos autores establecen que un enfoque que pueda capturar los aspectos necesarios para verdaderamente evaluar la </w:t>
      </w:r>
      <w:r w:rsidR="00F35BB8" w:rsidRPr="000E0F90">
        <w:rPr>
          <w:rFonts w:ascii="Arial" w:hAnsi="Arial" w:cs="Arial"/>
          <w:color w:val="000000" w:themeColor="text1"/>
        </w:rPr>
        <w:t>sostenibilidad</w:t>
      </w:r>
      <w:r w:rsidRPr="000E0F90">
        <w:rPr>
          <w:rFonts w:ascii="Arial" w:hAnsi="Arial" w:cs="Arial"/>
          <w:color w:val="000000" w:themeColor="text1"/>
        </w:rPr>
        <w:t xml:space="preserve">, y que a su vez pueda ser útil bajo las diversas condiciones propias de cada operación, ya sean geográficas, sociales, escalas, empresas, tecnologías, entre otros aspectos, es difícil que emerja prontamente. Para ello es necesario disponer de mayor experimentación, integración, considerar el ciclo de vida y dinámica del sistema, entre otros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"10.1016/j.mineng.2013.04.008", "ISSN" : "08926875", "author" : [ { "dropping-particle" : "", "family" : "Fonseca", "given" : "Alberto", "non-dropping-particle" : "", "parse-names" : false, "suffix" : "" }, { "dropping-particle" : "", "family" : "McAllister", "given" : "Mary Louise", "non-dropping-particle" : "", "parse-names" : false, "suffix" : "" }, { "dropping-particle" : "", "family" : "Fitzpatrick", "given" : "Patricia", "non-dropping-particle" : "", "parse-names" : false, "suffix" : "" } ], "container-title" : "Minerals Engineering", "id" : "ITEM-1", "issued" : { "date-parts" : [ [ "2013", "6" ] ] }, "page" : "180-186", "publisher" : "Elsevier Ltd", "title" : "Measuring what? A comparative anatomy of five mining sustainability frameworks", "type" : "article-journal", "volume" : "46-47" }, "uris" : [ "http://www.mendeley.com/documents/?uuid=7daefc24-618a-4523-9760-2c9148265937" ] } ], "mendeley" : { "formattedCitation" : "(Fonseca et al., 2013)", "plainTextFormattedCitation" : "(Fonseca et al., 2013)", "previouslyFormattedCitation" : "(Fonseca et al., 2013)"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(Fonseca et al., 2013)</w:t>
      </w:r>
      <w:r w:rsidRPr="000E0F90">
        <w:rPr>
          <w:rFonts w:ascii="Arial" w:hAnsi="Arial" w:cs="Arial"/>
          <w:color w:val="000000" w:themeColor="text1"/>
        </w:rPr>
        <w:fldChar w:fldCharType="end"/>
      </w:r>
      <w:r w:rsidRPr="000E0F90">
        <w:rPr>
          <w:rFonts w:ascii="Arial" w:hAnsi="Arial" w:cs="Arial"/>
          <w:color w:val="000000" w:themeColor="text1"/>
        </w:rPr>
        <w:t>.</w:t>
      </w:r>
      <w:bookmarkEnd w:id="3"/>
    </w:p>
    <w:p w:rsidR="00702D9A" w:rsidRDefault="00702D9A">
      <w:pPr>
        <w:jc w:val="left"/>
        <w:rPr>
          <w:rFonts w:ascii="Arial" w:eastAsiaTheme="majorEastAsia" w:hAnsi="Arial" w:cs="Arial"/>
          <w:b/>
          <w:bCs/>
          <w:color w:val="000000" w:themeColor="text1"/>
        </w:rPr>
      </w:pPr>
      <w:r>
        <w:rPr>
          <w:rFonts w:ascii="Arial" w:hAnsi="Arial" w:cs="Arial"/>
        </w:rPr>
        <w:br w:type="page"/>
      </w:r>
    </w:p>
    <w:p w:rsidR="003929B4" w:rsidRPr="000E0F90" w:rsidRDefault="007342CE" w:rsidP="002B538F">
      <w:pPr>
        <w:pStyle w:val="Ttulo3"/>
        <w:spacing w:after="0" w:line="360" w:lineRule="auto"/>
        <w:rPr>
          <w:rFonts w:ascii="Arial" w:hAnsi="Arial" w:cs="Arial"/>
        </w:rPr>
      </w:pPr>
      <w:r w:rsidRPr="000E0F90">
        <w:rPr>
          <w:rFonts w:ascii="Arial" w:hAnsi="Arial" w:cs="Arial"/>
        </w:rPr>
        <w:lastRenderedPageBreak/>
        <w:t xml:space="preserve">Minería </w:t>
      </w:r>
      <w:r w:rsidR="00F35BB8" w:rsidRPr="000E0F90">
        <w:rPr>
          <w:rFonts w:ascii="Arial" w:hAnsi="Arial" w:cs="Arial"/>
        </w:rPr>
        <w:t>Sostenible</w:t>
      </w:r>
      <w:r w:rsidRPr="000E0F90">
        <w:rPr>
          <w:rFonts w:ascii="Arial" w:hAnsi="Arial" w:cs="Arial"/>
        </w:rPr>
        <w:t xml:space="preserve"> en Chile</w:t>
      </w:r>
    </w:p>
    <w:p w:rsidR="00597E18" w:rsidRPr="000E0F90" w:rsidRDefault="00597E18" w:rsidP="002B538F">
      <w:pPr>
        <w:spacing w:line="360" w:lineRule="auto"/>
        <w:rPr>
          <w:rFonts w:ascii="Arial" w:hAnsi="Arial" w:cs="Arial"/>
          <w:color w:val="000000" w:themeColor="text1"/>
        </w:rPr>
      </w:pPr>
      <w:r w:rsidRPr="000E0F90">
        <w:rPr>
          <w:rFonts w:ascii="Arial" w:hAnsi="Arial" w:cs="Arial"/>
          <w:color w:val="000000" w:themeColor="text1"/>
        </w:rPr>
        <w:t xml:space="preserve">En Chile, a partir de los años 80, se identifican las primeras prácticas ambientales en el ámbito minero, provenientes de industrias extranjeras instaladas en la década del 70, las cuales trabajaban bajo las regulaciones de sus países de origen. Sin embargo, en este período la industria local no contaba con políticas enfocadas al medio ambiente, así como tampoco existía una institucionalidad ambiental sólida que normara o coordinara el desempeño ambiental de la industria, observándose un gran deterioro ambiental, reflejado en la gran cantidad de pasivos ambientales abandonados </w:t>
      </w:r>
      <w:r w:rsidRPr="000E0F90">
        <w:rPr>
          <w:rFonts w:ascii="Arial" w:hAnsi="Arial" w:cs="Arial"/>
          <w:color w:val="000000" w:themeColor="text1"/>
        </w:rPr>
        <w:fldChar w:fldCharType="begin" w:fldLock="1"/>
      </w:r>
      <w:r w:rsidR="00894D2C" w:rsidRPr="000E0F90">
        <w:rPr>
          <w:rFonts w:ascii="Arial" w:hAnsi="Arial" w:cs="Arial"/>
          <w:color w:val="000000" w:themeColor="text1"/>
        </w:rPr>
        <w:instrText>ADDIN CSL_CITATION { "citationItems" : [ { "id" : "ITEM-1", "itemData" : { "author" : [ { "dropping-particle" : "", "family" : "Lagos, G., Blanco, H., Torres, V., Bustos", "given" : "B", "non-dropping-particle" : "", "parse-names" : false, "suffix" : "" } ], "id" : "ITEM-1", "issued" : { "date-parts" : [ [ "2001" ] ] }, "note" : "NULL", "page" : "340-440", "title" : "Cap\u00edtulo 6-Miner\u00eda , Minerales y Desarrollo Sustentable en Chile", "type" : "article-journal" }, "uris" : [ "http://www.mendeley.com/documents/?uuid=1155115a-6440-457a-b82d-9525c3946160" ] } ], "mendeley" : { "formattedCitation" : "(Lagos, G., Blanco, H., Torres, V., Bustos, 2001)", "plainTextFormattedCitation" : "(Lagos, G., Blanco, H., Torres, V., Bustos, 2001)", "previouslyFormattedCitation" : "(Lagos, G., Blanco, H., Torres, V., Bustos, 2001)"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(Lagos, G., Blanco, H., Torres, V., Bustos, 2001)</w:t>
      </w:r>
      <w:r w:rsidRPr="000E0F90">
        <w:rPr>
          <w:rFonts w:ascii="Arial" w:hAnsi="Arial" w:cs="Arial"/>
          <w:color w:val="000000" w:themeColor="text1"/>
        </w:rPr>
        <w:fldChar w:fldCharType="end"/>
      </w:r>
      <w:r w:rsidRPr="000E0F90">
        <w:rPr>
          <w:rFonts w:ascii="Arial" w:hAnsi="Arial" w:cs="Arial"/>
          <w:color w:val="000000" w:themeColor="text1"/>
        </w:rPr>
        <w:fldChar w:fldCharType="begin" w:fldLock="1"/>
      </w:r>
      <w:r w:rsidR="004D18D6" w:rsidRPr="000E0F90">
        <w:rPr>
          <w:rFonts w:ascii="Arial" w:hAnsi="Arial" w:cs="Arial"/>
          <w:color w:val="000000" w:themeColor="text1"/>
        </w:rPr>
        <w:instrText>ADDIN CSL_CITATION { "citationItems" : [ { "id" : "ITEM-1", "itemData" : { "author" : [ { "dropping-particle" : "", "family" : "Schildermans", "given" : "Peter", "non-dropping-particle" : "", "parse-names" : false, "suffix" : "" } ], "id" : "ITEM-1", "issued" : { "date-parts" : [ [ "2011" ] ] }, "note" : "NULL", "page" : "256", "title" : "The Chilean copper industry towards a more ecologically durable exploitation ?", "type" : "article-journal" }, "uris" : [ "http://www.mendeley.com/documents/?uuid=b25a2fcc-89a4-4984-9241-223ea94111a8" ] } ], "mendeley" : { "formattedCitation" : "(Schildermans, 2011)", "plainTextFormattedCitation" : "(Schildermans, 2011)", "previouslyFormattedCitation" : "(Schildermans, 2011)" }, "properties" : { "noteIndex" : 0 }, "schema" : "https://github.com/citation-style-language/schema/raw/master/csl-citation.json" }</w:instrText>
      </w:r>
      <w:r w:rsidRPr="000E0F90">
        <w:rPr>
          <w:rFonts w:ascii="Arial" w:hAnsi="Arial" w:cs="Arial"/>
          <w:color w:val="000000" w:themeColor="text1"/>
        </w:rPr>
        <w:fldChar w:fldCharType="separate"/>
      </w:r>
      <w:r w:rsidR="004D18D6" w:rsidRPr="000E0F90">
        <w:rPr>
          <w:rFonts w:ascii="Arial" w:hAnsi="Arial" w:cs="Arial"/>
          <w:noProof/>
          <w:color w:val="000000" w:themeColor="text1"/>
        </w:rPr>
        <w:t>(Schildermans, 2011)</w:t>
      </w:r>
      <w:r w:rsidRPr="000E0F90">
        <w:rPr>
          <w:rFonts w:ascii="Arial" w:hAnsi="Arial" w:cs="Arial"/>
          <w:color w:val="000000" w:themeColor="text1"/>
        </w:rPr>
        <w:fldChar w:fldCharType="end"/>
      </w:r>
      <w:r w:rsidRPr="000E0F90">
        <w:rPr>
          <w:rFonts w:ascii="Arial" w:hAnsi="Arial" w:cs="Arial"/>
          <w:color w:val="000000" w:themeColor="text1"/>
        </w:rPr>
        <w:t xml:space="preserve"> </w:t>
      </w:r>
      <w:r w:rsidRPr="000E0F90">
        <w:rPr>
          <w:rFonts w:ascii="Arial" w:hAnsi="Arial" w:cs="Arial"/>
          <w:color w:val="000000" w:themeColor="text1"/>
        </w:rPr>
        <w:fldChar w:fldCharType="begin" w:fldLock="1"/>
      </w:r>
      <w:r w:rsidR="0098473B" w:rsidRPr="000E0F90">
        <w:rPr>
          <w:rFonts w:ascii="Arial" w:hAnsi="Arial" w:cs="Arial"/>
          <w:color w:val="000000" w:themeColor="text1"/>
        </w:rPr>
        <w:instrText>ADDIN CSL_CITATION { "citationItems" : [ { "id" : "ITEM-1", "itemData" : { "DOI" : "10.1080/17480930.2015.1128799", "ISSN" : "1748-0930", "abstract" : "Chile is the principal producer of copper with a total of 5.8\u00a0million tonnes fine copper production in 2013. Chilean mining industry currently faces a projected increase in waste production, depleting water resources in the arid mining regions of the north and a lack of fossil fuel energy sources. In this study, a review of the historical background of environmental practices in Chile is presented, focused between 1970 and 2010. A review of the current state of sustainable development, comprising energy, water, stakeholder participation, environmental impacts and institutional decentralisation in the mining industry is presented.", "author" : [ { "dropping-particle" : "", "family" : "Ghorbani", "given" : "Yousef", "non-dropping-particle" : "", "parse-names" : false, "suffix" : "" }, { "dropping-particle" : "", "family" : "Kuan", "given" : "Seng How", "non-dropping-particle" : "", "parse-names" : false, "suffix" : "" } ], "container-title" : "International Journal of Mining, Reclamation and Environment", "id" : "ITEM-1", "issue" : "February", "issued" : { "date-parts" : [ [ "2016" ] ] }, "note" : "NULL", "page" : "1-29", "publisher" : "Taylor &amp; Francis", "title" : "A review of sustainable development in the Chilean mining sector: past, present and future", "type" : "article-journal", "volume" : "0930" }, "uris" : [ "http://www.mendeley.com/documents/?uuid=ba6630bb-3cdb-4443-b119-f6b6f68bafa7" ] } ], "mendeley" : { "formattedCitation" : "(Ghorbani &amp; Kuan, 2016)", "plainTextFormattedCitation" : "(Ghorbani &amp; Kuan, 2016)", "previouslyFormattedCitation" : "(Ghorbani &amp; Kuan, 2016)" }, "properties" : { "noteIndex" : 0 }, "schema" : "https://github.com/citation-style-language/schema/raw/master/csl-citation.json" }</w:instrText>
      </w:r>
      <w:r w:rsidRPr="000E0F90">
        <w:rPr>
          <w:rFonts w:ascii="Arial" w:hAnsi="Arial" w:cs="Arial"/>
          <w:color w:val="000000" w:themeColor="text1"/>
        </w:rPr>
        <w:fldChar w:fldCharType="separate"/>
      </w:r>
      <w:r w:rsidR="0098473B" w:rsidRPr="000E0F90">
        <w:rPr>
          <w:rFonts w:ascii="Arial" w:hAnsi="Arial" w:cs="Arial"/>
          <w:noProof/>
          <w:color w:val="000000" w:themeColor="text1"/>
        </w:rPr>
        <w:t>(Ghorbani &amp; Kuan, 2016)</w:t>
      </w:r>
      <w:r w:rsidRPr="000E0F90">
        <w:rPr>
          <w:rFonts w:ascii="Arial" w:hAnsi="Arial" w:cs="Arial"/>
          <w:color w:val="000000" w:themeColor="text1"/>
        </w:rPr>
        <w:fldChar w:fldCharType="end"/>
      </w:r>
      <w:r w:rsidRPr="000E0F90">
        <w:rPr>
          <w:rFonts w:ascii="Arial" w:hAnsi="Arial" w:cs="Arial"/>
          <w:color w:val="000000" w:themeColor="text1"/>
        </w:rPr>
        <w:t xml:space="preserve">. </w:t>
      </w:r>
    </w:p>
    <w:p w:rsidR="00597E18" w:rsidRPr="000E0F90" w:rsidRDefault="00597E18" w:rsidP="002B538F">
      <w:pPr>
        <w:spacing w:line="360" w:lineRule="auto"/>
        <w:rPr>
          <w:rFonts w:ascii="Arial" w:hAnsi="Arial" w:cs="Arial"/>
          <w:color w:val="000000" w:themeColor="text1"/>
        </w:rPr>
      </w:pPr>
      <w:r w:rsidRPr="000E0F90">
        <w:rPr>
          <w:rFonts w:ascii="Arial" w:hAnsi="Arial" w:cs="Arial"/>
          <w:color w:val="000000" w:themeColor="text1"/>
        </w:rPr>
        <w:t xml:space="preserve">A partir de la década de los 80 se comienzan a evidenciar las primeras preocupaciones de los impactos de la actividad, a cargo de las ONG, desencadenando en la creación de la Comisión Nacional de Ecología 1984 </w:t>
      </w:r>
      <w:r w:rsidRPr="000E0F90">
        <w:rPr>
          <w:rFonts w:ascii="Arial" w:hAnsi="Arial" w:cs="Arial"/>
          <w:color w:val="000000" w:themeColor="text1"/>
        </w:rPr>
        <w:fldChar w:fldCharType="begin" w:fldLock="1"/>
      </w:r>
      <w:r w:rsidR="0098473B" w:rsidRPr="000E0F90">
        <w:rPr>
          <w:rFonts w:ascii="Arial" w:hAnsi="Arial" w:cs="Arial"/>
          <w:color w:val="000000" w:themeColor="text1"/>
        </w:rPr>
        <w:instrText>ADDIN CSL_CITATION { "citationItems" : [ { "id" : "ITEM-1", "itemData" : { "DOI" : "10.1080/17480930.2015.1128799", "ISSN" : "1748-0930", "abstract" : "Chile is the principal producer of copper with a total of 5.8\u00a0million tonnes fine copper production in 2013. Chilean mining industry currently faces a projected increase in waste production, depleting water resources in the arid mining regions of the north and a lack of fossil fuel energy sources. In this study, a review of the historical background of environmental practices in Chile is presented, focused between 1970 and 2010. A review of the current state of sustainable development, comprising energy, water, stakeholder participation, environmental impacts and institutional decentralisation in the mining industry is presented.", "author" : [ { "dropping-particle" : "", "family" : "Ghorbani", "given" : "Yousef", "non-dropping-particle" : "", "parse-names" : false, "suffix" : "" }, { "dropping-particle" : "", "family" : "Kuan", "given" : "Seng How", "non-dropping-particle" : "", "parse-names" : false, "suffix" : "" } ], "container-title" : "International Journal of Mining, Reclamation and Environment", "id" : "ITEM-1", "issue" : "February", "issued" : { "date-parts" : [ [ "2016" ] ] }, "note" : "NULL", "page" : "1-29", "publisher" : "Taylor &amp; Francis", "title" : "A review of sustainable development in the Chilean mining sector: past, present and future", "type" : "article-journal", "volume" : "0930" }, "uris" : [ "http://www.mendeley.com/documents/?uuid=ba6630bb-3cdb-4443-b119-f6b6f68bafa7" ] } ], "mendeley" : { "formattedCitation" : "(Ghorbani &amp; Kuan, 2016)", "plainTextFormattedCitation" : "(Ghorbani &amp; Kuan, 2016)", "previouslyFormattedCitation" : "(Ghorbani &amp; Kuan, 2016)" }, "properties" : { "noteIndex" : 0 }, "schema" : "https://github.com/citation-style-language/schema/raw/master/csl-citation.json" }</w:instrText>
      </w:r>
      <w:r w:rsidRPr="000E0F90">
        <w:rPr>
          <w:rFonts w:ascii="Arial" w:hAnsi="Arial" w:cs="Arial"/>
          <w:color w:val="000000" w:themeColor="text1"/>
        </w:rPr>
        <w:fldChar w:fldCharType="separate"/>
      </w:r>
      <w:r w:rsidR="0098473B" w:rsidRPr="000E0F90">
        <w:rPr>
          <w:rFonts w:ascii="Arial" w:hAnsi="Arial" w:cs="Arial"/>
          <w:noProof/>
          <w:color w:val="000000" w:themeColor="text1"/>
        </w:rPr>
        <w:t>(Ghorbani &amp; Kuan, 2016)</w:t>
      </w:r>
      <w:r w:rsidRPr="000E0F90">
        <w:rPr>
          <w:rFonts w:ascii="Arial" w:hAnsi="Arial" w:cs="Arial"/>
          <w:color w:val="000000" w:themeColor="text1"/>
        </w:rPr>
        <w:fldChar w:fldCharType="end"/>
      </w:r>
      <w:r w:rsidRPr="000E0F90">
        <w:rPr>
          <w:rFonts w:ascii="Arial" w:hAnsi="Arial" w:cs="Arial"/>
          <w:color w:val="000000" w:themeColor="text1"/>
        </w:rPr>
        <w:t xml:space="preserve">. Los cuales también fueron percibidos por la ciudadanía, lo cual se refleja que las exigencias impuestas al estado y a las empresas mineras, a través de los diversos procesos judiciales iniciados, los cuales buscaban abordar los impactos de actividad minera en la salud humana y actividad agrícola </w:t>
      </w:r>
      <w:r w:rsidRPr="000E0F90">
        <w:rPr>
          <w:rFonts w:ascii="Arial" w:hAnsi="Arial" w:cs="Arial"/>
          <w:color w:val="000000" w:themeColor="text1"/>
        </w:rPr>
        <w:fldChar w:fldCharType="begin" w:fldLock="1"/>
      </w:r>
      <w:r w:rsidR="00894D2C" w:rsidRPr="000E0F90">
        <w:rPr>
          <w:rFonts w:ascii="Arial" w:hAnsi="Arial" w:cs="Arial"/>
          <w:color w:val="000000" w:themeColor="text1"/>
        </w:rPr>
        <w:instrText>ADDIN CSL_CITATION { "citationItems" : [ { "id" : "ITEM-1", "itemData" : { "author" : [ { "dropping-particle" : "", "family" : "Lagos, G., Blanco, H., Torres, V., Bustos", "given" : "B", "non-dropping-particle" : "", "parse-names" : false, "suffix" : "" } ], "id" : "ITEM-1", "issued" : { "date-parts" : [ [ "2001" ] ] }, "note" : "NULL", "page" : "340-440", "title" : "Cap\u00edtulo 6-Miner\u00eda , Minerales y Desarrollo Sustentable en Chile", "type" : "article-journal" }, "uris" : [ "http://www.mendeley.com/documents/?uuid=1155115a-6440-457a-b82d-9525c3946160" ] } ], "mendeley" : { "formattedCitation" : "(Lagos, G., Blanco, H., Torres, V., Bustos, 2001)", "plainTextFormattedCitation" : "(Lagos, G., Blanco, H., Torres, V., Bustos, 2001)", "previouslyFormattedCitation" : "(Lagos, G., Blanco, H., Torres, V., Bustos, 2001)"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(Lagos, G., Blanco, H., Torres, V., Bustos, 2001)</w:t>
      </w:r>
      <w:r w:rsidRPr="000E0F90">
        <w:rPr>
          <w:rFonts w:ascii="Arial" w:hAnsi="Arial" w:cs="Arial"/>
          <w:color w:val="000000" w:themeColor="text1"/>
        </w:rPr>
        <w:fldChar w:fldCharType="end"/>
      </w:r>
      <w:r w:rsidRPr="000E0F90">
        <w:rPr>
          <w:rFonts w:ascii="Arial" w:hAnsi="Arial" w:cs="Arial"/>
          <w:color w:val="000000" w:themeColor="text1"/>
        </w:rPr>
        <w:t xml:space="preserve">. Desde el sector productivo, se elabora el documento de políticas medioambientales por la Sociedad de Fomento Fabril (SOFOFA) en 1989, contribuyendo a la implementación de prácticas medioambientales de las operaciones mineras </w:t>
      </w:r>
      <w:r w:rsidRPr="000E0F90">
        <w:rPr>
          <w:rFonts w:ascii="Arial" w:hAnsi="Arial" w:cs="Arial"/>
          <w:color w:val="000000" w:themeColor="text1"/>
        </w:rPr>
        <w:fldChar w:fldCharType="begin" w:fldLock="1"/>
      </w:r>
      <w:r w:rsidR="00894D2C" w:rsidRPr="000E0F90">
        <w:rPr>
          <w:rFonts w:ascii="Arial" w:hAnsi="Arial" w:cs="Arial"/>
          <w:color w:val="000000" w:themeColor="text1"/>
        </w:rPr>
        <w:instrText>ADDIN CSL_CITATION { "citationItems" : [ { "id" : "ITEM-1", "itemData" : { "author" : [ { "dropping-particle" : "", "family" : "Lagos, G., Blanco, H., Torres, V., Bustos", "given" : "B", "non-dropping-particle" : "", "parse-names" : false, "suffix" : "" } ], "id" : "ITEM-1", "issued" : { "date-parts" : [ [ "2001" ] ] }, "note" : "NULL", "page" : "340-440", "title" : "Cap\u00edtulo 6-Miner\u00eda , Minerales y Desarrollo Sustentable en Chile", "type" : "article-journal" }, "uris" : [ "http://www.mendeley.com/documents/?uuid=1155115a-6440-457a-b82d-9525c3946160" ] } ], "mendeley" : { "formattedCitation" : "(Lagos, G., Blanco, H., Torres, V., Bustos, 2001)", "plainTextFormattedCitation" : "(Lagos, G., Blanco, H., Torres, V., Bustos, 2001)", "previouslyFormattedCitation" : "(Lagos, G., Blanco, H., Torres, V., Bustos, 2001)"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(Lagos, G., Blanco, H., Torres, V., Bustos, 2001)</w:t>
      </w:r>
      <w:r w:rsidRPr="000E0F90">
        <w:rPr>
          <w:rFonts w:ascii="Arial" w:hAnsi="Arial" w:cs="Arial"/>
          <w:color w:val="000000" w:themeColor="text1"/>
        </w:rPr>
        <w:fldChar w:fldCharType="end"/>
      </w:r>
      <w:r w:rsidRPr="000E0F90">
        <w:rPr>
          <w:rFonts w:ascii="Arial" w:hAnsi="Arial" w:cs="Arial"/>
          <w:color w:val="000000" w:themeColor="text1"/>
        </w:rPr>
        <w:t xml:space="preserve"> </w:t>
      </w:r>
      <w:r w:rsidRPr="000E0F90">
        <w:rPr>
          <w:rFonts w:ascii="Arial" w:hAnsi="Arial" w:cs="Arial"/>
          <w:color w:val="000000" w:themeColor="text1"/>
        </w:rPr>
        <w:fldChar w:fldCharType="begin" w:fldLock="1"/>
      </w:r>
      <w:r w:rsidR="0098473B" w:rsidRPr="000E0F90">
        <w:rPr>
          <w:rFonts w:ascii="Arial" w:hAnsi="Arial" w:cs="Arial"/>
          <w:color w:val="000000" w:themeColor="text1"/>
        </w:rPr>
        <w:instrText>ADDIN CSL_CITATION { "citationItems" : [ { "id" : "ITEM-1", "itemData" : { "DOI" : "10.1080/17480930.2015.1128799", "ISSN" : "1748-0930", "abstract" : "Chile is the principal producer of copper with a total of 5.8\u00a0million tonnes fine copper production in 2013. Chilean mining industry currently faces a projected increase in waste production, depleting water resources in the arid mining regions of the north and a lack of fossil fuel energy sources. In this study, a review of the historical background of environmental practices in Chile is presented, focused between 1970 and 2010. A review of the current state of sustainable development, comprising energy, water, stakeholder participation, environmental impacts and institutional decentralisation in the mining industry is presented.", "author" : [ { "dropping-particle" : "", "family" : "Ghorbani", "given" : "Yousef", "non-dropping-particle" : "", "parse-names" : false, "suffix" : "" }, { "dropping-particle" : "", "family" : "Kuan", "given" : "Seng How", "non-dropping-particle" : "", "parse-names" : false, "suffix" : "" } ], "container-title" : "International Journal of Mining, Reclamation and Environment", "id" : "ITEM-1", "issue" : "February", "issued" : { "date-parts" : [ [ "2016" ] ] }, "note" : "NULL", "page" : "1-29", "publisher" : "Taylor &amp; Francis", "title" : "A review of sustainable development in the Chilean mining sector: past, present and future", "type" : "article-journal", "volume" : "0930" }, "uris" : [ "http://www.mendeley.com/documents/?uuid=ba6630bb-3cdb-4443-b119-f6b6f68bafa7" ] } ], "mendeley" : { "formattedCitation" : "(Ghorbani &amp; Kuan, 2016)", "plainTextFormattedCitation" : "(Ghorbani &amp; Kuan, 2016)", "previouslyFormattedCitation" : "(Ghorbani &amp; Kuan, 2016)" }, "properties" : { "noteIndex" : 0 }, "schema" : "https://github.com/citation-style-language/schema/raw/master/csl-citation.json" }</w:instrText>
      </w:r>
      <w:r w:rsidRPr="000E0F90">
        <w:rPr>
          <w:rFonts w:ascii="Arial" w:hAnsi="Arial" w:cs="Arial"/>
          <w:color w:val="000000" w:themeColor="text1"/>
        </w:rPr>
        <w:fldChar w:fldCharType="separate"/>
      </w:r>
      <w:r w:rsidR="0098473B" w:rsidRPr="000E0F90">
        <w:rPr>
          <w:rFonts w:ascii="Arial" w:hAnsi="Arial" w:cs="Arial"/>
          <w:noProof/>
          <w:color w:val="000000" w:themeColor="text1"/>
        </w:rPr>
        <w:t>(Ghorbani &amp; Kuan, 2016)</w:t>
      </w:r>
      <w:r w:rsidRPr="000E0F90">
        <w:rPr>
          <w:rFonts w:ascii="Arial" w:hAnsi="Arial" w:cs="Arial"/>
          <w:color w:val="000000" w:themeColor="text1"/>
        </w:rPr>
        <w:fldChar w:fldCharType="end"/>
      </w:r>
      <w:r w:rsidRPr="000E0F90">
        <w:rPr>
          <w:rFonts w:ascii="Arial" w:hAnsi="Arial" w:cs="Arial"/>
          <w:color w:val="000000" w:themeColor="text1"/>
        </w:rPr>
        <w:t xml:space="preserve">.  </w:t>
      </w:r>
    </w:p>
    <w:p w:rsidR="00597E18" w:rsidRPr="000E0F90" w:rsidRDefault="00597E18" w:rsidP="002B538F">
      <w:pPr>
        <w:spacing w:line="360" w:lineRule="auto"/>
        <w:rPr>
          <w:rFonts w:ascii="Arial" w:hAnsi="Arial" w:cs="Arial"/>
          <w:color w:val="000000" w:themeColor="text1"/>
        </w:rPr>
      </w:pPr>
      <w:r w:rsidRPr="000E0F90">
        <w:rPr>
          <w:rFonts w:ascii="Arial" w:hAnsi="Arial" w:cs="Arial"/>
          <w:color w:val="000000" w:themeColor="text1"/>
        </w:rPr>
        <w:t xml:space="preserve">Con el fuerte auge de la minería en la década del 90, se instalan gran cantidad de empresas mineras en el país, lo cual se tradujo en importantes impactos ecológicos en el aire, agua y suelo, así como gran cantidad de pasivos ambientales mineros (i.e. relaves) </w:t>
      </w:r>
      <w:r w:rsidRPr="000E0F90">
        <w:rPr>
          <w:rFonts w:ascii="Arial" w:hAnsi="Arial" w:cs="Arial"/>
          <w:color w:val="000000" w:themeColor="text1"/>
        </w:rPr>
        <w:fldChar w:fldCharType="begin" w:fldLock="1"/>
      </w:r>
      <w:r w:rsidR="0098473B" w:rsidRPr="000E0F90">
        <w:rPr>
          <w:rFonts w:ascii="Arial" w:hAnsi="Arial" w:cs="Arial"/>
          <w:color w:val="000000" w:themeColor="text1"/>
        </w:rPr>
        <w:instrText>ADDIN CSL_CITATION { "citationItems" : [ { "id" : "ITEM-1", "itemData" : { "DOI" : "10.1080/17480930.2015.1128799", "ISSN" : "1748-0930", "abstract" : "Chile is the principal producer of copper with a total of 5.8\u00a0million tonnes fine copper production in 2013. Chilean mining industry currently faces a projected increase in waste production, depleting water resources in the arid mining regions of the north and a lack of fossil fuel energy sources. In this study, a review of the historical background of environmental practices in Chile is presented, focused between 1970 and 2010. A review of the current state of sustainable development, comprising energy, water, stakeholder participation, environmental impacts and institutional decentralisation in the mining industry is presented.", "author" : [ { "dropping-particle" : "", "family" : "Ghorbani", "given" : "Yousef", "non-dropping-particle" : "", "parse-names" : false, "suffix" : "" }, { "dropping-particle" : "", "family" : "Kuan", "given" : "Seng How", "non-dropping-particle" : "", "parse-names" : false, "suffix" : "" } ], "container-title" : "International Journal of Mining, Reclamation and Environment", "id" : "ITEM-1", "issue" : "February", "issued" : { "date-parts" : [ [ "2016" ] ] }, "note" : "NULL", "page" : "1-29", "publisher" : "Taylor &amp; Francis", "title" : "A review of sustainable development in the Chilean mining sector: past, present and future", "type" : "article-journal", "volume" : "0930" }, "uris" : [ "http://www.mendeley.com/documents/?uuid=ba6630bb-3cdb-4443-b119-f6b6f68bafa7" ] } ], "mendeley" : { "formattedCitation" : "(Ghorbani &amp; Kuan, 2016)", "plainTextFormattedCitation" : "(Ghorbani &amp; Kuan, 2016)", "previouslyFormattedCitation" : "(Ghorbani &amp; Kuan, 2016)" }, "properties" : { "noteIndex" : 0 }, "schema" : "https://github.com/citation-style-language/schema/raw/master/csl-citation.json" }</w:instrText>
      </w:r>
      <w:r w:rsidRPr="000E0F90">
        <w:rPr>
          <w:rFonts w:ascii="Arial" w:hAnsi="Arial" w:cs="Arial"/>
          <w:color w:val="000000" w:themeColor="text1"/>
        </w:rPr>
        <w:fldChar w:fldCharType="separate"/>
      </w:r>
      <w:r w:rsidR="0098473B" w:rsidRPr="000E0F90">
        <w:rPr>
          <w:rFonts w:ascii="Arial" w:hAnsi="Arial" w:cs="Arial"/>
          <w:noProof/>
          <w:color w:val="000000" w:themeColor="text1"/>
        </w:rPr>
        <w:t>(Ghorbani &amp; Kuan, 2016)</w:t>
      </w:r>
      <w:r w:rsidRPr="000E0F90">
        <w:rPr>
          <w:rFonts w:ascii="Arial" w:hAnsi="Arial" w:cs="Arial"/>
          <w:color w:val="000000" w:themeColor="text1"/>
        </w:rPr>
        <w:fldChar w:fldCharType="end"/>
      </w:r>
      <w:r w:rsidRPr="000E0F90">
        <w:rPr>
          <w:rFonts w:ascii="Arial" w:hAnsi="Arial" w:cs="Arial"/>
          <w:color w:val="000000" w:themeColor="text1"/>
        </w:rPr>
        <w:t xml:space="preserve">. Dado por las altas producciones que se alcanzaron en este período, así como la disminución de la ley de mineral, que contribuyo a la generación de contaminantes y desechos </w:t>
      </w:r>
      <w:r w:rsidRPr="000E0F90">
        <w:rPr>
          <w:rFonts w:ascii="Arial" w:hAnsi="Arial" w:cs="Arial"/>
          <w:color w:val="000000" w:themeColor="text1"/>
        </w:rPr>
        <w:fldChar w:fldCharType="begin" w:fldLock="1"/>
      </w:r>
      <w:r w:rsidR="004D18D6" w:rsidRPr="000E0F90">
        <w:rPr>
          <w:rFonts w:ascii="Arial" w:hAnsi="Arial" w:cs="Arial"/>
          <w:color w:val="000000" w:themeColor="text1"/>
        </w:rPr>
        <w:instrText>ADDIN CSL_CITATION { "citationItems" : [ { "id" : "ITEM-1", "itemData" : { "author" : [ { "dropping-particle" : "", "family" : "Schildermans", "given" : "Peter", "non-dropping-particle" : "", "parse-names" : false, "suffix" : "" } ], "id" : "ITEM-1", "issued" : { "date-parts" : [ [ "2011" ] ] }, "note" : "NULL", "page" : "256", "title" : "The Chilean copper industry towards a more ecologically durable exploitation ?", "type" : "article-journal" }, "uris" : [ "http://www.mendeley.com/documents/?uuid=b25a2fcc-89a4-4984-9241-223ea94111a8" ] } ], "mendeley" : { "formattedCitation" : "(Schildermans, 2011)", "plainTextFormattedCitation" : "(Schildermans, 2011)", "previouslyFormattedCitation" : "(Schildermans, 2011)" }, "properties" : { "noteIndex" : 0 }, "schema" : "https://github.com/citation-style-language/schema/raw/master/csl-citation.json" }</w:instrText>
      </w:r>
      <w:r w:rsidRPr="000E0F90">
        <w:rPr>
          <w:rFonts w:ascii="Arial" w:hAnsi="Arial" w:cs="Arial"/>
          <w:color w:val="000000" w:themeColor="text1"/>
        </w:rPr>
        <w:fldChar w:fldCharType="separate"/>
      </w:r>
      <w:r w:rsidR="004D18D6" w:rsidRPr="000E0F90">
        <w:rPr>
          <w:rFonts w:ascii="Arial" w:hAnsi="Arial" w:cs="Arial"/>
          <w:noProof/>
          <w:color w:val="000000" w:themeColor="text1"/>
        </w:rPr>
        <w:t>(Schildermans, 2011)</w:t>
      </w:r>
      <w:r w:rsidRPr="000E0F90">
        <w:rPr>
          <w:rFonts w:ascii="Arial" w:hAnsi="Arial" w:cs="Arial"/>
          <w:color w:val="000000" w:themeColor="text1"/>
        </w:rPr>
        <w:fldChar w:fldCharType="end"/>
      </w:r>
      <w:r w:rsidRPr="000E0F90">
        <w:rPr>
          <w:rFonts w:ascii="Arial" w:hAnsi="Arial" w:cs="Arial"/>
          <w:color w:val="000000" w:themeColor="text1"/>
        </w:rPr>
        <w:t xml:space="preserve">. Sin embargo, con la apertura comercial se posicionan las temáticas ambientales en el sector, así como también con la llegada de empresas extranjeras, las cuales importan también las regulaciones ambientales. Iniciándose la implementación de prácticas ambientales consistentes en la industria </w:t>
      </w:r>
      <w:r w:rsidRPr="000E0F90">
        <w:rPr>
          <w:rFonts w:ascii="Arial" w:hAnsi="Arial" w:cs="Arial"/>
          <w:color w:val="000000" w:themeColor="text1"/>
        </w:rPr>
        <w:fldChar w:fldCharType="begin" w:fldLock="1"/>
      </w:r>
      <w:r w:rsidR="00894D2C" w:rsidRPr="000E0F90">
        <w:rPr>
          <w:rFonts w:ascii="Arial" w:hAnsi="Arial" w:cs="Arial"/>
          <w:color w:val="000000" w:themeColor="text1"/>
        </w:rPr>
        <w:instrText>ADDIN CSL_CITATION { "citationItems" : [ { "id" : "ITEM-1", "itemData" : { "author" : [ { "dropping-particle" : "", "family" : "Lagos, G., Blanco, H., Torres, V., Bustos", "given" : "B", "non-dropping-particle" : "", "parse-names" : false, "suffix" : "" } ], "id" : "ITEM-1", "issued" : { "date-parts" : [ [ "2001" ] ] }, "note" : "NULL", "page" : "340-440", "title" : "Cap\u00edtulo 6-Miner\u00eda , Minerales y Desarrollo Sustentable en Chile", "type" : "article-journal" }, "uris" : [ "http://www.mendeley.com/documents/?uuid=1155115a-6440-457a-b82d-9525c3946160" ] } ], "mendeley" : { "formattedCitation" : "(Lagos, G., Blanco, H., Torres, V., Bustos, 2001)", "plainTextFormattedCitation" : "(Lagos, G., Blanco, H., Torres, V., Bustos, 2001)", "previouslyFormattedCitation" : "(Lagos, G., Blanco, H., Torres, V., Bustos, 2001)"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(Lagos, G., Blanco, H., Torres, V., Bustos, 2001)</w:t>
      </w:r>
      <w:r w:rsidRPr="000E0F90">
        <w:rPr>
          <w:rFonts w:ascii="Arial" w:hAnsi="Arial" w:cs="Arial"/>
          <w:color w:val="000000" w:themeColor="text1"/>
        </w:rPr>
        <w:fldChar w:fldCharType="end"/>
      </w:r>
      <w:r w:rsidRPr="000E0F90">
        <w:rPr>
          <w:rFonts w:ascii="Arial" w:hAnsi="Arial" w:cs="Arial"/>
          <w:color w:val="000000" w:themeColor="text1"/>
        </w:rPr>
        <w:t xml:space="preserve">. Proceso del cual la minería pequeña y mediana no fue partícipe </w:t>
      </w:r>
      <w:r w:rsidRPr="000E0F90">
        <w:rPr>
          <w:rFonts w:ascii="Arial" w:hAnsi="Arial" w:cs="Arial"/>
          <w:color w:val="000000" w:themeColor="text1"/>
        </w:rPr>
        <w:fldChar w:fldCharType="begin" w:fldLock="1"/>
      </w:r>
      <w:r w:rsidR="0098473B" w:rsidRPr="000E0F90">
        <w:rPr>
          <w:rFonts w:ascii="Arial" w:hAnsi="Arial" w:cs="Arial"/>
          <w:color w:val="000000" w:themeColor="text1"/>
        </w:rPr>
        <w:instrText>ADDIN CSL_CITATION { "citationItems" : [ { "id" : "ITEM-1", "itemData" : { "DOI" : "10.1080/17480930.2015.1128799", "ISSN" : "1748-0930", "abstract" : "Chile is the principal producer of copper with a total of 5.8\u00a0million tonnes fine copper production in 2013. Chilean mining industry currently faces a projected increase in waste production, depleting water resources in the arid mining regions of the north and a lack of fossil fuel energy sources. In this study, a review of the historical background of environmental practices in Chile is presented, focused between 1970 and 2010. A review of the current state of sustainable development, comprising energy, water, stakeholder participation, environmental impacts and institutional decentralisation in the mining industry is presented.", "author" : [ { "dropping-particle" : "", "family" : "Ghorbani", "given" : "Yousef", "non-dropping-particle" : "", "parse-names" : false, "suffix" : "" }, { "dropping-particle" : "", "family" : "Kuan", "given" : "Seng How", "non-dropping-particle" : "", "parse-names" : false, "suffix" : "" } ], "container-title" : "International Journal of Mining, Reclamation and Environment", "id" : "ITEM-1", "issue" : "February", "issued" : { "date-parts" : [ [ "2016" ] ] }, "note" : "NULL", "page" : "1-29", "publisher" : "Taylor &amp; Francis", "title" : "A review of sustainable development in the Chilean mining sector: past, present and future", "type" : "article-journal", "volume" : "0930" }, "uris" : [ "http://www.mendeley.com/documents/?uuid=ba6630bb-3cdb-4443-b119-f6b6f68bafa7" ] } ], "mendeley" : { "formattedCitation" : "(Ghorbani &amp; Kuan, 2016)", "plainTextFormattedCitation" : "(Ghorbani &amp; Kuan, 2016)", "previouslyFormattedCitation" : "(Ghorbani &amp; Kuan, 2016)" }, "properties" : { "noteIndex" : 0 }, "schema" : "https://github.com/citation-style-language/schema/raw/master/csl-citation.json" }</w:instrText>
      </w:r>
      <w:r w:rsidRPr="000E0F90">
        <w:rPr>
          <w:rFonts w:ascii="Arial" w:hAnsi="Arial" w:cs="Arial"/>
          <w:color w:val="000000" w:themeColor="text1"/>
        </w:rPr>
        <w:fldChar w:fldCharType="separate"/>
      </w:r>
      <w:r w:rsidR="0098473B" w:rsidRPr="000E0F90">
        <w:rPr>
          <w:rFonts w:ascii="Arial" w:hAnsi="Arial" w:cs="Arial"/>
          <w:noProof/>
          <w:color w:val="000000" w:themeColor="text1"/>
        </w:rPr>
        <w:t>(Ghorbani &amp; Kuan, 2016)</w:t>
      </w:r>
      <w:r w:rsidRPr="000E0F90">
        <w:rPr>
          <w:rFonts w:ascii="Arial" w:hAnsi="Arial" w:cs="Arial"/>
          <w:color w:val="000000" w:themeColor="text1"/>
        </w:rPr>
        <w:fldChar w:fldCharType="end"/>
      </w:r>
      <w:r w:rsidRPr="000E0F90">
        <w:rPr>
          <w:rFonts w:ascii="Arial" w:hAnsi="Arial" w:cs="Arial"/>
          <w:color w:val="000000" w:themeColor="text1"/>
        </w:rPr>
        <w:t xml:space="preserve">.  </w:t>
      </w:r>
    </w:p>
    <w:p w:rsidR="00597E18" w:rsidRPr="000E0F90" w:rsidRDefault="00597E18" w:rsidP="002B538F">
      <w:pPr>
        <w:spacing w:line="360" w:lineRule="auto"/>
        <w:rPr>
          <w:rFonts w:ascii="Arial" w:hAnsi="Arial" w:cs="Arial"/>
          <w:color w:val="000000" w:themeColor="text1"/>
        </w:rPr>
      </w:pPr>
      <w:r w:rsidRPr="000E0F90">
        <w:rPr>
          <w:rFonts w:ascii="Arial" w:hAnsi="Arial" w:cs="Arial"/>
          <w:color w:val="000000" w:themeColor="text1"/>
        </w:rPr>
        <w:lastRenderedPageBreak/>
        <w:t xml:space="preserve">Cabe señalar que este proceso, fue dificultoso para la industria, puesto que las normativas relacionadas con el medioambiente se encontraban diseminadas en múltiples entidades públicas sin un órgano central de coordinación, sumado a las exigencias crecientes de los mercados internacionales para instaurar regulaciones medioambientales </w:t>
      </w:r>
      <w:r w:rsidRPr="000E0F90">
        <w:rPr>
          <w:rFonts w:ascii="Arial" w:hAnsi="Arial" w:cs="Arial"/>
          <w:color w:val="000000" w:themeColor="text1"/>
        </w:rPr>
        <w:fldChar w:fldCharType="begin" w:fldLock="1"/>
      </w:r>
      <w:r w:rsidR="00894D2C" w:rsidRPr="000E0F90">
        <w:rPr>
          <w:rFonts w:ascii="Arial" w:hAnsi="Arial" w:cs="Arial"/>
          <w:color w:val="000000" w:themeColor="text1"/>
        </w:rPr>
        <w:instrText>ADDIN CSL_CITATION { "citationItems" : [ { "id" : "ITEM-1", "itemData" : { "author" : [ { "dropping-particle" : "", "family" : "Lagos, G., Blanco, H., Torres, V., Bustos", "given" : "B", "non-dropping-particle" : "", "parse-names" : false, "suffix" : "" } ], "id" : "ITEM-1", "issued" : { "date-parts" : [ [ "2001" ] ] }, "note" : "NULL", "page" : "340-440", "title" : "Cap\u00edtulo 6-Miner\u00eda , Minerales y Desarrollo Sustentable en Chile", "type" : "article-journal" }, "uris" : [ "http://www.mendeley.com/documents/?uuid=1155115a-6440-457a-b82d-9525c3946160" ] } ], "mendeley" : { "formattedCitation" : "(Lagos, G., Blanco, H., Torres, V., Bustos, 2001)", "plainTextFormattedCitation" : "(Lagos, G., Blanco, H., Torres, V., Bustos, 2001)", "previouslyFormattedCitation" : "(Lagos, G., Blanco, H., Torres, V., Bustos, 2001)"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(Lagos, G., Blanco, H., Torres, V., Bustos, 2001)</w:t>
      </w:r>
      <w:r w:rsidRPr="000E0F90">
        <w:rPr>
          <w:rFonts w:ascii="Arial" w:hAnsi="Arial" w:cs="Arial"/>
          <w:color w:val="000000" w:themeColor="text1"/>
        </w:rPr>
        <w:fldChar w:fldCharType="end"/>
      </w:r>
      <w:r w:rsidRPr="000E0F90">
        <w:rPr>
          <w:rFonts w:ascii="Arial" w:hAnsi="Arial" w:cs="Arial"/>
          <w:color w:val="000000" w:themeColor="text1"/>
        </w:rPr>
        <w:t xml:space="preserve"> </w:t>
      </w:r>
      <w:r w:rsidRPr="000E0F90">
        <w:rPr>
          <w:rFonts w:ascii="Arial" w:hAnsi="Arial" w:cs="Arial"/>
          <w:color w:val="000000" w:themeColor="text1"/>
        </w:rPr>
        <w:fldChar w:fldCharType="begin" w:fldLock="1"/>
      </w:r>
      <w:r w:rsidR="0098473B" w:rsidRPr="000E0F90">
        <w:rPr>
          <w:rFonts w:ascii="Arial" w:hAnsi="Arial" w:cs="Arial"/>
          <w:color w:val="000000" w:themeColor="text1"/>
        </w:rPr>
        <w:instrText>ADDIN CSL_CITATION { "citationItems" : [ { "id" : "ITEM-1", "itemData" : { "DOI" : "10.1080/17480930.2015.1128799", "ISSN" : "1748-0930", "abstract" : "Chile is the principal producer of copper with a total of 5.8\u00a0million tonnes fine copper production in 2013. Chilean mining industry currently faces a projected increase in waste production, depleting water resources in the arid mining regions of the north and a lack of fossil fuel energy sources. In this study, a review of the historical background of environmental practices in Chile is presented, focused between 1970 and 2010. A review of the current state of sustainable development, comprising energy, water, stakeholder participation, environmental impacts and institutional decentralisation in the mining industry is presented.", "author" : [ { "dropping-particle" : "", "family" : "Ghorbani", "given" : "Yousef", "non-dropping-particle" : "", "parse-names" : false, "suffix" : "" }, { "dropping-particle" : "", "family" : "Kuan", "given" : "Seng How", "non-dropping-particle" : "", "parse-names" : false, "suffix" : "" } ], "container-title" : "International Journal of Mining, Reclamation and Environment", "id" : "ITEM-1", "issue" : "February", "issued" : { "date-parts" : [ [ "2016" ] ] }, "note" : "NULL", "page" : "1-29", "publisher" : "Taylor &amp; Francis", "title" : "A review of sustainable development in the Chilean mining sector: past, present and future", "type" : "article-journal", "volume" : "0930" }, "uris" : [ "http://www.mendeley.com/documents/?uuid=ba6630bb-3cdb-4443-b119-f6b6f68bafa7" ] } ], "mendeley" : { "formattedCitation" : "(Ghorbani &amp; Kuan, 2016)", "plainTextFormattedCitation" : "(Ghorbani &amp; Kuan, 2016)", "previouslyFormattedCitation" : "(Ghorbani &amp; Kuan, 2016)" }, "properties" : { "noteIndex" : 0 }, "schema" : "https://github.com/citation-style-language/schema/raw/master/csl-citation.json" }</w:instrText>
      </w:r>
      <w:r w:rsidRPr="000E0F90">
        <w:rPr>
          <w:rFonts w:ascii="Arial" w:hAnsi="Arial" w:cs="Arial"/>
          <w:color w:val="000000" w:themeColor="text1"/>
        </w:rPr>
        <w:fldChar w:fldCharType="separate"/>
      </w:r>
      <w:r w:rsidR="0098473B" w:rsidRPr="000E0F90">
        <w:rPr>
          <w:rFonts w:ascii="Arial" w:hAnsi="Arial" w:cs="Arial"/>
          <w:noProof/>
          <w:color w:val="000000" w:themeColor="text1"/>
        </w:rPr>
        <w:t>(Ghorbani &amp; Kuan, 2016)</w:t>
      </w:r>
      <w:r w:rsidRPr="000E0F90">
        <w:rPr>
          <w:rFonts w:ascii="Arial" w:hAnsi="Arial" w:cs="Arial"/>
          <w:color w:val="000000" w:themeColor="text1"/>
        </w:rPr>
        <w:fldChar w:fldCharType="end"/>
      </w:r>
      <w:r w:rsidRPr="000E0F90">
        <w:rPr>
          <w:rFonts w:ascii="Arial" w:hAnsi="Arial" w:cs="Arial"/>
          <w:color w:val="000000" w:themeColor="text1"/>
        </w:rPr>
        <w:t xml:space="preserve">.  </w:t>
      </w:r>
    </w:p>
    <w:p w:rsidR="00597E18" w:rsidRPr="000E0F90" w:rsidRDefault="00597E18" w:rsidP="002B538F">
      <w:pPr>
        <w:spacing w:line="360" w:lineRule="auto"/>
        <w:rPr>
          <w:rFonts w:ascii="Arial" w:hAnsi="Arial" w:cs="Arial"/>
          <w:color w:val="000000" w:themeColor="text1"/>
        </w:rPr>
      </w:pPr>
      <w:r w:rsidRPr="000E0F90">
        <w:rPr>
          <w:rFonts w:ascii="Arial" w:hAnsi="Arial" w:cs="Arial"/>
          <w:color w:val="000000" w:themeColor="text1"/>
        </w:rPr>
        <w:t>En el año 1994 se produce el cambio de la institucionalidad ambiental del país, con la promulgación de l</w:t>
      </w:r>
      <w:r w:rsidR="00C7596B" w:rsidRPr="000E0F90">
        <w:rPr>
          <w:rFonts w:ascii="Arial" w:hAnsi="Arial" w:cs="Arial"/>
          <w:color w:val="000000" w:themeColor="text1"/>
        </w:rPr>
        <w:t>a ley 19.300 de Bases del Medio A</w:t>
      </w:r>
      <w:r w:rsidRPr="000E0F90">
        <w:rPr>
          <w:rFonts w:ascii="Arial" w:hAnsi="Arial" w:cs="Arial"/>
          <w:color w:val="000000" w:themeColor="text1"/>
        </w:rPr>
        <w:t xml:space="preserve">mbiente y la Creación de la Comisión Nacional del Medio Ambiente (CONAMA), ente coordinador de la institucionalidad ambiental existente. Esta ley crea también el Sistema de Evaluación de Impacto Ambiental </w:t>
      </w:r>
      <w:r w:rsidR="00C7596B" w:rsidRPr="000E0F90">
        <w:rPr>
          <w:rFonts w:ascii="Arial" w:hAnsi="Arial" w:cs="Arial"/>
          <w:color w:val="000000" w:themeColor="text1"/>
        </w:rPr>
        <w:t xml:space="preserve">(EIA) </w:t>
      </w:r>
      <w:r w:rsidRPr="000E0F90">
        <w:rPr>
          <w:rFonts w:ascii="Arial" w:hAnsi="Arial" w:cs="Arial"/>
          <w:color w:val="000000" w:themeColor="text1"/>
        </w:rPr>
        <w:t xml:space="preserve">y los Planes de Descontaminación, a lo cual se suma la participación ciudadana en los EIA. Durante este período se elaboran normas de emisión y de calidad, así como reglamentos (i.e. calidad de atmosfera, agua, manejo de residuos peligrosos, entre otros). Cabe destacar el Manual de Prácticas Ambientales elaborado por la Sociedad Nacional de Minería </w:t>
      </w:r>
      <w:r w:rsidRPr="000E0F90">
        <w:rPr>
          <w:rFonts w:ascii="Arial" w:hAnsi="Arial" w:cs="Arial"/>
          <w:color w:val="000000" w:themeColor="text1"/>
        </w:rPr>
        <w:fldChar w:fldCharType="begin" w:fldLock="1"/>
      </w:r>
      <w:r w:rsidR="00894D2C" w:rsidRPr="000E0F90">
        <w:rPr>
          <w:rFonts w:ascii="Arial" w:hAnsi="Arial" w:cs="Arial"/>
          <w:color w:val="000000" w:themeColor="text1"/>
        </w:rPr>
        <w:instrText>ADDIN CSL_CITATION { "citationItems" : [ { "id" : "ITEM-1", "itemData" : { "author" : [ { "dropping-particle" : "", "family" : "Lagos, G., Blanco, H., Torres, V., Bustos", "given" : "B", "non-dropping-particle" : "", "parse-names" : false, "suffix" : "" } ], "id" : "ITEM-1", "issued" : { "date-parts" : [ [ "2001" ] ] }, "note" : "NULL", "page" : "340-440", "title" : "Cap\u00edtulo 6-Miner\u00eda , Minerales y Desarrollo Sustentable en Chile", "type" : "article-journal" }, "uris" : [ "http://www.mendeley.com/documents/?uuid=1155115a-6440-457a-b82d-9525c3946160" ] } ], "mendeley" : { "formattedCitation" : "(Lagos, G., Blanco, H., Torres, V., Bustos, 2001)", "plainTextFormattedCitation" : "(Lagos, G., Blanco, H., Torres, V., Bustos, 2001)", "previouslyFormattedCitation" : "(Lagos, G., Blanco, H., Torres, V., Bustos, 2001)"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(Lagos, G., Blanco, H., Torres, V., Bustos, 2001)</w:t>
      </w:r>
      <w:r w:rsidRPr="000E0F90">
        <w:rPr>
          <w:rFonts w:ascii="Arial" w:hAnsi="Arial" w:cs="Arial"/>
          <w:color w:val="000000" w:themeColor="text1"/>
        </w:rPr>
        <w:fldChar w:fldCharType="end"/>
      </w:r>
      <w:r w:rsidRPr="000E0F90">
        <w:rPr>
          <w:rFonts w:ascii="Arial" w:hAnsi="Arial" w:cs="Arial"/>
          <w:color w:val="000000" w:themeColor="text1"/>
        </w:rPr>
        <w:t xml:space="preserve"> </w:t>
      </w:r>
      <w:r w:rsidRPr="000E0F90">
        <w:rPr>
          <w:rFonts w:ascii="Arial" w:hAnsi="Arial" w:cs="Arial"/>
          <w:color w:val="000000" w:themeColor="text1"/>
        </w:rPr>
        <w:fldChar w:fldCharType="begin" w:fldLock="1"/>
      </w:r>
      <w:r w:rsidR="0098473B" w:rsidRPr="000E0F90">
        <w:rPr>
          <w:rFonts w:ascii="Arial" w:hAnsi="Arial" w:cs="Arial"/>
          <w:color w:val="000000" w:themeColor="text1"/>
        </w:rPr>
        <w:instrText>ADDIN CSL_CITATION { "citationItems" : [ { "id" : "ITEM-1", "itemData" : { "DOI" : "10.1080/17480930.2015.1128799", "ISSN" : "1748-0930", "abstract" : "Chile is the principal producer of copper with a total of 5.8\u00a0million tonnes fine copper production in 2013. Chilean mining industry currently faces a projected increase in waste production, depleting water resources in the arid mining regions of the north and a lack of fossil fuel energy sources. In this study, a review of the historical background of environmental practices in Chile is presented, focused between 1970 and 2010. A review of the current state of sustainable development, comprising energy, water, stakeholder participation, environmental impacts and institutional decentralisation in the mining industry is presented.", "author" : [ { "dropping-particle" : "", "family" : "Ghorbani", "given" : "Yousef", "non-dropping-particle" : "", "parse-names" : false, "suffix" : "" }, { "dropping-particle" : "", "family" : "Kuan", "given" : "Seng How", "non-dropping-particle" : "", "parse-names" : false, "suffix" : "" } ], "container-title" : "International Journal of Mining, Reclamation and Environment", "id" : "ITEM-1", "issue" : "February", "issued" : { "date-parts" : [ [ "2016" ] ] }, "note" : "NULL", "page" : "1-29", "publisher" : "Taylor &amp; Francis", "title" : "A review of sustainable development in the Chilean mining sector: past, present and future", "type" : "article-journal", "volume" : "0930" }, "uris" : [ "http://www.mendeley.com/documents/?uuid=ba6630bb-3cdb-4443-b119-f6b6f68bafa7" ] } ], "mendeley" : { "formattedCitation" : "(Ghorbani &amp; Kuan, 2016)", "plainTextFormattedCitation" : "(Ghorbani &amp; Kuan, 2016)", "previouslyFormattedCitation" : "(Ghorbani &amp; Kuan, 2016)" }, "properties" : { "noteIndex" : 0 }, "schema" : "https://github.com/citation-style-language/schema/raw/master/csl-citation.json" }</w:instrText>
      </w:r>
      <w:r w:rsidRPr="000E0F90">
        <w:rPr>
          <w:rFonts w:ascii="Arial" w:hAnsi="Arial" w:cs="Arial"/>
          <w:color w:val="000000" w:themeColor="text1"/>
        </w:rPr>
        <w:fldChar w:fldCharType="separate"/>
      </w:r>
      <w:r w:rsidR="0098473B" w:rsidRPr="000E0F90">
        <w:rPr>
          <w:rFonts w:ascii="Arial" w:hAnsi="Arial" w:cs="Arial"/>
          <w:noProof/>
          <w:color w:val="000000" w:themeColor="text1"/>
        </w:rPr>
        <w:t>(Ghorbani &amp; Kuan, 2016)</w:t>
      </w:r>
      <w:r w:rsidRPr="000E0F90">
        <w:rPr>
          <w:rFonts w:ascii="Arial" w:hAnsi="Arial" w:cs="Arial"/>
          <w:color w:val="000000" w:themeColor="text1"/>
        </w:rPr>
        <w:fldChar w:fldCharType="end"/>
      </w:r>
      <w:r w:rsidRPr="000E0F90">
        <w:rPr>
          <w:rFonts w:ascii="Arial" w:hAnsi="Arial" w:cs="Arial"/>
          <w:color w:val="000000" w:themeColor="text1"/>
        </w:rPr>
        <w:t xml:space="preserve">. </w:t>
      </w:r>
    </w:p>
    <w:p w:rsidR="00597E18" w:rsidRPr="000E0F90" w:rsidRDefault="00597E18" w:rsidP="002B538F">
      <w:pPr>
        <w:spacing w:line="360" w:lineRule="auto"/>
        <w:rPr>
          <w:rFonts w:ascii="Arial" w:hAnsi="Arial" w:cs="Arial"/>
          <w:color w:val="000000" w:themeColor="text1"/>
        </w:rPr>
      </w:pPr>
      <w:r w:rsidRPr="000E0F90">
        <w:rPr>
          <w:rFonts w:ascii="Arial" w:hAnsi="Arial" w:cs="Arial"/>
          <w:color w:val="000000" w:themeColor="text1"/>
        </w:rPr>
        <w:t xml:space="preserve">De parte del ministerio de Minería, se instalan los Estudios de Impacto Ambiental voluntarios para proyectos de envergadura, y las regulaciones de las emisiones contaminantes de fuentes fijas de la industria (planes de descontaminación de fundiciones) </w:t>
      </w:r>
      <w:r w:rsidRPr="000E0F90">
        <w:rPr>
          <w:rFonts w:ascii="Arial" w:hAnsi="Arial" w:cs="Arial"/>
          <w:color w:val="000000" w:themeColor="text1"/>
        </w:rPr>
        <w:fldChar w:fldCharType="begin" w:fldLock="1"/>
      </w:r>
      <w:r w:rsidR="00894D2C" w:rsidRPr="000E0F90">
        <w:rPr>
          <w:rFonts w:ascii="Arial" w:hAnsi="Arial" w:cs="Arial"/>
          <w:color w:val="000000" w:themeColor="text1"/>
        </w:rPr>
        <w:instrText>ADDIN CSL_CITATION { "citationItems" : [ { "id" : "ITEM-1", "itemData" : { "author" : [ { "dropping-particle" : "", "family" : "Lagos, G., Blanco, H., Torres, V., Bustos", "given" : "B", "non-dropping-particle" : "", "parse-names" : false, "suffix" : "" } ], "id" : "ITEM-1", "issued" : { "date-parts" : [ [ "2001" ] ] }, "note" : "NULL", "page" : "340-440", "title" : "Cap\u00edtulo 6-Miner\u00eda , Minerales y Desarrollo Sustentable en Chile", "type" : "article-journal" }, "uris" : [ "http://www.mendeley.com/documents/?uuid=1155115a-6440-457a-b82d-9525c3946160" ] } ], "mendeley" : { "formattedCitation" : "(Lagos, G., Blanco, H., Torres, V., Bustos, 2001)", "plainTextFormattedCitation" : "(Lagos, G., Blanco, H., Torres, V., Bustos, 2001)", "previouslyFormattedCitation" : "(Lagos, G., Blanco, H., Torres, V., Bustos, 2001)"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(Lagos, G., Blanco, H., Torres, V., Bustos, 2001)</w:t>
      </w:r>
      <w:r w:rsidRPr="000E0F90">
        <w:rPr>
          <w:rFonts w:ascii="Arial" w:hAnsi="Arial" w:cs="Arial"/>
          <w:color w:val="000000" w:themeColor="text1"/>
        </w:rPr>
        <w:fldChar w:fldCharType="end"/>
      </w:r>
      <w:r w:rsidRPr="000E0F90">
        <w:rPr>
          <w:rFonts w:ascii="Arial" w:hAnsi="Arial" w:cs="Arial"/>
          <w:color w:val="000000" w:themeColor="text1"/>
        </w:rPr>
        <w:t>.</w:t>
      </w:r>
    </w:p>
    <w:p w:rsidR="00597E18" w:rsidRPr="000E0F90" w:rsidRDefault="00597E18" w:rsidP="002B538F">
      <w:pPr>
        <w:spacing w:line="360" w:lineRule="auto"/>
        <w:rPr>
          <w:rFonts w:ascii="Arial" w:hAnsi="Arial" w:cs="Arial"/>
          <w:color w:val="000000" w:themeColor="text1"/>
        </w:rPr>
      </w:pPr>
      <w:r w:rsidRPr="000E0F90">
        <w:rPr>
          <w:rFonts w:ascii="Arial" w:hAnsi="Arial" w:cs="Arial"/>
          <w:color w:val="000000" w:themeColor="text1"/>
        </w:rPr>
        <w:t xml:space="preserve">A partir de la promulgación de la Ley de Bases del Medio Ambiente, en 1994, se producen los mayores cambios institucionales en materias medioambientales, se establece un marco bajo el cual las compañías mineras se alinean. Luego con la entrada en efecto de la Ley 20.417 se crea el Ministerio del Medio Ambiente, el Servicio de Evaluación Ambiental y la Superintendencia de Medio Ambiente, unificándose regulaciones medioambientales específicas para el sector, se crea un sistema único de responsabilidad y se incorporan procedimientos para evaluar el impacto ambiental. Adicionalmente se extiende el poder legislativo a la protección y conservación de la biodiversidad y el uso de recursos naturales renovables e hídricos. Bajo esta ley se fortalece la participación ciudadana </w:t>
      </w:r>
      <w:r w:rsidRPr="000E0F90">
        <w:rPr>
          <w:rFonts w:ascii="Arial" w:hAnsi="Arial" w:cs="Arial"/>
          <w:color w:val="000000" w:themeColor="text1"/>
        </w:rPr>
        <w:fldChar w:fldCharType="begin" w:fldLock="1"/>
      </w:r>
      <w:r w:rsidR="0098473B" w:rsidRPr="000E0F90">
        <w:rPr>
          <w:rFonts w:ascii="Arial" w:hAnsi="Arial" w:cs="Arial"/>
          <w:color w:val="000000" w:themeColor="text1"/>
        </w:rPr>
        <w:instrText>ADDIN CSL_CITATION { "citationItems" : [ { "id" : "ITEM-1", "itemData" : { "DOI" : "10.1080/17480930.2015.1128799", "ISSN" : "1748-0930", "abstract" : "Chile is the principal producer of copper with a total of 5.8\u00a0million tonnes fine copper production in 2013. Chilean mining industry currently faces a projected increase in waste production, depleting water resources in the arid mining regions of the north and a lack of fossil fuel energy sources. In this study, a review of the historical background of environmental practices in Chile is presented, focused between 1970 and 2010. A review of the current state of sustainable development, comprising energy, water, stakeholder participation, environmental impacts and institutional decentralisation in the mining industry is presented.", "author" : [ { "dropping-particle" : "", "family" : "Ghorbani", "given" : "Yousef", "non-dropping-particle" : "", "parse-names" : false, "suffix" : "" }, { "dropping-particle" : "", "family" : "Kuan", "given" : "Seng How", "non-dropping-particle" : "", "parse-names" : false, "suffix" : "" } ], "container-title" : "International Journal of Mining, Reclamation and Environment", "id" : "ITEM-1", "issue" : "February", "issued" : { "date-parts" : [ [ "2016" ] ] }, "note" : "NULL", "page" : "1-29", "publisher" : "Taylor &amp; Francis", "title" : "A review of sustainable development in the Chilean mining sector: past, present and future", "type" : "article-journal", "volume" : "0930" }, "uris" : [ "http://www.mendeley.com/documents/?uuid=ba6630bb-3cdb-4443-b119-f6b6f68bafa7" ] } ], "mendeley" : { "formattedCitation" : "(Ghorbani &amp; Kuan, 2016)", "plainTextFormattedCitation" : "(Ghorbani &amp; Kuan, 2016)", "previouslyFormattedCitation" : "(Ghorbani &amp; Kuan, 2016)" }, "properties" : { "noteIndex" : 0 }, "schema" : "https://github.com/citation-style-language/schema/raw/master/csl-citation.json" }</w:instrText>
      </w:r>
      <w:r w:rsidRPr="000E0F90">
        <w:rPr>
          <w:rFonts w:ascii="Arial" w:hAnsi="Arial" w:cs="Arial"/>
          <w:color w:val="000000" w:themeColor="text1"/>
        </w:rPr>
        <w:fldChar w:fldCharType="separate"/>
      </w:r>
      <w:r w:rsidR="0098473B" w:rsidRPr="000E0F90">
        <w:rPr>
          <w:rFonts w:ascii="Arial" w:hAnsi="Arial" w:cs="Arial"/>
          <w:noProof/>
          <w:color w:val="000000" w:themeColor="text1"/>
        </w:rPr>
        <w:t>(Ghorbani &amp; Kuan, 2016)</w:t>
      </w:r>
      <w:r w:rsidRPr="000E0F90">
        <w:rPr>
          <w:rFonts w:ascii="Arial" w:hAnsi="Arial" w:cs="Arial"/>
          <w:color w:val="000000" w:themeColor="text1"/>
        </w:rPr>
        <w:fldChar w:fldCharType="end"/>
      </w:r>
      <w:r w:rsidRPr="000E0F90">
        <w:rPr>
          <w:rFonts w:ascii="Arial" w:hAnsi="Arial" w:cs="Arial"/>
          <w:color w:val="000000" w:themeColor="text1"/>
        </w:rPr>
        <w:t>.</w:t>
      </w:r>
    </w:p>
    <w:p w:rsidR="000F33EE" w:rsidRPr="000E0F90" w:rsidRDefault="000F33EE" w:rsidP="002B538F">
      <w:pPr>
        <w:spacing w:line="360" w:lineRule="auto"/>
        <w:rPr>
          <w:rFonts w:ascii="Arial" w:hAnsi="Arial" w:cs="Arial"/>
          <w:color w:val="000000" w:themeColor="text1"/>
        </w:rPr>
      </w:pPr>
      <w:r w:rsidRPr="000E0F90">
        <w:rPr>
          <w:rFonts w:ascii="Arial" w:hAnsi="Arial" w:cs="Arial"/>
          <w:color w:val="000000" w:themeColor="text1"/>
        </w:rPr>
        <w:lastRenderedPageBreak/>
        <w:t xml:space="preserve">Cabe señalar que en 2011, se aprobó la Ley 20.551 que regula el cierre de faenas e instalaciones mineras. Y se promulga la ley 20.600 que establece los tribunales ambientales las cuales tienen jurisdicción en los aspectos relacionados con daño medioambiental que contempla la ley 19.300.   </w:t>
      </w:r>
    </w:p>
    <w:p w:rsidR="00597E18" w:rsidRPr="000E0F90" w:rsidRDefault="000F33EE" w:rsidP="002B538F">
      <w:pPr>
        <w:spacing w:line="360" w:lineRule="auto"/>
        <w:rPr>
          <w:rFonts w:ascii="Arial" w:hAnsi="Arial" w:cs="Arial"/>
          <w:color w:val="000000" w:themeColor="text1"/>
        </w:rPr>
      </w:pPr>
      <w:r w:rsidRPr="000E0F90">
        <w:rPr>
          <w:rFonts w:ascii="Arial" w:hAnsi="Arial" w:cs="Arial"/>
          <w:color w:val="000000" w:themeColor="text1"/>
        </w:rPr>
        <w:t>S</w:t>
      </w:r>
      <w:r w:rsidR="00597E18" w:rsidRPr="000E0F90">
        <w:rPr>
          <w:rFonts w:ascii="Arial" w:hAnsi="Arial" w:cs="Arial"/>
          <w:color w:val="000000" w:themeColor="text1"/>
        </w:rPr>
        <w:t xml:space="preserve">e contribuye </w:t>
      </w:r>
      <w:r w:rsidRPr="000E0F90">
        <w:rPr>
          <w:rFonts w:ascii="Arial" w:hAnsi="Arial" w:cs="Arial"/>
          <w:color w:val="000000" w:themeColor="text1"/>
        </w:rPr>
        <w:t xml:space="preserve">también </w:t>
      </w:r>
      <w:r w:rsidR="00597E18" w:rsidRPr="000E0F90">
        <w:rPr>
          <w:rFonts w:ascii="Arial" w:hAnsi="Arial" w:cs="Arial"/>
          <w:color w:val="000000" w:themeColor="text1"/>
        </w:rPr>
        <w:t xml:space="preserve">a la sostenibilidad de la industria a través de la colaboración entre países, se establecen los Memorandos de Entendimiento enfocados en el uso de tecnologías verdes y sostenibles en el sector minero, Responsabilidad Social Corporativa, involucramiento comunitario, gobernanza de recursos naturales, protección medioambiente, entre otros </w:t>
      </w:r>
      <w:r w:rsidR="00597E18" w:rsidRPr="000E0F90">
        <w:rPr>
          <w:rFonts w:ascii="Arial" w:hAnsi="Arial" w:cs="Arial"/>
          <w:color w:val="000000" w:themeColor="text1"/>
        </w:rPr>
        <w:fldChar w:fldCharType="begin" w:fldLock="1"/>
      </w:r>
      <w:r w:rsidR="0098473B" w:rsidRPr="000E0F90">
        <w:rPr>
          <w:rFonts w:ascii="Arial" w:hAnsi="Arial" w:cs="Arial"/>
          <w:color w:val="000000" w:themeColor="text1"/>
        </w:rPr>
        <w:instrText>ADDIN CSL_CITATION { "citationItems" : [ { "id" : "ITEM-1", "itemData" : { "DOI" : "10.1080/17480930.2015.1128799", "ISSN" : "1748-0930", "abstract" : "Chile is the principal producer of copper with a total of 5.8\u00a0million tonnes fine copper production in 2013. Chilean mining industry currently faces a projected increase in waste production, depleting water resources in the arid mining regions of the north and a lack of fossil fuel energy sources. In this study, a review of the historical background of environmental practices in Chile is presented, focused between 1970 and 2010. A review of the current state of sustainable development, comprising energy, water, stakeholder participation, environmental impacts and institutional decentralisation in the mining industry is presented.", "author" : [ { "dropping-particle" : "", "family" : "Ghorbani", "given" : "Yousef", "non-dropping-particle" : "", "parse-names" : false, "suffix" : "" }, { "dropping-particle" : "", "family" : "Kuan", "given" : "Seng How", "non-dropping-particle" : "", "parse-names" : false, "suffix" : "" } ], "container-title" : "International Journal of Mining, Reclamation and Environment", "id" : "ITEM-1", "issue" : "February", "issued" : { "date-parts" : [ [ "2016" ] ] }, "note" : "NULL", "page" : "1-29", "publisher" : "Taylor &amp; Francis", "title" : "A review of sustainable development in the Chilean mining sector: past, present and future", "type" : "article-journal", "volume" : "0930" }, "uris" : [ "http://www.mendeley.com/documents/?uuid=ba6630bb-3cdb-4443-b119-f6b6f68bafa7" ] } ], "mendeley" : { "formattedCitation" : "(Ghorbani &amp; Kuan, 2016)", "plainTextFormattedCitation" : "(Ghorbani &amp; Kuan, 2016)", "previouslyFormattedCitation" : "(Ghorbani &amp; Kuan, 2016)" }, "properties" : { "noteIndex" : 0 }, "schema" : "https://github.com/citation-style-language/schema/raw/master/csl-citation.json" }</w:instrText>
      </w:r>
      <w:r w:rsidR="00597E18" w:rsidRPr="000E0F90">
        <w:rPr>
          <w:rFonts w:ascii="Arial" w:hAnsi="Arial" w:cs="Arial"/>
          <w:color w:val="000000" w:themeColor="text1"/>
        </w:rPr>
        <w:fldChar w:fldCharType="separate"/>
      </w:r>
      <w:r w:rsidR="0098473B" w:rsidRPr="000E0F90">
        <w:rPr>
          <w:rFonts w:ascii="Arial" w:hAnsi="Arial" w:cs="Arial"/>
          <w:noProof/>
          <w:color w:val="000000" w:themeColor="text1"/>
        </w:rPr>
        <w:t>(Ghorbani &amp; Kuan, 2016)</w:t>
      </w:r>
      <w:r w:rsidR="00597E18" w:rsidRPr="000E0F90">
        <w:rPr>
          <w:rFonts w:ascii="Arial" w:hAnsi="Arial" w:cs="Arial"/>
          <w:color w:val="000000" w:themeColor="text1"/>
        </w:rPr>
        <w:fldChar w:fldCharType="end"/>
      </w:r>
      <w:r w:rsidR="00597E18" w:rsidRPr="000E0F90">
        <w:rPr>
          <w:rFonts w:ascii="Arial" w:hAnsi="Arial" w:cs="Arial"/>
          <w:color w:val="000000" w:themeColor="text1"/>
        </w:rPr>
        <w:t>.</w:t>
      </w:r>
    </w:p>
    <w:p w:rsidR="004B1839" w:rsidRPr="000E0F90" w:rsidRDefault="004B1839" w:rsidP="002B538F">
      <w:pPr>
        <w:spacing w:after="0" w:line="360" w:lineRule="auto"/>
        <w:rPr>
          <w:rFonts w:ascii="Arial" w:hAnsi="Arial" w:cs="Arial"/>
          <w:b/>
          <w:i/>
          <w:color w:val="000000" w:themeColor="text1"/>
        </w:rPr>
      </w:pPr>
      <w:r w:rsidRPr="000E0F90">
        <w:rPr>
          <w:rFonts w:ascii="Arial" w:hAnsi="Arial" w:cs="Arial"/>
          <w:b/>
          <w:i/>
          <w:color w:val="000000" w:themeColor="text1"/>
        </w:rPr>
        <w:t>Estudios que han analizado la sostenibilidad de la industria minera en Chile</w:t>
      </w:r>
    </w:p>
    <w:p w:rsidR="004B1839" w:rsidRPr="000E0F90" w:rsidRDefault="000F33EE" w:rsidP="002B538F">
      <w:pPr>
        <w:spacing w:line="360" w:lineRule="auto"/>
        <w:rPr>
          <w:rFonts w:ascii="Arial" w:hAnsi="Arial" w:cs="Arial"/>
          <w:color w:val="000000" w:themeColor="text1"/>
        </w:rPr>
      </w:pPr>
      <w:r w:rsidRPr="000E0F90">
        <w:rPr>
          <w:rFonts w:ascii="Arial" w:hAnsi="Arial" w:cs="Arial"/>
          <w:color w:val="000000" w:themeColor="text1"/>
        </w:rPr>
        <w:t>Respecto al estado de la sostenibilidad de la industria minera en Chile, e</w:t>
      </w:r>
      <w:r w:rsidR="004B1839" w:rsidRPr="000E0F90">
        <w:rPr>
          <w:rFonts w:ascii="Arial" w:hAnsi="Arial" w:cs="Arial"/>
          <w:color w:val="000000" w:themeColor="text1"/>
        </w:rPr>
        <w:t xml:space="preserve">n el marco del proyecto “Minería y minerales de Chile en la transición hacia el desarrollo </w:t>
      </w:r>
      <w:r w:rsidR="00F35BB8" w:rsidRPr="000E0F90">
        <w:rPr>
          <w:rFonts w:ascii="Arial" w:hAnsi="Arial" w:cs="Arial"/>
          <w:color w:val="000000" w:themeColor="text1"/>
        </w:rPr>
        <w:t>sostenible</w:t>
      </w:r>
      <w:r w:rsidR="004B1839" w:rsidRPr="000E0F90">
        <w:rPr>
          <w:rFonts w:ascii="Arial" w:hAnsi="Arial" w:cs="Arial"/>
          <w:color w:val="000000" w:themeColor="text1"/>
        </w:rPr>
        <w:t xml:space="preserve">”, se identificaron los principales temas que se relacionan con el desarrollo sostenible de la minería del país en el período 1990-2000, destacándose </w:t>
      </w:r>
      <w:r w:rsidR="004B1839" w:rsidRPr="000E0F90">
        <w:rPr>
          <w:rFonts w:ascii="Arial" w:hAnsi="Arial" w:cs="Arial"/>
          <w:color w:val="000000" w:themeColor="text1"/>
        </w:rPr>
        <w:fldChar w:fldCharType="begin" w:fldLock="1"/>
      </w:r>
      <w:r w:rsidR="004B1839" w:rsidRPr="000E0F90">
        <w:rPr>
          <w:rFonts w:ascii="Arial" w:hAnsi="Arial" w:cs="Arial"/>
          <w:color w:val="000000" w:themeColor="text1"/>
        </w:rPr>
        <w:instrText>ADDIN CSL_CITATION { "citationItems" : [ { "id" : "ITEM-1", "itemData" : { "author" : [ { "dropping-particle" : "", "family" : "Lagos, G., Blanco, H., Torres, V., Bustos", "given" : "B", "non-dropping-particle" : "", "parse-names" : false, "suffix" : "" } ], "id" : "ITEM-1", "issued" : { "date-parts" : [ [ "2001" ] ] }, "note" : "NULL", "page" : "340-440", "title" : "Cap\u00edtulo 6-Miner\u00eda , Minerales y Desarrollo Sustentable en Chile", "type" : "article-journal" }, "uris" : [ "http://www.mendeley.com/documents/?uuid=1155115a-6440-457a-b82d-9525c3946160" ] } ], "mendeley" : { "formattedCitation" : "(Lagos, G., Blanco, H., Torres, V., Bustos, 2001)", "plainTextFormattedCitation" : "(Lagos, G., Blanco, H., Torres, V., Bustos, 2001)", "previouslyFormattedCitation" : "(Lagos, G., Blanco, H., Torres, V., Bustos, 2001)" }, "properties" : { "noteIndex" : 0 }, "schema" : "https://github.com/citation-style-language/schema/raw/master/csl-citation.json" }</w:instrText>
      </w:r>
      <w:r w:rsidR="004B1839" w:rsidRPr="000E0F90">
        <w:rPr>
          <w:rFonts w:ascii="Arial" w:hAnsi="Arial" w:cs="Arial"/>
          <w:color w:val="000000" w:themeColor="text1"/>
        </w:rPr>
        <w:fldChar w:fldCharType="separate"/>
      </w:r>
      <w:r w:rsidR="004B1839" w:rsidRPr="000E0F90">
        <w:rPr>
          <w:rFonts w:ascii="Arial" w:hAnsi="Arial" w:cs="Arial"/>
          <w:noProof/>
          <w:color w:val="000000" w:themeColor="text1"/>
        </w:rPr>
        <w:t>(Lagos, G., Blanco, H., Torres, V., Bustos, 2001)</w:t>
      </w:r>
      <w:r w:rsidR="004B1839" w:rsidRPr="000E0F90">
        <w:rPr>
          <w:rFonts w:ascii="Arial" w:hAnsi="Arial" w:cs="Arial"/>
          <w:color w:val="000000" w:themeColor="text1"/>
        </w:rPr>
        <w:fldChar w:fldCharType="end"/>
      </w:r>
      <w:r w:rsidR="004B1839" w:rsidRPr="000E0F90">
        <w:rPr>
          <w:rFonts w:ascii="Arial" w:hAnsi="Arial" w:cs="Arial"/>
          <w:color w:val="000000" w:themeColor="text1"/>
        </w:rPr>
        <w:t>: La contribución necesaria y progresiva de la minería al desarrollo socioeconómico a escala país y región, asegurar el desarrollo integral sostenible local una vez que ha finalizado la operación minera superando el modelo basado en el campamento minero, alcanzar un adecuado desempeño ambiental regionalizando las normativas medioambientales, mejorar la competencia y descentralización de instrumentos y capacidades de gestión públicas, mejorar participación ciudadana y una gobernanza transparente, considerar los derechos y recursos naturales de los diversos actores sociales, preservar la pequeña minería como actividad identitaria y de subsistencia, mejorar condiciones laborales y de salud de los trabajadores de la minería, considerar en forma igualitaria a los pueblos indígenas.</w:t>
      </w:r>
    </w:p>
    <w:p w:rsidR="00FB65CA" w:rsidRPr="000E0F90" w:rsidRDefault="00FB65CA" w:rsidP="002B538F">
      <w:pPr>
        <w:spacing w:line="360" w:lineRule="auto"/>
        <w:rPr>
          <w:rFonts w:ascii="Arial" w:hAnsi="Arial" w:cs="Arial"/>
          <w:color w:val="000000" w:themeColor="text1"/>
        </w:rPr>
      </w:pPr>
      <w:r w:rsidRPr="000E0F90">
        <w:rPr>
          <w:rFonts w:ascii="Arial" w:hAnsi="Arial" w:cs="Arial"/>
          <w:color w:val="000000" w:themeColor="text1"/>
        </w:rPr>
        <w:t xml:space="preserve">Respecto </w:t>
      </w:r>
      <w:r w:rsidR="004F06A0" w:rsidRPr="000E0F90">
        <w:rPr>
          <w:rFonts w:ascii="Arial" w:hAnsi="Arial" w:cs="Arial"/>
          <w:color w:val="000000" w:themeColor="text1"/>
        </w:rPr>
        <w:t xml:space="preserve">a la sostenibilidad de las industrias mineras, a nivel regional, propone aumentar el valor agregado de las exportaciones, retener los excedentes de producción y aumento del número de empresas de origen local como modo de incrementar el desarrollo sostenible de los territorios mineros (Lufin, 2002 En </w:t>
      </w:r>
      <w:r w:rsidR="004F06A0" w:rsidRPr="000E0F90">
        <w:rPr>
          <w:rFonts w:ascii="Arial" w:hAnsi="Arial" w:cs="Arial"/>
          <w:color w:val="000000" w:themeColor="text1"/>
        </w:rPr>
        <w:fldChar w:fldCharType="begin" w:fldLock="1"/>
      </w:r>
      <w:r w:rsidR="005C7084" w:rsidRPr="000E0F90">
        <w:rPr>
          <w:rFonts w:ascii="Arial" w:hAnsi="Arial" w:cs="Arial"/>
          <w:color w:val="000000" w:themeColor="text1"/>
        </w:rPr>
        <w:instrText>ADDIN CSL_CITATION { "citationItems" : [ { "id" : "ITEM-1", "itemData" : { "DOI" : "10.4067/S0250-71612014000300012", "ISSN" : "07176236", "abstract" : "An important share of Chilean copper production is located in two regions: Antofagasta and Atacama. In recent years there has been a rise in the price of copper, and the incomes of the inhabitants of these regions have varied differently as a response to the variations in the price of copper. This article analyzes these differences between the evolution of regional income based on the size or scale of production in the mining sector. Using an input-output model disaggregated by the scale of production (large versus small and medium-sized scales) of the mining sector for each region, linkages and multipliers have been calculated and a sensitivity analysis carried out in order to test the strength of the estimations. This strategy allowed for identifying and calculating the impact of each scale on local income and production, showing the heterogeneous impact of the mining sector on local economies, which is very relevant for evaluating the current Chilean mining policy.", "author" : [ { "dropping-particle" : "", "family" : "Rivera", "given" : "Nathaly", "non-dropping-particle" : "", "parse-names" : false, "suffix" : "" }, { "dropping-particle" : "", "family" : "Aroca", "given" : "Patricio", "non-dropping-particle" : "", "parse-names" : false, "suffix" : "" } ], "container-title" : "Eure", "id" : "ITEM-1", "issued" : { "date-parts" : [ [ "2014" ] ] }, "page" : "145-155", "title" : "Escalas de producci\u00f3n en econom\u00edas mineras. El caso de Chile en su dimensi\u00f3n regional", "type" : "article-journal", "volume" : "40" }, "uris" : [ "http://www.mendeley.com/documents/?uuid=b3b5e564-933e-42ed-a47a-7e4269bcc413" ] } ], "mendeley" : { "formattedCitation" : "(Rivera &amp; Aroca, 2014)", "plainTextFormattedCitation" : "(Rivera &amp; Aroca, 2014)", "previouslyFormattedCitation" : "(Rivera &amp; Aroca, 2014)" }, "properties" : { "noteIndex" : 0 }, "schema" : "https://github.com/citation-style-language/schema/raw/master/csl-citation.json" }</w:instrText>
      </w:r>
      <w:r w:rsidR="004F06A0" w:rsidRPr="000E0F90">
        <w:rPr>
          <w:rFonts w:ascii="Arial" w:hAnsi="Arial" w:cs="Arial"/>
          <w:color w:val="000000" w:themeColor="text1"/>
        </w:rPr>
        <w:fldChar w:fldCharType="separate"/>
      </w:r>
      <w:r w:rsidR="004F06A0" w:rsidRPr="000E0F90">
        <w:rPr>
          <w:rFonts w:ascii="Arial" w:hAnsi="Arial" w:cs="Arial"/>
          <w:noProof/>
          <w:color w:val="000000" w:themeColor="text1"/>
        </w:rPr>
        <w:t>(Rivera &amp; Aroca, 2014)</w:t>
      </w:r>
      <w:r w:rsidR="004F06A0" w:rsidRPr="000E0F90">
        <w:rPr>
          <w:rFonts w:ascii="Arial" w:hAnsi="Arial" w:cs="Arial"/>
          <w:color w:val="000000" w:themeColor="text1"/>
        </w:rPr>
        <w:fldChar w:fldCharType="end"/>
      </w:r>
      <w:r w:rsidR="004F06A0" w:rsidRPr="000E0F90">
        <w:rPr>
          <w:rFonts w:ascii="Arial" w:hAnsi="Arial" w:cs="Arial"/>
          <w:color w:val="000000" w:themeColor="text1"/>
        </w:rPr>
        <w:t>.</w:t>
      </w:r>
    </w:p>
    <w:p w:rsidR="004B1839" w:rsidRPr="000E0F90" w:rsidRDefault="004B1839" w:rsidP="002B538F">
      <w:pPr>
        <w:spacing w:line="360" w:lineRule="auto"/>
        <w:rPr>
          <w:rFonts w:ascii="Arial" w:hAnsi="Arial" w:cs="Arial"/>
          <w:color w:val="000000" w:themeColor="text1"/>
        </w:rPr>
      </w:pPr>
      <w:r w:rsidRPr="000E0F90">
        <w:rPr>
          <w:rFonts w:ascii="Arial" w:hAnsi="Arial" w:cs="Arial"/>
          <w:color w:val="000000" w:themeColor="text1"/>
        </w:rPr>
        <w:lastRenderedPageBreak/>
        <w:fldChar w:fldCharType="begin" w:fldLock="1"/>
      </w:r>
      <w:r w:rsidRPr="000E0F90">
        <w:rPr>
          <w:rFonts w:ascii="Arial" w:hAnsi="Arial" w:cs="Arial"/>
          <w:color w:val="000000" w:themeColor="text1"/>
        </w:rPr>
        <w:instrText>ADDIN CSL_CITATION { "citationItems" : [ { "id" : "ITEM-1", "itemData" : { "DOI" : "10.1002/sd.205", "ISBN" : "09680802 (ISSN)", "ISSN" : "09680802", "abstract" : "Chile has been a highly successful mining country for over two centuries. Huge sums of money are generated but only a small proportion of the revenue is being directed back into the region whose natural resources are being depleted. Mining companies may not be in control of the way central government spends these funds but they have a responsibility towards the communities they impact. The environmental problems associated with mining practices have attracted most attention but the impact on the communities is proving to be a far greater challenge. This paper focuses on the social consequences and the evolving response of the mining companies to these problems and the future sustainability of the region. Copyright \u00a9 2003 John Wiley &amp; Sons, Ltd. and ERP Environment [ABSTRACT FROM AUTHOR]", "author" : [ { "dropping-particle" : "", "family" : "Newbold", "given" : "Jane", "non-dropping-particle" : "", "parse-names" : false, "suffix" : "" } ], "container-title" : "Sustainable Development", "id" : "ITEM-1", "issued" : { "date-parts" : [ [ "2003" ] ] }, "page" : "84-90", "title" : "Social consequences of mining and present day solutions - Region II in Chile highlighted", "type" : "article-journal", "volume" : "11" }, "uris" : [ "http://www.mendeley.com/documents/?uuid=f552e5ea-de04-4581-bce0-d42e0b0754e9" ] } ], "mendeley" : { "formattedCitation" : "(Newbold, 2003)", "plainTextFormattedCitation" : "(Newbold, 2003)", "previouslyFormattedCitation" : "(Newbold, 2003)"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(Newbold, 2003)</w:t>
      </w:r>
      <w:r w:rsidRPr="000E0F90">
        <w:rPr>
          <w:rFonts w:ascii="Arial" w:hAnsi="Arial" w:cs="Arial"/>
          <w:color w:val="000000" w:themeColor="text1"/>
        </w:rPr>
        <w:fldChar w:fldCharType="end"/>
      </w:r>
      <w:r w:rsidRPr="000E0F90">
        <w:rPr>
          <w:rFonts w:ascii="Arial" w:hAnsi="Arial" w:cs="Arial"/>
          <w:color w:val="000000" w:themeColor="text1"/>
        </w:rPr>
        <w:t xml:space="preserve"> señala que para alcanzar la sostenibilidad </w:t>
      </w:r>
      <w:r w:rsidR="000F33EE" w:rsidRPr="000E0F90">
        <w:rPr>
          <w:rFonts w:ascii="Arial" w:hAnsi="Arial" w:cs="Arial"/>
          <w:color w:val="000000" w:themeColor="text1"/>
        </w:rPr>
        <w:t xml:space="preserve">de la industria minera local </w:t>
      </w:r>
      <w:r w:rsidRPr="000E0F90">
        <w:rPr>
          <w:rFonts w:ascii="Arial" w:hAnsi="Arial" w:cs="Arial"/>
          <w:color w:val="000000" w:themeColor="text1"/>
        </w:rPr>
        <w:t xml:space="preserve">se debe compensar la extracción de recursos minerales finitos que realizan las operaciones mineras en los </w:t>
      </w:r>
      <w:r w:rsidR="0049698D" w:rsidRPr="000E0F90">
        <w:rPr>
          <w:rFonts w:ascii="Arial" w:hAnsi="Arial" w:cs="Arial"/>
          <w:color w:val="000000" w:themeColor="text1"/>
        </w:rPr>
        <w:t>territorios</w:t>
      </w:r>
      <w:r w:rsidRPr="000E0F90">
        <w:rPr>
          <w:rFonts w:ascii="Arial" w:hAnsi="Arial" w:cs="Arial"/>
          <w:color w:val="000000" w:themeColor="text1"/>
        </w:rPr>
        <w:t xml:space="preserve"> donde operan, dado que las actuales contribuciones que realizan las operaciones mineras a escala local, como es el pago de impuestos, los </w:t>
      </w:r>
      <w:r w:rsidR="000F33EE" w:rsidRPr="000E0F90">
        <w:rPr>
          <w:rFonts w:ascii="Arial" w:hAnsi="Arial" w:cs="Arial"/>
          <w:color w:val="000000" w:themeColor="text1"/>
        </w:rPr>
        <w:t>a</w:t>
      </w:r>
      <w:r w:rsidRPr="000E0F90">
        <w:rPr>
          <w:rFonts w:ascii="Arial" w:hAnsi="Arial" w:cs="Arial"/>
          <w:color w:val="000000" w:themeColor="text1"/>
        </w:rPr>
        <w:t>portes voluntarios de diverso tipo (i.e. infraestructura, fundaciones, oportunidades de vivienda) así como también el mejoramiento de las competencias locales, si bien contribuyen, no son suficientes, requiriendo una aporte de parte del gobierno para ello. Por el contrario, provocan una dependencia de las comunidades locales con las empresas mineras (i.e. cultura de campamento minero).</w:t>
      </w:r>
    </w:p>
    <w:p w:rsidR="004B1839" w:rsidRPr="000E0F90" w:rsidRDefault="0049698D" w:rsidP="002B538F">
      <w:pPr>
        <w:spacing w:line="360" w:lineRule="auto"/>
        <w:rPr>
          <w:rFonts w:ascii="Arial" w:hAnsi="Arial" w:cs="Arial"/>
          <w:b/>
          <w:i/>
          <w:color w:val="000000" w:themeColor="text1"/>
        </w:rPr>
      </w:pPr>
      <w:r w:rsidRPr="000E0F90">
        <w:rPr>
          <w:rFonts w:ascii="Arial" w:hAnsi="Arial" w:cs="Arial"/>
          <w:color w:val="000000" w:themeColor="text1"/>
        </w:rPr>
        <w:t>Según</w:t>
      </w:r>
      <w:r w:rsidR="004B1839" w:rsidRPr="000E0F90">
        <w:rPr>
          <w:rFonts w:ascii="Arial" w:hAnsi="Arial" w:cs="Arial"/>
          <w:color w:val="000000" w:themeColor="text1"/>
        </w:rPr>
        <w:t xml:space="preserve"> los resultados de la revisión de la literatura realizada por </w:t>
      </w:r>
      <w:r w:rsidR="004B1839" w:rsidRPr="000E0F90">
        <w:rPr>
          <w:rFonts w:ascii="Arial" w:hAnsi="Arial" w:cs="Arial"/>
          <w:color w:val="000000" w:themeColor="text1"/>
        </w:rPr>
        <w:fldChar w:fldCharType="begin" w:fldLock="1"/>
      </w:r>
      <w:r w:rsidR="0098473B" w:rsidRPr="000E0F90">
        <w:rPr>
          <w:rFonts w:ascii="Arial" w:hAnsi="Arial" w:cs="Arial"/>
          <w:color w:val="000000" w:themeColor="text1"/>
        </w:rPr>
        <w:instrText>ADDIN CSL_CITATION { "citationItems" : [ { "id" : "ITEM-1", "itemData" : { "DOI" : "10.1080/17480930.2015.1128799", "ISSN" : "1748-0930", "abstract" : "Chile is the principal producer of copper with a total of 5.8\u00a0million tonnes fine copper production in 2013. Chilean mining industry currently faces a projected increase in waste production, depleting water resources in the arid mining regions of the north and a lack of fossil fuel energy sources. In this study, a review of the historical background of environmental practices in Chile is presented, focused between 1970 and 2010. A review of the current state of sustainable development, comprising energy, water, stakeholder participation, environmental impacts and institutional decentralisation in the mining industry is presented.", "author" : [ { "dropping-particle" : "", "family" : "Ghorbani", "given" : "Yousef", "non-dropping-particle" : "", "parse-names" : false, "suffix" : "" }, { "dropping-particle" : "", "family" : "Kuan", "given" : "Seng How", "non-dropping-particle" : "", "parse-names" : false, "suffix" : "" } ], "container-title" : "International Journal of Mining, Reclamation and Environment", "id" : "ITEM-1", "issue" : "February", "issued" : { "date-parts" : [ [ "2016" ] ] }, "note" : "NULL", "page" : "1-29", "publisher" : "Taylor &amp; Francis", "title" : "A review of sustainable development in the Chilean mining sector: past, present and future", "type" : "article-journal", "volume" : "0930" }, "uris" : [ "http://www.mendeley.com/documents/?uuid=ba6630bb-3cdb-4443-b119-f6b6f68bafa7" ] } ], "mendeley" : { "formattedCitation" : "(Ghorbani &amp; Kuan, 2016)", "plainTextFormattedCitation" : "(Ghorbani &amp; Kuan, 2016)", "previouslyFormattedCitation" : "(Ghorbani &amp; Kuan, 2016)" }, "properties" : { "noteIndex" : 0 }, "schema" : "https://github.com/citation-style-language/schema/raw/master/csl-citation.json" }</w:instrText>
      </w:r>
      <w:r w:rsidR="004B1839" w:rsidRPr="000E0F90">
        <w:rPr>
          <w:rFonts w:ascii="Arial" w:hAnsi="Arial" w:cs="Arial"/>
          <w:color w:val="000000" w:themeColor="text1"/>
        </w:rPr>
        <w:fldChar w:fldCharType="separate"/>
      </w:r>
      <w:r w:rsidR="0098473B" w:rsidRPr="000E0F90">
        <w:rPr>
          <w:rFonts w:ascii="Arial" w:hAnsi="Arial" w:cs="Arial"/>
          <w:noProof/>
          <w:color w:val="000000" w:themeColor="text1"/>
        </w:rPr>
        <w:t>(Ghorbani &amp; Kuan, 2016)</w:t>
      </w:r>
      <w:r w:rsidR="004B1839" w:rsidRPr="000E0F90">
        <w:rPr>
          <w:rFonts w:ascii="Arial" w:hAnsi="Arial" w:cs="Arial"/>
          <w:color w:val="000000" w:themeColor="text1"/>
        </w:rPr>
        <w:fldChar w:fldCharType="end"/>
      </w:r>
      <w:r w:rsidR="004B1839" w:rsidRPr="000E0F90">
        <w:rPr>
          <w:rFonts w:ascii="Arial" w:hAnsi="Arial" w:cs="Arial"/>
          <w:color w:val="000000" w:themeColor="text1"/>
        </w:rPr>
        <w:t xml:space="preserve"> </w:t>
      </w:r>
      <w:r w:rsidRPr="000E0F90">
        <w:rPr>
          <w:rFonts w:ascii="Arial" w:hAnsi="Arial" w:cs="Arial"/>
          <w:color w:val="000000" w:themeColor="text1"/>
        </w:rPr>
        <w:t>respecto</w:t>
      </w:r>
      <w:r w:rsidR="004B1839" w:rsidRPr="000E0F90">
        <w:rPr>
          <w:rFonts w:ascii="Arial" w:hAnsi="Arial" w:cs="Arial"/>
          <w:color w:val="000000" w:themeColor="text1"/>
        </w:rPr>
        <w:t xml:space="preserve"> a la </w:t>
      </w:r>
      <w:r w:rsidR="00F35BB8" w:rsidRPr="000E0F90">
        <w:rPr>
          <w:rFonts w:ascii="Arial" w:hAnsi="Arial" w:cs="Arial"/>
          <w:color w:val="000000" w:themeColor="text1"/>
        </w:rPr>
        <w:t>sostenibilidad</w:t>
      </w:r>
      <w:r w:rsidR="004B1839" w:rsidRPr="000E0F90">
        <w:rPr>
          <w:rFonts w:ascii="Arial" w:hAnsi="Arial" w:cs="Arial"/>
          <w:color w:val="000000" w:themeColor="text1"/>
        </w:rPr>
        <w:t xml:space="preserve"> de la industria minera, se señala que si bien el Estado ha introducido diversas legislaciones medioambientales, existe espacio para mejorar en el ámbito de demanda energética, escasez de agua, derechos indígenas y el sistema de gobierno centralizado, este último se requiere que </w:t>
      </w:r>
      <w:r w:rsidRPr="000E0F90">
        <w:rPr>
          <w:rFonts w:ascii="Arial" w:hAnsi="Arial" w:cs="Arial"/>
          <w:color w:val="000000" w:themeColor="text1"/>
        </w:rPr>
        <w:t>adquiera</w:t>
      </w:r>
      <w:r w:rsidR="004B1839" w:rsidRPr="000E0F90">
        <w:rPr>
          <w:rFonts w:ascii="Arial" w:hAnsi="Arial" w:cs="Arial"/>
          <w:color w:val="000000" w:themeColor="text1"/>
        </w:rPr>
        <w:t xml:space="preserve"> un enfoque descentralizado, cooperativo y con mayor participación pública.  </w:t>
      </w:r>
    </w:p>
    <w:p w:rsidR="004B1839" w:rsidRPr="000E0F90" w:rsidRDefault="004B1839" w:rsidP="002B538F">
      <w:pPr>
        <w:spacing w:after="0" w:line="360" w:lineRule="auto"/>
        <w:jc w:val="left"/>
        <w:rPr>
          <w:rFonts w:ascii="Arial" w:hAnsi="Arial" w:cs="Arial"/>
          <w:b/>
          <w:i/>
          <w:color w:val="000000" w:themeColor="text1"/>
          <w:lang w:eastAsia="es-CL"/>
        </w:rPr>
      </w:pPr>
      <w:r w:rsidRPr="000E0F90">
        <w:rPr>
          <w:rFonts w:ascii="Arial" w:hAnsi="Arial" w:cs="Arial"/>
          <w:b/>
          <w:i/>
          <w:color w:val="000000" w:themeColor="text1"/>
          <w:lang w:eastAsia="es-CL"/>
        </w:rPr>
        <w:t>Impactos ambientales de la actividad minera en el país:</w:t>
      </w:r>
    </w:p>
    <w:p w:rsidR="004B1839" w:rsidRPr="000E0F90" w:rsidRDefault="004B1839" w:rsidP="002B538F">
      <w:pPr>
        <w:spacing w:line="360" w:lineRule="auto"/>
        <w:rPr>
          <w:rFonts w:ascii="Arial" w:hAnsi="Arial" w:cs="Arial"/>
          <w:color w:val="000000" w:themeColor="text1"/>
          <w:lang w:eastAsia="es-CL"/>
        </w:rPr>
      </w:pPr>
      <w:r w:rsidRPr="000E0F90">
        <w:rPr>
          <w:rFonts w:ascii="Arial" w:hAnsi="Arial" w:cs="Arial"/>
          <w:color w:val="000000" w:themeColor="text1"/>
          <w:lang w:eastAsia="es-CL"/>
        </w:rPr>
        <w:t>En Chile, los mayores impactos medioambientales provenientes de la minería se asocian a los recursos hídricos</w:t>
      </w:r>
      <w:r w:rsidR="004D18D6" w:rsidRPr="000E0F90">
        <w:rPr>
          <w:rFonts w:ascii="Arial" w:hAnsi="Arial" w:cs="Arial"/>
          <w:color w:val="000000" w:themeColor="text1"/>
          <w:lang w:eastAsia="es-CL"/>
        </w:rPr>
        <w:t xml:space="preserve">, recursos energéticos, suelo, </w:t>
      </w:r>
      <w:r w:rsidRPr="000E0F90">
        <w:rPr>
          <w:rFonts w:ascii="Arial" w:hAnsi="Arial" w:cs="Arial"/>
          <w:color w:val="000000" w:themeColor="text1"/>
          <w:lang w:eastAsia="es-CL"/>
        </w:rPr>
        <w:t xml:space="preserve">biodiversidad y calidad de aire </w:t>
      </w:r>
      <w:r w:rsidRPr="000E0F90">
        <w:rPr>
          <w:rFonts w:ascii="Arial" w:hAnsi="Arial" w:cs="Arial"/>
          <w:color w:val="000000" w:themeColor="text1"/>
          <w:lang w:eastAsia="es-CL"/>
        </w:rPr>
        <w:fldChar w:fldCharType="begin" w:fldLock="1"/>
      </w:r>
      <w:r w:rsidR="0098473B" w:rsidRPr="000E0F90">
        <w:rPr>
          <w:rFonts w:ascii="Arial" w:hAnsi="Arial" w:cs="Arial"/>
          <w:color w:val="000000" w:themeColor="text1"/>
          <w:lang w:eastAsia="es-CL"/>
        </w:rPr>
        <w:instrText>ADDIN CSL_CITATION { "citationItems" : [ { "id" : "ITEM-1", "itemData" : { "DOI" : "10.1080/17480930.2015.1128799", "ISSN" : "1748-0930", "abstract" : "Chile is the principal producer of copper with a total of 5.8\u00a0million tonnes fine copper production in 2013. Chilean mining industry currently faces a projected increase in waste production, depleting water resources in the arid mining regions of the north and a lack of fossil fuel energy sources. In this study, a review of the historical background of environmental practices in Chile is presented, focused between 1970 and 2010. A review of the current state of sustainable development, comprising energy, water, stakeholder participation, environmental impacts and institutional decentralisation in the mining industry is presented.", "author" : [ { "dropping-particle" : "", "family" : "Ghorbani", "given" : "Yousef", "non-dropping-particle" : "", "parse-names" : false, "suffix" : "" }, { "dropping-particle" : "", "family" : "Kuan", "given" : "Seng How", "non-dropping-particle" : "", "parse-names" : false, "suffix" : "" } ], "container-title" : "International Journal of Mining, Reclamation and Environment", "id" : "ITEM-1", "issue" : "February", "issued" : { "date-parts" : [ [ "2016" ] ] }, "note" : "NULL", "page" : "1-29", "publisher" : "Taylor &amp; Francis", "title" : "A review of sustainable development in the Chilean mining sector: past, present and future", "type" : "article-journal", "volume" : "0930" }, "uris" : [ "http://www.mendeley.com/documents/?uuid=ba6630bb-3cdb-4443-b119-f6b6f68bafa7" ] } ], "mendeley" : { "formattedCitation" : "(Ghorbani &amp; Kuan, 2016)", "plainTextFormattedCitation" : "(Ghorbani &amp; Kuan, 2016)", "previouslyFormattedCitation" : "(Ghorbani &amp; Kuan, 2016)" }, "properties" : { "noteIndex" : 0 }, "schema" : "https://github.com/citation-style-language/schema/raw/master/csl-citation.json" }</w:instrText>
      </w:r>
      <w:r w:rsidRPr="000E0F90">
        <w:rPr>
          <w:rFonts w:ascii="Arial" w:hAnsi="Arial" w:cs="Arial"/>
          <w:color w:val="000000" w:themeColor="text1"/>
          <w:lang w:eastAsia="es-CL"/>
        </w:rPr>
        <w:fldChar w:fldCharType="separate"/>
      </w:r>
      <w:r w:rsidR="0098473B" w:rsidRPr="000E0F90">
        <w:rPr>
          <w:rFonts w:ascii="Arial" w:hAnsi="Arial" w:cs="Arial"/>
          <w:noProof/>
          <w:color w:val="000000" w:themeColor="text1"/>
          <w:lang w:eastAsia="es-CL"/>
        </w:rPr>
        <w:t>(Ghorbani &amp; Kuan, 2016)</w:t>
      </w:r>
      <w:r w:rsidRPr="000E0F90">
        <w:rPr>
          <w:rFonts w:ascii="Arial" w:hAnsi="Arial" w:cs="Arial"/>
          <w:color w:val="000000" w:themeColor="text1"/>
          <w:lang w:eastAsia="es-CL"/>
        </w:rPr>
        <w:fldChar w:fldCharType="end"/>
      </w:r>
      <w:r w:rsidR="004D18D6" w:rsidRPr="000E0F90">
        <w:rPr>
          <w:rFonts w:ascii="Arial" w:hAnsi="Arial" w:cs="Arial"/>
          <w:color w:val="000000" w:themeColor="text1"/>
          <w:lang w:eastAsia="es-CL"/>
        </w:rPr>
        <w:t xml:space="preserve"> </w:t>
      </w:r>
      <w:r w:rsidR="004D18D6" w:rsidRPr="000E0F90">
        <w:rPr>
          <w:rFonts w:ascii="Arial" w:hAnsi="Arial" w:cs="Arial"/>
          <w:color w:val="000000" w:themeColor="text1"/>
          <w:lang w:eastAsia="es-CL"/>
        </w:rPr>
        <w:fldChar w:fldCharType="begin" w:fldLock="1"/>
      </w:r>
      <w:r w:rsidR="004D18D6" w:rsidRPr="000E0F90">
        <w:rPr>
          <w:rFonts w:ascii="Arial" w:hAnsi="Arial" w:cs="Arial"/>
          <w:color w:val="000000" w:themeColor="text1"/>
          <w:lang w:eastAsia="es-CL"/>
        </w:rPr>
        <w:instrText>ADDIN CSL_CITATION { "citationItems" : [ { "id" : "ITEM-1", "itemData" : { "author" : [ { "dropping-particle" : "", "family" : "Schildermans", "given" : "Peter", "non-dropping-particle" : "", "parse-names" : false, "suffix" : "" } ], "id" : "ITEM-1", "issued" : { "date-parts" : [ [ "2011" ] ] }, "note" : "NULL", "page" : "256", "title" : "The Chilean copper industry towards a more ecologically durable exploitation ?", "type" : "article-journal" }, "uris" : [ "http://www.mendeley.com/documents/?uuid=b25a2fcc-89a4-4984-9241-223ea94111a8" ] } ], "mendeley" : { "formattedCitation" : "(Schildermans, 2011)", "plainTextFormattedCitation" : "(Schildermans, 2011)", "previouslyFormattedCitation" : "(Schildermans, 2011)" }, "properties" : { "noteIndex" : 0 }, "schema" : "https://github.com/citation-style-language/schema/raw/master/csl-citation.json" }</w:instrText>
      </w:r>
      <w:r w:rsidR="004D18D6" w:rsidRPr="000E0F90">
        <w:rPr>
          <w:rFonts w:ascii="Arial" w:hAnsi="Arial" w:cs="Arial"/>
          <w:color w:val="000000" w:themeColor="text1"/>
          <w:lang w:eastAsia="es-CL"/>
        </w:rPr>
        <w:fldChar w:fldCharType="separate"/>
      </w:r>
      <w:r w:rsidR="004D18D6" w:rsidRPr="000E0F90">
        <w:rPr>
          <w:rFonts w:ascii="Arial" w:hAnsi="Arial" w:cs="Arial"/>
          <w:noProof/>
          <w:color w:val="000000" w:themeColor="text1"/>
          <w:lang w:eastAsia="es-CL"/>
        </w:rPr>
        <w:t>(Schildermans, 2011)</w:t>
      </w:r>
      <w:r w:rsidR="004D18D6" w:rsidRPr="000E0F90">
        <w:rPr>
          <w:rFonts w:ascii="Arial" w:hAnsi="Arial" w:cs="Arial"/>
          <w:color w:val="000000" w:themeColor="text1"/>
          <w:lang w:eastAsia="es-CL"/>
        </w:rPr>
        <w:fldChar w:fldCharType="end"/>
      </w:r>
      <w:r w:rsidR="004D18D6" w:rsidRPr="000E0F90">
        <w:rPr>
          <w:rFonts w:ascii="Arial" w:hAnsi="Arial" w:cs="Arial"/>
          <w:color w:val="000000" w:themeColor="text1"/>
          <w:lang w:eastAsia="es-CL"/>
        </w:rPr>
        <w:t xml:space="preserve"> </w:t>
      </w:r>
      <w:r w:rsidR="004D18D6" w:rsidRPr="000E0F90">
        <w:rPr>
          <w:rFonts w:ascii="Arial" w:hAnsi="Arial" w:cs="Arial"/>
          <w:color w:val="000000" w:themeColor="text1"/>
          <w:lang w:eastAsia="es-CL"/>
        </w:rPr>
        <w:fldChar w:fldCharType="begin" w:fldLock="1"/>
      </w:r>
      <w:r w:rsidR="00D70F3B" w:rsidRPr="000E0F90">
        <w:rPr>
          <w:rFonts w:ascii="Arial" w:hAnsi="Arial" w:cs="Arial"/>
          <w:color w:val="000000" w:themeColor="text1"/>
          <w:lang w:eastAsia="es-CL"/>
        </w:rPr>
        <w:instrText>ADDIN CSL_CITATION { "citationItems" : [ { "id" : "ITEM-1", "itemData" : { "author" : [ { "dropping-particle" : "", "family" : "Oyarz\u00fan", "given" : "J", "non-dropping-particle" : "", "parse-names" : false, "suffix" : "" }, { "dropping-particle" : "", "family" : "Oyarz\u00fan", "given" : "R", "non-dropping-particle" : "", "parse-names" : false, "suffix" : "" } ], "container-title" : "Sustainable Development", "id" : "ITEM-1", "issue" : "December 2009", "issued" : { "date-parts" : [ [ "2011" ] ] }, "page" : "263-274", "title" : "Sustainable Development Threats, Inter-Sector Confl icts and Environmental Policy Requirements in the Arid, Mining Rich, Northern Chile Territory", "type" : "article-journal", "volume" : "19" }, "uris" : [ "http://www.mendeley.com/documents/?uuid=928eabd5-0755-4c69-a4cc-894aa1284178" ] } ], "mendeley" : { "formattedCitation" : "(Oyarz\u00fan &amp; Oyarz\u00fan, 2011)", "plainTextFormattedCitation" : "(Oyarz\u00fan &amp; Oyarz\u00fan, 2011)", "previouslyFormattedCitation" : "(Oyarz\u00fan &amp; Oyarz\u00fan, 2011)" }, "properties" : { "noteIndex" : 0 }, "schema" : "https://github.com/citation-style-language/schema/raw/master/csl-citation.json" }</w:instrText>
      </w:r>
      <w:r w:rsidR="004D18D6" w:rsidRPr="000E0F90">
        <w:rPr>
          <w:rFonts w:ascii="Arial" w:hAnsi="Arial" w:cs="Arial"/>
          <w:color w:val="000000" w:themeColor="text1"/>
          <w:lang w:eastAsia="es-CL"/>
        </w:rPr>
        <w:fldChar w:fldCharType="separate"/>
      </w:r>
      <w:r w:rsidR="004D18D6" w:rsidRPr="000E0F90">
        <w:rPr>
          <w:rFonts w:ascii="Arial" w:hAnsi="Arial" w:cs="Arial"/>
          <w:noProof/>
          <w:color w:val="000000" w:themeColor="text1"/>
          <w:lang w:eastAsia="es-CL"/>
        </w:rPr>
        <w:t>(Oyarzún &amp; Oyarzún, 2011)</w:t>
      </w:r>
      <w:r w:rsidR="004D18D6" w:rsidRPr="000E0F90">
        <w:rPr>
          <w:rFonts w:ascii="Arial" w:hAnsi="Arial" w:cs="Arial"/>
          <w:color w:val="000000" w:themeColor="text1"/>
          <w:lang w:eastAsia="es-CL"/>
        </w:rPr>
        <w:fldChar w:fldCharType="end"/>
      </w:r>
    </w:p>
    <w:p w:rsidR="004B1839" w:rsidRPr="000E0F90" w:rsidRDefault="004B1839" w:rsidP="002B538F">
      <w:pPr>
        <w:spacing w:line="360" w:lineRule="auto"/>
        <w:rPr>
          <w:rFonts w:ascii="Arial" w:hAnsi="Arial" w:cs="Arial"/>
          <w:color w:val="000000" w:themeColor="text1"/>
          <w:lang w:eastAsia="es-CL"/>
        </w:rPr>
      </w:pPr>
      <w:r w:rsidRPr="000E0F90">
        <w:rPr>
          <w:rFonts w:ascii="Arial" w:hAnsi="Arial" w:cs="Arial"/>
          <w:b/>
          <w:color w:val="000000" w:themeColor="text1"/>
          <w:lang w:eastAsia="es-CL"/>
        </w:rPr>
        <w:t>Recurso Hídrico</w:t>
      </w:r>
      <w:r w:rsidRPr="000E0F90">
        <w:rPr>
          <w:rFonts w:ascii="Arial" w:hAnsi="Arial" w:cs="Arial"/>
          <w:color w:val="000000" w:themeColor="text1"/>
          <w:lang w:eastAsia="es-CL"/>
        </w:rPr>
        <w:t xml:space="preserve">: Los mayores impactos corresponden a alteraciones de la disponibilidad y calidad del agua de las regiones mineras. Dado el intenso uso de agua que hacen las operaciones mineras, ubicadas principalmente en zonas de escasez hídrica producto de la ubicación de los principales yacimientos de cobre del país </w:t>
      </w:r>
      <w:r w:rsidRPr="000E0F90">
        <w:rPr>
          <w:rFonts w:ascii="Arial" w:hAnsi="Arial" w:cs="Arial"/>
          <w:color w:val="000000" w:themeColor="text1"/>
          <w:lang w:eastAsia="es-CL"/>
        </w:rPr>
        <w:fldChar w:fldCharType="begin" w:fldLock="1"/>
      </w:r>
      <w:r w:rsidRPr="000E0F90">
        <w:rPr>
          <w:rFonts w:ascii="Arial" w:hAnsi="Arial" w:cs="Arial"/>
          <w:color w:val="000000" w:themeColor="text1"/>
          <w:lang w:eastAsia="es-CL"/>
        </w:rPr>
        <w:instrText>ADDIN CSL_CITATION { "citationItems" : [ { "id" : "ITEM-1", "itemData" : { "author" : [ { "dropping-particle" : "", "family" : "Oyarz\u00fan", "given" : "J", "non-dropping-particle" : "", "parse-names" : false, "suffix" : "" }, { "dropping-particle" : "", "family" : "Oyarz\u00fan", "given" : "R", "non-dropping-particle" : "", "parse-names" : false, "suffix" : "" } ], "container-title" : "Sustainable Development", "id" : "ITEM-1", "issue" : "December 2009", "issued" : { "date-parts" : [ [ "2011" ] ] }, "page" : "263-274", "title" : "Sustainable Development Threats, Inter-Sector Confl icts and Environmental Policy Requirements in the Arid, Mining Rich, Northern Chile Territory", "type" : "article-journal", "volume" : "19" }, "uris" : [ "http://www.mendeley.com/documents/?uuid=928eabd5-0755-4c69-a4cc-894aa1284178" ] } ], "mendeley" : { "formattedCitation" : "(Oyarz\u00fan &amp; Oyarz\u00fan, 2011)", "plainTextFormattedCitation" : "(Oyarz\u00fan &amp; Oyarz\u00fan, 2011)", "previouslyFormattedCitation" : "(Oyarz\u00fan &amp; Oyarz\u00fan, 2011)" }, "properties" : { "noteIndex" : 0 }, "schema" : "https://github.com/citation-style-language/schema/raw/master/csl-citation.json" }</w:instrText>
      </w:r>
      <w:r w:rsidRPr="000E0F90">
        <w:rPr>
          <w:rFonts w:ascii="Arial" w:hAnsi="Arial" w:cs="Arial"/>
          <w:color w:val="000000" w:themeColor="text1"/>
          <w:lang w:eastAsia="es-CL"/>
        </w:rPr>
        <w:fldChar w:fldCharType="separate"/>
      </w:r>
      <w:r w:rsidRPr="000E0F90">
        <w:rPr>
          <w:rFonts w:ascii="Arial" w:hAnsi="Arial" w:cs="Arial"/>
          <w:noProof/>
          <w:color w:val="000000" w:themeColor="text1"/>
          <w:lang w:eastAsia="es-CL"/>
        </w:rPr>
        <w:t>(Oyarzún &amp; Oyarzún, 2011)</w:t>
      </w:r>
      <w:r w:rsidRPr="000E0F90">
        <w:rPr>
          <w:rFonts w:ascii="Arial" w:hAnsi="Arial" w:cs="Arial"/>
          <w:color w:val="000000" w:themeColor="text1"/>
          <w:lang w:eastAsia="es-CL"/>
        </w:rPr>
        <w:fldChar w:fldCharType="end"/>
      </w:r>
      <w:r w:rsidRPr="000E0F90">
        <w:rPr>
          <w:rFonts w:ascii="Arial" w:hAnsi="Arial" w:cs="Arial"/>
          <w:color w:val="000000" w:themeColor="text1"/>
          <w:lang w:eastAsia="es-CL"/>
        </w:rPr>
        <w:t xml:space="preserve">. </w:t>
      </w:r>
    </w:p>
    <w:p w:rsidR="004B1839" w:rsidRPr="000E0F90" w:rsidRDefault="004D18D6" w:rsidP="002B538F">
      <w:pPr>
        <w:spacing w:line="360" w:lineRule="auto"/>
        <w:rPr>
          <w:rFonts w:ascii="Arial" w:hAnsi="Arial" w:cs="Arial"/>
          <w:color w:val="000000" w:themeColor="text1"/>
          <w:lang w:eastAsia="es-CL"/>
        </w:rPr>
      </w:pPr>
      <w:r w:rsidRPr="000E0F90">
        <w:rPr>
          <w:rFonts w:ascii="Arial" w:hAnsi="Arial" w:cs="Arial"/>
          <w:color w:val="000000" w:themeColor="text1"/>
          <w:lang w:eastAsia="es-CL"/>
        </w:rPr>
        <w:t>L</w:t>
      </w:r>
      <w:r w:rsidR="004B1839" w:rsidRPr="000E0F90">
        <w:rPr>
          <w:rFonts w:ascii="Arial" w:hAnsi="Arial" w:cs="Arial"/>
          <w:color w:val="000000" w:themeColor="text1"/>
          <w:lang w:eastAsia="es-CL"/>
        </w:rPr>
        <w:t xml:space="preserve">a minería deteriora la calidad del agua asociado a la descarga de metales pesados, dificultando la provisión en el tiempo del recurso en calidad y cantidad </w:t>
      </w:r>
      <w:r w:rsidR="004B1839" w:rsidRPr="000E0F90">
        <w:rPr>
          <w:rFonts w:ascii="Arial" w:hAnsi="Arial" w:cs="Arial"/>
          <w:color w:val="000000" w:themeColor="text1"/>
          <w:lang w:eastAsia="es-CL"/>
        </w:rPr>
        <w:fldChar w:fldCharType="begin" w:fldLock="1"/>
      </w:r>
      <w:r w:rsidR="0098473B" w:rsidRPr="000E0F90">
        <w:rPr>
          <w:rFonts w:ascii="Arial" w:hAnsi="Arial" w:cs="Arial"/>
          <w:color w:val="000000" w:themeColor="text1"/>
          <w:lang w:eastAsia="es-CL"/>
        </w:rPr>
        <w:instrText>ADDIN CSL_CITATION { "citationItems" : [ { "id" : "ITEM-1", "itemData" : { "DOI" : "10.1080/17480930.2015.1128799", "ISSN" : "1748-0930", "abstract" : "Chile is the principal producer of copper with a total of 5.8\u00a0million tonnes fine copper production in 2013. Chilean mining industry currently faces a projected increase in waste production, depleting water resources in the arid mining regions of the north and a lack of fossil fuel energy sources. In this study, a review of the historical background of environmental practices in Chile is presented, focused between 1970 and 2010. A review of the current state of sustainable development, comprising energy, water, stakeholder participation, environmental impacts and institutional decentralisation in the mining industry is presented.", "author" : [ { "dropping-particle" : "", "family" : "Ghorbani", "given" : "Yousef", "non-dropping-particle" : "", "parse-names" : false, "suffix" : "" }, { "dropping-particle" : "", "family" : "Kuan", "given" : "Seng How", "non-dropping-particle" : "", "parse-names" : false, "suffix" : "" } ], "container-title" : "International Journal of Mining, Reclamation and Environment", "id" : "ITEM-1", "issue" : "February", "issued" : { "date-parts" : [ [ "2016" ] ] }, "note" : "NULL", "page" : "1-29", "publisher" : "Taylor &amp; Francis", "title" : "A review of sustainable development in the Chilean mining sector: past, present and future", "type" : "article-journal", "volume" : "0930" }, "uris" : [ "http://www.mendeley.com/documents/?uuid=ba6630bb-3cdb-4443-b119-f6b6f68bafa7" ] } ], "mendeley" : { "formattedCitation" : "(Ghorbani &amp; Kuan, 2016)", "plainTextFormattedCitation" : "(Ghorbani &amp; Kuan, 2016)", "previouslyFormattedCitation" : "(Ghorbani &amp; Kuan, 2016)" }, "properties" : { "noteIndex" : 0 }, "schema" : "https://github.com/citation-style-language/schema/raw/master/csl-citation.json" }</w:instrText>
      </w:r>
      <w:r w:rsidR="004B1839" w:rsidRPr="000E0F90">
        <w:rPr>
          <w:rFonts w:ascii="Arial" w:hAnsi="Arial" w:cs="Arial"/>
          <w:color w:val="000000" w:themeColor="text1"/>
          <w:lang w:eastAsia="es-CL"/>
        </w:rPr>
        <w:fldChar w:fldCharType="separate"/>
      </w:r>
      <w:r w:rsidR="0098473B" w:rsidRPr="000E0F90">
        <w:rPr>
          <w:rFonts w:ascii="Arial" w:hAnsi="Arial" w:cs="Arial"/>
          <w:noProof/>
          <w:color w:val="000000" w:themeColor="text1"/>
          <w:lang w:eastAsia="es-CL"/>
        </w:rPr>
        <w:t>(Ghorbani &amp; Kuan, 2016)</w:t>
      </w:r>
      <w:r w:rsidR="004B1839" w:rsidRPr="000E0F90">
        <w:rPr>
          <w:rFonts w:ascii="Arial" w:hAnsi="Arial" w:cs="Arial"/>
          <w:color w:val="000000" w:themeColor="text1"/>
          <w:lang w:eastAsia="es-CL"/>
        </w:rPr>
        <w:fldChar w:fldCharType="end"/>
      </w:r>
      <w:r w:rsidR="004B1839" w:rsidRPr="000E0F90">
        <w:rPr>
          <w:rFonts w:ascii="Arial" w:hAnsi="Arial" w:cs="Arial"/>
          <w:color w:val="000000" w:themeColor="text1"/>
          <w:lang w:eastAsia="es-CL"/>
        </w:rPr>
        <w:t xml:space="preserve"> </w:t>
      </w:r>
      <w:r w:rsidR="004B1839" w:rsidRPr="000E0F90">
        <w:rPr>
          <w:rFonts w:ascii="Arial" w:hAnsi="Arial" w:cs="Arial"/>
          <w:color w:val="000000" w:themeColor="text1"/>
          <w:lang w:eastAsia="es-CL"/>
        </w:rPr>
        <w:fldChar w:fldCharType="begin" w:fldLock="1"/>
      </w:r>
      <w:r w:rsidRPr="000E0F90">
        <w:rPr>
          <w:rFonts w:ascii="Arial" w:hAnsi="Arial" w:cs="Arial"/>
          <w:color w:val="000000" w:themeColor="text1"/>
          <w:lang w:eastAsia="es-CL"/>
        </w:rPr>
        <w:instrText>ADDIN CSL_CITATION { "citationItems" : [ { "id" : "ITEM-1", "itemData" : { "author" : [ { "dropping-particle" : "", "family" : "Schildermans", "given" : "Peter", "non-dropping-particle" : "", "parse-names" : false, "suffix" : "" } ], "id" : "ITEM-1", "issued" : { "date-parts" : [ [ "2011" ] ] }, "note" : "NULL", "page" : "256", "title" : "The Chilean copper industry towards a more ecologically durable exploitation ?", "type" : "article-journal" }, "uris" : [ "http://www.mendeley.com/documents/?uuid=b25a2fcc-89a4-4984-9241-223ea94111a8" ] } ], "mendeley" : { "formattedCitation" : "(Schildermans, 2011)", "plainTextFormattedCitation" : "(Schildermans, 2011)", "previouslyFormattedCitation" : "(Schildermans, 2011)" }, "properties" : { "noteIndex" : 0 }, "schema" : "https://github.com/citation-style-language/schema/raw/master/csl-citation.json" }</w:instrText>
      </w:r>
      <w:r w:rsidR="004B1839" w:rsidRPr="000E0F90">
        <w:rPr>
          <w:rFonts w:ascii="Arial" w:hAnsi="Arial" w:cs="Arial"/>
          <w:color w:val="000000" w:themeColor="text1"/>
          <w:lang w:eastAsia="es-CL"/>
        </w:rPr>
        <w:fldChar w:fldCharType="separate"/>
      </w:r>
      <w:r w:rsidRPr="000E0F90">
        <w:rPr>
          <w:rFonts w:ascii="Arial" w:hAnsi="Arial" w:cs="Arial"/>
          <w:noProof/>
          <w:color w:val="000000" w:themeColor="text1"/>
          <w:lang w:eastAsia="es-CL"/>
        </w:rPr>
        <w:t>(Schildermans, 2011)</w:t>
      </w:r>
      <w:r w:rsidR="004B1839" w:rsidRPr="000E0F90">
        <w:rPr>
          <w:rFonts w:ascii="Arial" w:hAnsi="Arial" w:cs="Arial"/>
          <w:color w:val="000000" w:themeColor="text1"/>
          <w:lang w:eastAsia="es-CL"/>
        </w:rPr>
        <w:fldChar w:fldCharType="end"/>
      </w:r>
      <w:r w:rsidR="004B1839" w:rsidRPr="000E0F90">
        <w:rPr>
          <w:rFonts w:ascii="Arial" w:hAnsi="Arial" w:cs="Arial"/>
          <w:color w:val="000000" w:themeColor="text1"/>
          <w:lang w:eastAsia="es-CL"/>
        </w:rPr>
        <w:t xml:space="preserve">. Recursos hídricos del país que han sido afectados por la contaminación minera corresponden a: El Rio Salado, Bahía de Chañaral, Río Loa, Estuarios de Coquimbo y Mejillones </w:t>
      </w:r>
      <w:r w:rsidR="004B1839" w:rsidRPr="000E0F90">
        <w:rPr>
          <w:rFonts w:ascii="Arial" w:hAnsi="Arial" w:cs="Arial"/>
          <w:color w:val="000000" w:themeColor="text1"/>
          <w:lang w:eastAsia="es-CL"/>
        </w:rPr>
        <w:fldChar w:fldCharType="begin" w:fldLock="1"/>
      </w:r>
      <w:r w:rsidR="0098473B" w:rsidRPr="000E0F90">
        <w:rPr>
          <w:rFonts w:ascii="Arial" w:hAnsi="Arial" w:cs="Arial"/>
          <w:color w:val="000000" w:themeColor="text1"/>
          <w:lang w:eastAsia="es-CL"/>
        </w:rPr>
        <w:instrText>ADDIN CSL_CITATION { "citationItems" : [ { "id" : "ITEM-1", "itemData" : { "DOI" : "10.1080/17480930.2015.1128799", "ISSN" : "1748-0930", "abstract" : "Chile is the principal producer of copper with a total of 5.8\u00a0million tonnes fine copper production in 2013. Chilean mining industry currently faces a projected increase in waste production, depleting water resources in the arid mining regions of the north and a lack of fossil fuel energy sources. In this study, a review of the historical background of environmental practices in Chile is presented, focused between 1970 and 2010. A review of the current state of sustainable development, comprising energy, water, stakeholder participation, environmental impacts and institutional decentralisation in the mining industry is presented.", "author" : [ { "dropping-particle" : "", "family" : "Ghorbani", "given" : "Yousef", "non-dropping-particle" : "", "parse-names" : false, "suffix" : "" }, { "dropping-particle" : "", "family" : "Kuan", "given" : "Seng How", "non-dropping-particle" : "", "parse-names" : false, "suffix" : "" } ], "container-title" : "International Journal of Mining, Reclamation and Environment", "id" : "ITEM-1", "issue" : "February", "issued" : { "date-parts" : [ [ "2016" ] ] }, "note" : "NULL", "page" : "1-29", "publisher" : "Taylor &amp; Francis", "title" : "A review of sustainable development in the Chilean mining sector: past, present and future", "type" : "article-journal", "volume" : "0930" }, "uris" : [ "http://www.mendeley.com/documents/?uuid=ba6630bb-3cdb-4443-b119-f6b6f68bafa7" ] } ], "mendeley" : { "formattedCitation" : "(Ghorbani &amp; Kuan, 2016)", "plainTextFormattedCitation" : "(Ghorbani &amp; Kuan, 2016)", "previouslyFormattedCitation" : "(Ghorbani &amp; Kuan, 2016)" }, "properties" : { "noteIndex" : 0 }, "schema" : "https://github.com/citation-style-language/schema/raw/master/csl-citation.json" }</w:instrText>
      </w:r>
      <w:r w:rsidR="004B1839" w:rsidRPr="000E0F90">
        <w:rPr>
          <w:rFonts w:ascii="Arial" w:hAnsi="Arial" w:cs="Arial"/>
          <w:color w:val="000000" w:themeColor="text1"/>
          <w:lang w:eastAsia="es-CL"/>
        </w:rPr>
        <w:fldChar w:fldCharType="separate"/>
      </w:r>
      <w:r w:rsidR="0098473B" w:rsidRPr="000E0F90">
        <w:rPr>
          <w:rFonts w:ascii="Arial" w:hAnsi="Arial" w:cs="Arial"/>
          <w:noProof/>
          <w:color w:val="000000" w:themeColor="text1"/>
          <w:lang w:eastAsia="es-CL"/>
        </w:rPr>
        <w:t>(Ghorbani &amp; Kuan, 2016)</w:t>
      </w:r>
      <w:r w:rsidR="004B1839" w:rsidRPr="000E0F90">
        <w:rPr>
          <w:rFonts w:ascii="Arial" w:hAnsi="Arial" w:cs="Arial"/>
          <w:color w:val="000000" w:themeColor="text1"/>
          <w:lang w:eastAsia="es-CL"/>
        </w:rPr>
        <w:fldChar w:fldCharType="end"/>
      </w:r>
      <w:r w:rsidR="004B1839" w:rsidRPr="000E0F90">
        <w:rPr>
          <w:rFonts w:ascii="Arial" w:hAnsi="Arial" w:cs="Arial"/>
          <w:color w:val="000000" w:themeColor="text1"/>
          <w:lang w:eastAsia="es-CL"/>
        </w:rPr>
        <w:t xml:space="preserve">.   </w:t>
      </w:r>
    </w:p>
    <w:p w:rsidR="004B1839" w:rsidRPr="000E0F90" w:rsidRDefault="004B1839" w:rsidP="002B538F">
      <w:pPr>
        <w:spacing w:line="360" w:lineRule="auto"/>
        <w:rPr>
          <w:rFonts w:ascii="Arial" w:hAnsi="Arial" w:cs="Arial"/>
          <w:color w:val="000000" w:themeColor="text1"/>
          <w:lang w:eastAsia="es-CL"/>
        </w:rPr>
      </w:pPr>
      <w:r w:rsidRPr="000E0F90">
        <w:rPr>
          <w:rFonts w:ascii="Arial" w:hAnsi="Arial" w:cs="Arial"/>
          <w:color w:val="000000" w:themeColor="text1"/>
          <w:lang w:eastAsia="es-CL"/>
        </w:rPr>
        <w:t>A esto habría que agregar el dominio de los recursos</w:t>
      </w:r>
      <w:r w:rsidR="00616EF0" w:rsidRPr="000E0F90">
        <w:rPr>
          <w:rFonts w:ascii="Arial" w:hAnsi="Arial" w:cs="Arial"/>
          <w:color w:val="000000" w:themeColor="text1"/>
          <w:lang w:eastAsia="es-CL"/>
        </w:rPr>
        <w:t xml:space="preserve"> hídricos de los territorios mi</w:t>
      </w:r>
      <w:r w:rsidRPr="000E0F90">
        <w:rPr>
          <w:rFonts w:ascii="Arial" w:hAnsi="Arial" w:cs="Arial"/>
          <w:color w:val="000000" w:themeColor="text1"/>
          <w:lang w:eastAsia="es-CL"/>
        </w:rPr>
        <w:t>n</w:t>
      </w:r>
      <w:r w:rsidR="00616EF0" w:rsidRPr="000E0F90">
        <w:rPr>
          <w:rFonts w:ascii="Arial" w:hAnsi="Arial" w:cs="Arial"/>
          <w:color w:val="000000" w:themeColor="text1"/>
          <w:lang w:eastAsia="es-CL"/>
        </w:rPr>
        <w:t>e</w:t>
      </w:r>
      <w:r w:rsidRPr="000E0F90">
        <w:rPr>
          <w:rFonts w:ascii="Arial" w:hAnsi="Arial" w:cs="Arial"/>
          <w:color w:val="000000" w:themeColor="text1"/>
          <w:lang w:eastAsia="es-CL"/>
        </w:rPr>
        <w:t xml:space="preserve">ros, los cuales pertenecen mayormente a las compañías mineras, a lo que se suma el </w:t>
      </w:r>
      <w:r w:rsidRPr="000E0F90">
        <w:rPr>
          <w:rFonts w:ascii="Arial" w:hAnsi="Arial" w:cs="Arial"/>
          <w:color w:val="000000" w:themeColor="text1"/>
          <w:lang w:eastAsia="es-CL"/>
        </w:rPr>
        <w:lastRenderedPageBreak/>
        <w:t xml:space="preserve">elevado valor de los derechos de agua, </w:t>
      </w:r>
      <w:r w:rsidR="000F33EE" w:rsidRPr="000E0F90">
        <w:rPr>
          <w:rFonts w:ascii="Arial" w:hAnsi="Arial" w:cs="Arial"/>
          <w:color w:val="000000" w:themeColor="text1"/>
          <w:lang w:eastAsia="es-CL"/>
        </w:rPr>
        <w:t xml:space="preserve">que </w:t>
      </w:r>
      <w:r w:rsidRPr="000E0F90">
        <w:rPr>
          <w:rFonts w:ascii="Arial" w:hAnsi="Arial" w:cs="Arial"/>
          <w:color w:val="000000" w:themeColor="text1"/>
          <w:lang w:eastAsia="es-CL"/>
        </w:rPr>
        <w:t xml:space="preserve">tratado como un bien de consumo bajo </w:t>
      </w:r>
      <w:r w:rsidR="0049698D" w:rsidRPr="000E0F90">
        <w:rPr>
          <w:rFonts w:ascii="Arial" w:hAnsi="Arial" w:cs="Arial"/>
          <w:color w:val="000000" w:themeColor="text1"/>
          <w:lang w:eastAsia="es-CL"/>
        </w:rPr>
        <w:t>legislación</w:t>
      </w:r>
      <w:r w:rsidRPr="000E0F90">
        <w:rPr>
          <w:rFonts w:ascii="Arial" w:hAnsi="Arial" w:cs="Arial"/>
          <w:color w:val="000000" w:themeColor="text1"/>
          <w:lang w:eastAsia="es-CL"/>
        </w:rPr>
        <w:t xml:space="preserve"> chilena, ejerce un efecto </w:t>
      </w:r>
      <w:r w:rsidR="0049698D" w:rsidRPr="000E0F90">
        <w:rPr>
          <w:rFonts w:ascii="Arial" w:hAnsi="Arial" w:cs="Arial"/>
          <w:color w:val="000000" w:themeColor="text1"/>
          <w:lang w:eastAsia="es-CL"/>
        </w:rPr>
        <w:t>prohibitivo</w:t>
      </w:r>
      <w:r w:rsidRPr="000E0F90">
        <w:rPr>
          <w:rFonts w:ascii="Arial" w:hAnsi="Arial" w:cs="Arial"/>
          <w:color w:val="000000" w:themeColor="text1"/>
          <w:lang w:eastAsia="es-CL"/>
        </w:rPr>
        <w:t xml:space="preserve"> en el desarrollo de otras actividades productivas </w:t>
      </w:r>
      <w:r w:rsidRPr="000E0F90">
        <w:rPr>
          <w:rFonts w:ascii="Arial" w:hAnsi="Arial" w:cs="Arial"/>
          <w:color w:val="000000" w:themeColor="text1"/>
          <w:lang w:eastAsia="es-CL"/>
        </w:rPr>
        <w:fldChar w:fldCharType="begin" w:fldLock="1"/>
      </w:r>
      <w:r w:rsidR="0098473B" w:rsidRPr="000E0F90">
        <w:rPr>
          <w:rFonts w:ascii="Arial" w:hAnsi="Arial" w:cs="Arial"/>
          <w:color w:val="000000" w:themeColor="text1"/>
          <w:lang w:eastAsia="es-CL"/>
        </w:rPr>
        <w:instrText>ADDIN CSL_CITATION { "citationItems" : [ { "id" : "ITEM-1", "itemData" : { "DOI" : "10.1080/17480930.2015.1128799", "ISSN" : "1748-0930", "abstract" : "Chile is the principal producer of copper with a total of 5.8\u00a0million tonnes fine copper production in 2013. Chilean mining industry currently faces a projected increase in waste production, depleting water resources in the arid mining regions of the north and a lack of fossil fuel energy sources. In this study, a review of the historical background of environmental practices in Chile is presented, focused between 1970 and 2010. A review of the current state of sustainable development, comprising energy, water, stakeholder participation, environmental impacts and institutional decentralisation in the mining industry is presented.", "author" : [ { "dropping-particle" : "", "family" : "Ghorbani", "given" : "Yousef", "non-dropping-particle" : "", "parse-names" : false, "suffix" : "" }, { "dropping-particle" : "", "family" : "Kuan", "given" : "Seng How", "non-dropping-particle" : "", "parse-names" : false, "suffix" : "" } ], "container-title" : "International Journal of Mining, Reclamation and Environment", "id" : "ITEM-1", "issue" : "February", "issued" : { "date-parts" : [ [ "2016" ] ] }, "note" : "NULL", "page" : "1-29", "publisher" : "Taylor &amp; Francis", "title" : "A review of sustainable development in the Chilean mining sector: past, present and future", "type" : "article-journal", "volume" : "0930" }, "uris" : [ "http://www.mendeley.com/documents/?uuid=ba6630bb-3cdb-4443-b119-f6b6f68bafa7" ] } ], "mendeley" : { "formattedCitation" : "(Ghorbani &amp; Kuan, 2016)", "plainTextFormattedCitation" : "(Ghorbani &amp; Kuan, 2016)", "previouslyFormattedCitation" : "(Ghorbani &amp; Kuan, 2016)" }, "properties" : { "noteIndex" : 0 }, "schema" : "https://github.com/citation-style-language/schema/raw/master/csl-citation.json" }</w:instrText>
      </w:r>
      <w:r w:rsidRPr="000E0F90">
        <w:rPr>
          <w:rFonts w:ascii="Arial" w:hAnsi="Arial" w:cs="Arial"/>
          <w:color w:val="000000" w:themeColor="text1"/>
          <w:lang w:eastAsia="es-CL"/>
        </w:rPr>
        <w:fldChar w:fldCharType="separate"/>
      </w:r>
      <w:r w:rsidR="0098473B" w:rsidRPr="000E0F90">
        <w:rPr>
          <w:rFonts w:ascii="Arial" w:hAnsi="Arial" w:cs="Arial"/>
          <w:noProof/>
          <w:color w:val="000000" w:themeColor="text1"/>
          <w:lang w:eastAsia="es-CL"/>
        </w:rPr>
        <w:t>(Ghorbani &amp; Kuan, 2016)</w:t>
      </w:r>
      <w:r w:rsidRPr="000E0F90">
        <w:rPr>
          <w:rFonts w:ascii="Arial" w:hAnsi="Arial" w:cs="Arial"/>
          <w:color w:val="000000" w:themeColor="text1"/>
          <w:lang w:eastAsia="es-CL"/>
        </w:rPr>
        <w:fldChar w:fldCharType="end"/>
      </w:r>
      <w:r w:rsidRPr="000E0F90">
        <w:rPr>
          <w:rFonts w:ascii="Arial" w:hAnsi="Arial" w:cs="Arial"/>
          <w:color w:val="000000" w:themeColor="text1"/>
          <w:lang w:eastAsia="es-CL"/>
        </w:rPr>
        <w:t xml:space="preserve"> </w:t>
      </w:r>
      <w:r w:rsidRPr="000E0F90">
        <w:rPr>
          <w:rFonts w:ascii="Arial" w:hAnsi="Arial" w:cs="Arial"/>
          <w:color w:val="000000" w:themeColor="text1"/>
          <w:lang w:eastAsia="es-CL"/>
        </w:rPr>
        <w:fldChar w:fldCharType="begin" w:fldLock="1"/>
      </w:r>
      <w:r w:rsidR="004D18D6" w:rsidRPr="000E0F90">
        <w:rPr>
          <w:rFonts w:ascii="Arial" w:hAnsi="Arial" w:cs="Arial"/>
          <w:color w:val="000000" w:themeColor="text1"/>
          <w:lang w:eastAsia="es-CL"/>
        </w:rPr>
        <w:instrText>ADDIN CSL_CITATION { "citationItems" : [ { "id" : "ITEM-1", "itemData" : { "author" : [ { "dropping-particle" : "", "family" : "Schildermans", "given" : "Peter", "non-dropping-particle" : "", "parse-names" : false, "suffix" : "" } ], "id" : "ITEM-1", "issued" : { "date-parts" : [ [ "2011" ] ] }, "note" : "NULL", "page" : "256", "title" : "The Chilean copper industry towards a more ecologically durable exploitation ?", "type" : "article-journal" }, "uris" : [ "http://www.mendeley.com/documents/?uuid=b25a2fcc-89a4-4984-9241-223ea94111a8" ] } ], "mendeley" : { "formattedCitation" : "(Schildermans, 2011)", "plainTextFormattedCitation" : "(Schildermans, 2011)", "previouslyFormattedCitation" : "(Schildermans, 2011)" }, "properties" : { "noteIndex" : 0 }, "schema" : "https://github.com/citation-style-language/schema/raw/master/csl-citation.json" }</w:instrText>
      </w:r>
      <w:r w:rsidRPr="000E0F90">
        <w:rPr>
          <w:rFonts w:ascii="Arial" w:hAnsi="Arial" w:cs="Arial"/>
          <w:color w:val="000000" w:themeColor="text1"/>
          <w:lang w:eastAsia="es-CL"/>
        </w:rPr>
        <w:fldChar w:fldCharType="separate"/>
      </w:r>
      <w:r w:rsidR="004D18D6" w:rsidRPr="000E0F90">
        <w:rPr>
          <w:rFonts w:ascii="Arial" w:hAnsi="Arial" w:cs="Arial"/>
          <w:noProof/>
          <w:color w:val="000000" w:themeColor="text1"/>
          <w:lang w:eastAsia="es-CL"/>
        </w:rPr>
        <w:t>(Schildermans, 2011)</w:t>
      </w:r>
      <w:r w:rsidRPr="000E0F90">
        <w:rPr>
          <w:rFonts w:ascii="Arial" w:hAnsi="Arial" w:cs="Arial"/>
          <w:color w:val="000000" w:themeColor="text1"/>
          <w:lang w:eastAsia="es-CL"/>
        </w:rPr>
        <w:fldChar w:fldCharType="end"/>
      </w:r>
      <w:r w:rsidRPr="000E0F90">
        <w:rPr>
          <w:rFonts w:ascii="Arial" w:hAnsi="Arial" w:cs="Arial"/>
          <w:color w:val="000000" w:themeColor="text1"/>
          <w:lang w:eastAsia="es-CL"/>
        </w:rPr>
        <w:t xml:space="preserve"> </w:t>
      </w:r>
      <w:r w:rsidRPr="000E0F90">
        <w:rPr>
          <w:rFonts w:ascii="Arial" w:hAnsi="Arial" w:cs="Arial"/>
          <w:color w:val="000000" w:themeColor="text1"/>
          <w:lang w:eastAsia="es-CL"/>
        </w:rPr>
        <w:fldChar w:fldCharType="begin" w:fldLock="1"/>
      </w:r>
      <w:r w:rsidRPr="000E0F90">
        <w:rPr>
          <w:rFonts w:ascii="Arial" w:hAnsi="Arial" w:cs="Arial"/>
          <w:color w:val="000000" w:themeColor="text1"/>
          <w:lang w:eastAsia="es-CL"/>
        </w:rPr>
        <w:instrText>ADDIN CSL_CITATION { "citationItems" : [ { "id" : "ITEM-1", "itemData" : { "author" : [ { "dropping-particle" : "", "family" : "Oyarz\u00fan", "given" : "J", "non-dropping-particle" : "", "parse-names" : false, "suffix" : "" }, { "dropping-particle" : "", "family" : "Oyarz\u00fan", "given" : "R", "non-dropping-particle" : "", "parse-names" : false, "suffix" : "" } ], "container-title" : "Sustainable Development", "id" : "ITEM-1", "issue" : "December 2009", "issued" : { "date-parts" : [ [ "2011" ] ] }, "page" : "263-274", "title" : "Sustainable Development Threats, Inter-Sector Confl icts and Environmental Policy Requirements in the Arid, Mining Rich, Northern Chile Territory", "type" : "article-journal", "volume" : "19" }, "uris" : [ "http://www.mendeley.com/documents/?uuid=928eabd5-0755-4c69-a4cc-894aa1284178" ] } ], "mendeley" : { "formattedCitation" : "(Oyarz\u00fan &amp; Oyarz\u00fan, 2011)", "plainTextFormattedCitation" : "(Oyarz\u00fan &amp; Oyarz\u00fan, 2011)", "previouslyFormattedCitation" : "(Oyarz\u00fan &amp; Oyarz\u00fan, 2011)" }, "properties" : { "noteIndex" : 0 }, "schema" : "https://github.com/citation-style-language/schema/raw/master/csl-citation.json" }</w:instrText>
      </w:r>
      <w:r w:rsidRPr="000E0F90">
        <w:rPr>
          <w:rFonts w:ascii="Arial" w:hAnsi="Arial" w:cs="Arial"/>
          <w:color w:val="000000" w:themeColor="text1"/>
          <w:lang w:eastAsia="es-CL"/>
        </w:rPr>
        <w:fldChar w:fldCharType="separate"/>
      </w:r>
      <w:r w:rsidRPr="000E0F90">
        <w:rPr>
          <w:rFonts w:ascii="Arial" w:hAnsi="Arial" w:cs="Arial"/>
          <w:noProof/>
          <w:color w:val="000000" w:themeColor="text1"/>
          <w:lang w:eastAsia="es-CL"/>
        </w:rPr>
        <w:t>(Oyarzún &amp; Oyarzún, 2011)</w:t>
      </w:r>
      <w:r w:rsidRPr="000E0F90">
        <w:rPr>
          <w:rFonts w:ascii="Arial" w:hAnsi="Arial" w:cs="Arial"/>
          <w:color w:val="000000" w:themeColor="text1"/>
          <w:lang w:eastAsia="es-CL"/>
        </w:rPr>
        <w:fldChar w:fldCharType="end"/>
      </w:r>
      <w:r w:rsidRPr="000E0F90">
        <w:rPr>
          <w:rFonts w:ascii="Arial" w:hAnsi="Arial" w:cs="Arial"/>
          <w:color w:val="000000" w:themeColor="text1"/>
          <w:lang w:eastAsia="es-CL"/>
        </w:rPr>
        <w:t xml:space="preserve">. </w:t>
      </w:r>
    </w:p>
    <w:p w:rsidR="004B1839" w:rsidRPr="000E0F90" w:rsidRDefault="004B1839" w:rsidP="002B538F">
      <w:pPr>
        <w:spacing w:line="360" w:lineRule="auto"/>
        <w:rPr>
          <w:rFonts w:ascii="Arial" w:hAnsi="Arial" w:cs="Arial"/>
          <w:color w:val="000000" w:themeColor="text1"/>
          <w:lang w:eastAsia="es-CL"/>
        </w:rPr>
      </w:pPr>
      <w:r w:rsidRPr="000E0F90">
        <w:rPr>
          <w:rFonts w:ascii="Arial" w:hAnsi="Arial" w:cs="Arial"/>
          <w:b/>
          <w:color w:val="000000" w:themeColor="text1"/>
          <w:lang w:eastAsia="es-CL"/>
        </w:rPr>
        <w:t>Contaminación de Aire</w:t>
      </w:r>
      <w:r w:rsidRPr="000E0F90">
        <w:rPr>
          <w:rFonts w:ascii="Arial" w:hAnsi="Arial" w:cs="Arial"/>
          <w:color w:val="000000" w:themeColor="text1"/>
          <w:lang w:eastAsia="es-CL"/>
        </w:rPr>
        <w:t xml:space="preserve">: La minería nacional moviliza gran cantidad de partículas, provenientes de la combustión de combustibles de fuentes estacionarias y móviles, procesamiento de mineral (i.e. fundición), explosiones y relaves, las cuales una vez que precipitan afectan las plantas, animales y suelo. </w:t>
      </w:r>
      <w:r w:rsidRPr="000E0F90">
        <w:rPr>
          <w:rFonts w:ascii="Arial" w:hAnsi="Arial" w:cs="Arial"/>
          <w:color w:val="000000" w:themeColor="text1"/>
          <w:lang w:eastAsia="es-CL"/>
        </w:rPr>
        <w:fldChar w:fldCharType="begin" w:fldLock="1"/>
      </w:r>
      <w:r w:rsidR="0098473B" w:rsidRPr="000E0F90">
        <w:rPr>
          <w:rFonts w:ascii="Arial" w:hAnsi="Arial" w:cs="Arial"/>
          <w:color w:val="000000" w:themeColor="text1"/>
          <w:lang w:eastAsia="es-CL"/>
        </w:rPr>
        <w:instrText>ADDIN CSL_CITATION { "citationItems" : [ { "id" : "ITEM-1", "itemData" : { "DOI" : "10.1080/17480930.2015.1128799", "ISSN" : "1748-0930", "abstract" : "Chile is the principal producer of copper with a total of 5.8\u00a0million tonnes fine copper production in 2013. Chilean mining industry currently faces a projected increase in waste production, depleting water resources in the arid mining regions of the north and a lack of fossil fuel energy sources. In this study, a review of the historical background of environmental practices in Chile is presented, focused between 1970 and 2010. A review of the current state of sustainable development, comprising energy, water, stakeholder participation, environmental impacts and institutional decentralisation in the mining industry is presented.", "author" : [ { "dropping-particle" : "", "family" : "Ghorbani", "given" : "Yousef", "non-dropping-particle" : "", "parse-names" : false, "suffix" : "" }, { "dropping-particle" : "", "family" : "Kuan", "given" : "Seng How", "non-dropping-particle" : "", "parse-names" : false, "suffix" : "" } ], "container-title" : "International Journal of Mining, Reclamation and Environment", "id" : "ITEM-1", "issue" : "February", "issued" : { "date-parts" : [ [ "2016" ] ] }, "note" : "NULL", "page" : "1-29", "publisher" : "Taylor &amp; Francis", "title" : "A review of sustainable development in the Chilean mining sector: past, present and future", "type" : "article-journal", "volume" : "0930" }, "uris" : [ "http://www.mendeley.com/documents/?uuid=ba6630bb-3cdb-4443-b119-f6b6f68bafa7" ] } ], "mendeley" : { "formattedCitation" : "(Ghorbani &amp; Kuan, 2016)", "plainTextFormattedCitation" : "(Ghorbani &amp; Kuan, 2016)", "previouslyFormattedCitation" : "(Ghorbani &amp; Kuan, 2016)" }, "properties" : { "noteIndex" : 0 }, "schema" : "https://github.com/citation-style-language/schema/raw/master/csl-citation.json" }</w:instrText>
      </w:r>
      <w:r w:rsidRPr="000E0F90">
        <w:rPr>
          <w:rFonts w:ascii="Arial" w:hAnsi="Arial" w:cs="Arial"/>
          <w:color w:val="000000" w:themeColor="text1"/>
          <w:lang w:eastAsia="es-CL"/>
        </w:rPr>
        <w:fldChar w:fldCharType="separate"/>
      </w:r>
      <w:r w:rsidR="0098473B" w:rsidRPr="000E0F90">
        <w:rPr>
          <w:rFonts w:ascii="Arial" w:hAnsi="Arial" w:cs="Arial"/>
          <w:noProof/>
          <w:color w:val="000000" w:themeColor="text1"/>
          <w:lang w:eastAsia="es-CL"/>
        </w:rPr>
        <w:t>(Ghorbani &amp; Kuan, 2016)</w:t>
      </w:r>
      <w:r w:rsidRPr="000E0F90">
        <w:rPr>
          <w:rFonts w:ascii="Arial" w:hAnsi="Arial" w:cs="Arial"/>
          <w:color w:val="000000" w:themeColor="text1"/>
          <w:lang w:eastAsia="es-CL"/>
        </w:rPr>
        <w:fldChar w:fldCharType="end"/>
      </w:r>
      <w:r w:rsidRPr="000E0F90">
        <w:rPr>
          <w:rFonts w:ascii="Arial" w:hAnsi="Arial" w:cs="Arial"/>
          <w:color w:val="000000" w:themeColor="text1"/>
          <w:lang w:eastAsia="es-CL"/>
        </w:rPr>
        <w:t xml:space="preserve">. Los principales contaminantes atmosféricos de la minería chilena corresponden a dióxido de azufre (SO2), óxido de nitrógeno, arsénico y material particulado que contiene cobre, hierro, arsénico, antimonio, cadmio, plomo, mercurio, zinc, y algunos sulfatos metálicos y niebla de ácido sulfúrico </w:t>
      </w:r>
      <w:r w:rsidRPr="000E0F90">
        <w:rPr>
          <w:rFonts w:ascii="Arial" w:hAnsi="Arial" w:cs="Arial"/>
          <w:color w:val="000000" w:themeColor="text1"/>
          <w:lang w:eastAsia="es-CL"/>
        </w:rPr>
        <w:fldChar w:fldCharType="begin" w:fldLock="1"/>
      </w:r>
      <w:r w:rsidR="0098473B" w:rsidRPr="000E0F90">
        <w:rPr>
          <w:rFonts w:ascii="Arial" w:hAnsi="Arial" w:cs="Arial"/>
          <w:color w:val="000000" w:themeColor="text1"/>
          <w:lang w:eastAsia="es-CL"/>
        </w:rPr>
        <w:instrText>ADDIN CSL_CITATION { "citationItems" : [ { "id" : "ITEM-1", "itemData" : { "DOI" : "10.1080/17480930.2015.1128799", "ISSN" : "1748-0930", "abstract" : "Chile is the principal producer of copper with a total of 5.8\u00a0million tonnes fine copper production in 2013. Chilean mining industry currently faces a projected increase in waste production, depleting water resources in the arid mining regions of the north and a lack of fossil fuel energy sources. In this study, a review of the historical background of environmental practices in Chile is presented, focused between 1970 and 2010. A review of the current state of sustainable development, comprising energy, water, stakeholder participation, environmental impacts and institutional decentralisation in the mining industry is presented.", "author" : [ { "dropping-particle" : "", "family" : "Ghorbani", "given" : "Yousef", "non-dropping-particle" : "", "parse-names" : false, "suffix" : "" }, { "dropping-particle" : "", "family" : "Kuan", "given" : "Seng How", "non-dropping-particle" : "", "parse-names" : false, "suffix" : "" } ], "container-title" : "International Journal of Mining, Reclamation and Environment", "id" : "ITEM-1", "issue" : "February", "issued" : { "date-parts" : [ [ "2016" ] ] }, "note" : "NULL", "page" : "1-29", "publisher" : "Taylor &amp; Francis", "title" : "A review of sustainable development in the Chilean mining sector: past, present and future", "type" : "article-journal", "volume" : "0930" }, "uris" : [ "http://www.mendeley.com/documents/?uuid=ba6630bb-3cdb-4443-b119-f6b6f68bafa7" ] } ], "mendeley" : { "formattedCitation" : "(Ghorbani &amp; Kuan, 2016)", "plainTextFormattedCitation" : "(Ghorbani &amp; Kuan, 2016)", "previouslyFormattedCitation" : "(Ghorbani &amp; Kuan, 2016)" }, "properties" : { "noteIndex" : 0 }, "schema" : "https://github.com/citation-style-language/schema/raw/master/csl-citation.json" }</w:instrText>
      </w:r>
      <w:r w:rsidRPr="000E0F90">
        <w:rPr>
          <w:rFonts w:ascii="Arial" w:hAnsi="Arial" w:cs="Arial"/>
          <w:color w:val="000000" w:themeColor="text1"/>
          <w:lang w:eastAsia="es-CL"/>
        </w:rPr>
        <w:fldChar w:fldCharType="separate"/>
      </w:r>
      <w:r w:rsidR="0098473B" w:rsidRPr="000E0F90">
        <w:rPr>
          <w:rFonts w:ascii="Arial" w:hAnsi="Arial" w:cs="Arial"/>
          <w:noProof/>
          <w:color w:val="000000" w:themeColor="text1"/>
          <w:lang w:eastAsia="es-CL"/>
        </w:rPr>
        <w:t>(Ghorbani &amp; Kuan, 2016)</w:t>
      </w:r>
      <w:r w:rsidRPr="000E0F90">
        <w:rPr>
          <w:rFonts w:ascii="Arial" w:hAnsi="Arial" w:cs="Arial"/>
          <w:color w:val="000000" w:themeColor="text1"/>
          <w:lang w:eastAsia="es-CL"/>
        </w:rPr>
        <w:fldChar w:fldCharType="end"/>
      </w:r>
      <w:r w:rsidRPr="000E0F90">
        <w:rPr>
          <w:rFonts w:ascii="Arial" w:hAnsi="Arial" w:cs="Arial"/>
          <w:color w:val="000000" w:themeColor="text1"/>
          <w:lang w:eastAsia="es-CL"/>
        </w:rPr>
        <w:t xml:space="preserve">. Las fundiciones y termoeléctricas son las principales fuentes de emisiones sulfurosas, mientras que el arsénico y metales pesados provienen tanto de fundiciones como relaves, afectando el suelo y la biodiversidad una vez que precipitan </w:t>
      </w:r>
      <w:r w:rsidRPr="000E0F90">
        <w:rPr>
          <w:rFonts w:ascii="Arial" w:hAnsi="Arial" w:cs="Arial"/>
          <w:color w:val="000000" w:themeColor="text1"/>
          <w:lang w:eastAsia="es-CL"/>
        </w:rPr>
        <w:fldChar w:fldCharType="begin" w:fldLock="1"/>
      </w:r>
      <w:r w:rsidR="0098473B" w:rsidRPr="000E0F90">
        <w:rPr>
          <w:rFonts w:ascii="Arial" w:hAnsi="Arial" w:cs="Arial"/>
          <w:color w:val="000000" w:themeColor="text1"/>
          <w:lang w:eastAsia="es-CL"/>
        </w:rPr>
        <w:instrText>ADDIN CSL_CITATION { "citationItems" : [ { "id" : "ITEM-1", "itemData" : { "DOI" : "10.1080/17480930.2015.1128799", "ISSN" : "1748-0930", "abstract" : "Chile is the principal producer of copper with a total of 5.8\u00a0million tonnes fine copper production in 2013. Chilean mining industry currently faces a projected increase in waste production, depleting water resources in the arid mining regions of the north and a lack of fossil fuel energy sources. In this study, a review of the historical background of environmental practices in Chile is presented, focused between 1970 and 2010. A review of the current state of sustainable development, comprising energy, water, stakeholder participation, environmental impacts and institutional decentralisation in the mining industry is presented.", "author" : [ { "dropping-particle" : "", "family" : "Ghorbani", "given" : "Yousef", "non-dropping-particle" : "", "parse-names" : false, "suffix" : "" }, { "dropping-particle" : "", "family" : "Kuan", "given" : "Seng How", "non-dropping-particle" : "", "parse-names" : false, "suffix" : "" } ], "container-title" : "International Journal of Mining, Reclamation and Environment", "id" : "ITEM-1", "issue" : "February", "issued" : { "date-parts" : [ [ "2016" ] ] }, "note" : "NULL", "page" : "1-29", "publisher" : "Taylor &amp; Francis", "title" : "A review of sustainable development in the Chilean mining sector: past, present and future", "type" : "article-journal", "volume" : "0930" }, "uris" : [ "http://www.mendeley.com/documents/?uuid=ba6630bb-3cdb-4443-b119-f6b6f68bafa7" ] } ], "mendeley" : { "formattedCitation" : "(Ghorbani &amp; Kuan, 2016)", "plainTextFormattedCitation" : "(Ghorbani &amp; Kuan, 2016)", "previouslyFormattedCitation" : "(Ghorbani &amp; Kuan, 2016)" }, "properties" : { "noteIndex" : 0 }, "schema" : "https://github.com/citation-style-language/schema/raw/master/csl-citation.json" }</w:instrText>
      </w:r>
      <w:r w:rsidRPr="000E0F90">
        <w:rPr>
          <w:rFonts w:ascii="Arial" w:hAnsi="Arial" w:cs="Arial"/>
          <w:color w:val="000000" w:themeColor="text1"/>
          <w:lang w:eastAsia="es-CL"/>
        </w:rPr>
        <w:fldChar w:fldCharType="separate"/>
      </w:r>
      <w:r w:rsidR="0098473B" w:rsidRPr="000E0F90">
        <w:rPr>
          <w:rFonts w:ascii="Arial" w:hAnsi="Arial" w:cs="Arial"/>
          <w:noProof/>
          <w:color w:val="000000" w:themeColor="text1"/>
          <w:lang w:eastAsia="es-CL"/>
        </w:rPr>
        <w:t>(Ghorbani &amp; Kuan, 2016)</w:t>
      </w:r>
      <w:r w:rsidRPr="000E0F90">
        <w:rPr>
          <w:rFonts w:ascii="Arial" w:hAnsi="Arial" w:cs="Arial"/>
          <w:color w:val="000000" w:themeColor="text1"/>
          <w:lang w:eastAsia="es-CL"/>
        </w:rPr>
        <w:fldChar w:fldCharType="end"/>
      </w:r>
      <w:r w:rsidRPr="000E0F90">
        <w:rPr>
          <w:rFonts w:ascii="Arial" w:hAnsi="Arial" w:cs="Arial"/>
          <w:color w:val="000000" w:themeColor="text1"/>
          <w:lang w:eastAsia="es-CL"/>
        </w:rPr>
        <w:t xml:space="preserve">. </w:t>
      </w:r>
    </w:p>
    <w:p w:rsidR="004B1839" w:rsidRPr="000E0F90" w:rsidRDefault="004B1839" w:rsidP="002B538F">
      <w:pPr>
        <w:spacing w:line="360" w:lineRule="auto"/>
        <w:rPr>
          <w:rFonts w:ascii="Arial" w:hAnsi="Arial" w:cs="Arial"/>
          <w:noProof/>
          <w:color w:val="000000" w:themeColor="text1"/>
          <w:lang w:eastAsia="es-CL"/>
        </w:rPr>
      </w:pPr>
      <w:r w:rsidRPr="000E0F90">
        <w:rPr>
          <w:rFonts w:ascii="Arial" w:hAnsi="Arial" w:cs="Arial"/>
          <w:b/>
          <w:noProof/>
          <w:color w:val="000000" w:themeColor="text1"/>
          <w:lang w:eastAsia="es-CL"/>
        </w:rPr>
        <w:t xml:space="preserve">Suelo: </w:t>
      </w:r>
      <w:r w:rsidRPr="000E0F90">
        <w:rPr>
          <w:rFonts w:ascii="Arial" w:hAnsi="Arial" w:cs="Arial"/>
          <w:noProof/>
          <w:color w:val="000000" w:themeColor="text1"/>
          <w:lang w:eastAsia="es-CL"/>
        </w:rPr>
        <w:t xml:space="preserve">Los efectos de la mineria </w:t>
      </w:r>
      <w:r w:rsidR="000F33EE" w:rsidRPr="000E0F90">
        <w:rPr>
          <w:rFonts w:ascii="Arial" w:hAnsi="Arial" w:cs="Arial"/>
          <w:noProof/>
          <w:color w:val="000000" w:themeColor="text1"/>
          <w:lang w:eastAsia="es-CL"/>
        </w:rPr>
        <w:t xml:space="preserve">nacional </w:t>
      </w:r>
      <w:r w:rsidRPr="000E0F90">
        <w:rPr>
          <w:rFonts w:ascii="Arial" w:hAnsi="Arial" w:cs="Arial"/>
          <w:noProof/>
          <w:color w:val="000000" w:themeColor="text1"/>
          <w:lang w:eastAsia="es-CL"/>
        </w:rPr>
        <w:t>en el suelo pueden alcanzar gran envergadura y permanecer por bastante tiempo</w:t>
      </w:r>
      <w:r w:rsidRPr="000E0F90">
        <w:rPr>
          <w:rFonts w:ascii="Arial" w:hAnsi="Arial" w:cs="Arial"/>
          <w:color w:val="000000" w:themeColor="text1"/>
          <w:lang w:eastAsia="es-CL"/>
        </w:rPr>
        <w:t xml:space="preserve">. </w:t>
      </w:r>
      <w:r w:rsidRPr="000E0F90">
        <w:rPr>
          <w:rFonts w:ascii="Arial" w:hAnsi="Arial" w:cs="Arial"/>
          <w:noProof/>
          <w:color w:val="000000" w:themeColor="text1"/>
          <w:lang w:eastAsia="es-CL"/>
        </w:rPr>
        <w:t xml:space="preserve">Por una parte la actividad genera importantes cambios en el paisaje, removiendo gran cantidad material de suelo que se encontraba cubierto. Genera gran cantidad de sedimento por erosión de suelo expueto, extracción de </w:t>
      </w:r>
      <w:r w:rsidR="00C7596B" w:rsidRPr="000E0F90">
        <w:rPr>
          <w:rFonts w:ascii="Arial" w:hAnsi="Arial" w:cs="Arial"/>
          <w:noProof/>
          <w:color w:val="000000" w:themeColor="text1"/>
          <w:lang w:eastAsia="es-CL"/>
        </w:rPr>
        <w:t>mena</w:t>
      </w:r>
      <w:r w:rsidRPr="000E0F90">
        <w:rPr>
          <w:rFonts w:ascii="Arial" w:hAnsi="Arial" w:cs="Arial"/>
          <w:noProof/>
          <w:color w:val="000000" w:themeColor="text1"/>
          <w:lang w:eastAsia="es-CL"/>
        </w:rPr>
        <w:t>, relaves y botaderos, el cual es depositado en los cursos de agua</w:t>
      </w:r>
      <w:r w:rsidR="004D18D6" w:rsidRPr="000E0F90">
        <w:rPr>
          <w:rFonts w:ascii="Arial" w:hAnsi="Arial" w:cs="Arial"/>
          <w:noProof/>
          <w:color w:val="000000" w:themeColor="text1"/>
          <w:lang w:eastAsia="es-CL"/>
        </w:rPr>
        <w:t xml:space="preserve"> </w:t>
      </w:r>
      <w:r w:rsidR="004D18D6" w:rsidRPr="000E0F90">
        <w:rPr>
          <w:rFonts w:ascii="Arial" w:hAnsi="Arial" w:cs="Arial"/>
          <w:color w:val="000000" w:themeColor="text1"/>
          <w:lang w:eastAsia="es-CL"/>
        </w:rPr>
        <w:fldChar w:fldCharType="begin" w:fldLock="1"/>
      </w:r>
      <w:r w:rsidR="004D18D6" w:rsidRPr="000E0F90">
        <w:rPr>
          <w:rFonts w:ascii="Arial" w:hAnsi="Arial" w:cs="Arial"/>
          <w:color w:val="000000" w:themeColor="text1"/>
          <w:lang w:eastAsia="es-CL"/>
        </w:rPr>
        <w:instrText>ADDIN CSL_CITATION { "citationItems" : [ { "id" : "ITEM-1", "itemData" : { "DOI" : "10.1080/17480930.2015.1128799", "ISSN" : "1748-0930", "abstract" : "Chile is the principal producer of copper with a total of 5.8\u00a0million tonnes fine copper production in 2013. Chilean mining industry currently faces a projected increase in waste production, depleting water resources in the arid mining regions of the north and a lack of fossil fuel energy sources. In this study, a review of the historical background of environmental practices in Chile is presented, focused between 1970 and 2010. A review of the current state of sustainable development, comprising energy, water, stakeholder participation, environmental impacts and institutional decentralisation in the mining industry is presented.", "author" : [ { "dropping-particle" : "", "family" : "Ghorbani", "given" : "Yousef", "non-dropping-particle" : "", "parse-names" : false, "suffix" : "" }, { "dropping-particle" : "", "family" : "Kuan", "given" : "Seng How", "non-dropping-particle" : "", "parse-names" : false, "suffix" : "" } ], "container-title" : "International Journal of Mining, Reclamation and Environment", "id" : "ITEM-1", "issue" : "February", "issued" : { "date-parts" : [ [ "2016" ] ] }, "note" : "NULL", "page" : "1-29", "publisher" : "Taylor &amp; Francis", "title" : "A review of sustainable development in the Chilean mining sector: past, present and future", "type" : "article-journal", "volume" : "0930" }, "uris" : [ "http://www.mendeley.com/documents/?uuid=ba6630bb-3cdb-4443-b119-f6b6f68bafa7" ] } ], "mendeley" : { "formattedCitation" : "(Ghorbani &amp; Kuan, 2016)", "plainTextFormattedCitation" : "(Ghorbani &amp; Kuan, 2016)", "previouslyFormattedCitation" : "(Ghorbani &amp; Kuan, 2016)" }, "properties" : { "noteIndex" : 0 }, "schema" : "https://github.com/citation-style-language/schema/raw/master/csl-citation.json" }</w:instrText>
      </w:r>
      <w:r w:rsidR="004D18D6" w:rsidRPr="000E0F90">
        <w:rPr>
          <w:rFonts w:ascii="Arial" w:hAnsi="Arial" w:cs="Arial"/>
          <w:color w:val="000000" w:themeColor="text1"/>
          <w:lang w:eastAsia="es-CL"/>
        </w:rPr>
        <w:fldChar w:fldCharType="separate"/>
      </w:r>
      <w:r w:rsidR="004D18D6" w:rsidRPr="000E0F90">
        <w:rPr>
          <w:rFonts w:ascii="Arial" w:hAnsi="Arial" w:cs="Arial"/>
          <w:noProof/>
          <w:color w:val="000000" w:themeColor="text1"/>
          <w:lang w:eastAsia="es-CL"/>
        </w:rPr>
        <w:t>(Ghorbani &amp; Kuan, 2016)</w:t>
      </w:r>
      <w:r w:rsidR="004D18D6" w:rsidRPr="000E0F90">
        <w:rPr>
          <w:rFonts w:ascii="Arial" w:hAnsi="Arial" w:cs="Arial"/>
          <w:color w:val="000000" w:themeColor="text1"/>
          <w:lang w:eastAsia="es-CL"/>
        </w:rPr>
        <w:fldChar w:fldCharType="end"/>
      </w:r>
      <w:r w:rsidR="004D18D6" w:rsidRPr="000E0F90">
        <w:rPr>
          <w:rFonts w:ascii="Arial" w:hAnsi="Arial" w:cs="Arial"/>
          <w:color w:val="000000" w:themeColor="text1"/>
          <w:lang w:eastAsia="es-CL"/>
        </w:rPr>
        <w:t xml:space="preserve"> </w:t>
      </w:r>
      <w:r w:rsidR="004D18D6" w:rsidRPr="000E0F90">
        <w:rPr>
          <w:rFonts w:ascii="Arial" w:hAnsi="Arial" w:cs="Arial"/>
          <w:color w:val="000000" w:themeColor="text1"/>
          <w:lang w:eastAsia="es-CL"/>
        </w:rPr>
        <w:fldChar w:fldCharType="begin" w:fldLock="1"/>
      </w:r>
      <w:r w:rsidR="004D18D6" w:rsidRPr="000E0F90">
        <w:rPr>
          <w:rFonts w:ascii="Arial" w:hAnsi="Arial" w:cs="Arial"/>
          <w:color w:val="000000" w:themeColor="text1"/>
          <w:lang w:eastAsia="es-CL"/>
        </w:rPr>
        <w:instrText>ADDIN CSL_CITATION { "citationItems" : [ { "id" : "ITEM-1", "itemData" : { "author" : [ { "dropping-particle" : "", "family" : "Schildermans", "given" : "Peter", "non-dropping-particle" : "", "parse-names" : false, "suffix" : "" } ], "id" : "ITEM-1", "issued" : { "date-parts" : [ [ "2011" ] ] }, "note" : "NULL", "page" : "256", "title" : "The Chilean copper industry towards a more ecologically durable exploitation ?", "type" : "article-journal" }, "uris" : [ "http://www.mendeley.com/documents/?uuid=b25a2fcc-89a4-4984-9241-223ea94111a8" ] } ], "mendeley" : { "formattedCitation" : "(Schildermans, 2011)", "plainTextFormattedCitation" : "(Schildermans, 2011)", "previouslyFormattedCitation" : "(Schildermans, 2011)" }, "properties" : { "noteIndex" : 0 }, "schema" : "https://github.com/citation-style-language/schema/raw/master/csl-citation.json" }</w:instrText>
      </w:r>
      <w:r w:rsidR="004D18D6" w:rsidRPr="000E0F90">
        <w:rPr>
          <w:rFonts w:ascii="Arial" w:hAnsi="Arial" w:cs="Arial"/>
          <w:color w:val="000000" w:themeColor="text1"/>
          <w:lang w:eastAsia="es-CL"/>
        </w:rPr>
        <w:fldChar w:fldCharType="separate"/>
      </w:r>
      <w:r w:rsidR="004D18D6" w:rsidRPr="000E0F90">
        <w:rPr>
          <w:rFonts w:ascii="Arial" w:hAnsi="Arial" w:cs="Arial"/>
          <w:noProof/>
          <w:color w:val="000000" w:themeColor="text1"/>
          <w:lang w:eastAsia="es-CL"/>
        </w:rPr>
        <w:t>(Schildermans, 2011)</w:t>
      </w:r>
      <w:r w:rsidR="004D18D6" w:rsidRPr="000E0F90">
        <w:rPr>
          <w:rFonts w:ascii="Arial" w:hAnsi="Arial" w:cs="Arial"/>
          <w:color w:val="000000" w:themeColor="text1"/>
          <w:lang w:eastAsia="es-CL"/>
        </w:rPr>
        <w:fldChar w:fldCharType="end"/>
      </w:r>
      <w:r w:rsidR="004D18D6" w:rsidRPr="000E0F90">
        <w:rPr>
          <w:rFonts w:ascii="Arial" w:hAnsi="Arial" w:cs="Arial"/>
          <w:color w:val="000000" w:themeColor="text1"/>
          <w:lang w:eastAsia="es-CL"/>
        </w:rPr>
        <w:t>.</w:t>
      </w:r>
      <w:r w:rsidRPr="000E0F90">
        <w:rPr>
          <w:rFonts w:ascii="Arial" w:hAnsi="Arial" w:cs="Arial"/>
          <w:noProof/>
          <w:color w:val="000000" w:themeColor="text1"/>
          <w:lang w:eastAsia="es-CL"/>
        </w:rPr>
        <w:t xml:space="preserve"> </w:t>
      </w:r>
      <w:r w:rsidR="004D18D6" w:rsidRPr="000E0F90">
        <w:rPr>
          <w:rFonts w:ascii="Arial" w:hAnsi="Arial" w:cs="Arial"/>
          <w:noProof/>
          <w:color w:val="000000" w:themeColor="text1"/>
          <w:lang w:eastAsia="es-CL"/>
        </w:rPr>
        <w:t>L</w:t>
      </w:r>
      <w:r w:rsidRPr="000E0F90">
        <w:rPr>
          <w:rFonts w:ascii="Arial" w:hAnsi="Arial" w:cs="Arial"/>
          <w:noProof/>
          <w:color w:val="000000" w:themeColor="text1"/>
          <w:lang w:eastAsia="es-CL"/>
        </w:rPr>
        <w:t>a contaminación de suelos proviene del depósito de partículas tóxicas desplazadas por el viento, lo cual depedenderá de la cercanía a la operación minera y el t</w:t>
      </w:r>
      <w:r w:rsidR="004D18D6" w:rsidRPr="000E0F90">
        <w:rPr>
          <w:rFonts w:ascii="Arial" w:hAnsi="Arial" w:cs="Arial"/>
          <w:noProof/>
          <w:color w:val="000000" w:themeColor="text1"/>
          <w:lang w:eastAsia="es-CL"/>
        </w:rPr>
        <w:t>ipo de material minado, presentá</w:t>
      </w:r>
      <w:r w:rsidRPr="000E0F90">
        <w:rPr>
          <w:rFonts w:ascii="Arial" w:hAnsi="Arial" w:cs="Arial"/>
          <w:noProof/>
          <w:color w:val="000000" w:themeColor="text1"/>
          <w:lang w:eastAsia="es-CL"/>
        </w:rPr>
        <w:t xml:space="preserve">ndose frecuentemente arsénico, plomo y radionucleotidos; y por la descarga directa de contaminantes, como es el caso de relaves, los cuales pueden ser de riesgo al ser utilizados como material de relleno o suplementos de suelo </w:t>
      </w:r>
      <w:r w:rsidRPr="000E0F90">
        <w:rPr>
          <w:rFonts w:ascii="Arial" w:hAnsi="Arial" w:cs="Arial"/>
          <w:color w:val="000000" w:themeColor="text1"/>
          <w:lang w:eastAsia="es-CL"/>
        </w:rPr>
        <w:fldChar w:fldCharType="begin" w:fldLock="1"/>
      </w:r>
      <w:r w:rsidR="0098473B" w:rsidRPr="000E0F90">
        <w:rPr>
          <w:rFonts w:ascii="Arial" w:hAnsi="Arial" w:cs="Arial"/>
          <w:color w:val="000000" w:themeColor="text1"/>
          <w:lang w:eastAsia="es-CL"/>
        </w:rPr>
        <w:instrText>ADDIN CSL_CITATION { "citationItems" : [ { "id" : "ITEM-1", "itemData" : { "DOI" : "10.1080/17480930.2015.1128799", "ISSN" : "1748-0930", "abstract" : "Chile is the principal producer of copper with a total of 5.8\u00a0million tonnes fine copper production in 2013. Chilean mining industry currently faces a projected increase in waste production, depleting water resources in the arid mining regions of the north and a lack of fossil fuel energy sources. In this study, a review of the historical background of environmental practices in Chile is presented, focused between 1970 and 2010. A review of the current state of sustainable development, comprising energy, water, stakeholder participation, environmental impacts and institutional decentralisation in the mining industry is presented.", "author" : [ { "dropping-particle" : "", "family" : "Ghorbani", "given" : "Yousef", "non-dropping-particle" : "", "parse-names" : false, "suffix" : "" }, { "dropping-particle" : "", "family" : "Kuan", "given" : "Seng How", "non-dropping-particle" : "", "parse-names" : false, "suffix" : "" } ], "container-title" : "International Journal of Mining, Reclamation and Environment", "id" : "ITEM-1", "issue" : "February", "issued" : { "date-parts" : [ [ "2016" ] ] }, "note" : "NULL", "page" : "1-29", "publisher" : "Taylor &amp; Francis", "title" : "A review of sustainable development in the Chilean mining sector: past, present and future", "type" : "article-journal", "volume" : "0930" }, "uris" : [ "http://www.mendeley.com/documents/?uuid=ba6630bb-3cdb-4443-b119-f6b6f68bafa7" ] } ], "mendeley" : { "formattedCitation" : "(Ghorbani &amp; Kuan, 2016)", "plainTextFormattedCitation" : "(Ghorbani &amp; Kuan, 2016)", "previouslyFormattedCitation" : "(Ghorbani &amp; Kuan, 2016)" }, "properties" : { "noteIndex" : 0 }, "schema" : "https://github.com/citation-style-language/schema/raw/master/csl-citation.json" }</w:instrText>
      </w:r>
      <w:r w:rsidRPr="000E0F90">
        <w:rPr>
          <w:rFonts w:ascii="Arial" w:hAnsi="Arial" w:cs="Arial"/>
          <w:color w:val="000000" w:themeColor="text1"/>
          <w:lang w:eastAsia="es-CL"/>
        </w:rPr>
        <w:fldChar w:fldCharType="separate"/>
      </w:r>
      <w:r w:rsidR="0098473B" w:rsidRPr="000E0F90">
        <w:rPr>
          <w:rFonts w:ascii="Arial" w:hAnsi="Arial" w:cs="Arial"/>
          <w:noProof/>
          <w:color w:val="000000" w:themeColor="text1"/>
          <w:lang w:eastAsia="es-CL"/>
        </w:rPr>
        <w:t>(Ghorbani &amp; Kuan, 2016)</w:t>
      </w:r>
      <w:r w:rsidRPr="000E0F90">
        <w:rPr>
          <w:rFonts w:ascii="Arial" w:hAnsi="Arial" w:cs="Arial"/>
          <w:color w:val="000000" w:themeColor="text1"/>
          <w:lang w:eastAsia="es-CL"/>
        </w:rPr>
        <w:fldChar w:fldCharType="end"/>
      </w:r>
      <w:r w:rsidR="004D18D6" w:rsidRPr="000E0F90">
        <w:rPr>
          <w:rFonts w:ascii="Arial" w:hAnsi="Arial" w:cs="Arial"/>
          <w:color w:val="000000" w:themeColor="text1"/>
          <w:lang w:eastAsia="es-CL"/>
        </w:rPr>
        <w:t>.</w:t>
      </w:r>
    </w:p>
    <w:p w:rsidR="004B1839" w:rsidRPr="000E0F90" w:rsidRDefault="004B1839" w:rsidP="002B538F">
      <w:pPr>
        <w:spacing w:line="360" w:lineRule="auto"/>
        <w:rPr>
          <w:rFonts w:ascii="Arial" w:hAnsi="Arial" w:cs="Arial"/>
          <w:noProof/>
          <w:color w:val="000000" w:themeColor="text1"/>
          <w:lang w:eastAsia="es-CL"/>
        </w:rPr>
      </w:pPr>
      <w:r w:rsidRPr="000E0F90">
        <w:rPr>
          <w:rFonts w:ascii="Arial" w:hAnsi="Arial" w:cs="Arial"/>
          <w:b/>
          <w:noProof/>
          <w:color w:val="000000" w:themeColor="text1"/>
          <w:lang w:eastAsia="es-CL"/>
        </w:rPr>
        <w:t>Energía:</w:t>
      </w:r>
      <w:r w:rsidRPr="000E0F90">
        <w:rPr>
          <w:rFonts w:ascii="Arial" w:hAnsi="Arial" w:cs="Arial"/>
          <w:noProof/>
          <w:color w:val="000000" w:themeColor="text1"/>
          <w:lang w:eastAsia="es-CL"/>
        </w:rPr>
        <w:t xml:space="preserve"> El sector minero nacional demanda una gran cantidad de energía, lo cual provoca la competencia del recurso con otros usos indutriales y el uso humano. Demanda que se incrementará en el tiempo, dado la menor ley de los yacimiento y la demanda continua por mineral. Por tanto es un recurso que puede limitar fuertemente el desarrollo del sector</w:t>
      </w:r>
      <w:r w:rsidR="004D18D6" w:rsidRPr="000E0F90">
        <w:rPr>
          <w:rFonts w:ascii="Arial" w:hAnsi="Arial" w:cs="Arial"/>
          <w:noProof/>
          <w:color w:val="000000" w:themeColor="text1"/>
          <w:lang w:eastAsia="es-CL"/>
        </w:rPr>
        <w:t xml:space="preserve"> </w:t>
      </w:r>
      <w:r w:rsidR="004D18D6" w:rsidRPr="000E0F90">
        <w:rPr>
          <w:rFonts w:ascii="Arial" w:hAnsi="Arial" w:cs="Arial"/>
          <w:color w:val="000000" w:themeColor="text1"/>
          <w:lang w:eastAsia="es-CL"/>
        </w:rPr>
        <w:fldChar w:fldCharType="begin" w:fldLock="1"/>
      </w:r>
      <w:r w:rsidR="004D18D6" w:rsidRPr="000E0F90">
        <w:rPr>
          <w:rFonts w:ascii="Arial" w:hAnsi="Arial" w:cs="Arial"/>
          <w:color w:val="000000" w:themeColor="text1"/>
          <w:lang w:eastAsia="es-CL"/>
        </w:rPr>
        <w:instrText>ADDIN CSL_CITATION { "citationItems" : [ { "id" : "ITEM-1", "itemData" : { "DOI" : "10.1080/17480930.2015.1128799", "ISSN" : "1748-0930", "abstract" : "Chile is the principal producer of copper with a total of 5.8\u00a0million tonnes fine copper production in 2013. Chilean mining industry currently faces a projected increase in waste production, depleting water resources in the arid mining regions of the north and a lack of fossil fuel energy sources. In this study, a review of the historical background of environmental practices in Chile is presented, focused between 1970 and 2010. A review of the current state of sustainable development, comprising energy, water, stakeholder participation, environmental impacts and institutional decentralisation in the mining industry is presented.", "author" : [ { "dropping-particle" : "", "family" : "Ghorbani", "given" : "Yousef", "non-dropping-particle" : "", "parse-names" : false, "suffix" : "" }, { "dropping-particle" : "", "family" : "Kuan", "given" : "Seng How", "non-dropping-particle" : "", "parse-names" : false, "suffix" : "" } ], "container-title" : "International Journal of Mining, Reclamation and Environment", "id" : "ITEM-1", "issue" : "February", "issued" : { "date-parts" : [ [ "2016" ] ] }, "note" : "NULL", "page" : "1-29", "publisher" : "Taylor &amp; Francis", "title" : "A review of sustainable development in the Chilean mining sector: past, present and future", "type" : "article-journal", "volume" : "0930" }, "uris" : [ "http://www.mendeley.com/documents/?uuid=ba6630bb-3cdb-4443-b119-f6b6f68bafa7" ] } ], "mendeley" : { "formattedCitation" : "(Ghorbani &amp; Kuan, 2016)", "plainTextFormattedCitation" : "(Ghorbani &amp; Kuan, 2016)", "previouslyFormattedCitation" : "(Ghorbani &amp; Kuan, 2016)" }, "properties" : { "noteIndex" : 0 }, "schema" : "https://github.com/citation-style-language/schema/raw/master/csl-citation.json" }</w:instrText>
      </w:r>
      <w:r w:rsidR="004D18D6" w:rsidRPr="000E0F90">
        <w:rPr>
          <w:rFonts w:ascii="Arial" w:hAnsi="Arial" w:cs="Arial"/>
          <w:color w:val="000000" w:themeColor="text1"/>
          <w:lang w:eastAsia="es-CL"/>
        </w:rPr>
        <w:fldChar w:fldCharType="separate"/>
      </w:r>
      <w:r w:rsidR="004D18D6" w:rsidRPr="000E0F90">
        <w:rPr>
          <w:rFonts w:ascii="Arial" w:hAnsi="Arial" w:cs="Arial"/>
          <w:noProof/>
          <w:color w:val="000000" w:themeColor="text1"/>
          <w:lang w:eastAsia="es-CL"/>
        </w:rPr>
        <w:t>(Ghorbani &amp; Kuan, 2016)</w:t>
      </w:r>
      <w:r w:rsidR="004D18D6" w:rsidRPr="000E0F90">
        <w:rPr>
          <w:rFonts w:ascii="Arial" w:hAnsi="Arial" w:cs="Arial"/>
          <w:color w:val="000000" w:themeColor="text1"/>
          <w:lang w:eastAsia="es-CL"/>
        </w:rPr>
        <w:fldChar w:fldCharType="end"/>
      </w:r>
      <w:r w:rsidR="004D18D6" w:rsidRPr="000E0F90">
        <w:rPr>
          <w:rFonts w:ascii="Arial" w:hAnsi="Arial" w:cs="Arial"/>
          <w:color w:val="000000" w:themeColor="text1"/>
          <w:lang w:eastAsia="es-CL"/>
        </w:rPr>
        <w:t>.</w:t>
      </w:r>
      <w:r w:rsidRPr="000E0F90">
        <w:rPr>
          <w:rFonts w:ascii="Arial" w:hAnsi="Arial" w:cs="Arial"/>
          <w:noProof/>
          <w:color w:val="000000" w:themeColor="text1"/>
          <w:lang w:eastAsia="es-CL"/>
        </w:rPr>
        <w:t xml:space="preserve"> </w:t>
      </w:r>
    </w:p>
    <w:p w:rsidR="004B1839" w:rsidRPr="000E0F90" w:rsidRDefault="004B1839" w:rsidP="002B538F">
      <w:pPr>
        <w:spacing w:line="360" w:lineRule="auto"/>
        <w:rPr>
          <w:rFonts w:ascii="Arial" w:hAnsi="Arial" w:cs="Arial"/>
          <w:color w:val="000000" w:themeColor="text1"/>
          <w:lang w:eastAsia="es-CL"/>
        </w:rPr>
      </w:pPr>
      <w:r w:rsidRPr="000E0F90">
        <w:rPr>
          <w:rFonts w:ascii="Arial" w:hAnsi="Arial" w:cs="Arial"/>
          <w:b/>
          <w:color w:val="000000" w:themeColor="text1"/>
          <w:lang w:eastAsia="es-CL"/>
        </w:rPr>
        <w:lastRenderedPageBreak/>
        <w:t>Cierre de faenas:</w:t>
      </w:r>
      <w:r w:rsidRPr="000E0F90">
        <w:rPr>
          <w:rFonts w:ascii="Arial" w:hAnsi="Arial" w:cs="Arial"/>
          <w:color w:val="000000" w:themeColor="text1"/>
          <w:lang w:eastAsia="es-CL"/>
        </w:rPr>
        <w:t xml:space="preserve"> </w:t>
      </w:r>
      <w:r w:rsidR="006F4F61" w:rsidRPr="000E0F90">
        <w:rPr>
          <w:rFonts w:ascii="Arial" w:hAnsi="Arial" w:cs="Arial"/>
          <w:color w:val="000000" w:themeColor="text1"/>
          <w:lang w:eastAsia="es-CL"/>
        </w:rPr>
        <w:t xml:space="preserve">En Chile existen alrededor de 400 pasivos ambientales mineros, </w:t>
      </w:r>
      <w:r w:rsidR="0049698D" w:rsidRPr="000E0F90">
        <w:rPr>
          <w:rFonts w:ascii="Arial" w:hAnsi="Arial" w:cs="Arial"/>
          <w:color w:val="000000" w:themeColor="text1"/>
          <w:lang w:eastAsia="es-CL"/>
        </w:rPr>
        <w:t>correspondiente</w:t>
      </w:r>
      <w:r w:rsidR="006F4F61" w:rsidRPr="000E0F90">
        <w:rPr>
          <w:rFonts w:ascii="Arial" w:hAnsi="Arial" w:cs="Arial"/>
          <w:color w:val="000000" w:themeColor="text1"/>
          <w:lang w:eastAsia="es-CL"/>
        </w:rPr>
        <w:t xml:space="preserve"> principalmente a relaves </w:t>
      </w:r>
      <w:r w:rsidRPr="000E0F90">
        <w:rPr>
          <w:rFonts w:ascii="Arial" w:hAnsi="Arial" w:cs="Arial"/>
          <w:color w:val="000000" w:themeColor="text1"/>
          <w:lang w:eastAsia="es-CL"/>
        </w:rPr>
        <w:t xml:space="preserve"> </w:t>
      </w:r>
      <w:r w:rsidR="006F4F61" w:rsidRPr="000E0F90">
        <w:rPr>
          <w:rFonts w:ascii="Arial" w:hAnsi="Arial" w:cs="Arial"/>
          <w:color w:val="000000" w:themeColor="text1"/>
          <w:lang w:eastAsia="es-CL"/>
        </w:rPr>
        <w:t xml:space="preserve">y  otras estructuras que de depósito de mineral como Instalaciones de almacenamiento de relaves, vertederos de lixiviado, residuos de minería, filtrado de relaves, entre otros. Siendo </w:t>
      </w:r>
      <w:r w:rsidR="006F4F61" w:rsidRPr="000E0F90">
        <w:rPr>
          <w:rFonts w:ascii="Arial" w:hAnsi="Arial" w:cs="Arial"/>
          <w:noProof/>
          <w:color w:val="000000" w:themeColor="text1"/>
          <w:lang w:eastAsia="es-CL"/>
        </w:rPr>
        <w:t xml:space="preserve">los relaves son los que presentan el mayor riesgo para el medioambiente y la salud humana, particularmente aquellos en faenas abandonadas </w:t>
      </w:r>
      <w:sdt>
        <w:sdtPr>
          <w:rPr>
            <w:rFonts w:ascii="Arial" w:hAnsi="Arial" w:cs="Arial"/>
            <w:noProof/>
            <w:color w:val="000000" w:themeColor="text1"/>
            <w:lang w:eastAsia="es-CL"/>
          </w:rPr>
          <w:id w:val="-1425107846"/>
          <w:citation/>
        </w:sdtPr>
        <w:sdtEndPr/>
        <w:sdtContent>
          <w:r w:rsidR="006F4F61" w:rsidRPr="000E0F90">
            <w:rPr>
              <w:rFonts w:ascii="Arial" w:hAnsi="Arial" w:cs="Arial"/>
              <w:noProof/>
              <w:color w:val="000000" w:themeColor="text1"/>
              <w:lang w:eastAsia="es-CL"/>
            </w:rPr>
            <w:fldChar w:fldCharType="begin"/>
          </w:r>
          <w:r w:rsidR="00954120" w:rsidRPr="000E0F90">
            <w:rPr>
              <w:rFonts w:ascii="Arial" w:hAnsi="Arial" w:cs="Arial"/>
              <w:noProof/>
              <w:color w:val="000000" w:themeColor="text1"/>
              <w:lang w:eastAsia="es-CL"/>
            </w:rPr>
            <w:instrText xml:space="preserve">CITATION SER16 \l 13322 </w:instrText>
          </w:r>
          <w:r w:rsidR="006F4F61" w:rsidRPr="000E0F90">
            <w:rPr>
              <w:rFonts w:ascii="Arial" w:hAnsi="Arial" w:cs="Arial"/>
              <w:noProof/>
              <w:color w:val="000000" w:themeColor="text1"/>
              <w:lang w:eastAsia="es-CL"/>
            </w:rPr>
            <w:fldChar w:fldCharType="separate"/>
          </w:r>
          <w:r w:rsidR="008D0261" w:rsidRPr="000E0F90">
            <w:rPr>
              <w:rFonts w:ascii="Arial" w:hAnsi="Arial" w:cs="Arial"/>
              <w:noProof/>
              <w:color w:val="000000" w:themeColor="text1"/>
              <w:lang w:eastAsia="es-CL"/>
            </w:rPr>
            <w:t>(SERNAGEOMIN, 2010)</w:t>
          </w:r>
          <w:r w:rsidR="006F4F61" w:rsidRPr="000E0F90">
            <w:rPr>
              <w:rFonts w:ascii="Arial" w:hAnsi="Arial" w:cs="Arial"/>
              <w:noProof/>
              <w:color w:val="000000" w:themeColor="text1"/>
              <w:lang w:eastAsia="es-CL"/>
            </w:rPr>
            <w:fldChar w:fldCharType="end"/>
          </w:r>
        </w:sdtContent>
      </w:sdt>
      <w:r w:rsidR="006F4F61" w:rsidRPr="000E0F90">
        <w:rPr>
          <w:rFonts w:ascii="Arial" w:hAnsi="Arial" w:cs="Arial"/>
          <w:color w:val="000000" w:themeColor="text1"/>
          <w:lang w:eastAsia="es-CL"/>
        </w:rPr>
        <w:fldChar w:fldCharType="begin" w:fldLock="1"/>
      </w:r>
      <w:r w:rsidR="006F4F61" w:rsidRPr="000E0F90">
        <w:rPr>
          <w:rFonts w:ascii="Arial" w:hAnsi="Arial" w:cs="Arial"/>
          <w:color w:val="000000" w:themeColor="text1"/>
          <w:lang w:eastAsia="es-CL"/>
        </w:rPr>
        <w:instrText>ADDIN CSL_CITATION { "citationItems" : [ { "id" : "ITEM-1", "itemData" : { "DOI" : "10.1080/17480930.2015.1128799", "ISSN" : "1748-0930", "abstract" : "Chile is the principal producer of copper with a total of 5.8\u00a0million tonnes fine copper production in 2013. Chilean mining industry currently faces a projected increase in waste production, depleting water resources in the arid mining regions of the north and a lack of fossil fuel energy sources. In this study, a review of the historical background of environmental practices in Chile is presented, focused between 1970 and 2010. A review of the current state of sustainable development, comprising energy, water, stakeholder participation, environmental impacts and institutional decentralisation in the mining industry is presented.", "author" : [ { "dropping-particle" : "", "family" : "Ghorbani", "given" : "Yousef", "non-dropping-particle" : "", "parse-names" : false, "suffix" : "" }, { "dropping-particle" : "", "family" : "Kuan", "given" : "Seng How", "non-dropping-particle" : "", "parse-names" : false, "suffix" : "" } ], "container-title" : "International Journal of Mining, Reclamation and Environment", "id" : "ITEM-1", "issue" : "February", "issued" : { "date-parts" : [ [ "2016" ] ] }, "note" : "NULL", "page" : "1-29", "publisher" : "Taylor &amp; Francis", "title" : "A review of sustainable development in the Chilean mining sector: past, present and future", "type" : "article-journal", "volume" : "0930" }, "uris" : [ "http://www.mendeley.com/documents/?uuid=ba6630bb-3cdb-4443-b119-f6b6f68bafa7" ] } ], "mendeley" : { "formattedCitation" : "(Ghorbani &amp; Kuan, 2016)", "plainTextFormattedCitation" : "(Ghorbani &amp; Kuan, 2016)", "previouslyFormattedCitation" : "(Ghorbani &amp; Kuan, 2016)" }, "properties" : { "noteIndex" : 0 }, "schema" : "https://github.com/citation-style-language/schema/raw/master/csl-citation.json" }</w:instrText>
      </w:r>
      <w:r w:rsidR="006F4F61" w:rsidRPr="000E0F90">
        <w:rPr>
          <w:rFonts w:ascii="Arial" w:hAnsi="Arial" w:cs="Arial"/>
          <w:color w:val="000000" w:themeColor="text1"/>
          <w:lang w:eastAsia="es-CL"/>
        </w:rPr>
        <w:fldChar w:fldCharType="separate"/>
      </w:r>
      <w:r w:rsidR="006F4F61" w:rsidRPr="000E0F90">
        <w:rPr>
          <w:rFonts w:ascii="Arial" w:hAnsi="Arial" w:cs="Arial"/>
          <w:noProof/>
          <w:color w:val="000000" w:themeColor="text1"/>
          <w:lang w:eastAsia="es-CL"/>
        </w:rPr>
        <w:t>(Ghorbani &amp; Kuan, 2016)</w:t>
      </w:r>
      <w:r w:rsidR="006F4F61" w:rsidRPr="000E0F90">
        <w:rPr>
          <w:rFonts w:ascii="Arial" w:hAnsi="Arial" w:cs="Arial"/>
          <w:color w:val="000000" w:themeColor="text1"/>
          <w:lang w:eastAsia="es-CL"/>
        </w:rPr>
        <w:fldChar w:fldCharType="end"/>
      </w:r>
      <w:r w:rsidR="006F4F61" w:rsidRPr="000E0F90">
        <w:rPr>
          <w:rFonts w:ascii="Arial" w:hAnsi="Arial" w:cs="Arial"/>
          <w:color w:val="000000" w:themeColor="text1"/>
          <w:lang w:eastAsia="es-CL"/>
        </w:rPr>
        <w:t>.</w:t>
      </w:r>
    </w:p>
    <w:p w:rsidR="00545D54" w:rsidRPr="000E0F90" w:rsidRDefault="00545D54" w:rsidP="002B538F">
      <w:pPr>
        <w:spacing w:before="240" w:after="0" w:line="360" w:lineRule="auto"/>
        <w:rPr>
          <w:rFonts w:ascii="Arial" w:hAnsi="Arial" w:cs="Arial"/>
          <w:color w:val="000000" w:themeColor="text1"/>
        </w:rPr>
      </w:pPr>
      <w:r w:rsidRPr="000E0F90">
        <w:rPr>
          <w:rFonts w:ascii="Arial" w:hAnsi="Arial" w:cs="Arial"/>
          <w:b/>
          <w:i/>
          <w:color w:val="000000" w:themeColor="text1"/>
        </w:rPr>
        <w:t>Organismos  públicos que promueven el desarrollo sostenible de la minería</w:t>
      </w:r>
      <w:r w:rsidRPr="000E0F90">
        <w:rPr>
          <w:rFonts w:ascii="Arial" w:hAnsi="Arial" w:cs="Arial"/>
          <w:color w:val="000000" w:themeColor="text1"/>
        </w:rPr>
        <w:t xml:space="preserve"> </w:t>
      </w:r>
    </w:p>
    <w:p w:rsidR="005D769E" w:rsidRPr="000E0F90" w:rsidRDefault="00545D54" w:rsidP="002B538F">
      <w:pPr>
        <w:spacing w:after="0" w:line="360" w:lineRule="auto"/>
        <w:rPr>
          <w:rFonts w:ascii="Arial" w:hAnsi="Arial" w:cs="Arial"/>
          <w:color w:val="000000" w:themeColor="text1"/>
        </w:rPr>
      </w:pPr>
      <w:r w:rsidRPr="000E0F90">
        <w:rPr>
          <w:rFonts w:ascii="Arial" w:hAnsi="Arial" w:cs="Arial"/>
          <w:color w:val="000000" w:themeColor="text1"/>
        </w:rPr>
        <w:t>Respecto a las normativas establecidas a nivel nacional para dirigir la minería hacia la sostenibilidad. Existen diversas instituciones públicas que promueven el desarrollo sostenible de la minería mediante diversas aproximaciones, observándose una ausencia de lineamientos estratégicos comunes para a sostenibilidad de la minería en Chile. Esto se presenta en el cuadro</w:t>
      </w:r>
      <w:r w:rsidR="00C7596B" w:rsidRPr="000E0F90">
        <w:rPr>
          <w:rFonts w:ascii="Arial" w:hAnsi="Arial" w:cs="Arial"/>
          <w:color w:val="000000" w:themeColor="text1"/>
        </w:rPr>
        <w:t xml:space="preserve"> 2</w:t>
      </w:r>
      <w:r w:rsidR="005D769E" w:rsidRPr="000E0F90">
        <w:rPr>
          <w:rFonts w:ascii="Arial" w:hAnsi="Arial" w:cs="Arial"/>
          <w:color w:val="000000" w:themeColor="text1"/>
        </w:rPr>
        <w:t>.</w:t>
      </w:r>
    </w:p>
    <w:p w:rsidR="00C7596B" w:rsidRPr="000E0F90" w:rsidRDefault="005D769E" w:rsidP="002B538F">
      <w:pPr>
        <w:spacing w:before="240" w:line="360" w:lineRule="auto"/>
        <w:rPr>
          <w:rFonts w:ascii="Arial" w:hAnsi="Arial" w:cs="Arial"/>
          <w:color w:val="000000" w:themeColor="text1"/>
        </w:rPr>
      </w:pPr>
      <w:r w:rsidRPr="000E0F90">
        <w:rPr>
          <w:rFonts w:ascii="Arial" w:hAnsi="Arial" w:cs="Arial"/>
          <w:color w:val="000000" w:themeColor="text1"/>
        </w:rPr>
        <w:t xml:space="preserve">Cabe señalar las propuestas que se han originado desde el estado para mejorar la competitividad de la industria minera, donde </w:t>
      </w:r>
      <w:r w:rsidRPr="000E0F90">
        <w:rPr>
          <w:rFonts w:ascii="Arial" w:hAnsi="Arial" w:cs="Arial"/>
          <w:b/>
          <w:color w:val="000000" w:themeColor="text1"/>
        </w:rPr>
        <w:t>la Mesa para la Productividad para el Sector Minero</w:t>
      </w:r>
      <w:r w:rsidRPr="000E0F90">
        <w:rPr>
          <w:rFonts w:ascii="Arial" w:hAnsi="Arial" w:cs="Arial"/>
          <w:color w:val="000000" w:themeColor="text1"/>
        </w:rPr>
        <w:t>, compuesta por el Ministerio de Minería, Cochilco, Enami y Sernageomin, ha elaborado medidas en base a 5 ejes de acción</w:t>
      </w:r>
      <w:r w:rsidR="00C7596B" w:rsidRPr="000E0F90">
        <w:rPr>
          <w:rFonts w:ascii="Arial" w:hAnsi="Arial" w:cs="Arial"/>
          <w:color w:val="000000" w:themeColor="text1"/>
        </w:rPr>
        <w:t xml:space="preserve"> </w:t>
      </w:r>
      <w:sdt>
        <w:sdtPr>
          <w:rPr>
            <w:rFonts w:ascii="Arial" w:hAnsi="Arial" w:cs="Arial"/>
            <w:color w:val="000000" w:themeColor="text1"/>
          </w:rPr>
          <w:id w:val="244008212"/>
          <w:citation/>
        </w:sdtPr>
        <w:sdtEndPr/>
        <w:sdtContent>
          <w:r w:rsidR="00C7596B" w:rsidRPr="000E0F90">
            <w:rPr>
              <w:rFonts w:ascii="Arial" w:hAnsi="Arial" w:cs="Arial"/>
              <w:color w:val="000000" w:themeColor="text1"/>
            </w:rPr>
            <w:fldChar w:fldCharType="begin"/>
          </w:r>
          <w:r w:rsidR="00C7596B" w:rsidRPr="000E0F90">
            <w:rPr>
              <w:rFonts w:ascii="Arial" w:hAnsi="Arial" w:cs="Arial"/>
              <w:color w:val="000000" w:themeColor="text1"/>
            </w:rPr>
            <w:instrText xml:space="preserve">CITATION Min161 \l 13322 </w:instrText>
          </w:r>
          <w:r w:rsidR="00C7596B" w:rsidRPr="000E0F90">
            <w:rPr>
              <w:rFonts w:ascii="Arial" w:hAnsi="Arial" w:cs="Arial"/>
              <w:color w:val="000000" w:themeColor="text1"/>
            </w:rPr>
            <w:fldChar w:fldCharType="separate"/>
          </w:r>
          <w:r w:rsidR="008D0261" w:rsidRPr="000E0F90">
            <w:rPr>
              <w:rFonts w:ascii="Arial" w:hAnsi="Arial" w:cs="Arial"/>
              <w:noProof/>
              <w:color w:val="000000" w:themeColor="text1"/>
            </w:rPr>
            <w:t>(Ministerio de Minería, 2016)</w:t>
          </w:r>
          <w:r w:rsidR="00C7596B" w:rsidRPr="000E0F90">
            <w:rPr>
              <w:rFonts w:ascii="Arial" w:hAnsi="Arial" w:cs="Arial"/>
              <w:color w:val="000000" w:themeColor="text1"/>
            </w:rPr>
            <w:fldChar w:fldCharType="end"/>
          </w:r>
        </w:sdtContent>
      </w:sdt>
      <w:r w:rsidRPr="000E0F90">
        <w:rPr>
          <w:rFonts w:ascii="Arial" w:hAnsi="Arial" w:cs="Arial"/>
          <w:color w:val="000000" w:themeColor="text1"/>
        </w:rPr>
        <w:t>: I. Mejorar  el  acceso a la información  y  contribuir  con un clima óptimo para el desarrollo de proyectos mineros en toda escala productiva; II. Mejorar la productividad en la pequeña y mediana minería de Chile; III. Fortalecer el rol de Cochilco en el desarrollo estratégico-productivo de la industria minera nacional; IV. Homologaciones para un mayor dinamismo y eficiencia en procedimientos regulares en la industria minera; V. Impulsar el desarrollo de capital humano y el acceso a la información de estudiantes en el extranjero</w:t>
      </w:r>
      <w:r w:rsidR="00C7596B" w:rsidRPr="000E0F90">
        <w:rPr>
          <w:rFonts w:ascii="Arial" w:hAnsi="Arial" w:cs="Arial"/>
          <w:color w:val="000000" w:themeColor="text1"/>
        </w:rPr>
        <w:t>.</w:t>
      </w:r>
      <w:r w:rsidRPr="000E0F90">
        <w:rPr>
          <w:rFonts w:ascii="Arial" w:hAnsi="Arial" w:cs="Arial"/>
          <w:color w:val="000000" w:themeColor="text1"/>
        </w:rPr>
        <w:t xml:space="preserve"> </w:t>
      </w:r>
    </w:p>
    <w:p w:rsidR="005D769E" w:rsidRPr="000E0F90" w:rsidRDefault="005D769E" w:rsidP="002B538F">
      <w:pPr>
        <w:spacing w:line="360" w:lineRule="auto"/>
        <w:rPr>
          <w:rFonts w:ascii="Arial" w:hAnsi="Arial" w:cs="Arial"/>
          <w:color w:val="000000" w:themeColor="text1"/>
        </w:rPr>
      </w:pPr>
      <w:r w:rsidRPr="000E0F90">
        <w:rPr>
          <w:rFonts w:ascii="Arial" w:hAnsi="Arial" w:cs="Arial"/>
          <w:color w:val="000000" w:themeColor="text1"/>
        </w:rPr>
        <w:t xml:space="preserve">Dentro de los alcances que hace esta propuesta a la </w:t>
      </w:r>
      <w:r w:rsidR="00F35BB8" w:rsidRPr="000E0F90">
        <w:rPr>
          <w:rFonts w:ascii="Arial" w:hAnsi="Arial" w:cs="Arial"/>
          <w:color w:val="000000" w:themeColor="text1"/>
        </w:rPr>
        <w:t>sostenibilidad</w:t>
      </w:r>
      <w:r w:rsidRPr="000E0F90">
        <w:rPr>
          <w:rFonts w:ascii="Arial" w:hAnsi="Arial" w:cs="Arial"/>
          <w:color w:val="000000" w:themeColor="text1"/>
        </w:rPr>
        <w:t xml:space="preserve"> de la industria se identifica la asistencia técnica, seguridad, construcción de depósitos de relaves para la pequeña minería, diversificar la oferta de minerales y generar políticas públicas en temas relevantes (nuevas inversiones, productividad, encadenamientos  productivos, eficiencia  energética,  consumo  de agua y uso de agua de mar, relación con las comunidades, fundiciones y desarrollos tecnológicos, evolución de los mercados y de normativas que afecten a la industria, entre otros) </w:t>
      </w:r>
      <w:sdt>
        <w:sdtPr>
          <w:rPr>
            <w:rFonts w:ascii="Arial" w:hAnsi="Arial" w:cs="Arial"/>
            <w:color w:val="000000" w:themeColor="text1"/>
          </w:rPr>
          <w:id w:val="-1017317760"/>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CITATION Min161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(Ministerio de Minería, 2016)</w:t>
          </w:r>
          <w:r w:rsidRPr="000E0F90">
            <w:rPr>
              <w:rFonts w:ascii="Arial" w:hAnsi="Arial" w:cs="Arial"/>
              <w:color w:val="000000" w:themeColor="text1"/>
            </w:rPr>
            <w:fldChar w:fldCharType="end"/>
          </w:r>
        </w:sdtContent>
      </w:sdt>
      <w:r w:rsidRPr="000E0F90">
        <w:rPr>
          <w:rFonts w:ascii="Arial" w:hAnsi="Arial" w:cs="Arial"/>
          <w:color w:val="000000" w:themeColor="text1"/>
        </w:rPr>
        <w:t>.</w:t>
      </w:r>
    </w:p>
    <w:p w:rsidR="00D531FE" w:rsidRPr="000E0F90" w:rsidRDefault="00D531FE">
      <w:pPr>
        <w:jc w:val="left"/>
        <w:rPr>
          <w:rFonts w:ascii="Arial" w:hAnsi="Arial" w:cs="Arial"/>
          <w:b/>
          <w:bCs/>
          <w:color w:val="000000" w:themeColor="text1"/>
          <w:szCs w:val="18"/>
        </w:rPr>
      </w:pPr>
      <w:r w:rsidRPr="000E0F90">
        <w:rPr>
          <w:rFonts w:ascii="Arial" w:hAnsi="Arial" w:cs="Arial"/>
          <w:color w:val="000000" w:themeColor="text1"/>
        </w:rPr>
        <w:br w:type="page"/>
      </w:r>
    </w:p>
    <w:p w:rsidR="00545D54" w:rsidRPr="002613F4" w:rsidRDefault="00725053" w:rsidP="00725053">
      <w:pPr>
        <w:pStyle w:val="Epgrafe"/>
        <w:rPr>
          <w:rFonts w:ascii="Arial" w:hAnsi="Arial" w:cs="Arial"/>
          <w:b w:val="0"/>
          <w:color w:val="000000" w:themeColor="text1"/>
          <w:sz w:val="22"/>
        </w:rPr>
      </w:pPr>
      <w:r w:rsidRPr="002613F4">
        <w:rPr>
          <w:rFonts w:ascii="Arial" w:hAnsi="Arial" w:cs="Arial"/>
          <w:b w:val="0"/>
          <w:color w:val="000000" w:themeColor="text1"/>
          <w:sz w:val="22"/>
        </w:rPr>
        <w:lastRenderedPageBreak/>
        <w:t xml:space="preserve">Cuadro </w:t>
      </w:r>
      <w:r w:rsidRPr="002613F4">
        <w:rPr>
          <w:rFonts w:ascii="Arial" w:hAnsi="Arial" w:cs="Arial"/>
          <w:b w:val="0"/>
          <w:color w:val="000000" w:themeColor="text1"/>
          <w:sz w:val="22"/>
        </w:rPr>
        <w:fldChar w:fldCharType="begin"/>
      </w:r>
      <w:r w:rsidRPr="002613F4">
        <w:rPr>
          <w:rFonts w:ascii="Arial" w:hAnsi="Arial" w:cs="Arial"/>
          <w:b w:val="0"/>
          <w:color w:val="000000" w:themeColor="text1"/>
          <w:sz w:val="22"/>
        </w:rPr>
        <w:instrText xml:space="preserve"> SEQ Cuadro \* ARABIC </w:instrText>
      </w:r>
      <w:r w:rsidRPr="002613F4">
        <w:rPr>
          <w:rFonts w:ascii="Arial" w:hAnsi="Arial" w:cs="Arial"/>
          <w:b w:val="0"/>
          <w:color w:val="000000" w:themeColor="text1"/>
          <w:sz w:val="22"/>
        </w:rPr>
        <w:fldChar w:fldCharType="separate"/>
      </w:r>
      <w:r w:rsidR="00225844">
        <w:rPr>
          <w:rFonts w:ascii="Arial" w:hAnsi="Arial" w:cs="Arial"/>
          <w:b w:val="0"/>
          <w:noProof/>
          <w:color w:val="000000" w:themeColor="text1"/>
          <w:sz w:val="22"/>
        </w:rPr>
        <w:t>2</w:t>
      </w:r>
      <w:r w:rsidRPr="002613F4">
        <w:rPr>
          <w:rFonts w:ascii="Arial" w:hAnsi="Arial" w:cs="Arial"/>
          <w:b w:val="0"/>
          <w:color w:val="000000" w:themeColor="text1"/>
          <w:sz w:val="22"/>
        </w:rPr>
        <w:fldChar w:fldCharType="end"/>
      </w:r>
      <w:r w:rsidR="00545D54" w:rsidRPr="002613F4">
        <w:rPr>
          <w:rFonts w:ascii="Arial" w:hAnsi="Arial" w:cs="Arial"/>
          <w:b w:val="0"/>
          <w:color w:val="000000" w:themeColor="text1"/>
          <w:sz w:val="22"/>
        </w:rPr>
        <w:t xml:space="preserve">: Organismos nacionales que fomentan la </w:t>
      </w:r>
      <w:r w:rsidR="00F35BB8" w:rsidRPr="002613F4">
        <w:rPr>
          <w:rFonts w:ascii="Arial" w:hAnsi="Arial" w:cs="Arial"/>
          <w:b w:val="0"/>
          <w:color w:val="000000" w:themeColor="text1"/>
          <w:sz w:val="22"/>
        </w:rPr>
        <w:t>Sostenibilidad</w:t>
      </w:r>
      <w:r w:rsidR="00545D54" w:rsidRPr="002613F4">
        <w:rPr>
          <w:rFonts w:ascii="Arial" w:hAnsi="Arial" w:cs="Arial"/>
          <w:b w:val="0"/>
          <w:color w:val="000000" w:themeColor="text1"/>
          <w:sz w:val="22"/>
        </w:rPr>
        <w:t xml:space="preserve"> en la </w:t>
      </w:r>
      <w:r w:rsidRPr="002613F4">
        <w:rPr>
          <w:rFonts w:ascii="Arial" w:hAnsi="Arial" w:cs="Arial"/>
          <w:b w:val="0"/>
          <w:color w:val="000000" w:themeColor="text1"/>
          <w:sz w:val="22"/>
        </w:rPr>
        <w:t>I</w:t>
      </w:r>
      <w:r w:rsidR="00545D54" w:rsidRPr="002613F4">
        <w:rPr>
          <w:rFonts w:ascii="Arial" w:hAnsi="Arial" w:cs="Arial"/>
          <w:b w:val="0"/>
          <w:color w:val="000000" w:themeColor="text1"/>
          <w:sz w:val="22"/>
        </w:rPr>
        <w:t>ndustria Minera</w:t>
      </w:r>
    </w:p>
    <w:tbl>
      <w:tblPr>
        <w:tblStyle w:val="Tablaconcuadrcula"/>
        <w:tblW w:w="0" w:type="auto"/>
        <w:jc w:val="center"/>
        <w:tblBorders>
          <w:left w:val="none" w:sz="0" w:space="0" w:color="auto"/>
          <w:right w:val="none" w:sz="0" w:space="0" w:color="auto"/>
          <w:insideV w:val="none" w:sz="0" w:space="0" w:color="auto"/>
        </w:tblBorders>
        <w:tblCellMar>
          <w:left w:w="57" w:type="dxa"/>
          <w:right w:w="57" w:type="dxa"/>
        </w:tblCellMar>
        <w:tblLook w:val="04A0" w:firstRow="1" w:lastRow="0" w:firstColumn="1" w:lastColumn="0" w:noHBand="0" w:noVBand="1"/>
      </w:tblPr>
      <w:tblGrid>
        <w:gridCol w:w="1191"/>
        <w:gridCol w:w="1418"/>
        <w:gridCol w:w="2693"/>
        <w:gridCol w:w="3366"/>
      </w:tblGrid>
      <w:tr w:rsidR="00545D54" w:rsidRPr="000E0F90" w:rsidTr="002A21E4">
        <w:trPr>
          <w:jc w:val="center"/>
        </w:trPr>
        <w:tc>
          <w:tcPr>
            <w:tcW w:w="1191" w:type="dxa"/>
            <w:tcBorders>
              <w:bottom w:val="single" w:sz="4" w:space="0" w:color="auto"/>
            </w:tcBorders>
            <w:shd w:val="clear" w:color="auto" w:fill="D9D9D9" w:themeFill="background1" w:themeFillShade="D9"/>
            <w:tcMar>
              <w:left w:w="57" w:type="dxa"/>
              <w:right w:w="57" w:type="dxa"/>
            </w:tcMar>
          </w:tcPr>
          <w:p w:rsidR="00545D54" w:rsidRPr="000E0F90" w:rsidRDefault="00545D54" w:rsidP="00F70089">
            <w:pPr>
              <w:jc w:val="left"/>
              <w:rPr>
                <w:rFonts w:ascii="Arial" w:hAnsi="Arial" w:cs="Arial"/>
                <w:b/>
                <w:color w:val="000000" w:themeColor="text1"/>
                <w:sz w:val="18"/>
                <w:szCs w:val="18"/>
              </w:rPr>
            </w:pPr>
            <w:r w:rsidRPr="000E0F90">
              <w:rPr>
                <w:rFonts w:ascii="Arial" w:hAnsi="Arial" w:cs="Arial"/>
                <w:b/>
                <w:color w:val="000000" w:themeColor="text1"/>
                <w:sz w:val="18"/>
                <w:szCs w:val="18"/>
              </w:rPr>
              <w:t>Organismo</w:t>
            </w:r>
          </w:p>
        </w:tc>
        <w:tc>
          <w:tcPr>
            <w:tcW w:w="1418" w:type="dxa"/>
            <w:tcBorders>
              <w:bottom w:val="single" w:sz="4" w:space="0" w:color="auto"/>
            </w:tcBorders>
            <w:shd w:val="clear" w:color="auto" w:fill="D9D9D9" w:themeFill="background1" w:themeFillShade="D9"/>
            <w:tcMar>
              <w:left w:w="57" w:type="dxa"/>
              <w:right w:w="57" w:type="dxa"/>
            </w:tcMar>
          </w:tcPr>
          <w:p w:rsidR="00545D54" w:rsidRPr="000E0F90" w:rsidRDefault="00545D54" w:rsidP="002A21E4">
            <w:pPr>
              <w:jc w:val="center"/>
              <w:rPr>
                <w:rFonts w:ascii="Arial" w:hAnsi="Arial" w:cs="Arial"/>
                <w:b/>
                <w:color w:val="000000" w:themeColor="text1"/>
                <w:sz w:val="18"/>
                <w:szCs w:val="18"/>
              </w:rPr>
            </w:pPr>
            <w:r w:rsidRPr="000E0F90">
              <w:rPr>
                <w:rFonts w:ascii="Arial" w:hAnsi="Arial" w:cs="Arial"/>
                <w:b/>
                <w:color w:val="000000" w:themeColor="text1"/>
                <w:sz w:val="18"/>
                <w:szCs w:val="18"/>
              </w:rPr>
              <w:t>Actores objetivo</w:t>
            </w:r>
          </w:p>
        </w:tc>
        <w:tc>
          <w:tcPr>
            <w:tcW w:w="2693" w:type="dxa"/>
            <w:tcBorders>
              <w:bottom w:val="single" w:sz="4" w:space="0" w:color="auto"/>
            </w:tcBorders>
            <w:shd w:val="clear" w:color="auto" w:fill="D9D9D9" w:themeFill="background1" w:themeFillShade="D9"/>
            <w:tcMar>
              <w:left w:w="57" w:type="dxa"/>
              <w:right w:w="57" w:type="dxa"/>
            </w:tcMar>
          </w:tcPr>
          <w:p w:rsidR="00545D54" w:rsidRPr="000E0F90" w:rsidRDefault="00545D54" w:rsidP="002A21E4">
            <w:pPr>
              <w:jc w:val="center"/>
              <w:rPr>
                <w:rFonts w:ascii="Arial" w:hAnsi="Arial" w:cs="Arial"/>
                <w:b/>
                <w:color w:val="000000" w:themeColor="text1"/>
                <w:sz w:val="18"/>
                <w:szCs w:val="18"/>
              </w:rPr>
            </w:pPr>
            <w:r w:rsidRPr="000E0F90">
              <w:rPr>
                <w:rFonts w:ascii="Arial" w:hAnsi="Arial" w:cs="Arial"/>
                <w:b/>
                <w:color w:val="000000" w:themeColor="text1"/>
                <w:sz w:val="18"/>
                <w:szCs w:val="18"/>
              </w:rPr>
              <w:t>Misión</w:t>
            </w:r>
          </w:p>
        </w:tc>
        <w:tc>
          <w:tcPr>
            <w:tcW w:w="3366" w:type="dxa"/>
            <w:tcBorders>
              <w:bottom w:val="single" w:sz="4" w:space="0" w:color="auto"/>
            </w:tcBorders>
            <w:shd w:val="clear" w:color="auto" w:fill="D9D9D9" w:themeFill="background1" w:themeFillShade="D9"/>
            <w:tcMar>
              <w:left w:w="57" w:type="dxa"/>
              <w:right w:w="57" w:type="dxa"/>
            </w:tcMar>
          </w:tcPr>
          <w:p w:rsidR="00545D54" w:rsidRPr="000E0F90" w:rsidRDefault="00545D54" w:rsidP="002A21E4">
            <w:pPr>
              <w:jc w:val="center"/>
              <w:rPr>
                <w:rFonts w:ascii="Arial" w:hAnsi="Arial" w:cs="Arial"/>
                <w:b/>
                <w:color w:val="000000" w:themeColor="text1"/>
                <w:sz w:val="18"/>
                <w:szCs w:val="18"/>
              </w:rPr>
            </w:pPr>
            <w:r w:rsidRPr="000E0F90">
              <w:rPr>
                <w:rFonts w:ascii="Arial" w:hAnsi="Arial" w:cs="Arial"/>
                <w:b/>
                <w:color w:val="000000" w:themeColor="text1"/>
                <w:sz w:val="18"/>
                <w:szCs w:val="18"/>
              </w:rPr>
              <w:t xml:space="preserve">Acciones de </w:t>
            </w:r>
            <w:r w:rsidR="00F35BB8" w:rsidRPr="000E0F90">
              <w:rPr>
                <w:rFonts w:ascii="Arial" w:hAnsi="Arial" w:cs="Arial"/>
                <w:b/>
                <w:color w:val="000000" w:themeColor="text1"/>
                <w:sz w:val="18"/>
                <w:szCs w:val="18"/>
              </w:rPr>
              <w:t>Sostenibilidad</w:t>
            </w:r>
          </w:p>
        </w:tc>
      </w:tr>
      <w:tr w:rsidR="00545D54" w:rsidRPr="000E0F90" w:rsidTr="002A21E4">
        <w:trPr>
          <w:jc w:val="center"/>
        </w:trPr>
        <w:tc>
          <w:tcPr>
            <w:tcW w:w="1191" w:type="dxa"/>
            <w:tcBorders>
              <w:bottom w:val="nil"/>
            </w:tcBorders>
            <w:tcMar>
              <w:left w:w="57" w:type="dxa"/>
              <w:right w:w="57" w:type="dxa"/>
            </w:tcMar>
          </w:tcPr>
          <w:p w:rsidR="00545D54" w:rsidRPr="000E0F90" w:rsidRDefault="0049698D" w:rsidP="00354969">
            <w:pPr>
              <w:rPr>
                <w:rFonts w:ascii="Arial" w:hAnsi="Arial" w:cs="Arial"/>
                <w:color w:val="000000" w:themeColor="text1"/>
                <w:sz w:val="18"/>
                <w:szCs w:val="18"/>
              </w:rPr>
            </w:pPr>
            <w:r w:rsidRPr="000E0F90">
              <w:rPr>
                <w:rFonts w:ascii="Arial" w:hAnsi="Arial" w:cs="Arial"/>
                <w:color w:val="000000" w:themeColor="text1"/>
                <w:sz w:val="18"/>
                <w:szCs w:val="18"/>
              </w:rPr>
              <w:t>Ministerio</w:t>
            </w:r>
            <w:r w:rsidR="00545D54" w:rsidRPr="000E0F90">
              <w:rPr>
                <w:rFonts w:ascii="Arial" w:hAnsi="Arial" w:cs="Arial"/>
                <w:color w:val="000000" w:themeColor="text1"/>
                <w:sz w:val="18"/>
                <w:szCs w:val="18"/>
              </w:rPr>
              <w:t xml:space="preserve"> de Minería</w:t>
            </w:r>
          </w:p>
        </w:tc>
        <w:tc>
          <w:tcPr>
            <w:tcW w:w="1418" w:type="dxa"/>
            <w:tcBorders>
              <w:bottom w:val="nil"/>
            </w:tcBorders>
            <w:tcMar>
              <w:left w:w="57" w:type="dxa"/>
              <w:right w:w="57" w:type="dxa"/>
            </w:tcMar>
          </w:tcPr>
          <w:p w:rsidR="00545D54" w:rsidRPr="000E0F90" w:rsidRDefault="00545D54" w:rsidP="002A21E4">
            <w:pPr>
              <w:jc w:val="center"/>
              <w:rPr>
                <w:rFonts w:ascii="Arial" w:hAnsi="Arial" w:cs="Arial"/>
                <w:color w:val="000000" w:themeColor="text1"/>
                <w:sz w:val="18"/>
                <w:szCs w:val="18"/>
              </w:rPr>
            </w:pPr>
            <w:r w:rsidRPr="000E0F90">
              <w:rPr>
                <w:rFonts w:ascii="Arial" w:hAnsi="Arial" w:cs="Arial"/>
                <w:color w:val="000000" w:themeColor="text1"/>
                <w:sz w:val="18"/>
                <w:szCs w:val="18"/>
              </w:rPr>
              <w:t>Todo el sector</w:t>
            </w:r>
          </w:p>
        </w:tc>
        <w:tc>
          <w:tcPr>
            <w:tcW w:w="2693" w:type="dxa"/>
            <w:tcBorders>
              <w:bottom w:val="nil"/>
            </w:tcBorders>
            <w:tcMar>
              <w:left w:w="57" w:type="dxa"/>
              <w:right w:w="57" w:type="dxa"/>
            </w:tcMar>
          </w:tcPr>
          <w:p w:rsidR="00545D54" w:rsidRPr="000E0F90" w:rsidRDefault="00545D54" w:rsidP="002A21E4">
            <w:pPr>
              <w:jc w:val="center"/>
              <w:rPr>
                <w:rFonts w:ascii="Arial" w:hAnsi="Arial" w:cs="Arial"/>
                <w:color w:val="000000" w:themeColor="text1"/>
                <w:sz w:val="18"/>
                <w:szCs w:val="18"/>
              </w:rPr>
            </w:pPr>
          </w:p>
        </w:tc>
        <w:tc>
          <w:tcPr>
            <w:tcW w:w="3366" w:type="dxa"/>
            <w:tcBorders>
              <w:bottom w:val="nil"/>
            </w:tcBorders>
            <w:tcMar>
              <w:left w:w="57" w:type="dxa"/>
              <w:right w:w="57" w:type="dxa"/>
            </w:tcMar>
          </w:tcPr>
          <w:p w:rsidR="00545D54" w:rsidRPr="000E0F90" w:rsidRDefault="00545D54" w:rsidP="002A21E4">
            <w:pPr>
              <w:jc w:val="center"/>
              <w:rPr>
                <w:rFonts w:ascii="Arial" w:hAnsi="Arial" w:cs="Arial"/>
                <w:color w:val="000000" w:themeColor="text1"/>
                <w:sz w:val="18"/>
                <w:szCs w:val="18"/>
              </w:rPr>
            </w:pPr>
            <w:r w:rsidRPr="000E0F90">
              <w:rPr>
                <w:rFonts w:ascii="Arial" w:hAnsi="Arial" w:cs="Arial"/>
                <w:color w:val="000000" w:themeColor="text1"/>
                <w:sz w:val="18"/>
                <w:szCs w:val="18"/>
              </w:rPr>
              <w:t>Liderar el desarrollo de políticas públicas de minería orientadas a elevar la contribución de la actividad minera al desarrollo nacional, diversificando la actividad para aprovechar los recursos disponibles en condiciones sustentables y valoradas por la ciudadanía.</w:t>
            </w:r>
          </w:p>
        </w:tc>
      </w:tr>
      <w:tr w:rsidR="00545D54" w:rsidRPr="000E0F90" w:rsidTr="002A21E4">
        <w:trPr>
          <w:jc w:val="center"/>
        </w:trPr>
        <w:tc>
          <w:tcPr>
            <w:tcW w:w="1191" w:type="dxa"/>
            <w:tcBorders>
              <w:top w:val="nil"/>
              <w:bottom w:val="nil"/>
            </w:tcBorders>
            <w:tcMar>
              <w:left w:w="57" w:type="dxa"/>
              <w:right w:w="57" w:type="dxa"/>
            </w:tcMar>
          </w:tcPr>
          <w:p w:rsidR="00545D54" w:rsidRPr="000E0F90" w:rsidRDefault="00545D54" w:rsidP="00354969">
            <w:pPr>
              <w:rPr>
                <w:rFonts w:ascii="Arial" w:hAnsi="Arial" w:cs="Arial"/>
                <w:color w:val="000000" w:themeColor="text1"/>
                <w:sz w:val="18"/>
                <w:szCs w:val="18"/>
              </w:rPr>
            </w:pPr>
            <w:r w:rsidRPr="000E0F90">
              <w:rPr>
                <w:rFonts w:ascii="Arial" w:hAnsi="Arial" w:cs="Arial"/>
                <w:color w:val="000000" w:themeColor="text1"/>
                <w:sz w:val="18"/>
                <w:szCs w:val="18"/>
              </w:rPr>
              <w:t>Comisión Chilena del Cobre (COCHILCO)</w:t>
            </w:r>
          </w:p>
        </w:tc>
        <w:tc>
          <w:tcPr>
            <w:tcW w:w="1418" w:type="dxa"/>
            <w:tcBorders>
              <w:top w:val="nil"/>
              <w:bottom w:val="nil"/>
            </w:tcBorders>
            <w:tcMar>
              <w:left w:w="57" w:type="dxa"/>
              <w:right w:w="57" w:type="dxa"/>
            </w:tcMar>
          </w:tcPr>
          <w:p w:rsidR="00545D54" w:rsidRPr="000E0F90" w:rsidRDefault="00545D54" w:rsidP="002A21E4">
            <w:pPr>
              <w:jc w:val="center"/>
              <w:rPr>
                <w:rFonts w:ascii="Arial" w:hAnsi="Arial" w:cs="Arial"/>
                <w:color w:val="000000" w:themeColor="text1"/>
                <w:sz w:val="18"/>
                <w:szCs w:val="18"/>
              </w:rPr>
            </w:pPr>
            <w:r w:rsidRPr="000E0F90">
              <w:rPr>
                <w:rFonts w:ascii="Arial" w:hAnsi="Arial" w:cs="Arial"/>
                <w:color w:val="000000" w:themeColor="text1"/>
                <w:sz w:val="18"/>
                <w:szCs w:val="18"/>
              </w:rPr>
              <w:t>Gobierno</w:t>
            </w:r>
          </w:p>
        </w:tc>
        <w:tc>
          <w:tcPr>
            <w:tcW w:w="2693" w:type="dxa"/>
            <w:tcBorders>
              <w:top w:val="nil"/>
              <w:bottom w:val="nil"/>
            </w:tcBorders>
            <w:tcMar>
              <w:left w:w="57" w:type="dxa"/>
              <w:right w:w="57" w:type="dxa"/>
            </w:tcMar>
          </w:tcPr>
          <w:p w:rsidR="00545D54" w:rsidRPr="000E0F90" w:rsidRDefault="00545D54" w:rsidP="002A21E4">
            <w:pPr>
              <w:jc w:val="center"/>
              <w:rPr>
                <w:rFonts w:ascii="Arial" w:hAnsi="Arial" w:cs="Arial"/>
                <w:color w:val="000000" w:themeColor="text1"/>
                <w:sz w:val="18"/>
                <w:szCs w:val="18"/>
              </w:rPr>
            </w:pPr>
            <w:r w:rsidRPr="000E0F90">
              <w:rPr>
                <w:rFonts w:ascii="Arial" w:hAnsi="Arial" w:cs="Arial"/>
                <w:color w:val="000000" w:themeColor="text1"/>
                <w:sz w:val="18"/>
                <w:szCs w:val="18"/>
              </w:rPr>
              <w:t>“Asesorar al Gobierno en la elaboración, implementación y fiscalización de políticas, estrategias y acciones que contribuyan al desarrollo sustentable del sector minero nacional y a fortalecer el aporte de éste al resto de la economía…”.</w:t>
            </w:r>
          </w:p>
        </w:tc>
        <w:tc>
          <w:tcPr>
            <w:tcW w:w="3366" w:type="dxa"/>
            <w:tcBorders>
              <w:top w:val="nil"/>
              <w:bottom w:val="nil"/>
            </w:tcBorders>
            <w:tcMar>
              <w:left w:w="57" w:type="dxa"/>
              <w:right w:w="57" w:type="dxa"/>
            </w:tcMar>
          </w:tcPr>
          <w:p w:rsidR="00545D54" w:rsidRPr="000E0F90" w:rsidRDefault="00545D54" w:rsidP="002A21E4">
            <w:pPr>
              <w:jc w:val="center"/>
              <w:rPr>
                <w:rFonts w:ascii="Arial" w:hAnsi="Arial" w:cs="Arial"/>
                <w:color w:val="000000" w:themeColor="text1"/>
                <w:sz w:val="18"/>
                <w:szCs w:val="18"/>
              </w:rPr>
            </w:pPr>
            <w:r w:rsidRPr="000E0F90">
              <w:rPr>
                <w:rFonts w:ascii="Arial" w:hAnsi="Arial" w:cs="Arial"/>
                <w:color w:val="000000" w:themeColor="text1"/>
                <w:sz w:val="18"/>
                <w:szCs w:val="18"/>
              </w:rPr>
              <w:t>Elaboración de estudios e informes de sustentabilidad de la industria relativos a consumo energético, consumo hídrico, cierre de faenas</w:t>
            </w:r>
          </w:p>
        </w:tc>
      </w:tr>
      <w:tr w:rsidR="00545D54" w:rsidRPr="000E0F90" w:rsidTr="002A21E4">
        <w:trPr>
          <w:jc w:val="center"/>
        </w:trPr>
        <w:tc>
          <w:tcPr>
            <w:tcW w:w="1191" w:type="dxa"/>
            <w:tcBorders>
              <w:top w:val="nil"/>
              <w:bottom w:val="nil"/>
            </w:tcBorders>
            <w:tcMar>
              <w:left w:w="57" w:type="dxa"/>
              <w:right w:w="57" w:type="dxa"/>
            </w:tcMar>
          </w:tcPr>
          <w:p w:rsidR="00545D54" w:rsidRPr="000E0F90" w:rsidRDefault="00545D54" w:rsidP="00354969">
            <w:pPr>
              <w:rPr>
                <w:rFonts w:ascii="Arial" w:hAnsi="Arial" w:cs="Arial"/>
                <w:color w:val="000000" w:themeColor="text1"/>
                <w:sz w:val="18"/>
                <w:szCs w:val="18"/>
              </w:rPr>
            </w:pPr>
            <w:r w:rsidRPr="000E0F90">
              <w:rPr>
                <w:rFonts w:ascii="Arial" w:hAnsi="Arial" w:cs="Arial"/>
                <w:color w:val="000000" w:themeColor="text1"/>
                <w:sz w:val="18"/>
                <w:szCs w:val="18"/>
              </w:rPr>
              <w:t>Consejo Minero</w:t>
            </w:r>
          </w:p>
        </w:tc>
        <w:tc>
          <w:tcPr>
            <w:tcW w:w="1418" w:type="dxa"/>
            <w:tcBorders>
              <w:top w:val="nil"/>
              <w:bottom w:val="nil"/>
            </w:tcBorders>
            <w:tcMar>
              <w:left w:w="57" w:type="dxa"/>
              <w:right w:w="57" w:type="dxa"/>
            </w:tcMar>
          </w:tcPr>
          <w:p w:rsidR="00545D54" w:rsidRPr="000E0F90" w:rsidRDefault="00545D54" w:rsidP="002A21E4">
            <w:pPr>
              <w:jc w:val="center"/>
              <w:rPr>
                <w:rFonts w:ascii="Arial" w:hAnsi="Arial" w:cs="Arial"/>
                <w:color w:val="000000" w:themeColor="text1"/>
                <w:sz w:val="18"/>
                <w:szCs w:val="18"/>
              </w:rPr>
            </w:pPr>
            <w:r w:rsidRPr="000E0F90">
              <w:rPr>
                <w:rFonts w:ascii="Arial" w:hAnsi="Arial" w:cs="Arial"/>
                <w:color w:val="000000" w:themeColor="text1"/>
                <w:sz w:val="18"/>
                <w:szCs w:val="18"/>
              </w:rPr>
              <w:t>Gran minería</w:t>
            </w:r>
          </w:p>
        </w:tc>
        <w:tc>
          <w:tcPr>
            <w:tcW w:w="2693" w:type="dxa"/>
            <w:tcBorders>
              <w:top w:val="nil"/>
              <w:bottom w:val="nil"/>
            </w:tcBorders>
            <w:tcMar>
              <w:left w:w="57" w:type="dxa"/>
              <w:right w:w="57" w:type="dxa"/>
            </w:tcMar>
          </w:tcPr>
          <w:p w:rsidR="00545D54" w:rsidRPr="000E0F90" w:rsidRDefault="00545D54" w:rsidP="002A21E4">
            <w:pPr>
              <w:jc w:val="center"/>
              <w:rPr>
                <w:rFonts w:ascii="Arial" w:hAnsi="Arial" w:cs="Arial"/>
                <w:color w:val="000000" w:themeColor="text1"/>
                <w:sz w:val="18"/>
                <w:szCs w:val="18"/>
              </w:rPr>
            </w:pPr>
            <w:r w:rsidRPr="000E0F90">
              <w:rPr>
                <w:rFonts w:ascii="Arial" w:hAnsi="Arial" w:cs="Arial"/>
                <w:color w:val="000000" w:themeColor="text1"/>
                <w:sz w:val="18"/>
                <w:szCs w:val="18"/>
              </w:rPr>
              <w:t>“impulsar el desarrollo competitivo y sustentable de la minería chilena, contribuyendo al bienestar del país”.</w:t>
            </w:r>
          </w:p>
        </w:tc>
        <w:tc>
          <w:tcPr>
            <w:tcW w:w="3366" w:type="dxa"/>
            <w:tcBorders>
              <w:top w:val="nil"/>
              <w:bottom w:val="nil"/>
            </w:tcBorders>
            <w:tcMar>
              <w:left w:w="57" w:type="dxa"/>
              <w:right w:w="57" w:type="dxa"/>
            </w:tcMar>
          </w:tcPr>
          <w:p w:rsidR="00545D54" w:rsidRPr="000E0F90" w:rsidRDefault="00545D54" w:rsidP="002A21E4">
            <w:pPr>
              <w:jc w:val="center"/>
              <w:rPr>
                <w:rFonts w:ascii="Arial" w:hAnsi="Arial" w:cs="Arial"/>
                <w:color w:val="000000" w:themeColor="text1"/>
                <w:sz w:val="18"/>
                <w:szCs w:val="18"/>
              </w:rPr>
            </w:pPr>
            <w:r w:rsidRPr="000E0F90">
              <w:rPr>
                <w:rFonts w:ascii="Arial" w:hAnsi="Arial" w:cs="Arial"/>
                <w:color w:val="000000" w:themeColor="text1"/>
                <w:sz w:val="18"/>
                <w:szCs w:val="18"/>
              </w:rPr>
              <w:t>Miembro ICMM;</w:t>
            </w:r>
          </w:p>
          <w:p w:rsidR="00545D54" w:rsidRPr="000E0F90" w:rsidRDefault="00545D54" w:rsidP="002A21E4">
            <w:pPr>
              <w:jc w:val="center"/>
              <w:rPr>
                <w:rFonts w:ascii="Arial" w:hAnsi="Arial" w:cs="Arial"/>
                <w:color w:val="000000" w:themeColor="text1"/>
                <w:sz w:val="18"/>
                <w:szCs w:val="18"/>
              </w:rPr>
            </w:pPr>
            <w:r w:rsidRPr="000E0F90">
              <w:rPr>
                <w:rFonts w:ascii="Arial" w:hAnsi="Arial" w:cs="Arial"/>
                <w:color w:val="000000" w:themeColor="text1"/>
                <w:sz w:val="18"/>
                <w:szCs w:val="18"/>
              </w:rPr>
              <w:t>Estrategias para la sostenibilidad y competitividad de la industria: Capital Humano, Medio Ambiente, Energía y Cambio Climático, Recursos Hídricos y Entorno Social</w:t>
            </w:r>
          </w:p>
        </w:tc>
      </w:tr>
      <w:tr w:rsidR="00545D54" w:rsidRPr="000E0F90" w:rsidTr="002A21E4">
        <w:trPr>
          <w:jc w:val="center"/>
        </w:trPr>
        <w:tc>
          <w:tcPr>
            <w:tcW w:w="1191" w:type="dxa"/>
            <w:tcBorders>
              <w:top w:val="nil"/>
              <w:bottom w:val="nil"/>
            </w:tcBorders>
            <w:tcMar>
              <w:left w:w="57" w:type="dxa"/>
              <w:right w:w="57" w:type="dxa"/>
            </w:tcMar>
          </w:tcPr>
          <w:p w:rsidR="00545D54" w:rsidRPr="000E0F90" w:rsidRDefault="00545D54" w:rsidP="00354969">
            <w:pPr>
              <w:rPr>
                <w:rFonts w:ascii="Arial" w:hAnsi="Arial" w:cs="Arial"/>
                <w:color w:val="000000" w:themeColor="text1"/>
                <w:sz w:val="18"/>
                <w:szCs w:val="18"/>
              </w:rPr>
            </w:pPr>
            <w:r w:rsidRPr="000E0F90">
              <w:rPr>
                <w:rFonts w:ascii="Arial" w:hAnsi="Arial" w:cs="Arial"/>
                <w:color w:val="000000" w:themeColor="text1"/>
                <w:sz w:val="18"/>
                <w:szCs w:val="18"/>
              </w:rPr>
              <w:t>Sociedad Nacional de Minería (SONAMI)</w:t>
            </w:r>
          </w:p>
        </w:tc>
        <w:tc>
          <w:tcPr>
            <w:tcW w:w="1418" w:type="dxa"/>
            <w:tcBorders>
              <w:top w:val="nil"/>
              <w:bottom w:val="nil"/>
            </w:tcBorders>
            <w:tcMar>
              <w:left w:w="57" w:type="dxa"/>
              <w:right w:w="57" w:type="dxa"/>
            </w:tcMar>
          </w:tcPr>
          <w:p w:rsidR="00545D54" w:rsidRPr="000E0F90" w:rsidRDefault="00545D54" w:rsidP="002A21E4">
            <w:pPr>
              <w:jc w:val="center"/>
              <w:rPr>
                <w:rFonts w:ascii="Arial" w:hAnsi="Arial" w:cs="Arial"/>
                <w:color w:val="000000" w:themeColor="text1"/>
                <w:sz w:val="18"/>
                <w:szCs w:val="18"/>
              </w:rPr>
            </w:pPr>
            <w:r w:rsidRPr="000E0F90">
              <w:rPr>
                <w:rFonts w:ascii="Arial" w:hAnsi="Arial" w:cs="Arial"/>
                <w:color w:val="000000" w:themeColor="text1"/>
                <w:sz w:val="18"/>
                <w:szCs w:val="18"/>
              </w:rPr>
              <w:t>Pequeños empresarios,  mediana y gran minería, empresas relacionadas</w:t>
            </w:r>
          </w:p>
        </w:tc>
        <w:tc>
          <w:tcPr>
            <w:tcW w:w="2693" w:type="dxa"/>
            <w:tcBorders>
              <w:top w:val="nil"/>
              <w:bottom w:val="nil"/>
            </w:tcBorders>
            <w:tcMar>
              <w:left w:w="57" w:type="dxa"/>
              <w:right w:w="57" w:type="dxa"/>
            </w:tcMar>
          </w:tcPr>
          <w:p w:rsidR="00545D54" w:rsidRPr="000E0F90" w:rsidRDefault="00545D54" w:rsidP="002A21E4">
            <w:pPr>
              <w:jc w:val="center"/>
              <w:rPr>
                <w:rFonts w:ascii="Arial" w:hAnsi="Arial" w:cs="Arial"/>
                <w:color w:val="000000" w:themeColor="text1"/>
                <w:sz w:val="18"/>
                <w:szCs w:val="18"/>
              </w:rPr>
            </w:pPr>
            <w:r w:rsidRPr="000E0F90">
              <w:rPr>
                <w:rFonts w:ascii="Arial" w:hAnsi="Arial" w:cs="Arial"/>
                <w:color w:val="000000" w:themeColor="text1"/>
                <w:sz w:val="18"/>
                <w:szCs w:val="18"/>
              </w:rPr>
              <w:t>“…fomentar el desarrollo sustentable y cumplir la normativa medioambiental…”</w:t>
            </w:r>
          </w:p>
        </w:tc>
        <w:tc>
          <w:tcPr>
            <w:tcW w:w="3366" w:type="dxa"/>
            <w:tcBorders>
              <w:top w:val="nil"/>
              <w:bottom w:val="nil"/>
            </w:tcBorders>
            <w:tcMar>
              <w:left w:w="57" w:type="dxa"/>
              <w:right w:w="57" w:type="dxa"/>
            </w:tcMar>
          </w:tcPr>
          <w:p w:rsidR="00545D54" w:rsidRPr="000E0F90" w:rsidRDefault="00545D54" w:rsidP="002A21E4">
            <w:pPr>
              <w:jc w:val="center"/>
              <w:rPr>
                <w:rFonts w:ascii="Arial" w:hAnsi="Arial" w:cs="Arial"/>
                <w:color w:val="000000" w:themeColor="text1"/>
                <w:sz w:val="18"/>
                <w:szCs w:val="18"/>
              </w:rPr>
            </w:pPr>
            <w:r w:rsidRPr="000E0F90">
              <w:rPr>
                <w:rFonts w:ascii="Arial" w:hAnsi="Arial" w:cs="Arial"/>
                <w:color w:val="000000" w:themeColor="text1"/>
                <w:sz w:val="18"/>
                <w:szCs w:val="18"/>
              </w:rPr>
              <w:t>Miembro ICMM;</w:t>
            </w:r>
          </w:p>
          <w:p w:rsidR="00545D54" w:rsidRPr="000E0F90" w:rsidRDefault="00545D54" w:rsidP="002A21E4">
            <w:pPr>
              <w:jc w:val="center"/>
              <w:rPr>
                <w:rFonts w:ascii="Arial" w:hAnsi="Arial" w:cs="Arial"/>
                <w:color w:val="000000" w:themeColor="text1"/>
                <w:sz w:val="18"/>
                <w:szCs w:val="18"/>
              </w:rPr>
            </w:pPr>
            <w:r w:rsidRPr="000E0F90">
              <w:rPr>
                <w:rFonts w:ascii="Arial" w:hAnsi="Arial" w:cs="Arial"/>
                <w:color w:val="000000" w:themeColor="text1"/>
                <w:sz w:val="18"/>
                <w:szCs w:val="18"/>
              </w:rPr>
              <w:t>Comisión de medioambiente (Medioambiente, asuntos comunitarios, cierre de faenas, recursos hídricos y biodiversidad); Cambio Climático y Energía, Consulta indígena, derechos humanos, Ordenación Territorial, entre otros.</w:t>
            </w:r>
          </w:p>
        </w:tc>
      </w:tr>
      <w:tr w:rsidR="00545D54" w:rsidRPr="000E0F90" w:rsidTr="002A21E4">
        <w:trPr>
          <w:jc w:val="center"/>
        </w:trPr>
        <w:tc>
          <w:tcPr>
            <w:tcW w:w="1191" w:type="dxa"/>
            <w:tcBorders>
              <w:top w:val="nil"/>
              <w:bottom w:val="nil"/>
            </w:tcBorders>
            <w:tcMar>
              <w:left w:w="57" w:type="dxa"/>
              <w:right w:w="57" w:type="dxa"/>
            </w:tcMar>
          </w:tcPr>
          <w:p w:rsidR="00545D54" w:rsidRPr="000E0F90" w:rsidRDefault="00545D54" w:rsidP="00354969">
            <w:pPr>
              <w:rPr>
                <w:rFonts w:ascii="Arial" w:hAnsi="Arial" w:cs="Arial"/>
                <w:color w:val="000000" w:themeColor="text1"/>
                <w:sz w:val="18"/>
                <w:szCs w:val="18"/>
              </w:rPr>
            </w:pPr>
            <w:r w:rsidRPr="000E0F90">
              <w:rPr>
                <w:rFonts w:ascii="Arial" w:hAnsi="Arial" w:cs="Arial"/>
                <w:color w:val="000000" w:themeColor="text1"/>
                <w:sz w:val="18"/>
                <w:szCs w:val="18"/>
              </w:rPr>
              <w:t>Servicio Nacional de Geología y Minería</w:t>
            </w:r>
          </w:p>
        </w:tc>
        <w:tc>
          <w:tcPr>
            <w:tcW w:w="1418" w:type="dxa"/>
            <w:tcBorders>
              <w:top w:val="nil"/>
              <w:bottom w:val="nil"/>
            </w:tcBorders>
            <w:tcMar>
              <w:left w:w="57" w:type="dxa"/>
              <w:right w:w="57" w:type="dxa"/>
            </w:tcMar>
          </w:tcPr>
          <w:p w:rsidR="00545D54" w:rsidRPr="000E0F90" w:rsidRDefault="00545D54" w:rsidP="002A21E4">
            <w:pPr>
              <w:jc w:val="center"/>
              <w:rPr>
                <w:rFonts w:ascii="Arial" w:hAnsi="Arial" w:cs="Arial"/>
                <w:color w:val="000000" w:themeColor="text1"/>
                <w:sz w:val="18"/>
                <w:szCs w:val="18"/>
              </w:rPr>
            </w:pPr>
            <w:r w:rsidRPr="000E0F90">
              <w:rPr>
                <w:rFonts w:ascii="Arial" w:hAnsi="Arial" w:cs="Arial"/>
                <w:color w:val="000000" w:themeColor="text1"/>
                <w:sz w:val="18"/>
                <w:szCs w:val="18"/>
              </w:rPr>
              <w:t>Sector productivo minero</w:t>
            </w:r>
          </w:p>
        </w:tc>
        <w:tc>
          <w:tcPr>
            <w:tcW w:w="2693" w:type="dxa"/>
            <w:tcBorders>
              <w:top w:val="nil"/>
              <w:bottom w:val="nil"/>
            </w:tcBorders>
            <w:tcMar>
              <w:left w:w="57" w:type="dxa"/>
              <w:right w:w="57" w:type="dxa"/>
            </w:tcMar>
          </w:tcPr>
          <w:p w:rsidR="00545D54" w:rsidRPr="000E0F90" w:rsidRDefault="00545D54" w:rsidP="002A21E4">
            <w:pPr>
              <w:jc w:val="center"/>
              <w:rPr>
                <w:rFonts w:ascii="Arial" w:hAnsi="Arial" w:cs="Arial"/>
                <w:color w:val="000000" w:themeColor="text1"/>
                <w:sz w:val="18"/>
                <w:szCs w:val="18"/>
              </w:rPr>
            </w:pPr>
            <w:r w:rsidRPr="000E0F90">
              <w:rPr>
                <w:rFonts w:ascii="Arial" w:hAnsi="Arial" w:cs="Arial"/>
                <w:color w:val="000000" w:themeColor="text1"/>
                <w:sz w:val="18"/>
                <w:szCs w:val="18"/>
              </w:rPr>
              <w:t>“…, contribuye al desarrollo de una actividad minera sustentable y socialmente responsable</w:t>
            </w:r>
            <w:r w:rsidR="00354969" w:rsidRPr="000E0F90">
              <w:rPr>
                <w:rFonts w:ascii="Arial" w:hAnsi="Arial" w:cs="Arial"/>
                <w:color w:val="000000" w:themeColor="text1"/>
                <w:sz w:val="18"/>
                <w:szCs w:val="18"/>
              </w:rPr>
              <w:t>.”</w:t>
            </w:r>
          </w:p>
          <w:p w:rsidR="00545D54" w:rsidRPr="000E0F90" w:rsidRDefault="00545D54" w:rsidP="002A21E4">
            <w:pPr>
              <w:jc w:val="center"/>
              <w:rPr>
                <w:rFonts w:ascii="Arial" w:hAnsi="Arial" w:cs="Arial"/>
                <w:color w:val="000000" w:themeColor="text1"/>
                <w:sz w:val="18"/>
                <w:szCs w:val="18"/>
              </w:rPr>
            </w:pPr>
          </w:p>
        </w:tc>
        <w:tc>
          <w:tcPr>
            <w:tcW w:w="3366" w:type="dxa"/>
            <w:tcBorders>
              <w:top w:val="nil"/>
              <w:bottom w:val="nil"/>
            </w:tcBorders>
            <w:tcMar>
              <w:left w:w="57" w:type="dxa"/>
              <w:right w:w="57" w:type="dxa"/>
            </w:tcMar>
          </w:tcPr>
          <w:p w:rsidR="00545D54" w:rsidRPr="000E0F90" w:rsidRDefault="00545D54" w:rsidP="002A21E4">
            <w:pPr>
              <w:jc w:val="center"/>
              <w:rPr>
                <w:rFonts w:ascii="Arial" w:hAnsi="Arial" w:cs="Arial"/>
                <w:color w:val="000000" w:themeColor="text1"/>
                <w:sz w:val="18"/>
                <w:szCs w:val="18"/>
              </w:rPr>
            </w:pPr>
            <w:r w:rsidRPr="000E0F90">
              <w:rPr>
                <w:rFonts w:ascii="Arial" w:hAnsi="Arial" w:cs="Arial"/>
                <w:color w:val="000000" w:themeColor="text1"/>
                <w:sz w:val="18"/>
                <w:szCs w:val="18"/>
              </w:rPr>
              <w:t>Generación de información técnica, regular  y fiscalizar el cumplimiento de estándares y normativas de seguridad y propiedad minera, así como la gestión ambiental y cierre de faenas mineras, además de los depósitos de relaves</w:t>
            </w:r>
          </w:p>
        </w:tc>
      </w:tr>
      <w:tr w:rsidR="00545D54" w:rsidRPr="000E0F90" w:rsidTr="002A21E4">
        <w:trPr>
          <w:jc w:val="center"/>
        </w:trPr>
        <w:tc>
          <w:tcPr>
            <w:tcW w:w="1191" w:type="dxa"/>
            <w:tcBorders>
              <w:top w:val="nil"/>
            </w:tcBorders>
            <w:tcMar>
              <w:left w:w="57" w:type="dxa"/>
              <w:right w:w="57" w:type="dxa"/>
            </w:tcMar>
          </w:tcPr>
          <w:p w:rsidR="00545D54" w:rsidRPr="000E0F90" w:rsidRDefault="00545D54" w:rsidP="00354969">
            <w:pPr>
              <w:rPr>
                <w:rFonts w:ascii="Arial" w:hAnsi="Arial" w:cs="Arial"/>
                <w:color w:val="000000" w:themeColor="text1"/>
                <w:sz w:val="18"/>
                <w:szCs w:val="18"/>
              </w:rPr>
            </w:pPr>
            <w:r w:rsidRPr="000E0F90">
              <w:rPr>
                <w:rFonts w:ascii="Arial" w:hAnsi="Arial" w:cs="Arial"/>
                <w:color w:val="000000" w:themeColor="text1"/>
                <w:sz w:val="18"/>
                <w:szCs w:val="18"/>
              </w:rPr>
              <w:t>Empresa Nacional de Minería. ENAMI</w:t>
            </w:r>
          </w:p>
        </w:tc>
        <w:tc>
          <w:tcPr>
            <w:tcW w:w="1418" w:type="dxa"/>
            <w:tcBorders>
              <w:top w:val="nil"/>
            </w:tcBorders>
            <w:tcMar>
              <w:left w:w="57" w:type="dxa"/>
              <w:right w:w="57" w:type="dxa"/>
            </w:tcMar>
          </w:tcPr>
          <w:p w:rsidR="00545D54" w:rsidRPr="000E0F90" w:rsidRDefault="00545D54" w:rsidP="002A21E4">
            <w:pPr>
              <w:jc w:val="center"/>
              <w:rPr>
                <w:rFonts w:ascii="Arial" w:hAnsi="Arial" w:cs="Arial"/>
                <w:color w:val="000000" w:themeColor="text1"/>
                <w:sz w:val="18"/>
                <w:szCs w:val="18"/>
              </w:rPr>
            </w:pPr>
            <w:r w:rsidRPr="000E0F90">
              <w:rPr>
                <w:rFonts w:ascii="Arial" w:hAnsi="Arial" w:cs="Arial"/>
                <w:color w:val="000000" w:themeColor="text1"/>
                <w:sz w:val="18"/>
                <w:szCs w:val="18"/>
              </w:rPr>
              <w:t>Pequeña y Mediana Minería</w:t>
            </w:r>
          </w:p>
        </w:tc>
        <w:tc>
          <w:tcPr>
            <w:tcW w:w="2693" w:type="dxa"/>
            <w:tcBorders>
              <w:top w:val="nil"/>
            </w:tcBorders>
            <w:tcMar>
              <w:left w:w="57" w:type="dxa"/>
              <w:right w:w="57" w:type="dxa"/>
            </w:tcMar>
          </w:tcPr>
          <w:p w:rsidR="00545D54" w:rsidRPr="000E0F90" w:rsidRDefault="00545D54" w:rsidP="002A21E4">
            <w:pPr>
              <w:jc w:val="center"/>
              <w:rPr>
                <w:rFonts w:ascii="Arial" w:hAnsi="Arial" w:cs="Arial"/>
                <w:color w:val="000000" w:themeColor="text1"/>
                <w:sz w:val="18"/>
                <w:szCs w:val="18"/>
              </w:rPr>
            </w:pPr>
            <w:r w:rsidRPr="000E0F90">
              <w:rPr>
                <w:rFonts w:ascii="Arial" w:hAnsi="Arial" w:cs="Arial"/>
                <w:color w:val="000000" w:themeColor="text1"/>
                <w:sz w:val="18"/>
                <w:szCs w:val="18"/>
              </w:rPr>
              <w:t>“…fomenta el desarrollo de la pequeña y mediana minería, desde la explotación, producción, fundición, refinamiento y comercialización en el mercado internacional …”</w:t>
            </w:r>
          </w:p>
        </w:tc>
        <w:tc>
          <w:tcPr>
            <w:tcW w:w="3366" w:type="dxa"/>
            <w:tcBorders>
              <w:top w:val="nil"/>
            </w:tcBorders>
            <w:tcMar>
              <w:left w:w="57" w:type="dxa"/>
              <w:right w:w="57" w:type="dxa"/>
            </w:tcMar>
          </w:tcPr>
          <w:p w:rsidR="00545D54" w:rsidRPr="000E0F90" w:rsidRDefault="00545D54" w:rsidP="002A21E4">
            <w:pPr>
              <w:jc w:val="center"/>
              <w:rPr>
                <w:rFonts w:ascii="Arial" w:hAnsi="Arial" w:cs="Arial"/>
                <w:color w:val="000000" w:themeColor="text1"/>
                <w:sz w:val="18"/>
                <w:szCs w:val="18"/>
              </w:rPr>
            </w:pPr>
            <w:r w:rsidRPr="000E0F90">
              <w:rPr>
                <w:rFonts w:ascii="Arial" w:hAnsi="Arial" w:cs="Arial"/>
                <w:color w:val="000000" w:themeColor="text1"/>
                <w:sz w:val="18"/>
                <w:szCs w:val="18"/>
              </w:rPr>
              <w:t>Desarrollo de líneas de acción.</w:t>
            </w:r>
          </w:p>
          <w:p w:rsidR="00545D54" w:rsidRPr="000E0F90" w:rsidRDefault="00545D54" w:rsidP="002A21E4">
            <w:pPr>
              <w:jc w:val="center"/>
              <w:rPr>
                <w:rFonts w:ascii="Arial" w:hAnsi="Arial" w:cs="Arial"/>
                <w:color w:val="000000" w:themeColor="text1"/>
                <w:sz w:val="18"/>
                <w:szCs w:val="18"/>
              </w:rPr>
            </w:pPr>
            <w:r w:rsidRPr="000E0F90">
              <w:rPr>
                <w:rFonts w:ascii="Arial" w:hAnsi="Arial" w:cs="Arial"/>
                <w:color w:val="000000" w:themeColor="text1"/>
                <w:sz w:val="18"/>
                <w:szCs w:val="18"/>
              </w:rPr>
              <w:t>Política de sustentabilidad: principios de Seguridad y Salud Ocupacional, Medio Ambiente, Calidad y Responsabilidad Social</w:t>
            </w:r>
          </w:p>
        </w:tc>
      </w:tr>
    </w:tbl>
    <w:p w:rsidR="00545D54" w:rsidRPr="000E0F90" w:rsidRDefault="00545D54" w:rsidP="00545D54">
      <w:pPr>
        <w:jc w:val="center"/>
        <w:rPr>
          <w:rFonts w:ascii="Arial" w:hAnsi="Arial" w:cs="Arial"/>
          <w:color w:val="000000" w:themeColor="text1"/>
        </w:rPr>
      </w:pPr>
      <w:r w:rsidRPr="000E0F90">
        <w:rPr>
          <w:rFonts w:ascii="Arial" w:hAnsi="Arial" w:cs="Arial"/>
          <w:color w:val="000000" w:themeColor="text1"/>
        </w:rPr>
        <w:t xml:space="preserve">Fuente: </w:t>
      </w:r>
      <w:sdt>
        <w:sdtPr>
          <w:rPr>
            <w:rFonts w:ascii="Arial" w:hAnsi="Arial" w:cs="Arial"/>
            <w:color w:val="000000" w:themeColor="text1"/>
          </w:rPr>
          <w:id w:val="1369720834"/>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Com17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(Comisión Chilena del Cobre, 2017)</w:t>
          </w:r>
          <w:r w:rsidRPr="000E0F90">
            <w:rPr>
              <w:rFonts w:ascii="Arial" w:hAnsi="Arial" w:cs="Arial"/>
              <w:color w:val="000000" w:themeColor="text1"/>
            </w:rPr>
            <w:fldChar w:fldCharType="end"/>
          </w:r>
        </w:sdtContent>
      </w:sdt>
      <w:sdt>
        <w:sdtPr>
          <w:rPr>
            <w:rFonts w:ascii="Arial" w:hAnsi="Arial" w:cs="Arial"/>
            <w:color w:val="000000" w:themeColor="text1"/>
          </w:rPr>
          <w:id w:val="53206189"/>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Con17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 xml:space="preserve"> (Consejo Minero, 2017)</w:t>
          </w:r>
          <w:r w:rsidRPr="000E0F90">
            <w:rPr>
              <w:rFonts w:ascii="Arial" w:hAnsi="Arial" w:cs="Arial"/>
              <w:color w:val="000000" w:themeColor="text1"/>
            </w:rPr>
            <w:fldChar w:fldCharType="end"/>
          </w:r>
        </w:sdtContent>
      </w:sdt>
      <w:sdt>
        <w:sdtPr>
          <w:rPr>
            <w:rFonts w:ascii="Arial" w:hAnsi="Arial" w:cs="Arial"/>
            <w:color w:val="000000" w:themeColor="text1"/>
          </w:rPr>
          <w:id w:val="-1756971040"/>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Soc16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 xml:space="preserve"> (Sociedad Nacional de Minería, 2016)</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w:t>
      </w:r>
      <w:sdt>
        <w:sdtPr>
          <w:rPr>
            <w:rFonts w:ascii="Arial" w:hAnsi="Arial" w:cs="Arial"/>
            <w:color w:val="000000" w:themeColor="text1"/>
          </w:rPr>
          <w:id w:val="-229305173"/>
          <w:citation/>
        </w:sdtPr>
        <w:sdtEndPr/>
        <w:sdtContent>
          <w:r w:rsidRPr="000E0F90">
            <w:rPr>
              <w:rFonts w:ascii="Arial" w:hAnsi="Arial" w:cs="Arial"/>
              <w:color w:val="000000" w:themeColor="text1"/>
            </w:rPr>
            <w:fldChar w:fldCharType="begin"/>
          </w:r>
          <w:r w:rsidR="00954120" w:rsidRPr="000E0F90">
            <w:rPr>
              <w:rFonts w:ascii="Arial" w:hAnsi="Arial" w:cs="Arial"/>
              <w:color w:val="000000" w:themeColor="text1"/>
            </w:rPr>
            <w:instrText xml:space="preserve">CITATION SER16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(SERNAGEOMIN, 2010)</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w:t>
      </w:r>
      <w:sdt>
        <w:sdtPr>
          <w:rPr>
            <w:rFonts w:ascii="Arial" w:hAnsi="Arial" w:cs="Arial"/>
            <w:color w:val="000000" w:themeColor="text1"/>
          </w:rPr>
          <w:id w:val="397398419"/>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Emp17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(Empresa Nacional de Minería, 2017)</w:t>
          </w:r>
          <w:r w:rsidRPr="000E0F90">
            <w:rPr>
              <w:rFonts w:ascii="Arial" w:hAnsi="Arial" w:cs="Arial"/>
              <w:color w:val="000000" w:themeColor="text1"/>
            </w:rPr>
            <w:fldChar w:fldCharType="end"/>
          </w:r>
        </w:sdtContent>
      </w:sdt>
      <w:r w:rsidRPr="000E0F90">
        <w:rPr>
          <w:rFonts w:ascii="Arial" w:hAnsi="Arial" w:cs="Arial"/>
          <w:color w:val="000000" w:themeColor="text1"/>
        </w:rPr>
        <w:t>.</w:t>
      </w:r>
    </w:p>
    <w:p w:rsidR="00AB16D8" w:rsidRPr="000E0F90" w:rsidRDefault="00AB16D8">
      <w:pPr>
        <w:jc w:val="left"/>
        <w:rPr>
          <w:rFonts w:ascii="Arial" w:eastAsiaTheme="majorEastAsia" w:hAnsi="Arial" w:cs="Arial"/>
          <w:b/>
          <w:bCs/>
          <w:color w:val="000000" w:themeColor="text1"/>
          <w:sz w:val="28"/>
          <w:szCs w:val="28"/>
        </w:rPr>
      </w:pPr>
      <w:r w:rsidRPr="000E0F90">
        <w:rPr>
          <w:rFonts w:cs="Arial"/>
          <w:color w:val="000000" w:themeColor="text1"/>
        </w:rPr>
        <w:br w:type="page"/>
      </w:r>
    </w:p>
    <w:p w:rsidR="0037228E" w:rsidRPr="000E0F90" w:rsidRDefault="00E37213" w:rsidP="002B538F">
      <w:pPr>
        <w:pStyle w:val="Ttulo1"/>
        <w:spacing w:line="360" w:lineRule="auto"/>
        <w:rPr>
          <w:rFonts w:cs="Arial"/>
          <w:color w:val="000000" w:themeColor="text1"/>
        </w:rPr>
      </w:pPr>
      <w:bookmarkStart w:id="17" w:name="_Toc488774911"/>
      <w:r w:rsidRPr="000E0F90">
        <w:rPr>
          <w:rFonts w:cs="Arial"/>
          <w:color w:val="000000" w:themeColor="text1"/>
        </w:rPr>
        <w:lastRenderedPageBreak/>
        <w:t>MATERIALES Y MÉTODOS</w:t>
      </w:r>
      <w:bookmarkEnd w:id="17"/>
    </w:p>
    <w:p w:rsidR="0036176B" w:rsidRPr="000E0F90" w:rsidRDefault="00972E91" w:rsidP="002B538F">
      <w:pPr>
        <w:spacing w:before="240" w:line="360" w:lineRule="auto"/>
        <w:rPr>
          <w:rFonts w:ascii="Arial" w:hAnsi="Arial" w:cs="Arial"/>
          <w:color w:val="000000" w:themeColor="text1"/>
        </w:rPr>
      </w:pPr>
      <w:r w:rsidRPr="000E0F90">
        <w:rPr>
          <w:rFonts w:ascii="Arial" w:hAnsi="Arial" w:cs="Arial"/>
          <w:color w:val="000000" w:themeColor="text1"/>
        </w:rPr>
        <w:t>El objetivo de este estudio fue</w:t>
      </w:r>
      <w:r w:rsidR="004D2A84" w:rsidRPr="000E0F90">
        <w:rPr>
          <w:rFonts w:ascii="Arial" w:hAnsi="Arial" w:cs="Arial"/>
          <w:color w:val="000000" w:themeColor="text1"/>
        </w:rPr>
        <w:t xml:space="preserve"> </w:t>
      </w:r>
      <w:r w:rsidR="00D557C4" w:rsidRPr="000E0F90">
        <w:rPr>
          <w:rFonts w:ascii="Arial" w:hAnsi="Arial" w:cs="Arial"/>
          <w:color w:val="000000" w:themeColor="text1"/>
        </w:rPr>
        <w:t>elaborar una propuesta</w:t>
      </w:r>
      <w:r w:rsidR="00295621" w:rsidRPr="000E0F90">
        <w:rPr>
          <w:rFonts w:ascii="Arial" w:hAnsi="Arial" w:cs="Arial"/>
          <w:color w:val="000000" w:themeColor="text1"/>
        </w:rPr>
        <w:t xml:space="preserve"> </w:t>
      </w:r>
      <w:r w:rsidR="009344B7" w:rsidRPr="000E0F90">
        <w:rPr>
          <w:rFonts w:ascii="Arial" w:hAnsi="Arial" w:cs="Arial"/>
          <w:color w:val="000000" w:themeColor="text1"/>
        </w:rPr>
        <w:t xml:space="preserve">de </w:t>
      </w:r>
      <w:r w:rsidR="00D557C4" w:rsidRPr="000E0F90">
        <w:rPr>
          <w:rFonts w:ascii="Arial" w:hAnsi="Arial" w:cs="Arial"/>
          <w:color w:val="000000" w:themeColor="text1"/>
        </w:rPr>
        <w:t xml:space="preserve">principios de sostenibilidad </w:t>
      </w:r>
      <w:r w:rsidR="00BD66F1" w:rsidRPr="000E0F90">
        <w:rPr>
          <w:rFonts w:ascii="Arial" w:hAnsi="Arial" w:cs="Arial"/>
          <w:color w:val="000000" w:themeColor="text1"/>
        </w:rPr>
        <w:t>para territorios mineros</w:t>
      </w:r>
      <w:r w:rsidR="00136906" w:rsidRPr="000E0F90">
        <w:rPr>
          <w:rFonts w:ascii="Arial" w:hAnsi="Arial" w:cs="Arial"/>
          <w:color w:val="000000" w:themeColor="text1"/>
        </w:rPr>
        <w:t xml:space="preserve"> de</w:t>
      </w:r>
      <w:r w:rsidR="00E936A9" w:rsidRPr="000E0F90">
        <w:rPr>
          <w:rFonts w:ascii="Arial" w:hAnsi="Arial" w:cs="Arial"/>
          <w:color w:val="000000" w:themeColor="text1"/>
        </w:rPr>
        <w:t xml:space="preserve">l Norte Chico de </w:t>
      </w:r>
      <w:r w:rsidR="00136906" w:rsidRPr="000E0F90">
        <w:rPr>
          <w:rFonts w:ascii="Arial" w:hAnsi="Arial" w:cs="Arial"/>
          <w:color w:val="000000" w:themeColor="text1"/>
        </w:rPr>
        <w:t xml:space="preserve">Chile </w:t>
      </w:r>
      <w:r w:rsidR="0036176B" w:rsidRPr="000E0F90">
        <w:rPr>
          <w:rFonts w:ascii="Arial" w:hAnsi="Arial" w:cs="Arial"/>
          <w:color w:val="000000" w:themeColor="text1"/>
        </w:rPr>
        <w:t>basad</w:t>
      </w:r>
      <w:r w:rsidR="00B62395" w:rsidRPr="000E0F90">
        <w:rPr>
          <w:rFonts w:ascii="Arial" w:hAnsi="Arial" w:cs="Arial"/>
          <w:color w:val="000000" w:themeColor="text1"/>
        </w:rPr>
        <w:t>a</w:t>
      </w:r>
      <w:r w:rsidR="0036176B" w:rsidRPr="000E0F90">
        <w:rPr>
          <w:rFonts w:ascii="Arial" w:hAnsi="Arial" w:cs="Arial"/>
          <w:color w:val="000000" w:themeColor="text1"/>
        </w:rPr>
        <w:t xml:space="preserve"> en </w:t>
      </w:r>
      <w:r w:rsidR="001257DA" w:rsidRPr="000E0F90">
        <w:rPr>
          <w:rFonts w:ascii="Arial" w:hAnsi="Arial" w:cs="Arial"/>
          <w:color w:val="000000" w:themeColor="text1"/>
        </w:rPr>
        <w:t xml:space="preserve">información proveniente de la literatura </w:t>
      </w:r>
      <w:r w:rsidR="00B62395" w:rsidRPr="000E0F90">
        <w:rPr>
          <w:rFonts w:ascii="Arial" w:hAnsi="Arial" w:cs="Arial"/>
          <w:color w:val="000000" w:themeColor="text1"/>
        </w:rPr>
        <w:t>científica</w:t>
      </w:r>
      <w:r w:rsidR="00F67EC1" w:rsidRPr="000E0F90">
        <w:rPr>
          <w:rFonts w:ascii="Arial" w:hAnsi="Arial" w:cs="Arial"/>
          <w:color w:val="000000" w:themeColor="text1"/>
        </w:rPr>
        <w:t xml:space="preserve"> </w:t>
      </w:r>
      <w:r w:rsidR="00B62395" w:rsidRPr="000E0F90">
        <w:rPr>
          <w:rFonts w:ascii="Arial" w:hAnsi="Arial" w:cs="Arial"/>
          <w:color w:val="000000" w:themeColor="text1"/>
        </w:rPr>
        <w:t>e</w:t>
      </w:r>
      <w:r w:rsidR="001257DA" w:rsidRPr="000E0F90">
        <w:rPr>
          <w:rFonts w:ascii="Arial" w:hAnsi="Arial" w:cs="Arial"/>
          <w:color w:val="000000" w:themeColor="text1"/>
        </w:rPr>
        <w:t xml:space="preserve"> información </w:t>
      </w:r>
      <w:r w:rsidR="0036176B" w:rsidRPr="000E0F90">
        <w:rPr>
          <w:rFonts w:ascii="Arial" w:hAnsi="Arial" w:cs="Arial"/>
          <w:color w:val="000000" w:themeColor="text1"/>
        </w:rPr>
        <w:t xml:space="preserve">generada de </w:t>
      </w:r>
      <w:r w:rsidR="005577FC" w:rsidRPr="000E0F90">
        <w:rPr>
          <w:rFonts w:ascii="Arial" w:hAnsi="Arial" w:cs="Arial"/>
          <w:color w:val="000000" w:themeColor="text1"/>
        </w:rPr>
        <w:t>estudios de caso de territorios mineros ubicados en el Norte Chico</w:t>
      </w:r>
      <w:r w:rsidR="0036176B" w:rsidRPr="000E0F90">
        <w:rPr>
          <w:rFonts w:ascii="Arial" w:hAnsi="Arial" w:cs="Arial"/>
          <w:color w:val="000000" w:themeColor="text1"/>
        </w:rPr>
        <w:t>, contextualiza</w:t>
      </w:r>
      <w:r w:rsidR="00B62395" w:rsidRPr="000E0F90">
        <w:rPr>
          <w:rFonts w:ascii="Arial" w:hAnsi="Arial" w:cs="Arial"/>
          <w:color w:val="000000" w:themeColor="text1"/>
        </w:rPr>
        <w:t>ndo y adaptando</w:t>
      </w:r>
      <w:r w:rsidR="0036176B" w:rsidRPr="000E0F90">
        <w:rPr>
          <w:rFonts w:ascii="Arial" w:hAnsi="Arial" w:cs="Arial"/>
          <w:color w:val="000000" w:themeColor="text1"/>
        </w:rPr>
        <w:t xml:space="preserve"> la información proveniente de la literatura al escenario local</w:t>
      </w:r>
      <w:r w:rsidR="00B62395" w:rsidRPr="000E0F90">
        <w:rPr>
          <w:rFonts w:ascii="Arial" w:hAnsi="Arial" w:cs="Arial"/>
          <w:color w:val="000000" w:themeColor="text1"/>
        </w:rPr>
        <w:t>.</w:t>
      </w:r>
    </w:p>
    <w:p w:rsidR="00AD0047" w:rsidRPr="000E0F90" w:rsidRDefault="00AD0047" w:rsidP="002B538F">
      <w:pPr>
        <w:spacing w:before="240" w:line="360" w:lineRule="auto"/>
        <w:rPr>
          <w:rFonts w:ascii="Arial" w:hAnsi="Arial" w:cs="Arial"/>
          <w:color w:val="000000" w:themeColor="text1"/>
        </w:rPr>
      </w:pPr>
      <w:r w:rsidRPr="000E0F90">
        <w:rPr>
          <w:rFonts w:ascii="Arial" w:hAnsi="Arial" w:cs="Arial"/>
          <w:color w:val="000000" w:themeColor="text1"/>
        </w:rPr>
        <w:t xml:space="preserve">En forma similar a la metodología empleada por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"10.1002/sd.377", "ISBN" : "1099-1719", "ISSN" : "09680802", "abstract" : "Due to its fuzziness, the model of sustainable development has to be particularized and contextualized before it can be used as a yardstick. A local indicator system for two German cities has been developed to meet these requirements using a new conceptualization of sustainability. Initially, local problem areas were identified in a bottom-up approach by local authority personnel. These problem areas were contrasted with a set of sustainability rules, which had been systematically derived from a basic sustainability norm that gives minimum requirements for sustainable development. Indicators were specified at the interface between local problem areas and sustainability rules. The indicators are expected to provide information on whether the city is over time becoming closer to or farther removed from the respective sustainability goals in its problem areas. Copyright \u00a9 2008 John Wiley &amp; Sons, Ltd and ERP Environment.", "author" : [ { "dropping-particle" : "", "family" : "Hartmuth", "given" : "Gerhard", "non-dropping-particle" : "", "parse-names" : false, "suffix" : "" }, { "dropping-particle" : "", "family" : "Huber", "given" : "Katja", "non-dropping-particle" : "", "parse-names" : false, "suffix" : "" }, { "dropping-particle" : "", "family" : "Rink", "given" : "Dieter", "non-dropping-particle" : "", "parse-names" : false, "suffix" : "" } ], "container-title" : "Sustainable Development", "id" : "ITEM-1", "issued" : { "date-parts" : [ [ "2008" ] ] }, "page" : "261-270", "title" : "Operationalization and contextualization of sustainability at the local level", "type" : "article-journal", "volume" : "16" }, "uris" : [ "http://www.mendeley.com/documents/?uuid=d42dff2e-e1be-4349-88b3-b57cc5234755" ] } ], "mendeley" : { "formattedCitation" : "(Hartmuth, Huber, &amp; Rink, 2008)", "plainTextFormattedCitation" : "(Hartmuth, Huber, &amp; Rink, 2008)", "previouslyFormattedCitation" : "(Hartmuth, Huber, &amp; Rink, 2008)"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(Hartmuth, Huber, &amp; Rink, 2008)</w:t>
      </w:r>
      <w:r w:rsidRPr="000E0F90">
        <w:rPr>
          <w:rFonts w:ascii="Arial" w:hAnsi="Arial" w:cs="Arial"/>
          <w:color w:val="000000" w:themeColor="text1"/>
        </w:rPr>
        <w:fldChar w:fldCharType="end"/>
      </w:r>
      <w:r w:rsidRPr="000E0F90">
        <w:rPr>
          <w:rFonts w:ascii="Arial" w:hAnsi="Arial" w:cs="Arial"/>
          <w:color w:val="000000" w:themeColor="text1"/>
        </w:rPr>
        <w:t xml:space="preserve"> la propuesta se construyó en base a un enfoque integrativo, </w:t>
      </w:r>
      <w:r w:rsidR="0049698D" w:rsidRPr="000E0F90">
        <w:rPr>
          <w:rFonts w:ascii="Arial" w:hAnsi="Arial" w:cs="Arial"/>
          <w:color w:val="000000" w:themeColor="text1"/>
        </w:rPr>
        <w:t>incorporando</w:t>
      </w:r>
      <w:r w:rsidRPr="000E0F90">
        <w:rPr>
          <w:rFonts w:ascii="Arial" w:hAnsi="Arial" w:cs="Arial"/>
          <w:color w:val="000000" w:themeColor="text1"/>
        </w:rPr>
        <w:t xml:space="preserve"> información de tipo normativo (</w:t>
      </w:r>
      <w:r w:rsidRPr="000E0F90">
        <w:rPr>
          <w:rFonts w:ascii="Arial" w:hAnsi="Arial" w:cs="Arial"/>
          <w:i/>
          <w:color w:val="000000" w:themeColor="text1"/>
        </w:rPr>
        <w:t>Top down</w:t>
      </w:r>
      <w:r w:rsidRPr="000E0F90">
        <w:rPr>
          <w:rFonts w:ascii="Arial" w:hAnsi="Arial" w:cs="Arial"/>
          <w:color w:val="000000" w:themeColor="text1"/>
        </w:rPr>
        <w:t>) con información obtenida en el ámbito local (</w:t>
      </w:r>
      <w:r w:rsidRPr="000E0F90">
        <w:rPr>
          <w:rFonts w:ascii="Arial" w:hAnsi="Arial" w:cs="Arial"/>
          <w:i/>
          <w:color w:val="000000" w:themeColor="text1"/>
        </w:rPr>
        <w:t>Bottom up</w:t>
      </w:r>
      <w:r w:rsidRPr="000E0F90">
        <w:rPr>
          <w:rFonts w:ascii="Arial" w:hAnsi="Arial" w:cs="Arial"/>
          <w:color w:val="000000" w:themeColor="text1"/>
        </w:rPr>
        <w:t>), reduciendo la complejidad y facilitando la adaptación de los principios y criterios propuestos en la literatura al contexto bajo estudio. E</w:t>
      </w:r>
      <w:r w:rsidR="00F52131" w:rsidRPr="000E0F90">
        <w:rPr>
          <w:rFonts w:ascii="Arial" w:hAnsi="Arial" w:cs="Arial"/>
          <w:color w:val="000000" w:themeColor="text1"/>
        </w:rPr>
        <w:t xml:space="preserve">sta contextualización del modelo de sostenibilidad ocurre en la interfaz que se genera en el encuentro entre el enfoque top down y bottom up. A diferencia de la metodología de </w:t>
      </w:r>
      <w:r w:rsidR="00F52131" w:rsidRPr="000E0F90">
        <w:rPr>
          <w:rFonts w:ascii="Arial" w:hAnsi="Arial" w:cs="Arial"/>
          <w:color w:val="000000" w:themeColor="text1"/>
        </w:rPr>
        <w:fldChar w:fldCharType="begin" w:fldLock="1"/>
      </w:r>
      <w:r w:rsidR="00352A14" w:rsidRPr="000E0F90">
        <w:rPr>
          <w:rFonts w:ascii="Arial" w:hAnsi="Arial" w:cs="Arial"/>
          <w:color w:val="000000" w:themeColor="text1"/>
        </w:rPr>
        <w:instrText>ADDIN CSL_CITATION { "citationItems" : [ { "id" : "ITEM-1", "itemData" : { "DOI" : "10.1002/sd.377", "ISBN" : "1099-1719", "ISSN" : "09680802", "abstract" : "Due to its fuzziness, the model of sustainable development has to be particularized and contextualized before it can be used as a yardstick. A local indicator system for two German cities has been developed to meet these requirements using a new conceptualization of sustainability. Initially, local problem areas were identified in a bottom-up approach by local authority personnel. These problem areas were contrasted with a set of sustainability rules, which had been systematically derived from a basic sustainability norm that gives minimum requirements for sustainable development. Indicators were specified at the interface between local problem areas and sustainability rules. The indicators are expected to provide information on whether the city is over time becoming closer to or farther removed from the respective sustainability goals in its problem areas. Copyright \u00a9 2008 John Wiley &amp; Sons, Ltd and ERP Environment.", "author" : [ { "dropping-particle" : "", "family" : "Hartmuth", "given" : "Gerhard", "non-dropping-particle" : "", "parse-names" : false, "suffix" : "" }, { "dropping-particle" : "", "family" : "Huber", "given" : "Katja", "non-dropping-particle" : "", "parse-names" : false, "suffix" : "" }, { "dropping-particle" : "", "family" : "Rink", "given" : "Dieter", "non-dropping-particle" : "", "parse-names" : false, "suffix" : "" } ], "container-title" : "Sustainable Development", "id" : "ITEM-1", "issued" : { "date-parts" : [ [ "2008" ] ] }, "page" : "261-270", "title" : "Operationalization and contextualization of sustainability at the local level", "type" : "article-journal", "volume" : "16" }, "uris" : [ "http://www.mendeley.com/documents/?uuid=d42dff2e-e1be-4349-88b3-b57cc5234755" ] } ], "mendeley" : { "formattedCitation" : "(Hartmuth et al., 2008)", "plainTextFormattedCitation" : "(Hartmuth et al., 2008)", "previouslyFormattedCitation" : "(Hartmuth et al., 2008)" }, "properties" : { "noteIndex" : 0 }, "schema" : "https://github.com/citation-style-language/schema/raw/master/csl-citation.json" }</w:instrText>
      </w:r>
      <w:r w:rsidR="00F52131" w:rsidRPr="000E0F90">
        <w:rPr>
          <w:rFonts w:ascii="Arial" w:hAnsi="Arial" w:cs="Arial"/>
          <w:color w:val="000000" w:themeColor="text1"/>
        </w:rPr>
        <w:fldChar w:fldCharType="separate"/>
      </w:r>
      <w:r w:rsidR="00352A14" w:rsidRPr="000E0F90">
        <w:rPr>
          <w:rFonts w:ascii="Arial" w:hAnsi="Arial" w:cs="Arial"/>
          <w:noProof/>
          <w:color w:val="000000" w:themeColor="text1"/>
        </w:rPr>
        <w:t>(Hartmuth et al., 2008)</w:t>
      </w:r>
      <w:r w:rsidR="00F52131" w:rsidRPr="000E0F90">
        <w:rPr>
          <w:rFonts w:ascii="Arial" w:hAnsi="Arial" w:cs="Arial"/>
          <w:color w:val="000000" w:themeColor="text1"/>
        </w:rPr>
        <w:fldChar w:fldCharType="end"/>
      </w:r>
      <w:r w:rsidR="00F52131" w:rsidRPr="000E0F90">
        <w:rPr>
          <w:rFonts w:ascii="Arial" w:hAnsi="Arial" w:cs="Arial"/>
          <w:color w:val="000000" w:themeColor="text1"/>
        </w:rPr>
        <w:t>, en este est</w:t>
      </w:r>
      <w:r w:rsidR="006F2F72" w:rsidRPr="000E0F90">
        <w:rPr>
          <w:rFonts w:ascii="Arial" w:hAnsi="Arial" w:cs="Arial"/>
          <w:color w:val="000000" w:themeColor="text1"/>
        </w:rPr>
        <w:t>u</w:t>
      </w:r>
      <w:r w:rsidR="00F52131" w:rsidRPr="000E0F90">
        <w:rPr>
          <w:rFonts w:ascii="Arial" w:hAnsi="Arial" w:cs="Arial"/>
          <w:color w:val="000000" w:themeColor="text1"/>
        </w:rPr>
        <w:t>dio el resultante de esta interfaz</w:t>
      </w:r>
      <w:r w:rsidR="00515D4B" w:rsidRPr="000E0F90">
        <w:rPr>
          <w:rFonts w:ascii="Arial" w:hAnsi="Arial" w:cs="Arial"/>
          <w:color w:val="000000" w:themeColor="text1"/>
        </w:rPr>
        <w:t xml:space="preserve"> son p</w:t>
      </w:r>
      <w:r w:rsidR="00F52131" w:rsidRPr="000E0F90">
        <w:rPr>
          <w:rFonts w:ascii="Arial" w:hAnsi="Arial" w:cs="Arial"/>
          <w:color w:val="000000" w:themeColor="text1"/>
        </w:rPr>
        <w:t>rincipios de sostenibilidad para territorios mineros</w:t>
      </w:r>
      <w:r w:rsidR="006F2F72" w:rsidRPr="000E0F90">
        <w:rPr>
          <w:rFonts w:ascii="Arial" w:hAnsi="Arial" w:cs="Arial"/>
          <w:color w:val="000000" w:themeColor="text1"/>
        </w:rPr>
        <w:t>, l</w:t>
      </w:r>
      <w:r w:rsidR="00515D4B" w:rsidRPr="000E0F90">
        <w:rPr>
          <w:rFonts w:ascii="Arial" w:hAnsi="Arial" w:cs="Arial"/>
          <w:color w:val="000000" w:themeColor="text1"/>
        </w:rPr>
        <w:t>os</w:t>
      </w:r>
      <w:r w:rsidR="006F2F72" w:rsidRPr="000E0F90">
        <w:rPr>
          <w:rFonts w:ascii="Arial" w:hAnsi="Arial" w:cs="Arial"/>
          <w:color w:val="000000" w:themeColor="text1"/>
        </w:rPr>
        <w:t xml:space="preserve"> cual</w:t>
      </w:r>
      <w:r w:rsidR="00515D4B" w:rsidRPr="000E0F90">
        <w:rPr>
          <w:rFonts w:ascii="Arial" w:hAnsi="Arial" w:cs="Arial"/>
          <w:color w:val="000000" w:themeColor="text1"/>
        </w:rPr>
        <w:t>es</w:t>
      </w:r>
      <w:r w:rsidR="006F2F72" w:rsidRPr="000E0F90">
        <w:rPr>
          <w:rFonts w:ascii="Arial" w:hAnsi="Arial" w:cs="Arial"/>
          <w:color w:val="000000" w:themeColor="text1"/>
        </w:rPr>
        <w:t xml:space="preserve"> fue</w:t>
      </w:r>
      <w:r w:rsidR="00515D4B" w:rsidRPr="000E0F90">
        <w:rPr>
          <w:rFonts w:ascii="Arial" w:hAnsi="Arial" w:cs="Arial"/>
          <w:color w:val="000000" w:themeColor="text1"/>
        </w:rPr>
        <w:t>ron</w:t>
      </w:r>
      <w:r w:rsidR="006F2F72" w:rsidRPr="000E0F90">
        <w:rPr>
          <w:rFonts w:ascii="Arial" w:hAnsi="Arial" w:cs="Arial"/>
          <w:color w:val="000000" w:themeColor="text1"/>
        </w:rPr>
        <w:t xml:space="preserve"> </w:t>
      </w:r>
      <w:r w:rsidR="00515D4B" w:rsidRPr="000E0F90">
        <w:rPr>
          <w:rFonts w:ascii="Arial" w:hAnsi="Arial" w:cs="Arial"/>
          <w:color w:val="000000" w:themeColor="text1"/>
        </w:rPr>
        <w:t xml:space="preserve">posteriormente </w:t>
      </w:r>
      <w:r w:rsidR="006F2F72" w:rsidRPr="000E0F90">
        <w:rPr>
          <w:rFonts w:ascii="Arial" w:hAnsi="Arial" w:cs="Arial"/>
          <w:color w:val="000000" w:themeColor="text1"/>
        </w:rPr>
        <w:t>utilizad</w:t>
      </w:r>
      <w:r w:rsidR="00515D4B" w:rsidRPr="000E0F90">
        <w:rPr>
          <w:rFonts w:ascii="Arial" w:hAnsi="Arial" w:cs="Arial"/>
          <w:color w:val="000000" w:themeColor="text1"/>
        </w:rPr>
        <w:t>os</w:t>
      </w:r>
      <w:r w:rsidR="006F2F72" w:rsidRPr="000E0F90">
        <w:rPr>
          <w:rFonts w:ascii="Arial" w:hAnsi="Arial" w:cs="Arial"/>
          <w:color w:val="000000" w:themeColor="text1"/>
        </w:rPr>
        <w:t xml:space="preserve"> para evaluar el estado de territorios mineros</w:t>
      </w:r>
      <w:r w:rsidR="00F52131" w:rsidRPr="000E0F90">
        <w:rPr>
          <w:rFonts w:ascii="Arial" w:hAnsi="Arial" w:cs="Arial"/>
          <w:color w:val="000000" w:themeColor="text1"/>
        </w:rPr>
        <w:t>.</w:t>
      </w:r>
    </w:p>
    <w:p w:rsidR="00EF597C" w:rsidRPr="000E0F90" w:rsidRDefault="00EF597C" w:rsidP="002B538F">
      <w:pPr>
        <w:spacing w:before="240" w:line="360" w:lineRule="auto"/>
        <w:rPr>
          <w:rFonts w:ascii="Arial" w:hAnsi="Arial" w:cs="Arial"/>
          <w:color w:val="000000" w:themeColor="text1"/>
        </w:rPr>
      </w:pPr>
      <w:r w:rsidRPr="000E0F90">
        <w:rPr>
          <w:rFonts w:ascii="Arial" w:hAnsi="Arial" w:cs="Arial"/>
          <w:color w:val="000000" w:themeColor="text1"/>
        </w:rPr>
        <w:t>Contextualizar las pr</w:t>
      </w:r>
      <w:r w:rsidR="00107707" w:rsidRPr="000E0F90">
        <w:rPr>
          <w:rFonts w:ascii="Arial" w:hAnsi="Arial" w:cs="Arial"/>
          <w:color w:val="000000" w:themeColor="text1"/>
        </w:rPr>
        <w:t>incipios</w:t>
      </w:r>
      <w:r w:rsidRPr="000E0F90">
        <w:rPr>
          <w:rFonts w:ascii="Arial" w:hAnsi="Arial" w:cs="Arial"/>
          <w:color w:val="000000" w:themeColor="text1"/>
        </w:rPr>
        <w:t xml:space="preserve"> de sostenibilidad al ámbito local es un aspecto relevante para que ést</w:t>
      </w:r>
      <w:r w:rsidR="00107707" w:rsidRPr="000E0F90">
        <w:rPr>
          <w:rFonts w:ascii="Arial" w:hAnsi="Arial" w:cs="Arial"/>
          <w:color w:val="000000" w:themeColor="text1"/>
        </w:rPr>
        <w:t>o</w:t>
      </w:r>
      <w:r w:rsidRPr="000E0F90">
        <w:rPr>
          <w:rFonts w:ascii="Arial" w:hAnsi="Arial" w:cs="Arial"/>
          <w:color w:val="000000" w:themeColor="text1"/>
        </w:rPr>
        <w:t xml:space="preserve">s sean aplicadas por los usuarios, y no sean consideradas como un modelo impuesto que generalmente alcanza una baja implementación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"10.1002/sd.377", "ISBN" : "1099-1719", "ISSN" : "09680802", "abstract" : "Due to its fuzziness, the model of sustainable development has to be particularized and contextualized before it can be used as a yardstick. A local indicator system for two German cities has been developed to meet these requirements using a new conceptualization of sustainability. Initially, local problem areas were identified in a bottom-up approach by local authority personnel. These problem areas were contrasted with a set of sustainability rules, which had been systematically derived from a basic sustainability norm that gives minimum requirements for sustainable development. Indicators were specified at the interface between local problem areas and sustainability rules. The indicators are expected to provide information on whether the city is over time becoming closer to or farther removed from the respective sustainability goals in its problem areas. Copyright \u00a9 2008 John Wiley &amp; Sons, Ltd and ERP Environment.", "author" : [ { "dropping-particle" : "", "family" : "Hartmuth", "given" : "Gerhard", "non-dropping-particle" : "", "parse-names" : false, "suffix" : "" }, { "dropping-particle" : "", "family" : "Huber", "given" : "Katja", "non-dropping-particle" : "", "parse-names" : false, "suffix" : "" }, { "dropping-particle" : "", "family" : "Rink", "given" : "Dieter", "non-dropping-particle" : "", "parse-names" : false, "suffix" : "" } ], "container-title" : "Sustainable Development", "id" : "ITEM-1", "issued" : { "date-parts" : [ [ "2008" ] ] }, "page" : "261-270", "title" : "Operationalization and contextualization of sustainability at the local level", "type" : "article-journal", "volume" : "16" }, "uris" : [ "http://www.mendeley.com/documents/?uuid=d42dff2e-e1be-4349-88b3-b57cc5234755" ] } ], "mendeley" : { "formattedCitation" : "(Hartmuth et al., 2008)", "plainTextFormattedCitation" : "(Hartmuth et al., 2008)", "previouslyFormattedCitation" : "(Hartmuth et al., 2008)"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(Hartmuth et al., 2008)</w:t>
      </w:r>
      <w:r w:rsidRPr="000E0F90">
        <w:rPr>
          <w:rFonts w:ascii="Arial" w:hAnsi="Arial" w:cs="Arial"/>
          <w:color w:val="000000" w:themeColor="text1"/>
        </w:rPr>
        <w:fldChar w:fldCharType="end"/>
      </w:r>
      <w:r w:rsidRPr="000E0F90">
        <w:rPr>
          <w:rFonts w:ascii="Arial" w:hAnsi="Arial" w:cs="Arial"/>
          <w:color w:val="000000" w:themeColor="text1"/>
        </w:rPr>
        <w:t xml:space="preserve">. Para ello se trabajó bajo la metodología de estudio de caso, con la cual es posible indagar el fenómeno en el entorno real, utilizando </w:t>
      </w:r>
      <w:r w:rsidR="0049698D" w:rsidRPr="000E0F90">
        <w:rPr>
          <w:rFonts w:ascii="Arial" w:hAnsi="Arial" w:cs="Arial"/>
          <w:color w:val="000000" w:themeColor="text1"/>
        </w:rPr>
        <w:t>múltiples</w:t>
      </w:r>
      <w:r w:rsidRPr="000E0F90">
        <w:rPr>
          <w:rFonts w:ascii="Arial" w:hAnsi="Arial" w:cs="Arial"/>
          <w:color w:val="000000" w:themeColor="text1"/>
        </w:rPr>
        <w:t xml:space="preserve"> fuentes de información, logrando un nivel de descripción profundo del fenómeno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"10.1055/s-0029-1217568", "ISBN" : "1657-6276", "ISSN" : "1657-6276", "abstract" : "The aim objective of this paper is oriented to develop the necessaries processes and elements to use the case study, as a methodological tool of scientific research. Specifically, to demonstrate his key characteristics, his value, benefit and practice utility, as well as the way to overcome to the generated debate around him, respect no scientific validity and liability which is associated to quantitative methods.", "author" : [ { "dropping-particle" : "", "family" : "Mart\u00ednez Carazo", "given" : "Piedad Cristina", "non-dropping-particle" : "", "parse-names" : false, "suffix" : "" } ], "container-title" : "Pensamiento y gesti\u00f3n: revista de la Divisi\u00f3n de Ciencias Administrativas de la Universidad del Norte", "id" : "ITEM-1", "issued" : { "date-parts" : [ [ "2006" ] ] }, "page" : "165-193", "title" : "El m\u00e9todo de estudio de caso: Estrategia metodol\u00f3gica de la investigaci\u00f3n cient\u00edfica", "type" : "article-journal" }, "uris" : [ "http://www.mendeley.com/documents/?uuid=003a7b0b-4746-48cd-ad92-51ad2c1faefe" ] } ], "mendeley" : { "formattedCitation" : "(Mart\u00ednez Carazo, 2006)", "plainTextFormattedCitation" : "(Mart\u00ednez Carazo, 2006)", "previouslyFormattedCitation" : "(Mart\u00ednez Carazo, 2006)"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(Martínez Carazo, 2006)</w:t>
      </w:r>
      <w:r w:rsidRPr="000E0F90">
        <w:rPr>
          <w:rFonts w:ascii="Arial" w:hAnsi="Arial" w:cs="Arial"/>
          <w:color w:val="000000" w:themeColor="text1"/>
        </w:rPr>
        <w:fldChar w:fldCharType="end"/>
      </w:r>
      <w:r w:rsidRPr="000E0F90">
        <w:rPr>
          <w:rFonts w:ascii="Arial" w:hAnsi="Arial" w:cs="Arial"/>
          <w:color w:val="000000" w:themeColor="text1"/>
        </w:rPr>
        <w:t xml:space="preserve">. Con esta metodología </w:t>
      </w:r>
      <w:r w:rsidR="00354969" w:rsidRPr="000E0F90">
        <w:rPr>
          <w:rFonts w:ascii="Arial" w:hAnsi="Arial" w:cs="Arial"/>
          <w:color w:val="000000" w:themeColor="text1"/>
        </w:rPr>
        <w:t xml:space="preserve">se realizó la </w:t>
      </w:r>
      <w:r w:rsidRPr="000E0F90">
        <w:rPr>
          <w:rFonts w:ascii="Arial" w:hAnsi="Arial" w:cs="Arial"/>
          <w:color w:val="000000" w:themeColor="text1"/>
        </w:rPr>
        <w:t>caracteriz</w:t>
      </w:r>
      <w:r w:rsidR="00354969" w:rsidRPr="000E0F90">
        <w:rPr>
          <w:rFonts w:ascii="Arial" w:hAnsi="Arial" w:cs="Arial"/>
          <w:color w:val="000000" w:themeColor="text1"/>
        </w:rPr>
        <w:t>ación</w:t>
      </w:r>
      <w:r w:rsidRPr="000E0F90">
        <w:rPr>
          <w:rFonts w:ascii="Arial" w:hAnsi="Arial" w:cs="Arial"/>
          <w:color w:val="000000" w:themeColor="text1"/>
        </w:rPr>
        <w:t xml:space="preserve"> la biogeo</w:t>
      </w:r>
      <w:r w:rsidR="0049698D" w:rsidRPr="000E0F90">
        <w:rPr>
          <w:rFonts w:ascii="Arial" w:hAnsi="Arial" w:cs="Arial"/>
          <w:color w:val="000000" w:themeColor="text1"/>
        </w:rPr>
        <w:t>e</w:t>
      </w:r>
      <w:r w:rsidRPr="000E0F90">
        <w:rPr>
          <w:rFonts w:ascii="Arial" w:hAnsi="Arial" w:cs="Arial"/>
          <w:color w:val="000000" w:themeColor="text1"/>
        </w:rPr>
        <w:t xml:space="preserve">structura, </w:t>
      </w:r>
      <w:r w:rsidR="0049698D" w:rsidRPr="000E0F90">
        <w:rPr>
          <w:rFonts w:ascii="Arial" w:hAnsi="Arial" w:cs="Arial"/>
          <w:color w:val="000000" w:themeColor="text1"/>
        </w:rPr>
        <w:t>socio estructura</w:t>
      </w:r>
      <w:r w:rsidRPr="000E0F90">
        <w:rPr>
          <w:rFonts w:ascii="Arial" w:hAnsi="Arial" w:cs="Arial"/>
          <w:color w:val="000000" w:themeColor="text1"/>
        </w:rPr>
        <w:t xml:space="preserve">, contexto histórico, además de la identificación de los temas relevantes para los actores locales, siguiendo la metodología empleada por </w:t>
      </w:r>
      <w:sdt>
        <w:sdtPr>
          <w:rPr>
            <w:rFonts w:ascii="Arial" w:hAnsi="Arial" w:cs="Arial"/>
            <w:color w:val="000000" w:themeColor="text1"/>
          </w:rPr>
          <w:id w:val="1649316651"/>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Gas021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(Gasto, Rodrigo, Aránguiz, &amp; Urrutia, 2002)</w:t>
          </w:r>
          <w:r w:rsidRPr="000E0F90">
            <w:rPr>
              <w:rFonts w:ascii="Arial" w:hAnsi="Arial" w:cs="Arial"/>
              <w:color w:val="000000" w:themeColor="text1"/>
            </w:rPr>
            <w:fldChar w:fldCharType="end"/>
          </w:r>
        </w:sdtContent>
      </w:sdt>
      <w:r w:rsidRPr="000E0F90">
        <w:rPr>
          <w:rFonts w:ascii="Arial" w:hAnsi="Arial" w:cs="Arial"/>
          <w:color w:val="000000" w:themeColor="text1"/>
        </w:rPr>
        <w:t>.</w:t>
      </w:r>
    </w:p>
    <w:p w:rsidR="00352A14" w:rsidRPr="000E0F90" w:rsidRDefault="00D3404C" w:rsidP="002B538F">
      <w:pPr>
        <w:spacing w:before="240" w:line="360" w:lineRule="auto"/>
        <w:rPr>
          <w:rFonts w:ascii="Arial" w:hAnsi="Arial" w:cs="Arial"/>
          <w:color w:val="000000" w:themeColor="text1"/>
        </w:rPr>
      </w:pPr>
      <w:r w:rsidRPr="000E0F90">
        <w:rPr>
          <w:rFonts w:ascii="Arial" w:hAnsi="Arial" w:cs="Arial"/>
          <w:color w:val="000000" w:themeColor="text1"/>
        </w:rPr>
        <w:t xml:space="preserve">Los territorios </w:t>
      </w:r>
      <w:r w:rsidR="00F6152F" w:rsidRPr="000E0F90">
        <w:rPr>
          <w:rFonts w:ascii="Arial" w:hAnsi="Arial" w:cs="Arial"/>
          <w:color w:val="000000" w:themeColor="text1"/>
        </w:rPr>
        <w:t xml:space="preserve">mineros </w:t>
      </w:r>
      <w:r w:rsidRPr="000E0F90">
        <w:rPr>
          <w:rFonts w:ascii="Arial" w:hAnsi="Arial" w:cs="Arial"/>
          <w:color w:val="000000" w:themeColor="text1"/>
        </w:rPr>
        <w:t xml:space="preserve">bajo estudio, se ubicaron en el Norte Chico, </w:t>
      </w:r>
      <w:r w:rsidR="00F52131" w:rsidRPr="000E0F90">
        <w:rPr>
          <w:rFonts w:ascii="Arial" w:hAnsi="Arial" w:cs="Arial"/>
          <w:color w:val="000000" w:themeColor="text1"/>
        </w:rPr>
        <w:t xml:space="preserve">dado </w:t>
      </w:r>
      <w:r w:rsidR="00F6152F" w:rsidRPr="000E0F90">
        <w:rPr>
          <w:rFonts w:ascii="Arial" w:hAnsi="Arial" w:cs="Arial"/>
          <w:color w:val="000000" w:themeColor="text1"/>
        </w:rPr>
        <w:t>las características hidrológicas y climáticas particulares que presenta esta zona, que permiten una mayor di</w:t>
      </w:r>
      <w:r w:rsidR="00352A14" w:rsidRPr="000E0F90">
        <w:rPr>
          <w:rFonts w:ascii="Arial" w:hAnsi="Arial" w:cs="Arial"/>
          <w:color w:val="000000" w:themeColor="text1"/>
        </w:rPr>
        <w:t xml:space="preserve">sponibilidad de agua </w:t>
      </w:r>
      <w:r w:rsidR="003F4AE7" w:rsidRPr="000E0F90">
        <w:rPr>
          <w:rFonts w:ascii="Arial" w:hAnsi="Arial" w:cs="Arial"/>
          <w:color w:val="000000" w:themeColor="text1"/>
        </w:rPr>
        <w:t>dada</w:t>
      </w:r>
      <w:r w:rsidR="00354969" w:rsidRPr="000E0F90">
        <w:rPr>
          <w:rFonts w:ascii="Arial" w:hAnsi="Arial" w:cs="Arial"/>
          <w:color w:val="000000" w:themeColor="text1"/>
        </w:rPr>
        <w:t xml:space="preserve"> por</w:t>
      </w:r>
      <w:r w:rsidR="003F4AE7" w:rsidRPr="000E0F90">
        <w:rPr>
          <w:rFonts w:ascii="Arial" w:hAnsi="Arial" w:cs="Arial"/>
          <w:color w:val="000000" w:themeColor="text1"/>
        </w:rPr>
        <w:t xml:space="preserve"> </w:t>
      </w:r>
      <w:r w:rsidR="00352A14" w:rsidRPr="000E0F90">
        <w:rPr>
          <w:rFonts w:ascii="Arial" w:hAnsi="Arial" w:cs="Arial"/>
          <w:color w:val="000000" w:themeColor="text1"/>
        </w:rPr>
        <w:t xml:space="preserve">la existencia de seis sistemas fluviales exorreicos, con regímenes permanentes, y nueve </w:t>
      </w:r>
      <w:r w:rsidR="0049698D" w:rsidRPr="000E0F90">
        <w:rPr>
          <w:rFonts w:ascii="Arial" w:hAnsi="Arial" w:cs="Arial"/>
          <w:color w:val="000000" w:themeColor="text1"/>
        </w:rPr>
        <w:t>reservorios</w:t>
      </w:r>
      <w:r w:rsidR="00352A14" w:rsidRPr="000E0F90">
        <w:rPr>
          <w:rFonts w:ascii="Arial" w:hAnsi="Arial" w:cs="Arial"/>
          <w:color w:val="000000" w:themeColor="text1"/>
        </w:rPr>
        <w:t xml:space="preserve"> hídricos, facilitando e</w:t>
      </w:r>
      <w:r w:rsidR="006E0BBC" w:rsidRPr="000E0F90">
        <w:rPr>
          <w:rFonts w:ascii="Arial" w:hAnsi="Arial" w:cs="Arial"/>
          <w:color w:val="000000" w:themeColor="text1"/>
        </w:rPr>
        <w:t>l desarrollo de diversidad de</w:t>
      </w:r>
      <w:r w:rsidR="00F6152F" w:rsidRPr="000E0F90">
        <w:rPr>
          <w:rFonts w:ascii="Arial" w:hAnsi="Arial" w:cs="Arial"/>
          <w:color w:val="000000" w:themeColor="text1"/>
        </w:rPr>
        <w:t xml:space="preserve"> usos territoriales</w:t>
      </w:r>
      <w:r w:rsidR="00354969" w:rsidRPr="000E0F90">
        <w:rPr>
          <w:rFonts w:ascii="Arial" w:hAnsi="Arial" w:cs="Arial"/>
          <w:color w:val="000000" w:themeColor="text1"/>
        </w:rPr>
        <w:t>,</w:t>
      </w:r>
      <w:r w:rsidR="00F6152F" w:rsidRPr="000E0F90">
        <w:rPr>
          <w:rFonts w:ascii="Arial" w:hAnsi="Arial" w:cs="Arial"/>
          <w:color w:val="000000" w:themeColor="text1"/>
        </w:rPr>
        <w:t xml:space="preserve"> </w:t>
      </w:r>
      <w:r w:rsidR="00352A14" w:rsidRPr="000E0F90">
        <w:rPr>
          <w:rFonts w:ascii="Arial" w:hAnsi="Arial" w:cs="Arial"/>
          <w:color w:val="000000" w:themeColor="text1"/>
        </w:rPr>
        <w:t xml:space="preserve">como la </w:t>
      </w:r>
      <w:r w:rsidR="00F6152F" w:rsidRPr="000E0F90">
        <w:rPr>
          <w:rFonts w:ascii="Arial" w:hAnsi="Arial" w:cs="Arial"/>
          <w:color w:val="000000" w:themeColor="text1"/>
        </w:rPr>
        <w:t>agricultura</w:t>
      </w:r>
      <w:r w:rsidR="00354969" w:rsidRPr="000E0F90">
        <w:rPr>
          <w:rFonts w:ascii="Arial" w:hAnsi="Arial" w:cs="Arial"/>
          <w:color w:val="000000" w:themeColor="text1"/>
        </w:rPr>
        <w:t xml:space="preserve"> y </w:t>
      </w:r>
      <w:r w:rsidR="00354969" w:rsidRPr="000E0F90">
        <w:rPr>
          <w:rFonts w:ascii="Arial" w:hAnsi="Arial" w:cs="Arial"/>
          <w:color w:val="000000" w:themeColor="text1"/>
        </w:rPr>
        <w:lastRenderedPageBreak/>
        <w:t>ganadería</w:t>
      </w:r>
      <w:r w:rsidR="00352A14" w:rsidRPr="000E0F90">
        <w:rPr>
          <w:rFonts w:ascii="Arial" w:hAnsi="Arial" w:cs="Arial"/>
          <w:color w:val="000000" w:themeColor="text1"/>
        </w:rPr>
        <w:t xml:space="preserve"> </w:t>
      </w:r>
      <w:r w:rsidR="00352A14" w:rsidRPr="000E0F90">
        <w:rPr>
          <w:rFonts w:ascii="Arial" w:hAnsi="Arial" w:cs="Arial"/>
          <w:color w:val="000000" w:themeColor="text1"/>
        </w:rPr>
        <w:fldChar w:fldCharType="begin" w:fldLock="1"/>
      </w:r>
      <w:r w:rsidR="00352A14" w:rsidRPr="000E0F90">
        <w:rPr>
          <w:rFonts w:ascii="Arial" w:hAnsi="Arial" w:cs="Arial"/>
          <w:color w:val="000000" w:themeColor="text1"/>
        </w:rPr>
        <w:instrText>ADDIN CSL_CITATION { "citationItems" : [ { "id" : "ITEM-1", "itemData" : { "author" : [ { "dropping-particle" : "", "family" : "Oyarz\u00fan", "given" : "J", "non-dropping-particle" : "", "parse-names" : false, "suffix" : "" }, { "dropping-particle" : "", "family" : "Oyarz\u00fan", "given" : "R", "non-dropping-particle" : "", "parse-names" : false, "suffix" : "" } ], "container-title" : "Sustainable Development", "id" : "ITEM-1", "issue" : "December 2009", "issued" : { "date-parts" : [ [ "2011" ] ] }, "page" : "263-274", "title" : "Sustainable Development Threats, Inter-Sector Confl icts and Environmental Policy Requirements in the Arid, Mining Rich, Northern Chile Territory", "type" : "article-journal", "volume" : "19" }, "uris" : [ "http://www.mendeley.com/documents/?uuid=928eabd5-0755-4c69-a4cc-894aa1284178" ] } ], "mendeley" : { "formattedCitation" : "(Oyarz\u00fan &amp; Oyarz\u00fan, 2011)", "plainTextFormattedCitation" : "(Oyarz\u00fan &amp; Oyarz\u00fan, 2011)", "previouslyFormattedCitation" : "(Oyarz\u00fan &amp; Oyarz\u00fan, 2011)" }, "properties" : { "noteIndex" : 0 }, "schema" : "https://github.com/citation-style-language/schema/raw/master/csl-citation.json" }</w:instrText>
      </w:r>
      <w:r w:rsidR="00352A14" w:rsidRPr="000E0F90">
        <w:rPr>
          <w:rFonts w:ascii="Arial" w:hAnsi="Arial" w:cs="Arial"/>
          <w:color w:val="000000" w:themeColor="text1"/>
        </w:rPr>
        <w:fldChar w:fldCharType="separate"/>
      </w:r>
      <w:r w:rsidR="00352A14" w:rsidRPr="000E0F90">
        <w:rPr>
          <w:rFonts w:ascii="Arial" w:hAnsi="Arial" w:cs="Arial"/>
          <w:noProof/>
          <w:color w:val="000000" w:themeColor="text1"/>
        </w:rPr>
        <w:t>(Oyarzún &amp; Oyarzún, 2011)</w:t>
      </w:r>
      <w:r w:rsidR="00352A14" w:rsidRPr="000E0F90">
        <w:rPr>
          <w:rFonts w:ascii="Arial" w:hAnsi="Arial" w:cs="Arial"/>
          <w:color w:val="000000" w:themeColor="text1"/>
        </w:rPr>
        <w:fldChar w:fldCharType="end"/>
      </w:r>
      <w:r w:rsidR="00F6152F" w:rsidRPr="000E0F90">
        <w:rPr>
          <w:rFonts w:ascii="Arial" w:hAnsi="Arial" w:cs="Arial"/>
          <w:color w:val="000000" w:themeColor="text1"/>
        </w:rPr>
        <w:t xml:space="preserve">. </w:t>
      </w:r>
      <w:r w:rsidR="00352A14" w:rsidRPr="000E0F90">
        <w:rPr>
          <w:rFonts w:ascii="Arial" w:hAnsi="Arial" w:cs="Arial"/>
          <w:color w:val="000000" w:themeColor="text1"/>
        </w:rPr>
        <w:t>Por otro lado, este territorio manifiesta un interesante legado minero</w:t>
      </w:r>
      <w:r w:rsidR="00354969" w:rsidRPr="000E0F90">
        <w:rPr>
          <w:rFonts w:ascii="Arial" w:hAnsi="Arial" w:cs="Arial"/>
          <w:color w:val="000000" w:themeColor="text1"/>
        </w:rPr>
        <w:t>,</w:t>
      </w:r>
      <w:r w:rsidR="00352A14" w:rsidRPr="000E0F90">
        <w:rPr>
          <w:rFonts w:ascii="Arial" w:hAnsi="Arial" w:cs="Arial"/>
          <w:color w:val="000000" w:themeColor="text1"/>
        </w:rPr>
        <w:t xml:space="preserve"> que se desarrolló en el siglo XIX, siendo un importante motor d</w:t>
      </w:r>
      <w:r w:rsidR="00515D4B" w:rsidRPr="000E0F90">
        <w:rPr>
          <w:rFonts w:ascii="Arial" w:hAnsi="Arial" w:cs="Arial"/>
          <w:color w:val="000000" w:themeColor="text1"/>
        </w:rPr>
        <w:t>el desarrollo a nivel nacional</w:t>
      </w:r>
      <w:r w:rsidR="00D32A97" w:rsidRPr="000E0F90">
        <w:rPr>
          <w:rFonts w:ascii="Arial" w:hAnsi="Arial" w:cs="Arial"/>
          <w:color w:val="000000" w:themeColor="text1"/>
        </w:rPr>
        <w:t xml:space="preserve"> </w:t>
      </w:r>
      <w:sdt>
        <w:sdtPr>
          <w:rPr>
            <w:rFonts w:ascii="Arial" w:hAnsi="Arial" w:cs="Arial"/>
            <w:color w:val="000000" w:themeColor="text1"/>
          </w:rPr>
          <w:id w:val="-519707731"/>
          <w:citation/>
        </w:sdtPr>
        <w:sdtEndPr/>
        <w:sdtContent>
          <w:r w:rsidR="00D32A97" w:rsidRPr="000E0F90">
            <w:rPr>
              <w:rFonts w:ascii="Arial" w:hAnsi="Arial" w:cs="Arial"/>
              <w:color w:val="000000" w:themeColor="text1"/>
            </w:rPr>
            <w:fldChar w:fldCharType="begin"/>
          </w:r>
          <w:r w:rsidR="00D32A97" w:rsidRPr="000E0F90">
            <w:rPr>
              <w:rFonts w:ascii="Arial" w:hAnsi="Arial" w:cs="Arial"/>
              <w:color w:val="000000" w:themeColor="text1"/>
            </w:rPr>
            <w:instrText xml:space="preserve"> CITATION Ort09 \l 13322 </w:instrText>
          </w:r>
          <w:r w:rsidR="00D32A97" w:rsidRPr="000E0F90">
            <w:rPr>
              <w:rFonts w:ascii="Arial" w:hAnsi="Arial" w:cs="Arial"/>
              <w:color w:val="000000" w:themeColor="text1"/>
            </w:rPr>
            <w:fldChar w:fldCharType="separate"/>
          </w:r>
          <w:r w:rsidR="008D0261" w:rsidRPr="000E0F90">
            <w:rPr>
              <w:rFonts w:ascii="Arial" w:hAnsi="Arial" w:cs="Arial"/>
              <w:noProof/>
              <w:color w:val="000000" w:themeColor="text1"/>
            </w:rPr>
            <w:t>(Ortega, 2009)</w:t>
          </w:r>
          <w:r w:rsidR="00D32A97" w:rsidRPr="000E0F90">
            <w:rPr>
              <w:rFonts w:ascii="Arial" w:hAnsi="Arial" w:cs="Arial"/>
              <w:color w:val="000000" w:themeColor="text1"/>
            </w:rPr>
            <w:fldChar w:fldCharType="end"/>
          </w:r>
        </w:sdtContent>
      </w:sdt>
      <w:r w:rsidR="00D32A97" w:rsidRPr="000E0F90">
        <w:rPr>
          <w:rFonts w:ascii="Arial" w:hAnsi="Arial" w:cs="Arial"/>
          <w:color w:val="000000" w:themeColor="text1"/>
        </w:rPr>
        <w:t>.</w:t>
      </w:r>
      <w:r w:rsidR="006E0BBC" w:rsidRPr="000E0F90">
        <w:rPr>
          <w:rFonts w:ascii="Arial" w:hAnsi="Arial" w:cs="Arial"/>
          <w:color w:val="000000" w:themeColor="text1"/>
        </w:rPr>
        <w:t xml:space="preserve"> Cabe señalar que se </w:t>
      </w:r>
      <w:r w:rsidR="0090165E" w:rsidRPr="000E0F90">
        <w:rPr>
          <w:rFonts w:ascii="Arial" w:hAnsi="Arial" w:cs="Arial"/>
          <w:color w:val="000000" w:themeColor="text1"/>
        </w:rPr>
        <w:t>analizaron</w:t>
      </w:r>
      <w:r w:rsidR="006E0BBC" w:rsidRPr="000E0F90">
        <w:rPr>
          <w:rFonts w:ascii="Arial" w:hAnsi="Arial" w:cs="Arial"/>
          <w:color w:val="000000" w:themeColor="text1"/>
        </w:rPr>
        <w:t xml:space="preserve"> territorios ubicados tanto, en la zona costera como andina, así como territorios con operaciones mineras activas y con proyectos mineros en desarrollo. </w:t>
      </w:r>
    </w:p>
    <w:p w:rsidR="00D442C7" w:rsidRPr="000E0F90" w:rsidRDefault="00D442C7" w:rsidP="002B538F">
      <w:pPr>
        <w:spacing w:before="120" w:after="0" w:line="360" w:lineRule="auto"/>
        <w:rPr>
          <w:rFonts w:ascii="Arial" w:hAnsi="Arial" w:cs="Arial"/>
          <w:color w:val="000000" w:themeColor="text1"/>
        </w:rPr>
      </w:pPr>
      <w:r w:rsidRPr="000E0F90">
        <w:rPr>
          <w:rFonts w:ascii="Arial" w:hAnsi="Arial" w:cs="Arial"/>
          <w:b/>
          <w:color w:val="000000" w:themeColor="text1"/>
        </w:rPr>
        <w:t>1. Desarrollo del marco conceptual</w:t>
      </w:r>
      <w:r w:rsidR="00B5389E" w:rsidRPr="000E0F90">
        <w:rPr>
          <w:rFonts w:ascii="Arial" w:hAnsi="Arial" w:cs="Arial"/>
          <w:b/>
          <w:color w:val="000000" w:themeColor="text1"/>
        </w:rPr>
        <w:t xml:space="preserve">: </w:t>
      </w:r>
      <w:r w:rsidR="009F5328" w:rsidRPr="000E0F90">
        <w:rPr>
          <w:rFonts w:ascii="Arial" w:hAnsi="Arial" w:cs="Arial"/>
          <w:b/>
          <w:color w:val="000000" w:themeColor="text1"/>
        </w:rPr>
        <w:t>Criterios</w:t>
      </w:r>
      <w:r w:rsidR="006E0BBC" w:rsidRPr="000E0F90">
        <w:rPr>
          <w:rFonts w:ascii="Arial" w:hAnsi="Arial" w:cs="Arial"/>
          <w:b/>
          <w:color w:val="000000" w:themeColor="text1"/>
        </w:rPr>
        <w:t xml:space="preserve"> de sostenibilidad para territorios mineros</w:t>
      </w:r>
    </w:p>
    <w:p w:rsidR="00E92763" w:rsidRDefault="005577FC" w:rsidP="002B538F">
      <w:pPr>
        <w:spacing w:line="360" w:lineRule="auto"/>
        <w:rPr>
          <w:rFonts w:ascii="Arial" w:hAnsi="Arial" w:cs="Arial"/>
          <w:color w:val="000000" w:themeColor="text1"/>
        </w:rPr>
      </w:pPr>
      <w:r w:rsidRPr="000E0F90">
        <w:rPr>
          <w:rFonts w:ascii="Arial" w:hAnsi="Arial" w:cs="Arial"/>
          <w:color w:val="000000" w:themeColor="text1"/>
        </w:rPr>
        <w:t xml:space="preserve">Como primera etapa, </w:t>
      </w:r>
      <w:r w:rsidR="00D442C7" w:rsidRPr="000E0F90">
        <w:rPr>
          <w:rFonts w:ascii="Arial" w:hAnsi="Arial" w:cs="Arial"/>
          <w:color w:val="000000" w:themeColor="text1"/>
        </w:rPr>
        <w:t xml:space="preserve">se seleccionó el set de principios propuestos por </w:t>
      </w:r>
      <w:r w:rsidR="00D442C7" w:rsidRPr="000E0F90">
        <w:rPr>
          <w:rFonts w:ascii="Arial" w:hAnsi="Arial" w:cs="Arial"/>
          <w:color w:val="000000" w:themeColor="text1"/>
        </w:rPr>
        <w:fldChar w:fldCharType="begin" w:fldLock="1"/>
      </w:r>
      <w:r w:rsidR="00D442C7" w:rsidRPr="000E0F90">
        <w:rPr>
          <w:rFonts w:ascii="Arial" w:hAnsi="Arial" w:cs="Arial"/>
          <w:color w:val="000000" w:themeColor="text1"/>
        </w:rPr>
        <w:instrText>ADDIN CSL_CITATION { "citationItems" : [ { "id" : "ITEM-1", "itemData" : { "ISBN" : "9781844070503", "author" : [ { "dropping-particle" : "", "family" : "Gibson", "given" : "Robert B.", "non-dropping-particle" : "", "parse-names" : false, "suffix" : "" } ], "id" : "ITEM-1", "issued" : { "date-parts" : [ [ "2005" ] ] }, "page" : "269", "publisher" : "Earthscan", "title" : "Sustainability Assessment. Criteria, Processes and Applications", "type" : "book" }, "uris" : [ "http://www.mendeley.com/documents/?uuid=566b52ab-35b0-4a0c-b91f-1bf25d523ac7" ] } ], "mendeley" : { "formattedCitation" : "(Gibson, 2005)", "plainTextFormattedCitation" : "(Gibson, 2005)", "previouslyFormattedCitation" : "(Gibson, 2005)" }, "properties" : { "noteIndex" : 0 }, "schema" : "https://github.com/citation-style-language/schema/raw/master/csl-citation.json" }</w:instrText>
      </w:r>
      <w:r w:rsidR="00D442C7" w:rsidRPr="000E0F90">
        <w:rPr>
          <w:rFonts w:ascii="Arial" w:hAnsi="Arial" w:cs="Arial"/>
          <w:color w:val="000000" w:themeColor="text1"/>
        </w:rPr>
        <w:fldChar w:fldCharType="separate"/>
      </w:r>
      <w:r w:rsidR="00D442C7" w:rsidRPr="000E0F90">
        <w:rPr>
          <w:rFonts w:ascii="Arial" w:hAnsi="Arial" w:cs="Arial"/>
          <w:noProof/>
          <w:color w:val="000000" w:themeColor="text1"/>
        </w:rPr>
        <w:t>(Gibson, 2005)</w:t>
      </w:r>
      <w:r w:rsidR="00D442C7" w:rsidRPr="000E0F90">
        <w:rPr>
          <w:rFonts w:ascii="Arial" w:hAnsi="Arial" w:cs="Arial"/>
          <w:color w:val="000000" w:themeColor="text1"/>
        </w:rPr>
        <w:fldChar w:fldCharType="end"/>
      </w:r>
      <w:r w:rsidR="00E92763">
        <w:rPr>
          <w:rFonts w:ascii="Arial" w:hAnsi="Arial" w:cs="Arial"/>
          <w:color w:val="000000" w:themeColor="text1"/>
        </w:rPr>
        <w:t xml:space="preserve"> (Cuadro 3)</w:t>
      </w:r>
      <w:r w:rsidR="00D442C7" w:rsidRPr="000E0F90">
        <w:rPr>
          <w:rFonts w:ascii="Arial" w:hAnsi="Arial" w:cs="Arial"/>
          <w:color w:val="000000" w:themeColor="text1"/>
        </w:rPr>
        <w:t>, los cuales han sido ampliamente aceptados en el ámbito científico</w:t>
      </w:r>
      <w:r w:rsidR="00F90E55" w:rsidRPr="000E0F90">
        <w:rPr>
          <w:rFonts w:ascii="Arial" w:hAnsi="Arial" w:cs="Arial"/>
          <w:color w:val="000000" w:themeColor="text1"/>
        </w:rPr>
        <w:t xml:space="preserve"> </w:t>
      </w:r>
      <w:r w:rsidR="00352A14" w:rsidRPr="000E0F90">
        <w:rPr>
          <w:rFonts w:ascii="Arial" w:hAnsi="Arial" w:cs="Arial"/>
          <w:color w:val="000000" w:themeColor="text1"/>
        </w:rPr>
        <w:fldChar w:fldCharType="begin" w:fldLock="1"/>
      </w:r>
      <w:r w:rsidR="00D32A97" w:rsidRPr="000E0F90">
        <w:rPr>
          <w:rFonts w:ascii="Arial" w:hAnsi="Arial" w:cs="Arial"/>
          <w:color w:val="000000" w:themeColor="text1"/>
        </w:rPr>
        <w:instrText>ADDIN CSL_CITATION { "citationItems" : [ { "id" : "ITEM-1", "itemData" : { "DOI" : "10.1016/j.eiar.2012.12.004", "ISBN" : "0195-9255", "ISSN" : "01959255", "abstract" : "This paper presents a framework for analysing the degree of consideration of sustainability principles in Strategic environmental assessment (SEA), and demonstrates its application to a sample of SEA of Italian urban plans. The framework is based on Gibson's (2006) sustainability principles, which are linked to a number of guidance criteria and eventually to review questions, resulting from an extensive literature review. A total of 71 questions are included in the framework, which gives particular emphasis to key concepts, such as intragenerational and intergenerational equity. The framework was applied to review the Environmental Report of the urban plans of 15 major Italian cities. The results of this review show that, even if sustainability is commonly considered as a pivotal concept, there is still work to be done in order to effectively integrate sustainability principles into SEA. In particular, most of the attention is given to mitigation and compensation measures, rather than to actual attempts to propose more sustainable planning decisions in the first place. Concerning the proposed framework of analysis, further research is required to clarify equity concerns and particularly to identify suitable indicators for operationalizing the concepts of intra/inter-generational equity in decision-making. ?? 2012 Elsevier Inc.", "author" : [ { "dropping-particle" : "", "family" : "Lamorgese", "given" : "Lydia", "non-dropping-particle" : "", "parse-names" : false, "suffix" : "" }, { "dropping-particle" : "", "family" : "Geneletti", "given" : "Davide", "non-dropping-particle" : "", "parse-names" : false, "suffix" : "" } ], "container-title" : "Environmental Impact Assessment Review", "id" : "ITEM-1", "issued" : { "date-parts" : [ [ "2013" ] ] }, "page" : "116-126", "publisher" : "Elsevier Inc.", "title" : "Sustainability principles in strategic environmental assessment: A framework for analysis and examples from Italian urban planning", "type" : "article-journal", "volume" : "42" }, "uris" : [ "http://www.mendeley.com/documents/?uuid=50281d85-3e46-42bb-9a5c-be11d8f3b1d0" ] }, { "id" : "ITEM-2", "itemData" : { "DOI" : "10.1016/j.landurbplan.2013.06.002", "ISBN" : "0169-2046", "ISSN" : "01692046", "abstract" : "The proportion of urban population is increasing globally. Climate change, biodiversity loss, and environmental pollution are leading to the urgent need to increase sustainable development of and through cities and their components. Encouraging and enabling sustainable lifestyles of urban inhabitants can be fostered by developing sustainable urban neighborhoods as the nuclei of cities. Numerous approaches exist that define principles for guiding sustainable development processes of urban neighborhoods. However, it remains unclear if these approaches really consider the core objectives that should be achieved and key actions that are involved to move toward sustainability. This study represents the first quantitative review that evaluates the principles for sustainable urban neighborhood development based on the available literature. We thus (i) identify promising approaches that present principles close to core criteria for sustainability and (ii) provide starting points for developing a more robust set of principles by bringing together the examined literature. Furthermore (iii), sustainability aspects that are insufficiently covered are highlighted. Based on the findings (iv) a road map is outlined to encourage further research on the elaboration of a sufficient set of principles for sustainable urban neighborhood development. \u00a9 2013 Elsevier B.V.", "author" : [ { "dropping-particle" : "", "family" : "Luederitz", "given" : "Christopher", "non-dropping-particle" : "", "parse-names" : false, "suffix" : "" }, { "dropping-particle" : "", "family" : "Lang", "given" : "Daniel J.", "non-dropping-particle" : "", "parse-names" : false, "suffix" : "" }, { "dropping-particle" : "", "family" : "Wehrden", "given" : "Henrik", "non-dropping-particle" : "Von", "parse-names" : false, "suffix" : "" } ], "container-title" : "Landscape and Urban Planning", "id" : "ITEM-2", "issued" : { "date-parts" : [ [ "2013" ] ] }, "page" : "40-52", "publisher" : "Elsevier B.V.", "title" : "A systematic review of guiding principles for sustainable urban neighborhood development", "type" : "article-journal", "volume" : "118" }, "uris" : [ "http://www.mendeley.com/documents/?uuid=6bcfcece-dda2-466f-b77d-29fdaec204ad" ] }, { "id" : "ITEM-3", "itemData" : { "author" : [ { "dropping-particle" : "", "family" : "Morrison-saunders", "given" : "Angus", "non-dropping-particle" : "", "parse-names" : false, "suffix" : "" }, { "dropping-particle" : "", "family" : "Hodgson", "given" : "Nicole", "non-dropping-particle" : "", "parse-names" : false, "suffix" : "" } ], "container-title" : "Assessment", "id" : "ITEM-3", "issue" : "September", "issued" : { "date-parts" : [ [ "2009" ] ] }, "page" : "1-6", "title" : "Applying Sustainability Principles in Practice : Guidance for Assessing Individual Proposals", "type" : "article-journal" }, "uris" : [ "http://www.mendeley.com/documents/?uuid=8eac9b1a-a579-4134-9969-a97b9c129d7b" ] }, { "id" : "ITEM-4", "itemData" : { "DOI" : "10.3152/146155110X12772982841122", "ISSN" : "1461-5517", "abstract" : "Assessments today need to help reverse trends towards deeper unsustainability and address the unavoidable interconnections, feedbacks and uncertainties that typify complex socio-ecological systems at all scales. To illustrate one promising approach, this paper describes a modest effort to integrate understandings from Gibson et al\u2019s approach to sustainability assessment with the Resilience Alliance\u2019s applications of complex systems thinking into a suite of systems and sustainability based criteria. The integrated sustainability\u2013resilience criteria were used to assess an existing small-scale biodiesel operation on Barbados that involves waste management, public health, transportation, energy security and community involvement considerations. The assessment revealed that the main benefit of this biodiesel project is in social learning rather than enhancing energy security and waste management, and the best ways of enhancing the project lie in larger scale policy initiatives. The findings suggest that the use of a sustainability\u2013resilience approach can contribute insights unlikely to emerge from more narrowly focused assessments.", "author" : [ { "dropping-particle" : "", "family" : "Gaudreau", "given" : "Kyrke", "non-dropping-particle" : "", "parse-names" : false, "suffix" : "" }, { "dropping-particle" : "", "family" : "Gibson", "given" : "Robert B.", "non-dropping-particle" : "", "parse-names" : false, "suffix" : "" } ], "container-title" : "Impact Assessment and Project Appraisal", "id" : "ITEM-4", "issue" : "December", "issued" : { "date-parts" : [ [ "2010" ] ] }, "page" : "233-243", "title" : "Illustrating integrated sustainability and resilience based assessments: a small-scale biodiesel project in Barbados", "type" : "article-journal", "volume" : "28" }, "uris" : [ "http://www.mendeley.com/documents/?uuid=fee76635-1433-4c27-9c85-bbbf459c7e59" ] } ], "mendeley" : { "formattedCitation" : "(Gaudreau &amp; Gibson, 2010; Lamorgese &amp; Geneletti, 2013; Luederitz et al., 2013; Morrison-saunders &amp; Hodgson, 2009)", "plainTextFormattedCitation" : "(Gaudreau &amp; Gibson, 2010; Lamorgese &amp; Geneletti, 2013; Luederitz et al., 2013; Morrison-saunders &amp; Hodgson, 2009)", "previouslyFormattedCitation" : "(Gaudreau &amp; Gibson, 2010; Lamorgese &amp; Geneletti, 2013; Luederitz et al., 2013; Morrison-saunders &amp; Hodgson, 2009)" }, "properties" : { "noteIndex" : 0 }, "schema" : "https://github.com/citation-style-language/schema/raw/master/csl-citation.json" }</w:instrText>
      </w:r>
      <w:r w:rsidR="00352A14" w:rsidRPr="000E0F90">
        <w:rPr>
          <w:rFonts w:ascii="Arial" w:hAnsi="Arial" w:cs="Arial"/>
          <w:color w:val="000000" w:themeColor="text1"/>
        </w:rPr>
        <w:fldChar w:fldCharType="separate"/>
      </w:r>
      <w:r w:rsidR="00D32A97" w:rsidRPr="000E0F90">
        <w:rPr>
          <w:rFonts w:ascii="Arial" w:hAnsi="Arial" w:cs="Arial"/>
          <w:noProof/>
          <w:color w:val="000000" w:themeColor="text1"/>
        </w:rPr>
        <w:t>(Gaudreau &amp; Gibson, 2010; Lamorgese &amp; Geneletti, 2013; Luederitz et al., 2013; Morrison-saunders &amp; Hodgson, 2009)</w:t>
      </w:r>
      <w:r w:rsidR="00352A14" w:rsidRPr="000E0F90">
        <w:rPr>
          <w:rFonts w:ascii="Arial" w:hAnsi="Arial" w:cs="Arial"/>
          <w:color w:val="000000" w:themeColor="text1"/>
        </w:rPr>
        <w:fldChar w:fldCharType="end"/>
      </w:r>
      <w:r w:rsidR="00D442C7" w:rsidRPr="000E0F90">
        <w:rPr>
          <w:rFonts w:ascii="Arial" w:hAnsi="Arial" w:cs="Arial"/>
          <w:color w:val="000000" w:themeColor="text1"/>
        </w:rPr>
        <w:t>, para dar la estructura principal de la propuesta</w:t>
      </w:r>
      <w:r w:rsidR="00E92763">
        <w:rPr>
          <w:rFonts w:ascii="Arial" w:hAnsi="Arial" w:cs="Arial"/>
          <w:color w:val="000000" w:themeColor="text1"/>
        </w:rPr>
        <w:t>.</w:t>
      </w:r>
      <w:r w:rsidR="00D442C7" w:rsidRPr="000E0F90">
        <w:rPr>
          <w:rFonts w:ascii="Arial" w:hAnsi="Arial" w:cs="Arial"/>
          <w:color w:val="000000" w:themeColor="text1"/>
        </w:rPr>
        <w:t xml:space="preserve"> </w:t>
      </w:r>
    </w:p>
    <w:p w:rsidR="00E92763" w:rsidRPr="002613F4" w:rsidRDefault="00E92763" w:rsidP="00E92763">
      <w:pPr>
        <w:pStyle w:val="Epgrafe"/>
        <w:jc w:val="center"/>
        <w:rPr>
          <w:rFonts w:ascii="Arial" w:hAnsi="Arial" w:cs="Arial"/>
          <w:b w:val="0"/>
          <w:color w:val="000000" w:themeColor="text1"/>
        </w:rPr>
      </w:pPr>
      <w:r w:rsidRPr="002613F4">
        <w:rPr>
          <w:rFonts w:ascii="Arial" w:hAnsi="Arial" w:cs="Arial"/>
          <w:b w:val="0"/>
          <w:color w:val="000000" w:themeColor="text1"/>
          <w:sz w:val="22"/>
        </w:rPr>
        <w:t xml:space="preserve">Cuadro </w:t>
      </w:r>
      <w:r w:rsidRPr="002613F4">
        <w:rPr>
          <w:rFonts w:ascii="Arial" w:hAnsi="Arial" w:cs="Arial"/>
          <w:b w:val="0"/>
          <w:color w:val="000000" w:themeColor="text1"/>
          <w:sz w:val="22"/>
        </w:rPr>
        <w:fldChar w:fldCharType="begin"/>
      </w:r>
      <w:r w:rsidRPr="002613F4">
        <w:rPr>
          <w:rFonts w:ascii="Arial" w:hAnsi="Arial" w:cs="Arial"/>
          <w:b w:val="0"/>
          <w:color w:val="000000" w:themeColor="text1"/>
          <w:sz w:val="22"/>
        </w:rPr>
        <w:instrText xml:space="preserve"> SEQ Cuadro \* ARABIC </w:instrText>
      </w:r>
      <w:r w:rsidRPr="002613F4">
        <w:rPr>
          <w:rFonts w:ascii="Arial" w:hAnsi="Arial" w:cs="Arial"/>
          <w:b w:val="0"/>
          <w:color w:val="000000" w:themeColor="text1"/>
          <w:sz w:val="22"/>
        </w:rPr>
        <w:fldChar w:fldCharType="separate"/>
      </w:r>
      <w:r w:rsidR="00225844">
        <w:rPr>
          <w:rFonts w:ascii="Arial" w:hAnsi="Arial" w:cs="Arial"/>
          <w:b w:val="0"/>
          <w:noProof/>
          <w:color w:val="000000" w:themeColor="text1"/>
          <w:sz w:val="22"/>
        </w:rPr>
        <w:t>3</w:t>
      </w:r>
      <w:r w:rsidRPr="002613F4">
        <w:rPr>
          <w:rFonts w:ascii="Arial" w:hAnsi="Arial" w:cs="Arial"/>
          <w:b w:val="0"/>
          <w:color w:val="000000" w:themeColor="text1"/>
          <w:sz w:val="22"/>
        </w:rPr>
        <w:fldChar w:fldCharType="end"/>
      </w:r>
      <w:r w:rsidRPr="002613F4">
        <w:rPr>
          <w:rFonts w:ascii="Arial" w:hAnsi="Arial" w:cs="Arial"/>
          <w:b w:val="0"/>
          <w:color w:val="000000" w:themeColor="text1"/>
          <w:sz w:val="22"/>
        </w:rPr>
        <w:t xml:space="preserve">: Criterios de sostenibilidad de Gibson, 2005 </w:t>
      </w:r>
      <w:r w:rsidRPr="002613F4">
        <w:rPr>
          <w:rFonts w:ascii="Arial" w:hAnsi="Arial" w:cs="Arial"/>
          <w:b w:val="0"/>
          <w:color w:val="000000" w:themeColor="text1"/>
          <w:sz w:val="22"/>
        </w:rPr>
        <w:fldChar w:fldCharType="begin" w:fldLock="1"/>
      </w:r>
      <w:r w:rsidRPr="002613F4">
        <w:rPr>
          <w:rFonts w:ascii="Arial" w:hAnsi="Arial" w:cs="Arial"/>
          <w:b w:val="0"/>
          <w:color w:val="000000" w:themeColor="text1"/>
          <w:sz w:val="22"/>
        </w:rPr>
        <w:instrText>ADDIN CSL_CITATION { "citationItems" : [ { "id" : "ITEM-1", "itemData" : { "ISBN" : "9781844070503", "author" : [ { "dropping-particle" : "", "family" : "Gibson", "given" : "Robert B.", "non-dropping-particle" : "", "parse-names" : false, "suffix" : "" } ], "id" : "ITEM-1", "issued" : { "date-parts" : [ [ "2005" ] ] }, "page" : "269", "publisher" : "Earthscan", "title" : "Sustainability Assessment. Criteria, Processes and Applications", "type" : "book" }, "uris" : [ "http://www.mendeley.com/documents/?uuid=566b52ab-35b0-4a0c-b91f-1bf25d523ac7" ] } ], "mendeley" : { "formattedCitation" : "(Gibson, 2005)", "plainTextFormattedCitation" : "(Gibson, 2005)", "previouslyFormattedCitation" : "(Gibson, 2005)" }, "properties" : { "noteIndex" : 0 }, "schema" : "https://github.com/citation-style-language/schema/raw/master/csl-citation.json" }</w:instrText>
      </w:r>
      <w:r w:rsidRPr="002613F4">
        <w:rPr>
          <w:rFonts w:ascii="Arial" w:hAnsi="Arial" w:cs="Arial"/>
          <w:b w:val="0"/>
          <w:color w:val="000000" w:themeColor="text1"/>
          <w:sz w:val="22"/>
        </w:rPr>
        <w:fldChar w:fldCharType="separate"/>
      </w:r>
      <w:r w:rsidRPr="002613F4">
        <w:rPr>
          <w:rFonts w:ascii="Arial" w:hAnsi="Arial" w:cs="Arial"/>
          <w:b w:val="0"/>
          <w:noProof/>
          <w:color w:val="000000" w:themeColor="text1"/>
          <w:sz w:val="22"/>
        </w:rPr>
        <w:t>(Gibson, 2005)</w:t>
      </w:r>
      <w:r w:rsidRPr="002613F4">
        <w:rPr>
          <w:rFonts w:ascii="Arial" w:hAnsi="Arial" w:cs="Arial"/>
          <w:b w:val="0"/>
          <w:color w:val="000000" w:themeColor="text1"/>
          <w:sz w:val="22"/>
        </w:rPr>
        <w:fldChar w:fldCharType="end"/>
      </w:r>
    </w:p>
    <w:tbl>
      <w:tblPr>
        <w:tblStyle w:val="Tablaconcuadrcula"/>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668"/>
        <w:gridCol w:w="7026"/>
      </w:tblGrid>
      <w:tr w:rsidR="00E92763" w:rsidRPr="00E92763" w:rsidTr="002A21E4">
        <w:tc>
          <w:tcPr>
            <w:tcW w:w="1668" w:type="dxa"/>
            <w:tcBorders>
              <w:bottom w:val="single" w:sz="4" w:space="0" w:color="auto"/>
            </w:tcBorders>
            <w:shd w:val="clear" w:color="auto" w:fill="D9D9D9" w:themeFill="background1" w:themeFillShade="D9"/>
          </w:tcPr>
          <w:p w:rsidR="00E92763" w:rsidRPr="00E92763" w:rsidRDefault="00E92763" w:rsidP="00E51C30">
            <w:pPr>
              <w:tabs>
                <w:tab w:val="left" w:pos="2240"/>
              </w:tabs>
              <w:rPr>
                <w:rFonts w:ascii="Arial" w:hAnsi="Arial" w:cs="Arial"/>
                <w:b/>
                <w:color w:val="000000" w:themeColor="text1"/>
                <w:sz w:val="20"/>
              </w:rPr>
            </w:pPr>
            <w:r w:rsidRPr="00E92763">
              <w:rPr>
                <w:rFonts w:ascii="Arial" w:hAnsi="Arial" w:cs="Arial"/>
                <w:b/>
                <w:color w:val="000000" w:themeColor="text1"/>
                <w:sz w:val="20"/>
              </w:rPr>
              <w:t>Principio</w:t>
            </w:r>
          </w:p>
        </w:tc>
        <w:tc>
          <w:tcPr>
            <w:tcW w:w="7026" w:type="dxa"/>
            <w:tcBorders>
              <w:bottom w:val="single" w:sz="4" w:space="0" w:color="auto"/>
            </w:tcBorders>
            <w:shd w:val="clear" w:color="auto" w:fill="D9D9D9" w:themeFill="background1" w:themeFillShade="D9"/>
          </w:tcPr>
          <w:p w:rsidR="00E92763" w:rsidRPr="00E92763" w:rsidRDefault="00E92763" w:rsidP="00E51C30">
            <w:pPr>
              <w:tabs>
                <w:tab w:val="left" w:pos="2240"/>
              </w:tabs>
              <w:rPr>
                <w:rFonts w:ascii="Arial" w:hAnsi="Arial" w:cs="Arial"/>
                <w:b/>
                <w:color w:val="000000" w:themeColor="text1"/>
                <w:sz w:val="20"/>
              </w:rPr>
            </w:pPr>
            <w:r w:rsidRPr="00E92763">
              <w:rPr>
                <w:rFonts w:ascii="Arial" w:hAnsi="Arial" w:cs="Arial"/>
                <w:b/>
                <w:color w:val="000000" w:themeColor="text1"/>
                <w:sz w:val="20"/>
              </w:rPr>
              <w:t>Definición</w:t>
            </w:r>
          </w:p>
        </w:tc>
      </w:tr>
      <w:tr w:rsidR="00E92763" w:rsidRPr="00E92763" w:rsidTr="002A21E4">
        <w:tc>
          <w:tcPr>
            <w:tcW w:w="1668" w:type="dxa"/>
            <w:tcBorders>
              <w:bottom w:val="nil"/>
            </w:tcBorders>
          </w:tcPr>
          <w:p w:rsidR="00E92763" w:rsidRPr="00E92763" w:rsidRDefault="00E92763" w:rsidP="00E51C30">
            <w:pPr>
              <w:tabs>
                <w:tab w:val="left" w:pos="2240"/>
              </w:tabs>
              <w:jc w:val="left"/>
              <w:rPr>
                <w:rFonts w:ascii="Arial" w:hAnsi="Arial" w:cs="Arial"/>
                <w:b/>
                <w:color w:val="000000" w:themeColor="text1"/>
                <w:sz w:val="20"/>
              </w:rPr>
            </w:pPr>
            <w:r w:rsidRPr="00E92763">
              <w:rPr>
                <w:rFonts w:ascii="Arial" w:hAnsi="Arial" w:cs="Arial"/>
                <w:b/>
                <w:color w:val="000000" w:themeColor="text1"/>
                <w:sz w:val="20"/>
              </w:rPr>
              <w:t>Integridad del sistema socio-ecológico</w:t>
            </w:r>
            <w:r w:rsidRPr="00E92763">
              <w:rPr>
                <w:rFonts w:ascii="Arial" w:hAnsi="Arial" w:cs="Arial"/>
                <w:color w:val="000000" w:themeColor="text1"/>
                <w:sz w:val="20"/>
              </w:rPr>
              <w:t>:</w:t>
            </w:r>
          </w:p>
        </w:tc>
        <w:tc>
          <w:tcPr>
            <w:tcW w:w="7026" w:type="dxa"/>
            <w:tcBorders>
              <w:bottom w:val="nil"/>
            </w:tcBorders>
          </w:tcPr>
          <w:p w:rsidR="00E92763" w:rsidRPr="00E92763" w:rsidRDefault="00E92763" w:rsidP="00E51C30">
            <w:pPr>
              <w:tabs>
                <w:tab w:val="left" w:pos="2240"/>
              </w:tabs>
              <w:rPr>
                <w:rFonts w:ascii="Arial" w:hAnsi="Arial" w:cs="Arial"/>
                <w:b/>
                <w:color w:val="000000" w:themeColor="text1"/>
                <w:sz w:val="20"/>
              </w:rPr>
            </w:pPr>
            <w:r w:rsidRPr="00E92763">
              <w:rPr>
                <w:rFonts w:ascii="Arial" w:hAnsi="Arial" w:cs="Arial"/>
                <w:color w:val="000000" w:themeColor="text1"/>
                <w:sz w:val="20"/>
              </w:rPr>
              <w:t xml:space="preserve">Construir relaciones humanas-ecológicas que permitan mantener la integridad a largo plazo de sistemas socio-biofísicos, protegiendo las funciones irremplazables que soportan la vida, de las cuales dependen, tanto el bienestar humano como el ecológico </w:t>
            </w:r>
          </w:p>
        </w:tc>
      </w:tr>
      <w:tr w:rsidR="00E92763" w:rsidRPr="00E92763" w:rsidTr="002A21E4">
        <w:tc>
          <w:tcPr>
            <w:tcW w:w="1668" w:type="dxa"/>
            <w:tcBorders>
              <w:top w:val="nil"/>
              <w:bottom w:val="nil"/>
            </w:tcBorders>
          </w:tcPr>
          <w:p w:rsidR="00E92763" w:rsidRPr="00E92763" w:rsidRDefault="00E92763" w:rsidP="00E51C30">
            <w:pPr>
              <w:tabs>
                <w:tab w:val="left" w:pos="2240"/>
              </w:tabs>
              <w:jc w:val="left"/>
              <w:rPr>
                <w:rFonts w:ascii="Arial" w:hAnsi="Arial" w:cs="Arial"/>
                <w:b/>
                <w:color w:val="000000" w:themeColor="text1"/>
                <w:sz w:val="20"/>
              </w:rPr>
            </w:pPr>
            <w:r w:rsidRPr="00E92763">
              <w:rPr>
                <w:rFonts w:ascii="Arial" w:hAnsi="Arial" w:cs="Arial"/>
                <w:b/>
                <w:color w:val="000000" w:themeColor="text1"/>
                <w:sz w:val="20"/>
              </w:rPr>
              <w:t>Oportunidad y suficiencia de formas de vida</w:t>
            </w:r>
          </w:p>
        </w:tc>
        <w:tc>
          <w:tcPr>
            <w:tcW w:w="7026" w:type="dxa"/>
            <w:tcBorders>
              <w:top w:val="nil"/>
              <w:bottom w:val="nil"/>
            </w:tcBorders>
          </w:tcPr>
          <w:p w:rsidR="00E92763" w:rsidRPr="00E92763" w:rsidRDefault="00E92763" w:rsidP="00E51C30">
            <w:pPr>
              <w:tabs>
                <w:tab w:val="left" w:pos="2240"/>
              </w:tabs>
              <w:rPr>
                <w:rFonts w:ascii="Arial" w:hAnsi="Arial" w:cs="Arial"/>
                <w:b/>
                <w:color w:val="000000" w:themeColor="text1"/>
                <w:sz w:val="20"/>
              </w:rPr>
            </w:pPr>
            <w:r w:rsidRPr="00E92763">
              <w:rPr>
                <w:rFonts w:ascii="Arial" w:hAnsi="Arial" w:cs="Arial"/>
                <w:color w:val="000000" w:themeColor="text1"/>
                <w:sz w:val="20"/>
              </w:rPr>
              <w:t>Asegurar que cada persona y cada comunidad tienen suficiente para una vida decente y que todos tienen oportunidad para buscar mejoras en formas que no comprometan la posibilidad de las futuras generaciones de suficiencia y oportunidad</w:t>
            </w:r>
          </w:p>
        </w:tc>
      </w:tr>
      <w:tr w:rsidR="00E92763" w:rsidRPr="00E92763" w:rsidTr="002A21E4">
        <w:tc>
          <w:tcPr>
            <w:tcW w:w="1668" w:type="dxa"/>
            <w:tcBorders>
              <w:top w:val="nil"/>
              <w:bottom w:val="nil"/>
            </w:tcBorders>
          </w:tcPr>
          <w:p w:rsidR="00E92763" w:rsidRPr="00E92763" w:rsidRDefault="00E92763" w:rsidP="00E51C30">
            <w:pPr>
              <w:tabs>
                <w:tab w:val="left" w:pos="2240"/>
              </w:tabs>
              <w:jc w:val="left"/>
              <w:rPr>
                <w:rFonts w:ascii="Arial" w:hAnsi="Arial" w:cs="Arial"/>
                <w:b/>
                <w:color w:val="000000" w:themeColor="text1"/>
                <w:sz w:val="20"/>
              </w:rPr>
            </w:pPr>
            <w:r w:rsidRPr="00E92763">
              <w:rPr>
                <w:rFonts w:ascii="Arial" w:hAnsi="Arial" w:cs="Arial"/>
                <w:b/>
                <w:color w:val="000000" w:themeColor="text1"/>
                <w:sz w:val="20"/>
              </w:rPr>
              <w:t>Equidad dentro de generaciones</w:t>
            </w:r>
          </w:p>
        </w:tc>
        <w:tc>
          <w:tcPr>
            <w:tcW w:w="7026" w:type="dxa"/>
            <w:tcBorders>
              <w:top w:val="nil"/>
              <w:bottom w:val="nil"/>
            </w:tcBorders>
          </w:tcPr>
          <w:p w:rsidR="00E92763" w:rsidRPr="00E92763" w:rsidRDefault="00E92763" w:rsidP="00E51C30">
            <w:pPr>
              <w:tabs>
                <w:tab w:val="left" w:pos="2240"/>
              </w:tabs>
              <w:rPr>
                <w:rFonts w:ascii="Arial" w:hAnsi="Arial" w:cs="Arial"/>
                <w:b/>
                <w:color w:val="000000" w:themeColor="text1"/>
                <w:sz w:val="20"/>
              </w:rPr>
            </w:pPr>
            <w:r w:rsidRPr="00E92763">
              <w:rPr>
                <w:rFonts w:ascii="Arial" w:hAnsi="Arial" w:cs="Arial"/>
                <w:color w:val="000000" w:themeColor="text1"/>
                <w:sz w:val="20"/>
              </w:rPr>
              <w:t>Asegurar opciones suficientes y efectivas (y opciones de salud, seguridad, reconocimiento social, influencia política, etc.) para todos son perseguidas de manera que se reduzcan las brechas entre los ricos y pobres</w:t>
            </w:r>
          </w:p>
        </w:tc>
      </w:tr>
      <w:tr w:rsidR="00E92763" w:rsidRPr="00E92763" w:rsidTr="002A21E4">
        <w:tc>
          <w:tcPr>
            <w:tcW w:w="1668" w:type="dxa"/>
            <w:tcBorders>
              <w:top w:val="nil"/>
              <w:bottom w:val="nil"/>
            </w:tcBorders>
          </w:tcPr>
          <w:p w:rsidR="00E92763" w:rsidRPr="00E92763" w:rsidRDefault="00E92763" w:rsidP="00E51C30">
            <w:pPr>
              <w:tabs>
                <w:tab w:val="left" w:pos="2240"/>
              </w:tabs>
              <w:jc w:val="left"/>
              <w:rPr>
                <w:rFonts w:ascii="Arial" w:hAnsi="Arial" w:cs="Arial"/>
                <w:b/>
                <w:color w:val="000000" w:themeColor="text1"/>
                <w:sz w:val="20"/>
              </w:rPr>
            </w:pPr>
            <w:r w:rsidRPr="00E92763">
              <w:rPr>
                <w:rFonts w:ascii="Arial" w:hAnsi="Arial" w:cs="Arial"/>
                <w:b/>
                <w:color w:val="000000" w:themeColor="text1"/>
                <w:sz w:val="20"/>
              </w:rPr>
              <w:t>Equidad entre generaciones</w:t>
            </w:r>
            <w:r w:rsidRPr="00E92763">
              <w:rPr>
                <w:rFonts w:ascii="Arial" w:hAnsi="Arial" w:cs="Arial"/>
                <w:color w:val="000000" w:themeColor="text1"/>
                <w:sz w:val="20"/>
              </w:rPr>
              <w:t>:</w:t>
            </w:r>
          </w:p>
        </w:tc>
        <w:tc>
          <w:tcPr>
            <w:tcW w:w="7026" w:type="dxa"/>
            <w:tcBorders>
              <w:top w:val="nil"/>
              <w:bottom w:val="nil"/>
            </w:tcBorders>
          </w:tcPr>
          <w:p w:rsidR="00E92763" w:rsidRPr="00E92763" w:rsidRDefault="00E92763" w:rsidP="00E51C30">
            <w:pPr>
              <w:tabs>
                <w:tab w:val="left" w:pos="2240"/>
              </w:tabs>
              <w:rPr>
                <w:rFonts w:ascii="Arial" w:hAnsi="Arial" w:cs="Arial"/>
                <w:b/>
                <w:color w:val="000000" w:themeColor="text1"/>
                <w:sz w:val="20"/>
              </w:rPr>
            </w:pPr>
            <w:r w:rsidRPr="00E92763">
              <w:rPr>
                <w:rFonts w:ascii="Arial" w:hAnsi="Arial" w:cs="Arial"/>
                <w:color w:val="000000" w:themeColor="text1"/>
                <w:sz w:val="20"/>
              </w:rPr>
              <w:t>Presentar opciones y acciones que sean más tendientes a preservar o aumentar las oportunidades y capacidades de vivir sosteniblemente de las futuras generaciones.</w:t>
            </w:r>
          </w:p>
        </w:tc>
      </w:tr>
      <w:tr w:rsidR="00E92763" w:rsidRPr="00E92763" w:rsidTr="002A21E4">
        <w:tc>
          <w:tcPr>
            <w:tcW w:w="1668" w:type="dxa"/>
            <w:tcBorders>
              <w:top w:val="nil"/>
              <w:bottom w:val="nil"/>
            </w:tcBorders>
          </w:tcPr>
          <w:p w:rsidR="00E92763" w:rsidRPr="00E92763" w:rsidRDefault="00E92763" w:rsidP="00E51C30">
            <w:pPr>
              <w:tabs>
                <w:tab w:val="left" w:pos="2240"/>
              </w:tabs>
              <w:jc w:val="left"/>
              <w:rPr>
                <w:rFonts w:ascii="Arial" w:hAnsi="Arial" w:cs="Arial"/>
                <w:b/>
                <w:color w:val="000000" w:themeColor="text1"/>
                <w:sz w:val="20"/>
              </w:rPr>
            </w:pPr>
            <w:r w:rsidRPr="00E92763">
              <w:rPr>
                <w:rFonts w:ascii="Arial" w:hAnsi="Arial" w:cs="Arial"/>
                <w:b/>
                <w:color w:val="000000" w:themeColor="text1"/>
                <w:sz w:val="20"/>
              </w:rPr>
              <w:t>Mantención de recursos y eficiencia</w:t>
            </w:r>
          </w:p>
        </w:tc>
        <w:tc>
          <w:tcPr>
            <w:tcW w:w="7026" w:type="dxa"/>
            <w:tcBorders>
              <w:top w:val="nil"/>
              <w:bottom w:val="nil"/>
            </w:tcBorders>
          </w:tcPr>
          <w:p w:rsidR="00E92763" w:rsidRPr="00E92763" w:rsidRDefault="00E92763" w:rsidP="00E51C30">
            <w:pPr>
              <w:tabs>
                <w:tab w:val="left" w:pos="2240"/>
              </w:tabs>
              <w:rPr>
                <w:rFonts w:ascii="Arial" w:hAnsi="Arial" w:cs="Arial"/>
                <w:b/>
                <w:color w:val="000000" w:themeColor="text1"/>
                <w:sz w:val="20"/>
              </w:rPr>
            </w:pPr>
            <w:r w:rsidRPr="00E92763">
              <w:rPr>
                <w:rFonts w:ascii="Arial" w:hAnsi="Arial" w:cs="Arial"/>
                <w:color w:val="000000" w:themeColor="text1"/>
                <w:sz w:val="20"/>
              </w:rPr>
              <w:t>Proveer una base amplia para asegurar la forma de vida sostenible para todos, reduciendo las amenazas a la integridad a largo plazo de los sistemas socio ecológicos, mediante la reducción del daño extractivo, evitando desechos y reduciendo el uso de material ye energía total por unidad de beneficio</w:t>
            </w:r>
          </w:p>
        </w:tc>
      </w:tr>
      <w:tr w:rsidR="00E92763" w:rsidRPr="00E92763" w:rsidTr="002A21E4">
        <w:tc>
          <w:tcPr>
            <w:tcW w:w="1668" w:type="dxa"/>
            <w:tcBorders>
              <w:top w:val="nil"/>
              <w:bottom w:val="nil"/>
            </w:tcBorders>
          </w:tcPr>
          <w:p w:rsidR="00E92763" w:rsidRPr="00E92763" w:rsidRDefault="00E92763" w:rsidP="00E51C30">
            <w:pPr>
              <w:tabs>
                <w:tab w:val="left" w:pos="2240"/>
              </w:tabs>
              <w:jc w:val="left"/>
              <w:rPr>
                <w:rFonts w:ascii="Arial" w:hAnsi="Arial" w:cs="Arial"/>
                <w:b/>
                <w:color w:val="000000" w:themeColor="text1"/>
                <w:sz w:val="20"/>
              </w:rPr>
            </w:pPr>
            <w:r w:rsidRPr="00E92763">
              <w:rPr>
                <w:rFonts w:ascii="Arial" w:hAnsi="Arial" w:cs="Arial"/>
                <w:b/>
                <w:color w:val="000000" w:themeColor="text1"/>
                <w:sz w:val="20"/>
              </w:rPr>
              <w:t>Civilidad socio-ecológica y gobernanza democrática</w:t>
            </w:r>
          </w:p>
        </w:tc>
        <w:tc>
          <w:tcPr>
            <w:tcW w:w="7026" w:type="dxa"/>
            <w:tcBorders>
              <w:top w:val="nil"/>
              <w:bottom w:val="nil"/>
            </w:tcBorders>
          </w:tcPr>
          <w:p w:rsidR="00E92763" w:rsidRPr="00E92763" w:rsidRDefault="00E92763" w:rsidP="00E51C30">
            <w:pPr>
              <w:tabs>
                <w:tab w:val="left" w:pos="2240"/>
              </w:tabs>
              <w:rPr>
                <w:rFonts w:ascii="Arial" w:hAnsi="Arial" w:cs="Arial"/>
                <w:b/>
                <w:color w:val="000000" w:themeColor="text1"/>
                <w:sz w:val="20"/>
              </w:rPr>
            </w:pPr>
            <w:r w:rsidRPr="00E92763">
              <w:rPr>
                <w:rFonts w:ascii="Arial" w:hAnsi="Arial" w:cs="Arial"/>
                <w:color w:val="000000" w:themeColor="text1"/>
                <w:sz w:val="20"/>
              </w:rPr>
              <w:t>Construir la capacidad, motivación e inclinación habitual de los individuos, comunidades y otros cuerpos de decisión colectiva para aplicar requerimientos de sostenibilidad colectiva mediante deliberaciones más abiertas y más informadas, mayor atención al fomento de preocupación reciproco y responsabilidad colectiva, y uso más integrado de prácticas administrativas, mercados, costumbres y procesos de toma de decisión.</w:t>
            </w:r>
          </w:p>
        </w:tc>
      </w:tr>
      <w:tr w:rsidR="00E92763" w:rsidRPr="00E92763" w:rsidTr="002A21E4">
        <w:tc>
          <w:tcPr>
            <w:tcW w:w="1668" w:type="dxa"/>
            <w:tcBorders>
              <w:top w:val="nil"/>
              <w:bottom w:val="nil"/>
            </w:tcBorders>
          </w:tcPr>
          <w:p w:rsidR="00E92763" w:rsidRPr="00E92763" w:rsidRDefault="00E92763" w:rsidP="00E51C30">
            <w:pPr>
              <w:tabs>
                <w:tab w:val="left" w:pos="2240"/>
              </w:tabs>
              <w:jc w:val="left"/>
              <w:rPr>
                <w:rFonts w:ascii="Arial" w:hAnsi="Arial" w:cs="Arial"/>
                <w:b/>
                <w:color w:val="000000" w:themeColor="text1"/>
                <w:sz w:val="20"/>
              </w:rPr>
            </w:pPr>
            <w:r w:rsidRPr="00E92763">
              <w:rPr>
                <w:rFonts w:ascii="Arial" w:hAnsi="Arial" w:cs="Arial"/>
                <w:b/>
                <w:color w:val="000000" w:themeColor="text1"/>
                <w:sz w:val="20"/>
              </w:rPr>
              <w:t>Precaución y adaptación:</w:t>
            </w:r>
          </w:p>
        </w:tc>
        <w:tc>
          <w:tcPr>
            <w:tcW w:w="7026" w:type="dxa"/>
            <w:tcBorders>
              <w:top w:val="nil"/>
              <w:bottom w:val="nil"/>
            </w:tcBorders>
          </w:tcPr>
          <w:p w:rsidR="00E92763" w:rsidRPr="00E92763" w:rsidRDefault="00E92763" w:rsidP="00E51C30">
            <w:pPr>
              <w:tabs>
                <w:tab w:val="left" w:pos="2240"/>
              </w:tabs>
              <w:rPr>
                <w:rFonts w:ascii="Arial" w:hAnsi="Arial" w:cs="Arial"/>
                <w:b/>
                <w:color w:val="000000" w:themeColor="text1"/>
                <w:sz w:val="20"/>
              </w:rPr>
            </w:pPr>
            <w:r w:rsidRPr="00E92763">
              <w:rPr>
                <w:rFonts w:ascii="Arial" w:hAnsi="Arial" w:cs="Arial"/>
                <w:color w:val="000000" w:themeColor="text1"/>
                <w:sz w:val="20"/>
              </w:rPr>
              <w:t>Respetar incertidumbre, evitar riesgos de daño serio o irreversible  pobremente entendidos a las bases de la sostenibilidad, planificar para aprender, diseñar para sorprender y manejar para adaptación</w:t>
            </w:r>
          </w:p>
        </w:tc>
      </w:tr>
      <w:tr w:rsidR="00E92763" w:rsidRPr="00A2172D" w:rsidTr="002A21E4">
        <w:tc>
          <w:tcPr>
            <w:tcW w:w="1668" w:type="dxa"/>
            <w:tcBorders>
              <w:top w:val="nil"/>
            </w:tcBorders>
          </w:tcPr>
          <w:p w:rsidR="00E92763" w:rsidRPr="00E92763" w:rsidRDefault="00E92763" w:rsidP="00E51C30">
            <w:pPr>
              <w:tabs>
                <w:tab w:val="left" w:pos="2240"/>
              </w:tabs>
              <w:jc w:val="left"/>
              <w:rPr>
                <w:rFonts w:ascii="Arial" w:hAnsi="Arial" w:cs="Arial"/>
                <w:b/>
                <w:color w:val="000000" w:themeColor="text1"/>
                <w:sz w:val="20"/>
              </w:rPr>
            </w:pPr>
            <w:r w:rsidRPr="00E92763">
              <w:rPr>
                <w:rFonts w:ascii="Arial" w:hAnsi="Arial" w:cs="Arial"/>
                <w:b/>
                <w:color w:val="000000" w:themeColor="text1"/>
                <w:sz w:val="20"/>
              </w:rPr>
              <w:t>Integración inmediata y a largo plazo:</w:t>
            </w:r>
          </w:p>
        </w:tc>
        <w:tc>
          <w:tcPr>
            <w:tcW w:w="7026" w:type="dxa"/>
            <w:tcBorders>
              <w:top w:val="nil"/>
            </w:tcBorders>
          </w:tcPr>
          <w:p w:rsidR="00E92763" w:rsidRPr="00E92763" w:rsidRDefault="00E92763" w:rsidP="00E51C30">
            <w:pPr>
              <w:tabs>
                <w:tab w:val="left" w:pos="2240"/>
              </w:tabs>
              <w:rPr>
                <w:rFonts w:ascii="Arial" w:hAnsi="Arial" w:cs="Arial"/>
                <w:b/>
                <w:color w:val="000000" w:themeColor="text1"/>
                <w:sz w:val="20"/>
              </w:rPr>
            </w:pPr>
            <w:r w:rsidRPr="00E92763">
              <w:rPr>
                <w:rFonts w:ascii="Arial" w:hAnsi="Arial" w:cs="Arial"/>
                <w:color w:val="000000" w:themeColor="text1"/>
                <w:sz w:val="20"/>
              </w:rPr>
              <w:t>Aplicar todos los principios de sostenibilidad de una vez, buscando en forma mutua beneficios y múltiples ganancias. En otras palabras, la sostenibilidad solo puede ser alcanzada si todos los principios son adecuadamente abarcados o logrados.</w:t>
            </w:r>
          </w:p>
        </w:tc>
      </w:tr>
    </w:tbl>
    <w:p w:rsidR="00E92763" w:rsidRPr="000E0F90" w:rsidRDefault="00E92763" w:rsidP="00E92763">
      <w:pPr>
        <w:spacing w:line="360" w:lineRule="auto"/>
        <w:rPr>
          <w:rFonts w:ascii="Arial" w:hAnsi="Arial" w:cs="Arial"/>
          <w:color w:val="000000" w:themeColor="text1"/>
        </w:rPr>
      </w:pPr>
      <w:r w:rsidRPr="000E0F90">
        <w:rPr>
          <w:rFonts w:ascii="Arial" w:hAnsi="Arial" w:cs="Arial"/>
          <w:color w:val="000000" w:themeColor="text1"/>
        </w:rPr>
        <w:lastRenderedPageBreak/>
        <w:t xml:space="preserve">Estos principios han sido aplicados en territorios urbanos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"10.1016/j.landurbplan.2013.06.002", "ISBN" : "0169-2046", "ISSN" : "01692046", "abstract" : "The proportion of urban population is increasing globally. Climate change, biodiversity loss, and environmental pollution are leading to the urgent need to increase sustainable development of and through cities and their components. Encouraging and enabling sustainable lifestyles of urban inhabitants can be fostered by developing sustainable urban neighborhoods as the nuclei of cities. Numerous approaches exist that define principles for guiding sustainable development processes of urban neighborhoods. However, it remains unclear if these approaches really consider the core objectives that should be achieved and key actions that are involved to move toward sustainability. This study represents the first quantitative review that evaluates the principles for sustainable urban neighborhood development based on the available literature. We thus (i) identify promising approaches that present principles close to core criteria for sustainability and (ii) provide starting points for developing a more robust set of principles by bringing together the examined literature. Furthermore (iii), sustainability aspects that are insufficiently covered are highlighted. Based on the findings (iv) a road map is outlined to encourage further research on the elaboration of a sufficient set of principles for sustainable urban neighborhood development. \u00a9 2013 Elsevier B.V.", "author" : [ { "dropping-particle" : "", "family" : "Luederitz", "given" : "Christopher", "non-dropping-particle" : "", "parse-names" : false, "suffix" : "" }, { "dropping-particle" : "", "family" : "Lang", "given" : "Daniel J.", "non-dropping-particle" : "", "parse-names" : false, "suffix" : "" }, { "dropping-particle" : "", "family" : "Wehrden", "given" : "Henrik", "non-dropping-particle" : "Von", "parse-names" : false, "suffix" : "" } ], "container-title" : "Landscape and Urban Planning", "id" : "ITEM-1", "issued" : { "date-parts" : [ [ "2013" ] ] }, "page" : "40-52", "publisher" : "Elsevier B.V.", "title" : "A systematic review of guiding principles for sustainable urban neighborhood development", "type" : "article-journal", "volume" : "118" }, "uris" : [ "http://www.mendeley.com/documents/?uuid=6bcfcece-dda2-466f-b77d-29fdaec204ad" ] } ], "mendeley" : { "formattedCitation" : "(Luederitz et al., 2013)", "plainTextFormattedCitation" : "(Luederitz et al., 2013)", "previouslyFormattedCitation" : "(Luederitz et al., 2013)"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(Luederitz et al., 2013)</w:t>
      </w:r>
      <w:r w:rsidRPr="000E0F90">
        <w:rPr>
          <w:rFonts w:ascii="Arial" w:hAnsi="Arial" w:cs="Arial"/>
          <w:color w:val="000000" w:themeColor="text1"/>
        </w:rPr>
        <w:fldChar w:fldCharType="end"/>
      </w:r>
      <w:r w:rsidRPr="000E0F90">
        <w:rPr>
          <w:rFonts w:ascii="Arial" w:hAnsi="Arial" w:cs="Arial"/>
          <w:color w:val="000000" w:themeColor="text1"/>
        </w:rPr>
        <w:t xml:space="preserve">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"author" : [ { "dropping-particle" : "", "family" : "Morrison-saunders", "given" : "Angus", "non-dropping-particle" : "", "parse-names" : false, "suffix" : "" }, { "dropping-particle" : "", "family" : "Hodgson", "given" : "Nicole", "non-dropping-particle" : "", "parse-names" : false, "suffix" : "" } ], "container-title" : "Assessment", "id" : "ITEM-1", "issue" : "September", "issued" : { "date-parts" : [ [ "2009" ] ] }, "page" : "1-6", "title" : "Applying Sustainability Principles in Practice : Guidance for Assessing Individual Proposals", "type" : "article-journal" }, "uris" : [ "http://www.mendeley.com/documents/?uuid=8eac9b1a-a579-4134-9969-a97b9c129d7b" ] } ], "mendeley" : { "formattedCitation" : "(Morrison-saunders &amp; Hodgson, 2009)", "plainTextFormattedCitation" : "(Morrison-saunders &amp; Hodgson, 2009)", "previouslyFormattedCitation" : "(Morrison-saunders &amp; Hodgson, 2009)"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(Morrison-saunders &amp; Hodgson, 2009)</w:t>
      </w:r>
      <w:r w:rsidRPr="000E0F90">
        <w:rPr>
          <w:rFonts w:ascii="Arial" w:hAnsi="Arial" w:cs="Arial"/>
          <w:color w:val="000000" w:themeColor="text1"/>
        </w:rPr>
        <w:fldChar w:fldCharType="end"/>
      </w:r>
      <w:r w:rsidRPr="000E0F90">
        <w:rPr>
          <w:rFonts w:ascii="Arial" w:hAnsi="Arial" w:cs="Arial"/>
          <w:color w:val="000000" w:themeColor="text1"/>
        </w:rPr>
        <w:t xml:space="preserve">, para analizar el nivel de incorporación de sostenibilidad de los sistemas de Evaluación Ambiental Estratégica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"10.1016/j.eiar.2012.12.004", "ISBN" : "0195-9255", "ISSN" : "01959255", "abstract" : "This paper presents a framework for analysing the degree of consideration of sustainability principles in Strategic environmental assessment (SEA), and demonstrates its application to a sample of SEA of Italian urban plans. The framework is based on Gibson's (2006) sustainability principles, which are linked to a number of guidance criteria and eventually to review questions, resulting from an extensive literature review. A total of 71 questions are included in the framework, which gives particular emphasis to key concepts, such as intragenerational and intergenerational equity. The framework was applied to review the Environmental Report of the urban plans of 15 major Italian cities. The results of this review show that, even if sustainability is commonly considered as a pivotal concept, there is still work to be done in order to effectively integrate sustainability principles into SEA. In particular, most of the attention is given to mitigation and compensation measures, rather than to actual attempts to propose more sustainable planning decisions in the first place. Concerning the proposed framework of analysis, further research is required to clarify equity concerns and particularly to identify suitable indicators for operationalizing the concepts of intra/inter-generational equity in decision-making. ?? 2012 Elsevier Inc.", "author" : [ { "dropping-particle" : "", "family" : "Lamorgese", "given" : "Lydia", "non-dropping-particle" : "", "parse-names" : false, "suffix" : "" }, { "dropping-particle" : "", "family" : "Geneletti", "given" : "Davide", "non-dropping-particle" : "", "parse-names" : false, "suffix" : "" } ], "container-title" : "Environmental Impact Assessment Review", "id" : "ITEM-1", "issued" : { "date-parts" : [ [ "2013" ] ] }, "page" : "116-126", "publisher" : "Elsevier Inc.", "title" : "Sustainability principles in strategic environmental assessment: A framework for analysis and examples from Italian urban planning", "type" : "article-journal", "volume" : "42" }, "uris" : [ "http://www.mendeley.com/documents/?uuid=50281d85-3e46-42bb-9a5c-be11d8f3b1d0" ] } ], "mendeley" : { "formattedCitation" : "(Lamorgese &amp; Geneletti, 2013)", "plainTextFormattedCitation" : "(Lamorgese &amp; Geneletti, 2013)", "previouslyFormattedCitation" : "(Lamorgese &amp; Geneletti, 2013)"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(Lamorgese &amp; Geneletti, 2013)</w:t>
      </w:r>
      <w:r w:rsidRPr="000E0F90">
        <w:rPr>
          <w:rFonts w:ascii="Arial" w:hAnsi="Arial" w:cs="Arial"/>
          <w:color w:val="000000" w:themeColor="text1"/>
        </w:rPr>
        <w:fldChar w:fldCharType="end"/>
      </w:r>
      <w:r w:rsidRPr="000E0F90">
        <w:rPr>
          <w:rFonts w:ascii="Arial" w:hAnsi="Arial" w:cs="Arial"/>
          <w:color w:val="000000" w:themeColor="text1"/>
        </w:rPr>
        <w:t xml:space="preserve">, así como para evaluar la incorporación de una planta de biodiesel en sistemas insulares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"10.3152/146155110X12772982841122", "ISSN" : "1461-5517", "abstract" : "Assessments today need to help reverse trends towards deeper unsustainability and address the unavoidable interconnections, feedbacks and uncertainties that typify complex socio-ecological systems at all scales. To illustrate one promising approach, this paper describes a modest effort to integrate understandings from Gibson et al\u2019s approach to sustainability assessment with the Resilience Alliance\u2019s applications of complex systems thinking into a suite of systems and sustainability based criteria. The integrated sustainability\u2013resilience criteria were used to assess an existing small-scale biodiesel operation on Barbados that involves waste management, public health, transportation, energy security and community involvement considerations. The assessment revealed that the main benefit of this biodiesel project is in social learning rather than enhancing energy security and waste management, and the best ways of enhancing the project lie in larger scale policy initiatives. The findings suggest that the use of a sustainability\u2013resilience approach can contribute insights unlikely to emerge from more narrowly focused assessments.", "author" : [ { "dropping-particle" : "", "family" : "Gaudreau", "given" : "Kyrke", "non-dropping-particle" : "", "parse-names" : false, "suffix" : "" }, { "dropping-particle" : "", "family" : "Gibson", "given" : "Robert B.", "non-dropping-particle" : "", "parse-names" : false, "suffix" : "" } ], "container-title" : "Impact Assessment and Project Appraisal", "id" : "ITEM-1", "issue" : "December", "issued" : { "date-parts" : [ [ "2010" ] ] }, "page" : "233-243", "title" : "Illustrating integrated sustainability and resilience based assessments: a small-scale biodiesel project in Barbados", "type" : "article-journal", "volume" : "28" }, "uris" : [ "http://www.mendeley.com/documents/?uuid=fee76635-1433-4c27-9c85-bbbf459c7e59" ] } ], "mendeley" : { "formattedCitation" : "(Gaudreau &amp; Gibson, 2010)", "plainTextFormattedCitation" : "(Gaudreau &amp; Gibson, 2010)", "previouslyFormattedCitation" : "(Gaudreau &amp; Gibson, 2010)"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(Gaudreau &amp; Gibson, 2010)</w:t>
      </w:r>
      <w:r w:rsidRPr="000E0F90">
        <w:rPr>
          <w:rFonts w:ascii="Arial" w:hAnsi="Arial" w:cs="Arial"/>
          <w:color w:val="000000" w:themeColor="text1"/>
        </w:rPr>
        <w:fldChar w:fldCharType="end"/>
      </w:r>
      <w:r w:rsidRPr="000E0F90">
        <w:rPr>
          <w:rFonts w:ascii="Arial" w:hAnsi="Arial" w:cs="Arial"/>
          <w:color w:val="000000" w:themeColor="text1"/>
        </w:rPr>
        <w:t xml:space="preserve">, por nombrar algunas aplicaciones. Bajo este estudio la estructura original propuesta por Gibson (2005) fue parcialmente modificada, integrando algunos principios (i.e. suficiencia y oportunidades, y equidad dentro de generaciones) y eliminando el principio integración inmediata y a largo plazo, dado que este último es un aspecto más operacional que conceptual del marco original. </w:t>
      </w:r>
    </w:p>
    <w:p w:rsidR="00E92763" w:rsidRPr="000E0F90" w:rsidRDefault="00E92763" w:rsidP="00E92763">
      <w:pPr>
        <w:spacing w:line="360" w:lineRule="auto"/>
        <w:rPr>
          <w:rFonts w:ascii="Arial" w:hAnsi="Arial" w:cs="Arial"/>
          <w:color w:val="000000" w:themeColor="text1"/>
          <w:sz w:val="20"/>
          <w:lang w:val="en-US"/>
        </w:rPr>
      </w:pPr>
      <w:r w:rsidRPr="000E0F90">
        <w:rPr>
          <w:rFonts w:ascii="Arial" w:hAnsi="Arial" w:cs="Arial"/>
          <w:color w:val="000000" w:themeColor="text1"/>
        </w:rPr>
        <w:t xml:space="preserve">Cada principio propuesto por Gibson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"ISBN" : "9781844070503", "author" : [ { "dropping-particle" : "", "family" : "Gibson", "given" : "Robert B.", "non-dropping-particle" : "", "parse-names" : false, "suffix" : "" } ], "id" : "ITEM-1", "issued" : { "date-parts" : [ [ "2005" ] ] }, "page" : "269", "publisher" : "Earthscan", "title" : "Sustainability Assessment. Criteria, Processes and Applications", "type" : "book" }, "uris" : [ "http://www.mendeley.com/documents/?uuid=566b52ab-35b0-4a0c-b91f-1bf25d523ac7" ] } ], "mendeley" : { "formattedCitation" : "(Gibson, 2005)", "plainTextFormattedCitation" : "(Gibson, 2005)", "previouslyFormattedCitation" : "(Gibson, 2005)"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(Gibson, 2005)</w:t>
      </w:r>
      <w:r w:rsidRPr="000E0F90">
        <w:rPr>
          <w:rFonts w:ascii="Arial" w:hAnsi="Arial" w:cs="Arial"/>
          <w:color w:val="000000" w:themeColor="text1"/>
        </w:rPr>
        <w:fldChar w:fldCharType="end"/>
      </w:r>
      <w:r w:rsidRPr="000E0F90">
        <w:rPr>
          <w:rFonts w:ascii="Arial" w:hAnsi="Arial" w:cs="Arial"/>
          <w:color w:val="000000" w:themeColor="text1"/>
        </w:rPr>
        <w:t xml:space="preserve"> fue desarrollado mediante la incorporación de criterios provenientes de la literatura científica</w:t>
      </w:r>
      <w:r>
        <w:rPr>
          <w:rFonts w:ascii="Arial" w:hAnsi="Arial" w:cs="Arial"/>
          <w:color w:val="000000" w:themeColor="text1"/>
        </w:rPr>
        <w:t xml:space="preserve"> </w:t>
      </w:r>
      <w:r w:rsidRPr="00E92763">
        <w:rPr>
          <w:rFonts w:ascii="Arial" w:hAnsi="Arial" w:cs="Arial"/>
          <w:color w:val="000000" w:themeColor="text1"/>
        </w:rPr>
        <w:t>relacionada con la sostenibilidad de diversos tipos de territorios</w:t>
      </w:r>
      <w:r w:rsidRPr="000E0F90">
        <w:rPr>
          <w:rFonts w:ascii="Arial" w:hAnsi="Arial" w:cs="Arial"/>
          <w:color w:val="000000" w:themeColor="text1"/>
        </w:rPr>
        <w:t xml:space="preserve">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"10.1080/01944360008976081", "ISBN" : "0194-4363", "ISSN" : "01944363", "PMID" : "2989497", "abstract" : "A set of six principles are set forth that define and operationalize the concept of sustainable development. Using these six principles, a sample of 30 comprehensive plans was evaluated to determine how well their policies support sustainable development. Findings indicate no significant differences in how extensively sustainability principles are supported between the plans that state an intention to integrate sustainable development and those that do not. In addition, these plans do not provide balanced support of all six sustainability principles, as they support some principles significantly more than others.", "author" : [ { "dropping-particle" : "", "family" : "Berke", "given" : "Philip R", "non-dropping-particle" : "", "parse-names" : false, "suffix" : "" }, { "dropping-particle" : "", "family" : "Conroy", "given" : "Maria Manta", "non-dropping-particle" : "", "parse-names" : false, "suffix" : "" } ], "container-title" : "American Planning Association.Journal of the American Planning Association", "id" : "ITEM-1", "issue" : "September", "issued" : { "date-parts" : [ [ "2000" ] ] }, "page" : "21", "title" : "Are we planning for sustainable development?", "type" : "article-journal", "volume" : "66" }, "uris" : [ "http://www.mendeley.com/documents/?uuid=9c8f081f-71c5-4194-83b6-25e26c52bc06" ] }, { "id" : "ITEM-2", "itemData" : { "ISSN" : "1993-3800", "abstract" : "New Urbanism New Urbanism is an urban design movement, which arose in the USA in the early 1980s, promoting walkable, mixed-use neighbourhoods and transit-oriented development, seeking to end suburban sprawl and promote community. Characteristics include narrow streets, wide sidewalks and higher densities, qualities which we can all find in the European cities. Green Urbanism Green Urbanism is a conceptual model for zero-emission and zero-waste urban design, which arose in the 1990s, promoting compact energy-efficient urban development, seeking to transform and re-engineer existing city districts and regenerate the post-industrial city centre. It promotes the development of socially and environmentally sustainable city districts. This paper will first look at the timeline of important publications that have been published on sustainable design and have emerged from different schools of thought, to exemplify how gradually the notion of Green Urbanism evolved. It then identifies the intertwined principles for achieving Green Urbanism.", "author" : [ { "dropping-particle" : "", "family" : "Lehmann", "given" : "Steffen", "non-dropping-particle" : "", "parse-names" : false, "suffix" : "" } ], "container-title" : "Survey And Perspectives Integrating Environment &amp; Society", "id" : "ITEM-2", "issue" : "October", "issued" : { "date-parts" : [ [ "2010" ] ] }, "page" : "Art. 6", "title" : "Green Urbanism: Formulating a Series of Holistic Principles.", "type" : "article-journal", "volume" : "3" }, "uris" : [ "http://www.mendeley.com/documents/?uuid=7b43f80a-d8ec-4748-a9dc-ee203f8b89d7" ] }, { "id" : "ITEM-3", "itemData" : { "DOI" : "10.1016/j.landurbplan.2013.06.002", "ISBN" : "0169-2046", "ISSN" : "01692046", "abstract" : "The proportion of urban population is increasing globally. Climate change, biodiversity loss, and environmental pollution are leading to the urgent need to increase sustainable development of and through cities and their components. Encouraging and enabling sustainable lifestyles of urban inhabitants can be fostered by developing sustainable urban neighborhoods as the nuclei of cities. Numerous approaches exist that define principles for guiding sustainable development processes of urban neighborhoods. However, it remains unclear if these approaches really consider the core objectives that should be achieved and key actions that are involved to move toward sustainability. This study represents the first quantitative review that evaluates the principles for sustainable urban neighborhood development based on the available literature. We thus (i) identify promising approaches that present principles close to core criteria for sustainability and (ii) provide starting points for developing a more robust set of principles by bringing together the examined literature. Furthermore (iii), sustainability aspects that are insufficiently covered are highlighted. Based on the findings (iv) a road map is outlined to encourage further research on the elaboration of a sufficient set of principles for sustainable urban neighborhood development. \u00a9 2013 Elsevier B.V.", "author" : [ { "dropping-particle" : "", "family" : "Luederitz", "given" : "Christopher", "non-dropping-particle" : "", "parse-names" : false, "suffix" : "" }, { "dropping-particle" : "", "family" : "Lang", "given" : "Daniel J.", "non-dropping-particle" : "", "parse-names" : false, "suffix" : "" }, { "dropping-particle" : "", "family" : "Wehrden", "given" : "Henrik", "non-dropping-particle" : "Von", "parse-names" : false, "suffix" : "" } ], "container-title" : "Landscape and Urban Planning", "id" : "ITEM-3", "issued" : { "date-parts" : [ [ "2013" ] ] }, "page" : "40-52", "publisher" : "Elsevier B.V.", "title" : "A systematic review of guiding principles for sustainable urban neighborhood development", "type" : "article-journal", "volume" : "118" }, "uris" : [ "http://www.mendeley.com/documents/?uuid=6bcfcece-dda2-466f-b77d-29fdaec204ad" ] }, { "id" : "ITEM-4", "itemData" : { "DOI" : "10.1890/0012-9623(2000)081[0272:EPCOE]2.0.CO;2", "ISBN" : "1051-0761", "ISSN" : "0012-9623", "PMID" : "2641032", "abstract" : "The many ways that people have used and managed land throughout history has emerged as a primary cause of land-cover change around the world. Thus, land use and land management increasingly represent a fundamental source of change in the global environment. Despite their global importance, however, many decisions about the management and use of land are made with scant attention to ecological impacts. Thus, ecologists\u2019 knowledge of the functioning of Earth\u2019s ecosystems is needed to broaden the scientific basis of decisions on land use and management. In response to this need, the Ecological Society of America established a committee to examine the ways that land-use decisions are made and the ways that ecologists could help inform those decisions. This paper reports the scientific findings of that committee. Five principles of ecological science have particular implications for land use and can assure that fundamental processes of Earth\u2019s ecosystems are sustained. These ecological principles deal with time, species, place, dis- turbance, and the landscape. The recognition that ecological processes occur within a temporal setting and change over time is fundamental to analyzing the effects of land use. In addition, individual species and networks of interacting species have strong and far-reaching effects on ecological processes. Furthermore, each site or region has a unique set of organisms and abiotic conditions influencing and constraining ecological processes. Distur- bances are important and ubiquitous ecological events whose effects may strongly influence population, com- munity, and ecosystem dynamics. Finally, the size, shape, and spatial relationships of habitat patches on the landscape affect the structure and function of ecosystems. The responses of the land to changes in use and management by people depend on expressions of these fundamental principles in nature. These principles dictate several guidelines for land use. The guidelines give practical rules of thumb for incorporating ecological principles into land-use decision making. These guidelines suggest that land managers should: (1) examine impacts of local decisions in a regional context, (2) plan for long-termchange and unexpected events, (3) preserve rare landscape elements and associated species, (4) avoid land uses that deplete natural resources, (5) retain large contiguous or connected areas that contain critical habitats, (6) minimize the intro- duction and spread of nonnative sp\u2026", "author" : [ { "dropping-particle" : "", "family" : "Dale", "given" : "Vh", "non-dropping-particle" : "", "parse-names" : false, "suffix" : "" }, { "dropping-particle" : "", "family" : "Brown", "given" : "S", "non-dropping-particle" : "", "parse-names" : false, "suffix" : "" }, { "dropping-particle" : "", "family" : "Haeuber", "given" : "Ra", "non-dropping-particle" : "", "parse-names" : false, "suffix" : "" } ], "container-title" : "Ecological Applications", "id" : "ITEM-4", "issue" : "3", "issued" : { "date-parts" : [ [ "2000" ] ] }, "page" : "639-670", "title" : "Ecological Principles and Guidelines for Managing the use of Land", "type" : "article-journal", "volume" : "10" }, "uris" : [ "http://www.mendeley.com/documents/?uuid=bc0e4508-68ba-43f1-b8ad-4ce0d03c2491" ] }, { "id" : "ITEM-5", "itemData" : { "DOI" : "10.1016/S0921-8009(02)00272-0", "ISBN" : "0921-8009", "ISSN" : "09218009", "PMID" : "23", "abstract" : "This paper develops a methodology for identifying that natural capital - called critical natural capital (CNC) - the maintenance of which is essential for environmental sustainability. By consideration of the characteristics of natural capital, of the environmental functions that these characteristics enable natural capital to perform and of the importance of these functions to humans and the biosphere, it shows how sustainability standards in respect of these environmental functions may be derived. The difference between the current situation and these standards is termed the sustainability gap. The methodology that emerges from bringing these ideas together into a single analytical framework enables policy makers to identify the extent of current unsustainability, the principal causes of it, the elements and processes of natural capital (the CNC) which need to be maintained or restored to close the sustainability gap and the costs of so doing. The framework should therefore be of use in identifying priorities and policies for moving towards environmental sustainability. ?? 2002 Published by Elsevier Science B.V.", "author" : [ { "dropping-particle" : "", "family" : "Ekins", "given" : "Paul", "non-dropping-particle" : "", "parse-names" : false, "suffix" : "" }, { "dropping-particle" : "", "family" : "Simon", "given" : "Sandrine", "non-dropping-particle" : "", "parse-names" : false, "suffix" : "" }, { "dropping-particle" : "", "family" : "Deutsch", "given" : "Lisa", "non-dropping-particle" : "", "parse-names" : false, "suffix" : "" }, { "dropping-particle" : "", "family" : "Folke", "given" : "Carl", "non-dropping-particle" : "", "parse-names" : false, "suffix" : "" }, { "dropping-particle" : "", "family" : "Groot", "given" : "Rudolf", "non-dropping-particle" : "De", "parse-names" : false, "suffix" : "" } ], "container-title" : "Ecological Economics", "id" : "ITEM-5", "issued" : { "date-parts" : [ [ "2003" ] ] }, "page" : "165-185", "title" : "A framework for the practical application of the concepts of critical natural capital and strong sustainability", "type" : "article-journal", "volume" : "44" }, "uris" : [ "http://www.mendeley.com/documents/?uuid=5ab0dee7-4e2a-402b-a4ce-62606789c9e2" ] }, { "id" : "ITEM-6", "itemData" : { "ISBN" : "8483201437", "author" : [ { "dropping-particle" : "", "family" : "Cemat", "given" : "Conferencia Europea de Ministros responsables de ordenaci\u00f3n del Territorio", "non-dropping-particle" : "", "parse-names" : false, "suffix" : "" } ], "container-title" : "Conferencia Europea de Ministros responsables de ordenaci\u00f3n del territorio", "id" : "ITEM-6", "issued" : { "date-parts" : [ [ "2000" ] ] }, "title" : "Principios Directores para el Desarrollo Territorial Sostenible del Continente Europeo", "type" : "book" }, "uris" : [ "http://www.mendeley.com/documents/?uuid=01924405-bee1-4e7a-a357-b7f836b2e137" ] }, { "id" : "ITEM-7", "itemData" : { "author" : [ { "dropping-particle" : "", "family" : "Beder", "given" : "Sharon", "non-dropping-particle" : "", "parse-names" : false, "suffix" : "" } ], "container-title" : "New Zealand Journal of Environmental Law", "id" : "ITEM-7", "issued" : { "date-parts" : [ [ "2000" ] ] }, "page" : "227-243", "title" : "Costing the Earth: Equity, Sustainable Development and Environmental Economics", "type" : "article-journal", "volume" : "4" }, "uris" : [ "http://www.mendeley.com/documents/?uuid=55796272-eb2c-4f3d-b888-f19f34d31d33" ] }, { "id" : "ITEM-8", "itemData" : { "author" : [ { "dropping-particle" : "", "family" : "Morrison-saunders", "given" : "Angus", "non-dropping-particle" : "", "parse-names" : false, "suffix" : "" }, { "dropping-particle" : "", "family" : "Hodgson", "given" : "Nicole", "non-dropping-particle" : "", "parse-names" : false, "suffix" : "" } ], "container-title" : "Assessment", "id" : "ITEM-8", "issue" : "September", "issued" : { "date-parts" : [ [ "2009" ] ] }, "page" : "1-6", "title" : "Applying Sustainability Principles in Practice : Guidance for Assessing Individual Proposals", "type" : "article-journal" }, "uris" : [ "http://www.mendeley.com/documents/?uuid=8eac9b1a-a579-4134-9969-a97b9c129d7b" ] }, { "id" : "ITEM-9", "itemData" : { "DOI" : "10.3152/146155110X12772982841122", "ISSN" : "1461-5517", "abstract" : "Assessments today need to help reverse trends towards deeper unsustainability and address the unavoidable interconnections, feedbacks and uncertainties that typify complex socio-ecological systems at all scales. To illustrate one promising approach, this paper describes a modest effort to integrate understandings from Gibson et al\u2019s approach to sustainability assessment with the Resilience Alliance\u2019s applications of complex systems thinking into a suite of systems and sustainability based criteria. The integrated sustainability\u2013resilience criteria were used to assess an existing small-scale biodiesel operation on Barbados that involves waste management, public health, transportation, energy security and community involvement considerations. The assessment revealed that the main benefit of this biodiesel project is in social learning rather than enhancing energy security and waste management, and the best ways of enhancing the project lie in larger scale policy initiatives. The findings suggest that the use of a sustainability\u2013resilience approach can contribute insights unlikely to emerge from more narrowly focused assessments.", "author" : [ { "dropping-particle" : "", "family" : "Gaudreau", "given" : "Kyrke", "non-dropping-particle" : "", "parse-names" : false, "suffix" : "" }, { "dropping-particle" : "", "family" : "Gibson", "given" : "Robert B.", "non-dropping-particle" : "", "parse-names" : false, "suffix" : "" } ], "container-title" : "Impact Assessment and Project Appraisal", "id" : "ITEM-9", "issue" : "December", "issued" : { "date-parts" : [ [ "2010" ] ] }, "page" : "233-243", "title" : "Illustrating integrated sustainability and resilience based assessments: a small-scale biodiesel project in Barbados", "type" : "article-journal", "volume" : "28" }, "uris" : [ "http://www.mendeley.com/documents/?uuid=fee76635-1433-4c27-9c85-bbbf459c7e59" ] } ], "mendeley" : { "formattedCitation" : "(Beder, 2000; Berke &amp; Conroy, 2000; Cemat, 2000; Dale et al., 2000; Ekins, Simon, Deutsch, Folke, &amp; De Groot, 2003; Gaudreau &amp; Gibson, 2010; Lehmann, 2010; Luederitz et al., 2013; Morrison-saunders &amp; Hodgson, 2009)", "plainTextFormattedCitation" : "(Beder, 2000; Berke &amp; Conroy, 2000; Cemat, 2000; Dale et al., 2000; Ekins, Simon, Deutsch, Folke, &amp; De Groot, 2003; Gaudreau &amp; Gibson, 2010; Lehmann, 2010; Luederitz et al., 2013; Morrison-saunders &amp; Hodgson, 2009)", "previouslyFormattedCitation" : "(Beder, 2000; Berke &amp; Conroy, 2000; Cemat, 2000; Dale et al., 2000; Ekins, Simon, Deutsch, Folke, &amp; De Groot, 2003; Gaudreau &amp; Gibson, 2010; Lehmann, 2010; Luederitz et al., 2013; Morrison-saunders &amp; Hodgson, 2009)"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(Beder, 2000; Berke &amp; Conroy, 2000; Cemat, 2000; Dale et al., 2000; Ekins, Simon, Deutsch, Folke, &amp; De Groot, 2003; Gaudreau &amp; Gibson, 2010; Lehmann, 2010; Luederitz et al., 2013; Morrison-saunders &amp; Hodgson, 2009)</w:t>
      </w:r>
      <w:r w:rsidRPr="000E0F90">
        <w:rPr>
          <w:rFonts w:ascii="Arial" w:hAnsi="Arial" w:cs="Arial"/>
          <w:color w:val="000000" w:themeColor="text1"/>
        </w:rPr>
        <w:fldChar w:fldCharType="end"/>
      </w:r>
      <w:r w:rsidRPr="000E0F90">
        <w:rPr>
          <w:rFonts w:ascii="Arial" w:hAnsi="Arial" w:cs="Arial"/>
          <w:color w:val="000000" w:themeColor="text1"/>
        </w:rPr>
        <w:t xml:space="preserve">, de forma de hacer operativos los principios al contexto territorial, siguiendo la metodología de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"10.1016/j.eiar.2012.12.004", "ISBN" : "0195-9255", "ISSN" : "01959255", "abstract" : "This paper presents a framework for analysing the degree of consideration of sustainability principles in Strategic environmental assessment (SEA), and demonstrates its application to a sample of SEA of Italian urban plans. The framework is based on Gibson's (2006) sustainability principles, which are linked to a number of guidance criteria and eventually to review questions, resulting from an extensive literature review. A total of 71 questions are included in the framework, which gives particular emphasis to key concepts, such as intragenerational and intergenerational equity. The framework was applied to review the Environmental Report of the urban plans of 15 major Italian cities. The results of this review show that, even if sustainability is commonly considered as a pivotal concept, there is still work to be done in order to effectively integrate sustainability principles into SEA. In particular, most of the attention is given to mitigation and compensation measures, rather than to actual attempts to propose more sustainable planning decisions in the first place. Concerning the proposed framework of analysis, further research is required to clarify equity concerns and particularly to identify suitable indicators for operationalizing the concepts of intra/inter-generational equity in decision-making. ?? 2012 Elsevier Inc.", "author" : [ { "dropping-particle" : "", "family" : "Lamorgese", "given" : "Lydia", "non-dropping-particle" : "", "parse-names" : false, "suffix" : "" }, { "dropping-particle" : "", "family" : "Geneletti", "given" : "Davide", "non-dropping-particle" : "", "parse-names" : false, "suffix" : "" } ], "container-title" : "Environmental Impact Assessment Review", "id" : "ITEM-1", "issued" : { "date-parts" : [ [ "2013" ] ] }, "page" : "116-126", "publisher" : "Elsevier Inc.", "title" : "Sustainability principles in strategic environmental assessment: A framework for analysis and examples from Italian urban planning", "type" : "article-journal", "volume" : "42" }, "uris" : [ "http://www.mendeley.com/documents/?uuid=50281d85-3e46-42bb-9a5c-be11d8f3b1d0" ] } ], "mendeley" : { "formattedCitation" : "(Lamorgese &amp; Geneletti, 2013)", "plainTextFormattedCitation" : "(Lamorgese &amp; Geneletti, 2013)", "previouslyFormattedCitation" : "(Lamorgese &amp; Geneletti, 2013)"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(Lamorgese &amp; Geneletti, 2013)</w:t>
      </w:r>
      <w:r w:rsidRPr="000E0F90">
        <w:rPr>
          <w:rFonts w:ascii="Arial" w:hAnsi="Arial" w:cs="Arial"/>
          <w:color w:val="000000" w:themeColor="text1"/>
        </w:rPr>
        <w:fldChar w:fldCharType="end"/>
      </w:r>
      <w:r w:rsidRPr="000E0F90">
        <w:rPr>
          <w:rFonts w:ascii="Arial" w:hAnsi="Arial" w:cs="Arial"/>
          <w:color w:val="000000" w:themeColor="text1"/>
        </w:rPr>
        <w:t xml:space="preserve">. Esta incorporación de criterios a principios directrices o principales, es ampliamente utilizada en la literatura, los cuales se seleccionan de acuerdo a las condiciones particulares de cada proyecto </w:t>
      </w:r>
      <w:r w:rsidRPr="000E0F90">
        <w:rPr>
          <w:rFonts w:ascii="Arial" w:hAnsi="Arial" w:cs="Arial"/>
          <w:color w:val="000000" w:themeColor="text1"/>
        </w:rPr>
        <w:fldChar w:fldCharType="begin" w:fldLock="1"/>
      </w:r>
      <w:r w:rsidRPr="000E0F90">
        <w:rPr>
          <w:rFonts w:ascii="Arial" w:hAnsi="Arial" w:cs="Arial"/>
          <w:color w:val="000000" w:themeColor="text1"/>
        </w:rPr>
        <w:instrText xml:space="preserve">ADDIN CSL_CITATION { "citationItems" : [ { "id" : "ITEM-1", "itemData" : { "DOI" : "10.1016/S0167-8809(99)00090-0", "ISBN" : "0167-8809", "ISSN" : "01678809", "abstract" : "Sustainability may be regarded as one of the most challenging and, at the same time, most fuzzy contemporary paradigms. In the present study, referring to the history of other leading ideas, this confusion is identified as a typical feature of young paradigms with a particular danger of misuse and destruction of the idea. Requirements necessary to save and evolve the paradigm of sustainability are identified. It is shown that help cannot be expected in the phrasing of a generally accepted definition. As an alternative, it is proposed to focus on the assessment procedure, where quantitative or qualitative value measures of the paradigm are developed for particular situations. The present study intends (i) to clarify the logic and terminology of the assessment process in general, (ii) to provide an effective assessment concept for sustainability in the field of agricultural land-use, and (iii) to demonstrate possible perspectives for rural planning practices. The first part displays fundamental aspects of valuation theory. The methodology of explicit assessment is introduced and described as a heuristic procedure, evolving the meaning of a term or paradigm in a socio-cultural discourse and in relation with practical experience. In the second part, focusing on sustainability assessment, the terminology, steps and elements of the general assessment procedure are defined on behalf of the assessment of land-use sustainability as an example. The iterative procedure allows developing quantitative and/or qualitative value measures for particular situations. The central element of the method is a hierarchically structured collection of viewpoints, called checklist of criteria. In a holistic, comprehensive approach towards sustainability ('strong' sustainability), five principal criteria are recommended for consideration: (i) abiotic </w:instrText>
      </w:r>
      <w:r w:rsidRPr="000E0F90">
        <w:rPr>
          <w:rFonts w:ascii="Arial" w:hAnsi="Arial" w:cs="Arial"/>
          <w:color w:val="000000" w:themeColor="text1"/>
          <w:lang w:val="en-US"/>
        </w:rPr>
        <w:instrText>environment; (ii) biotic environment, including animal welfare; (iii) cultural values, defined as human emotional and mental well being and creativity of society; (iv) sociology; and (v) economy. To each principal criterion, a hierarchical list of important sub-criteria is added. For the project-specific selection of suitable sub-criteria, guidelines are described in detail. The result is an individual assessment system adapted to the natural, cultural, political and economic basic conditions of a given project. In the third part, the example of a Swiss land-use planning project shows the implementation of the methodology in practice \u2026", "author" : [ { "dropping-particle" : "", "family" : "Bosshard", "given" : "Andreas", "non-dropping-particle" : "", "parse-names" : false, "suffix" : "" } ], "container-title" : "Agriculture, Ecosystems and Environment", "id" : "ITEM-1", "issued" : { "date-parts" : [ [ "2000" ] ] }, "page" : "29-41", "title" : "A methodology and terminology of sustainability assessment and its perspectives for rural planning", "type" : "article-journal", "volume" : "77" }, "uris" : [ "http://www.mendeley.com/documents/?uuid=5910987b-cb68-4a62-bf4a-b5c90de1f444" ] } ], "mendeley" : { "formattedCitation" : "(Bosshard, 2000)", "plainTextFormattedCitation" : "(Bosshard, 2000)", "previouslyFormattedCitation" : "(Bosshard, 2000)"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lang w:val="en-US"/>
        </w:rPr>
        <w:t>(Bosshard, 2000)</w:t>
      </w:r>
      <w:r w:rsidRPr="000E0F90">
        <w:rPr>
          <w:rFonts w:ascii="Arial" w:hAnsi="Arial" w:cs="Arial"/>
          <w:color w:val="000000" w:themeColor="text1"/>
        </w:rPr>
        <w:fldChar w:fldCharType="end"/>
      </w:r>
      <w:r w:rsidRPr="000E0F90">
        <w:rPr>
          <w:rFonts w:ascii="Arial" w:hAnsi="Arial" w:cs="Arial"/>
          <w:color w:val="000000" w:themeColor="text1"/>
          <w:lang w:val="en-US"/>
        </w:rPr>
        <w:t xml:space="preserve"> </w:t>
      </w:r>
      <w:r w:rsidRPr="000E0F90">
        <w:rPr>
          <w:rFonts w:ascii="Arial" w:hAnsi="Arial" w:cs="Arial"/>
          <w:color w:val="000000" w:themeColor="text1"/>
        </w:rPr>
        <w:fldChar w:fldCharType="begin" w:fldLock="1"/>
      </w:r>
      <w:r w:rsidRPr="000E0F90">
        <w:rPr>
          <w:rFonts w:ascii="Arial" w:hAnsi="Arial" w:cs="Arial"/>
          <w:color w:val="000000" w:themeColor="text1"/>
          <w:lang w:val="en-US"/>
        </w:rPr>
        <w:instrText>ADDIN CSL_CITATION { "citationItems" : [ { "id" : "ITEM-1", "itemData" : { "DOI" : "10.1002/sd.377", "ISBN" : "1099-1719", "ISSN" : "09680802", "abstract" : "Due to its fuzziness, the model of sustainable development has to be particularized and contextualized before it can be used as a yardstick. A local indicator system for two German cities has been developed to meet these requirements using a new conceptualization of sustainability. Initially, local problem areas were identified in a bottom-up approach by local authority personnel. These problem areas were contrasted with a set of sustainability rules, which had been systematically derived from a basic sustainability norm that gives minimum requirements for sustainable development. Indicators were specified at the interface between local problem areas and sustainability rules. The indicators are expected to provide information on whether the city is over time becoming closer to or farther removed from the respective sustainability goals in its problem areas. Copyright \u00a9 2008 John Wiley &amp; Sons, Ltd and ERP Environment.", "author" : [ { "dropping-particle" : "", "family" : "Hartmuth", "given" : "Gerhard", "non-dropping-particle" : "", "parse-names" : false, "suffix" : "" }, { "dropping-particle" : "", "family" : "Huber", "given" : "Katja", "non-dropping-particle" : "", "parse-names" : false, "suffix" : "" }, { "dropping-particle" : "", "family" : "Rink", "given" : "Dieter", "non-dropping-particle" : "", "parse-names" : false, "suffix" : "" } ], "container-title" : "Sustainable Development", "id" : "ITEM-1", "issued" : { "date-parts" : [ [ "2008" ] ] }, "page" : "261-270", "title" : "Operationalization and contextualization of sustainability at the local level", "type" : "article-journal", "volume" : "16" }, "uris" : [ "http://www.mendeley.com/documents/?uuid=d42dff2e-e1be-4349-88b3-b57cc5234755" ] } ], "mendeley" : { "formattedCitation" : "(Hartmuth et al., 2008)", "plainTextFormattedCitation" : "(Hartmuth et al., 2008)", "previouslyFormattedCitation" : "(Hartmuth et al., 2008)"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lang w:val="en-US"/>
        </w:rPr>
        <w:t>(Hartmuth et al., 2008)</w:t>
      </w:r>
      <w:r w:rsidRPr="000E0F90">
        <w:rPr>
          <w:rFonts w:ascii="Arial" w:hAnsi="Arial" w:cs="Arial"/>
          <w:color w:val="000000" w:themeColor="text1"/>
        </w:rPr>
        <w:fldChar w:fldCharType="end"/>
      </w:r>
      <w:r w:rsidRPr="000E0F90">
        <w:rPr>
          <w:rFonts w:ascii="Arial" w:hAnsi="Arial" w:cs="Arial"/>
          <w:color w:val="000000" w:themeColor="text1"/>
          <w:lang w:val="en-US"/>
        </w:rPr>
        <w:t xml:space="preserve"> </w:t>
      </w:r>
      <w:r w:rsidRPr="000E0F90">
        <w:rPr>
          <w:rFonts w:ascii="Arial" w:hAnsi="Arial" w:cs="Arial"/>
          <w:color w:val="000000" w:themeColor="text1"/>
        </w:rPr>
        <w:fldChar w:fldCharType="begin" w:fldLock="1"/>
      </w:r>
      <w:r w:rsidRPr="000E0F90">
        <w:rPr>
          <w:rFonts w:ascii="Arial" w:hAnsi="Arial" w:cs="Arial"/>
          <w:color w:val="000000" w:themeColor="text1"/>
          <w:lang w:val="en-US"/>
        </w:rPr>
        <w:instrText>ADDIN CSL_CITATION { "citationItems" : [ { "id" : "ITEM-1", "itemData" : { "DOI" : "10.1016/j.jclepro.2017.03.047", "ISBN" : "9789289347945", "ISSN" : "09596526", "abstract" : "The mining industry has a major impact on society - from an economic, environmental and social perspective and due to a vast number of criteria. Which criteria should be given priority depends on where the mining operations take place. This paper's focus on the Nordic mining industry is partly due to the positive economic trend that the industry is currently experiencing and partly because very little research has been conducted on how the European mining industry addresses sustainability. The purpose of this study is therefore to examine the Nordic mining industry's sustainability practices and to develop guidelines for such efforts. The research methods used in the study include a literature review, a content analysis of sustainability reports, a review of existing sustainability initiatives, guidelines and tools, a stakeholder survey and interviews with mining company officials. Based on the findings, sustainability criteria guidelines for the Nordic mining industry are suggested in the areas of corporate governance, fair operating practices, economic aspects, human rights, labour practices, society and the environment. The content of the guidelines is discussed in the light of the sustainability practices performed by the studied mining companies.", "author" : [ { "dropping-particle" : "", "family" : "Ran\u00e4ngen", "given" : "Helena", "non-dropping-particle" : "", "parse-names" : false, "suffix" : "" }, { "dropping-particle" : "", "family" : "Lindman", "given" : "\u00c5sa", "non-dropping-particle" : "", "parse-names" : false, "suffix" : "" } ], "container-title" : "Journal of Cleaner Production", "id" : "ITEM-1", "issued" : { "date-parts" : [ [ "2017" ] ] }, "page" : "43-52", "title" : "A path towards sustainability for the Nordic mining industry", "type" : "article-journal", "volume" : "151" }, "uris" : [ "http://www.mendeley.com/documents/?uuid=6c35c3e3-ee0c-4b28-8acc-e8d00b36d33a" ] } ], "mendeley" : { "formattedCitation" : "(Ran\u00e4ngen &amp; Lindman, 2017)", "plainTextFormattedCitation" : "(Ran\u00e4ngen &amp; Lindman, 2017)", "previouslyFormattedCitation" : "(Ran\u00e4ngen &amp; Lindman, 2017)"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lang w:val="en-US"/>
        </w:rPr>
        <w:t>(Ranängen &amp; Lindman, 2017)</w:t>
      </w:r>
      <w:r w:rsidRPr="000E0F90">
        <w:rPr>
          <w:rFonts w:ascii="Arial" w:hAnsi="Arial" w:cs="Arial"/>
          <w:color w:val="000000" w:themeColor="text1"/>
        </w:rPr>
        <w:fldChar w:fldCharType="end"/>
      </w:r>
      <w:r w:rsidRPr="000E0F90">
        <w:rPr>
          <w:rFonts w:ascii="Arial" w:hAnsi="Arial" w:cs="Arial"/>
          <w:color w:val="000000" w:themeColor="text1"/>
          <w:lang w:val="en-US"/>
        </w:rPr>
        <w:t>.</w:t>
      </w:r>
    </w:p>
    <w:p w:rsidR="00E92763" w:rsidRPr="002613F4" w:rsidRDefault="00E92763" w:rsidP="00E92763">
      <w:pPr>
        <w:spacing w:before="120" w:after="0" w:line="360" w:lineRule="auto"/>
        <w:rPr>
          <w:rFonts w:ascii="Arial" w:hAnsi="Arial" w:cs="Arial"/>
          <w:color w:val="000000" w:themeColor="text1"/>
        </w:rPr>
      </w:pPr>
      <w:r w:rsidRPr="002613F4">
        <w:rPr>
          <w:rFonts w:ascii="Arial" w:hAnsi="Arial" w:cs="Arial"/>
          <w:color w:val="000000" w:themeColor="text1"/>
        </w:rPr>
        <w:t xml:space="preserve">Esta construcción se realizó en forma bastante genérica, de forma de poder incorporar la variabilidad territorial existente, y no sesgar la selección exclusivamente hacia un contexto exclusivamente minero, puesto que la escala de análisis seleccionada para este estudio soporta diversidad de usos territoriales, dado por la variabilidad ecosistémica y cultural que manifiesta el territorio comunal </w:t>
      </w:r>
      <w:sdt>
        <w:sdtPr>
          <w:rPr>
            <w:rFonts w:ascii="Arial" w:hAnsi="Arial" w:cs="Arial"/>
            <w:color w:val="000000" w:themeColor="text1"/>
          </w:rPr>
          <w:id w:val="-1692295476"/>
          <w:citation/>
        </w:sdtPr>
        <w:sdtEndPr/>
        <w:sdtContent>
          <w:r w:rsidRPr="00624FDB">
            <w:rPr>
              <w:rFonts w:ascii="Arial" w:hAnsi="Arial" w:cs="Arial"/>
              <w:color w:val="000000" w:themeColor="text1"/>
            </w:rPr>
            <w:fldChar w:fldCharType="begin"/>
          </w:r>
          <w:r w:rsidRPr="002613F4">
            <w:rPr>
              <w:rFonts w:ascii="Arial" w:hAnsi="Arial" w:cs="Arial"/>
              <w:color w:val="000000" w:themeColor="text1"/>
            </w:rPr>
            <w:instrText xml:space="preserve"> CITATION Gas02 \l 13322 </w:instrText>
          </w:r>
          <w:r w:rsidRPr="00624FDB">
            <w:rPr>
              <w:rFonts w:ascii="Arial" w:hAnsi="Arial" w:cs="Arial"/>
              <w:color w:val="000000" w:themeColor="text1"/>
            </w:rPr>
            <w:fldChar w:fldCharType="separate"/>
          </w:r>
          <w:r w:rsidRPr="002613F4">
            <w:rPr>
              <w:rFonts w:ascii="Arial" w:hAnsi="Arial" w:cs="Arial"/>
              <w:noProof/>
              <w:color w:val="000000" w:themeColor="text1"/>
            </w:rPr>
            <w:t>(Gastó, Rodrigo, Aránguiz, &amp; Urrutia, 2002)</w:t>
          </w:r>
          <w:r w:rsidRPr="00624FDB">
            <w:rPr>
              <w:rFonts w:ascii="Arial" w:hAnsi="Arial" w:cs="Arial"/>
              <w:color w:val="000000" w:themeColor="text1"/>
            </w:rPr>
            <w:fldChar w:fldCharType="end"/>
          </w:r>
        </w:sdtContent>
      </w:sdt>
      <w:r w:rsidRPr="002613F4">
        <w:rPr>
          <w:rFonts w:ascii="Arial" w:hAnsi="Arial" w:cs="Arial"/>
          <w:color w:val="000000" w:themeColor="text1"/>
        </w:rPr>
        <w:t xml:space="preserve">. </w:t>
      </w:r>
    </w:p>
    <w:p w:rsidR="00E92763" w:rsidRPr="002613F4" w:rsidRDefault="00E92763" w:rsidP="002B538F">
      <w:pPr>
        <w:spacing w:line="360" w:lineRule="auto"/>
        <w:rPr>
          <w:rFonts w:ascii="Arial" w:hAnsi="Arial" w:cs="Arial"/>
          <w:color w:val="000000" w:themeColor="text1"/>
        </w:rPr>
      </w:pPr>
    </w:p>
    <w:p w:rsidR="00E92763" w:rsidRPr="002613F4" w:rsidRDefault="00E92763">
      <w:pPr>
        <w:jc w:val="left"/>
        <w:rPr>
          <w:rFonts w:ascii="Arial" w:hAnsi="Arial" w:cs="Arial"/>
          <w:color w:val="000000" w:themeColor="text1"/>
        </w:rPr>
      </w:pPr>
    </w:p>
    <w:p w:rsidR="00E92763" w:rsidRPr="002613F4" w:rsidRDefault="00E92763">
      <w:pPr>
        <w:jc w:val="left"/>
        <w:rPr>
          <w:rFonts w:ascii="Arial" w:hAnsi="Arial" w:cs="Arial"/>
          <w:color w:val="000000" w:themeColor="text1"/>
        </w:rPr>
      </w:pPr>
      <w:r w:rsidRPr="002613F4">
        <w:rPr>
          <w:rFonts w:ascii="Arial" w:hAnsi="Arial" w:cs="Arial"/>
          <w:color w:val="000000" w:themeColor="text1"/>
        </w:rPr>
        <w:br w:type="page"/>
      </w:r>
    </w:p>
    <w:p w:rsidR="00A2172D" w:rsidRPr="00E92763" w:rsidRDefault="00A2172D" w:rsidP="00A2172D">
      <w:pPr>
        <w:spacing w:before="120" w:after="0" w:line="360" w:lineRule="auto"/>
        <w:rPr>
          <w:rFonts w:ascii="Arial" w:hAnsi="Arial" w:cs="Arial"/>
          <w:color w:val="000000" w:themeColor="text1"/>
        </w:rPr>
      </w:pPr>
      <w:r w:rsidRPr="00E92763">
        <w:rPr>
          <w:rFonts w:ascii="Arial" w:hAnsi="Arial" w:cs="Arial"/>
          <w:color w:val="000000" w:themeColor="text1"/>
        </w:rPr>
        <w:lastRenderedPageBreak/>
        <w:t>A continuación se presenta un esquema de cómo se elaboró la propuesta de sostenibilidad para territorios mineros.</w:t>
      </w:r>
    </w:p>
    <w:p w:rsidR="00A2172D" w:rsidRPr="00E92763" w:rsidRDefault="00A2172D" w:rsidP="00A2172D">
      <w:pPr>
        <w:spacing w:before="240" w:after="0"/>
        <w:rPr>
          <w:rFonts w:ascii="Arial" w:hAnsi="Arial" w:cs="Arial"/>
          <w:b/>
          <w:color w:val="000000" w:themeColor="text1"/>
        </w:rPr>
      </w:pPr>
      <w:r w:rsidRPr="00E92763">
        <w:rPr>
          <w:rFonts w:ascii="Arial" w:hAnsi="Arial" w:cs="Arial"/>
          <w:b/>
          <w:noProof/>
          <w:color w:val="000000" w:themeColor="text1"/>
          <w:lang w:eastAsia="es-CL"/>
        </w:rPr>
        <mc:AlternateContent>
          <mc:Choice Requires="wps">
            <w:drawing>
              <wp:anchor distT="0" distB="0" distL="114300" distR="114300" simplePos="0" relativeHeight="251966464" behindDoc="0" locked="0" layoutInCell="1" allowOverlap="1" wp14:anchorId="79E2E238" wp14:editId="100D7A34">
                <wp:simplePos x="0" y="0"/>
                <wp:positionH relativeFrom="column">
                  <wp:posOffset>3662045</wp:posOffset>
                </wp:positionH>
                <wp:positionV relativeFrom="paragraph">
                  <wp:posOffset>121285</wp:posOffset>
                </wp:positionV>
                <wp:extent cx="1598930" cy="540000"/>
                <wp:effectExtent l="0" t="0" r="20320" b="12700"/>
                <wp:wrapNone/>
                <wp:docPr id="300" name="300 Rectángulo redondeado"/>
                <wp:cNvGraphicFramePr/>
                <a:graphic xmlns:a="http://schemas.openxmlformats.org/drawingml/2006/main">
                  <a:graphicData uri="http://schemas.microsoft.com/office/word/2010/wordprocessingShape">
                    <wps:wsp>
                      <wps:cNvSpPr/>
                      <wps:spPr>
                        <a:xfrm>
                          <a:off x="0" y="0"/>
                          <a:ext cx="1598930" cy="540000"/>
                        </a:xfrm>
                        <a:prstGeom prst="roundRect">
                          <a:avLst>
                            <a:gd name="adj" fmla="val 0"/>
                          </a:avLst>
                        </a:prstGeom>
                        <a:solidFill>
                          <a:sysClr val="window" lastClr="FFFFFF"/>
                        </a:solidFill>
                        <a:ln w="19050" cap="flat" cmpd="sng" algn="ctr">
                          <a:solidFill>
                            <a:sysClr val="windowText" lastClr="000000"/>
                          </a:solidFill>
                          <a:prstDash val="solid"/>
                        </a:ln>
                        <a:effectLst/>
                      </wps:spPr>
                      <wps:txbx>
                        <w:txbxContent>
                          <w:p w:rsidR="002A21E4" w:rsidRPr="00AF6645" w:rsidRDefault="002A21E4" w:rsidP="00A2172D">
                            <w:pPr>
                              <w:spacing w:after="0" w:line="240" w:lineRule="auto"/>
                              <w:jc w:val="center"/>
                              <w:rPr>
                                <w:sz w:val="20"/>
                              </w:rPr>
                            </w:pPr>
                            <w:r w:rsidRPr="00AF6645">
                              <w:rPr>
                                <w:sz w:val="20"/>
                              </w:rPr>
                              <w:t>Revisión de la literatura</w:t>
                            </w:r>
                            <w:r>
                              <w:rPr>
                                <w:sz w:val="20"/>
                              </w:rPr>
                              <w:t xml:space="preserve"> de territorios mineros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300 Rectángulo redondeado" o:spid="_x0000_s1073" style="position:absolute;left:0;text-align:left;margin-left:288.35pt;margin-top:9.55pt;width:125.9pt;height:42.5pt;z-index:25196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" fillcolor="window" strokecolor="windowText" strokeweight="1.5pt">
                <v:textbox>
                  <w:txbxContent>
                    <w:p w:rsidR="002A21E4" w:rsidRPr="00AF6645" w:rsidRDefault="002A21E4" w:rsidP="00A2172D">
                      <w:pPr>
                        <w:spacing w:after="0" w:line="240" w:lineRule="auto"/>
                        <w:jc w:val="center"/>
                        <w:rPr>
                          <w:sz w:val="20"/>
                        </w:rPr>
                      </w:pPr>
                      <w:r w:rsidRPr="00AF6645">
                        <w:rPr>
                          <w:sz w:val="20"/>
                        </w:rPr>
                        <w:t>Revisión de la literatura</w:t>
                      </w:r>
                      <w:r>
                        <w:rPr>
                          <w:sz w:val="20"/>
                        </w:rPr>
                        <w:t xml:space="preserve"> de territorios mineros </w:t>
                      </w:r>
                    </w:p>
                  </w:txbxContent>
                </v:textbox>
              </v:roundrect>
            </w:pict>
          </mc:Fallback>
        </mc:AlternateContent>
      </w:r>
      <w:r w:rsidRPr="00E92763">
        <w:rPr>
          <w:rFonts w:ascii="Arial" w:hAnsi="Arial" w:cs="Arial"/>
          <w:b/>
          <w:noProof/>
          <w:color w:val="000000" w:themeColor="text1"/>
          <w:lang w:eastAsia="es-CL"/>
        </w:rPr>
        <mc:AlternateContent>
          <mc:Choice Requires="wps">
            <w:drawing>
              <wp:anchor distT="0" distB="0" distL="114300" distR="114300" simplePos="0" relativeHeight="251962368" behindDoc="0" locked="0" layoutInCell="1" allowOverlap="1" wp14:anchorId="7015DA1B" wp14:editId="115D2703">
                <wp:simplePos x="0" y="0"/>
                <wp:positionH relativeFrom="column">
                  <wp:posOffset>4445</wp:posOffset>
                </wp:positionH>
                <wp:positionV relativeFrom="paragraph">
                  <wp:posOffset>121285</wp:posOffset>
                </wp:positionV>
                <wp:extent cx="3417098" cy="540000"/>
                <wp:effectExtent l="0" t="0" r="12065" b="12700"/>
                <wp:wrapNone/>
                <wp:docPr id="4" name="4 Rectángulo redondeado"/>
                <wp:cNvGraphicFramePr/>
                <a:graphic xmlns:a="http://schemas.openxmlformats.org/drawingml/2006/main">
                  <a:graphicData uri="http://schemas.microsoft.com/office/word/2010/wordprocessingShape">
                    <wps:wsp>
                      <wps:cNvSpPr/>
                      <wps:spPr>
                        <a:xfrm>
                          <a:off x="0" y="0"/>
                          <a:ext cx="3417098" cy="540000"/>
                        </a:xfrm>
                        <a:prstGeom prst="roundRect">
                          <a:avLst>
                            <a:gd name="adj" fmla="val 0"/>
                          </a:avLst>
                        </a:prstGeom>
                        <a:solidFill>
                          <a:sysClr val="window" lastClr="FFFFFF"/>
                        </a:solidFill>
                        <a:ln w="19050" cap="flat" cmpd="sng" algn="ctr">
                          <a:solidFill>
                            <a:sysClr val="windowText" lastClr="000000"/>
                          </a:solidFill>
                          <a:prstDash val="solid"/>
                        </a:ln>
                        <a:effectLst/>
                      </wps:spPr>
                      <wps:txbx>
                        <w:txbxContent>
                          <w:p w:rsidR="002A21E4" w:rsidRPr="00AF6645" w:rsidRDefault="002A21E4" w:rsidP="00A2172D">
                            <w:pPr>
                              <w:spacing w:after="0" w:line="240" w:lineRule="auto"/>
                              <w:jc w:val="center"/>
                              <w:rPr>
                                <w:sz w:val="20"/>
                              </w:rPr>
                            </w:pPr>
                            <w:r w:rsidRPr="00AF6645">
                              <w:rPr>
                                <w:sz w:val="20"/>
                              </w:rPr>
                              <w:t>Revisión de la literatura</w:t>
                            </w:r>
                            <w:r>
                              <w:rPr>
                                <w:sz w:val="20"/>
                              </w:rPr>
                              <w:t xml:space="preserve"> de sostenibilidad territorial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4 Rectángulo redondeado" o:spid="_x0000_s1074" style="position:absolute;left:0;text-align:left;margin-left:.35pt;margin-top:9.55pt;width:269.05pt;height:42.5pt;z-index:25196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" fillcolor="window" strokecolor="windowText" strokeweight="1.5pt">
                <v:textbox>
                  <w:txbxContent>
                    <w:p w:rsidR="002A21E4" w:rsidRPr="00AF6645" w:rsidRDefault="002A21E4" w:rsidP="00A2172D">
                      <w:pPr>
                        <w:spacing w:after="0" w:line="240" w:lineRule="auto"/>
                        <w:jc w:val="center"/>
                        <w:rPr>
                          <w:sz w:val="20"/>
                        </w:rPr>
                      </w:pPr>
                      <w:r w:rsidRPr="00AF6645">
                        <w:rPr>
                          <w:sz w:val="20"/>
                        </w:rPr>
                        <w:t>Revisión de la literatura</w:t>
                      </w:r>
                      <w:r>
                        <w:rPr>
                          <w:sz w:val="20"/>
                        </w:rPr>
                        <w:t xml:space="preserve"> de sostenibilidad territorial</w:t>
                      </w:r>
                    </w:p>
                  </w:txbxContent>
                </v:textbox>
              </v:roundrect>
            </w:pict>
          </mc:Fallback>
        </mc:AlternateContent>
      </w:r>
    </w:p>
    <w:p w:rsidR="00A2172D" w:rsidRPr="00E92763" w:rsidRDefault="00A2172D" w:rsidP="00A2172D">
      <w:pPr>
        <w:spacing w:before="240" w:after="0"/>
        <w:rPr>
          <w:rFonts w:ascii="Arial" w:hAnsi="Arial" w:cs="Arial"/>
          <w:b/>
          <w:color w:val="000000" w:themeColor="text1"/>
        </w:rPr>
      </w:pPr>
      <w:r w:rsidRPr="00E92763">
        <w:rPr>
          <w:rFonts w:ascii="Arial" w:hAnsi="Arial" w:cs="Arial"/>
          <w:b/>
          <w:noProof/>
          <w:color w:val="000000" w:themeColor="text1"/>
          <w:lang w:eastAsia="es-CL"/>
        </w:rPr>
        <mc:AlternateContent>
          <mc:Choice Requires="wps">
            <w:drawing>
              <wp:anchor distT="0" distB="0" distL="114300" distR="114300" simplePos="0" relativeHeight="251971584" behindDoc="0" locked="0" layoutInCell="1" allowOverlap="1" wp14:anchorId="3DAE5277" wp14:editId="639E77CB">
                <wp:simplePos x="0" y="0"/>
                <wp:positionH relativeFrom="column">
                  <wp:posOffset>4461510</wp:posOffset>
                </wp:positionH>
                <wp:positionV relativeFrom="paragraph">
                  <wp:posOffset>311150</wp:posOffset>
                </wp:positionV>
                <wp:extent cx="0" cy="331470"/>
                <wp:effectExtent l="95250" t="0" r="76200" b="49530"/>
                <wp:wrapNone/>
                <wp:docPr id="316" name="316 Conector recto de flecha"/>
                <wp:cNvGraphicFramePr/>
                <a:graphic xmlns:a="http://schemas.openxmlformats.org/drawingml/2006/main">
                  <a:graphicData uri="http://schemas.microsoft.com/office/word/2010/wordprocessingShape">
                    <wps:wsp>
                      <wps:cNvCnPr/>
                      <wps:spPr>
                        <a:xfrm>
                          <a:off x="0" y="0"/>
                          <a:ext cx="0" cy="331470"/>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316 Conector recto de flecha" o:spid="_x0000_s1026" type="#_x0000_t32" style="position:absolute;margin-left:351.3pt;margin-top:24.5pt;width:0;height:26.1pt;z-index:25197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">
                <v:stroke endarrow="open"/>
              </v:shape>
            </w:pict>
          </mc:Fallback>
        </mc:AlternateContent>
      </w:r>
      <w:r w:rsidRPr="00E92763">
        <w:rPr>
          <w:rFonts w:ascii="Arial" w:hAnsi="Arial" w:cs="Arial"/>
          <w:b/>
          <w:noProof/>
          <w:color w:val="000000" w:themeColor="text1"/>
          <w:lang w:eastAsia="es-CL"/>
        </w:rPr>
        <mc:AlternateContent>
          <mc:Choice Requires="wps">
            <w:drawing>
              <wp:anchor distT="0" distB="0" distL="114300" distR="114300" simplePos="0" relativeHeight="251968512" behindDoc="0" locked="0" layoutInCell="1" allowOverlap="1" wp14:anchorId="51669B69" wp14:editId="6864DDDD">
                <wp:simplePos x="0" y="0"/>
                <wp:positionH relativeFrom="column">
                  <wp:posOffset>2630805</wp:posOffset>
                </wp:positionH>
                <wp:positionV relativeFrom="paragraph">
                  <wp:posOffset>319405</wp:posOffset>
                </wp:positionV>
                <wp:extent cx="0" cy="338455"/>
                <wp:effectExtent l="95250" t="0" r="76200" b="61595"/>
                <wp:wrapNone/>
                <wp:docPr id="306" name="306 Conector recto de flecha"/>
                <wp:cNvGraphicFramePr/>
                <a:graphic xmlns:a="http://schemas.openxmlformats.org/drawingml/2006/main">
                  <a:graphicData uri="http://schemas.microsoft.com/office/word/2010/wordprocessingShape">
                    <wps:wsp>
                      <wps:cNvCnPr/>
                      <wps:spPr>
                        <a:xfrm>
                          <a:off x="0" y="0"/>
                          <a:ext cx="0" cy="338455"/>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306 Conector recto de flecha" o:spid="_x0000_s1026" type="#_x0000_t32" style="position:absolute;margin-left:207.15pt;margin-top:25.15pt;width:0;height:26.65pt;z-index:25196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">
                <v:stroke endarrow="open"/>
              </v:shape>
            </w:pict>
          </mc:Fallback>
        </mc:AlternateContent>
      </w:r>
      <w:r w:rsidRPr="00E92763">
        <w:rPr>
          <w:rFonts w:ascii="Arial" w:hAnsi="Arial" w:cs="Arial"/>
          <w:b/>
          <w:noProof/>
          <w:color w:val="000000" w:themeColor="text1"/>
          <w:lang w:eastAsia="es-CL"/>
        </w:rPr>
        <mc:AlternateContent>
          <mc:Choice Requires="wps">
            <w:drawing>
              <wp:anchor distT="0" distB="0" distL="114300" distR="114300" simplePos="0" relativeHeight="251967488" behindDoc="0" locked="0" layoutInCell="1" allowOverlap="1" wp14:anchorId="00A05582" wp14:editId="21FD171F">
                <wp:simplePos x="0" y="0"/>
                <wp:positionH relativeFrom="column">
                  <wp:posOffset>802640</wp:posOffset>
                </wp:positionH>
                <wp:positionV relativeFrom="paragraph">
                  <wp:posOffset>319405</wp:posOffset>
                </wp:positionV>
                <wp:extent cx="0" cy="331470"/>
                <wp:effectExtent l="95250" t="0" r="76200" b="49530"/>
                <wp:wrapNone/>
                <wp:docPr id="305" name="305 Conector recto de flecha"/>
                <wp:cNvGraphicFramePr/>
                <a:graphic xmlns:a="http://schemas.openxmlformats.org/drawingml/2006/main">
                  <a:graphicData uri="http://schemas.microsoft.com/office/word/2010/wordprocessingShape">
                    <wps:wsp>
                      <wps:cNvCnPr/>
                      <wps:spPr>
                        <a:xfrm>
                          <a:off x="0" y="0"/>
                          <a:ext cx="0" cy="331470"/>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305 Conector recto de flecha" o:spid="_x0000_s1026" type="#_x0000_t32" style="position:absolute;margin-left:63.2pt;margin-top:25.15pt;width:0;height:26.1pt;z-index:25196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">
                <v:stroke endarrow="open"/>
              </v:shape>
            </w:pict>
          </mc:Fallback>
        </mc:AlternateContent>
      </w:r>
    </w:p>
    <w:p w:rsidR="00A2172D" w:rsidRPr="00E92763" w:rsidRDefault="00A2172D" w:rsidP="00A2172D">
      <w:pPr>
        <w:spacing w:before="240" w:after="0"/>
        <w:rPr>
          <w:rFonts w:ascii="Arial" w:hAnsi="Arial" w:cs="Arial"/>
          <w:b/>
          <w:color w:val="000000" w:themeColor="text1"/>
        </w:rPr>
      </w:pPr>
    </w:p>
    <w:p w:rsidR="00A2172D" w:rsidRPr="00E92763" w:rsidRDefault="00A2172D" w:rsidP="00A2172D">
      <w:pPr>
        <w:spacing w:before="240" w:after="0"/>
        <w:rPr>
          <w:rFonts w:ascii="Arial" w:hAnsi="Arial" w:cs="Arial"/>
          <w:color w:val="000000" w:themeColor="text1"/>
        </w:rPr>
      </w:pPr>
      <w:r w:rsidRPr="00E92763">
        <w:rPr>
          <w:rFonts w:ascii="Arial" w:hAnsi="Arial" w:cs="Arial"/>
          <w:b/>
          <w:noProof/>
          <w:color w:val="000000" w:themeColor="text1"/>
          <w:lang w:eastAsia="es-CL"/>
        </w:rPr>
        <mc:AlternateContent>
          <mc:Choice Requires="wps">
            <w:drawing>
              <wp:anchor distT="0" distB="0" distL="114300" distR="114300" simplePos="0" relativeHeight="251970560" behindDoc="0" locked="0" layoutInCell="1" allowOverlap="1" wp14:anchorId="056CD144" wp14:editId="3AA4C3E1">
                <wp:simplePos x="0" y="0"/>
                <wp:positionH relativeFrom="column">
                  <wp:posOffset>3665855</wp:posOffset>
                </wp:positionH>
                <wp:positionV relativeFrom="paragraph">
                  <wp:posOffset>34925</wp:posOffset>
                </wp:positionV>
                <wp:extent cx="1598930" cy="539750"/>
                <wp:effectExtent l="0" t="0" r="20320" b="12700"/>
                <wp:wrapNone/>
                <wp:docPr id="315" name="315 Rectángulo redondeado"/>
                <wp:cNvGraphicFramePr/>
                <a:graphic xmlns:a="http://schemas.openxmlformats.org/drawingml/2006/main">
                  <a:graphicData uri="http://schemas.microsoft.com/office/word/2010/wordprocessingShape">
                    <wps:wsp>
                      <wps:cNvSpPr/>
                      <wps:spPr>
                        <a:xfrm>
                          <a:off x="0" y="0"/>
                          <a:ext cx="1598930" cy="539750"/>
                        </a:xfrm>
                        <a:prstGeom prst="roundRect">
                          <a:avLst>
                            <a:gd name="adj" fmla="val 0"/>
                          </a:avLst>
                        </a:prstGeom>
                        <a:solidFill>
                          <a:sysClr val="window" lastClr="FFFFFF"/>
                        </a:solidFill>
                        <a:ln w="19050" cap="flat" cmpd="sng" algn="ctr">
                          <a:solidFill>
                            <a:sysClr val="windowText" lastClr="000000"/>
                          </a:solidFill>
                          <a:prstDash val="solid"/>
                        </a:ln>
                        <a:effectLst/>
                      </wps:spPr>
                      <wps:txbx>
                        <w:txbxContent>
                          <w:p w:rsidR="002A21E4" w:rsidRPr="00AF6645" w:rsidRDefault="002A21E4" w:rsidP="00A2172D">
                            <w:pPr>
                              <w:spacing w:after="0" w:line="240" w:lineRule="auto"/>
                              <w:jc w:val="center"/>
                              <w:rPr>
                                <w:sz w:val="20"/>
                                <w:szCs w:val="20"/>
                              </w:rPr>
                            </w:pPr>
                            <w:r>
                              <w:rPr>
                                <w:sz w:val="20"/>
                                <w:szCs w:val="20"/>
                              </w:rPr>
                              <w:t>Criterios</w:t>
                            </w:r>
                            <w:r w:rsidRPr="00AF6645">
                              <w:rPr>
                                <w:sz w:val="20"/>
                                <w:szCs w:val="20"/>
                              </w:rPr>
                              <w:t xml:space="preserve"> de sostenibilidad </w:t>
                            </w:r>
                            <w:r>
                              <w:rPr>
                                <w:sz w:val="20"/>
                                <w:szCs w:val="20"/>
                              </w:rPr>
                              <w:t>minería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315 Rectángulo redondeado" o:spid="_x0000_s1075" style="position:absolute;left:0;text-align:left;margin-left:288.65pt;margin-top:2.75pt;width:125.9pt;height:42.5pt;z-index:25197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" fillcolor="window" strokecolor="windowText" strokeweight="1.5pt">
                <v:textbox>
                  <w:txbxContent>
                    <w:p w:rsidR="002A21E4" w:rsidRPr="00AF6645" w:rsidRDefault="002A21E4" w:rsidP="00A2172D">
                      <w:pPr>
                        <w:spacing w:after="0" w:line="240" w:lineRule="auto"/>
                        <w:jc w:val="center"/>
                        <w:rPr>
                          <w:sz w:val="20"/>
                          <w:szCs w:val="20"/>
                        </w:rPr>
                      </w:pPr>
                      <w:r>
                        <w:rPr>
                          <w:sz w:val="20"/>
                          <w:szCs w:val="20"/>
                        </w:rPr>
                        <w:t>Criterios</w:t>
                      </w:r>
                      <w:r w:rsidRPr="00AF6645">
                        <w:rPr>
                          <w:sz w:val="20"/>
                          <w:szCs w:val="20"/>
                        </w:rPr>
                        <w:t xml:space="preserve"> de sostenibilidad </w:t>
                      </w:r>
                      <w:r>
                        <w:rPr>
                          <w:sz w:val="20"/>
                          <w:szCs w:val="20"/>
                        </w:rPr>
                        <w:t>minería</w:t>
                      </w:r>
                    </w:p>
                  </w:txbxContent>
                </v:textbox>
              </v:roundrect>
            </w:pict>
          </mc:Fallback>
        </mc:AlternateContent>
      </w:r>
      <w:r w:rsidRPr="00E92763">
        <w:rPr>
          <w:rFonts w:ascii="Arial" w:hAnsi="Arial" w:cs="Arial"/>
          <w:b/>
          <w:noProof/>
          <w:color w:val="000000" w:themeColor="text1"/>
          <w:lang w:eastAsia="es-CL"/>
        </w:rPr>
        <mc:AlternateContent>
          <mc:Choice Requires="wps">
            <w:drawing>
              <wp:anchor distT="0" distB="0" distL="114300" distR="114300" simplePos="0" relativeHeight="251964416" behindDoc="0" locked="0" layoutInCell="1" allowOverlap="1" wp14:anchorId="5DFB6A56" wp14:editId="112B5470">
                <wp:simplePos x="0" y="0"/>
                <wp:positionH relativeFrom="column">
                  <wp:posOffset>1822450</wp:posOffset>
                </wp:positionH>
                <wp:positionV relativeFrom="paragraph">
                  <wp:posOffset>33655</wp:posOffset>
                </wp:positionV>
                <wp:extent cx="1598930" cy="539750"/>
                <wp:effectExtent l="0" t="0" r="20320" b="12700"/>
                <wp:wrapNone/>
                <wp:docPr id="294" name="294 Rectángulo redondeado"/>
                <wp:cNvGraphicFramePr/>
                <a:graphic xmlns:a="http://schemas.openxmlformats.org/drawingml/2006/main">
                  <a:graphicData uri="http://schemas.microsoft.com/office/word/2010/wordprocessingShape">
                    <wps:wsp>
                      <wps:cNvSpPr/>
                      <wps:spPr>
                        <a:xfrm>
                          <a:off x="0" y="0"/>
                          <a:ext cx="1598930" cy="539750"/>
                        </a:xfrm>
                        <a:prstGeom prst="roundRect">
                          <a:avLst>
                            <a:gd name="adj" fmla="val 0"/>
                          </a:avLst>
                        </a:prstGeom>
                        <a:solidFill>
                          <a:sysClr val="window" lastClr="FFFFFF"/>
                        </a:solidFill>
                        <a:ln w="19050" cap="flat" cmpd="sng" algn="ctr">
                          <a:solidFill>
                            <a:sysClr val="windowText" lastClr="000000"/>
                          </a:solidFill>
                          <a:prstDash val="solid"/>
                        </a:ln>
                        <a:effectLst/>
                      </wps:spPr>
                      <wps:txbx>
                        <w:txbxContent>
                          <w:p w:rsidR="002A21E4" w:rsidRPr="00AF6645" w:rsidRDefault="002A21E4" w:rsidP="00A2172D">
                            <w:pPr>
                              <w:spacing w:after="0" w:line="240" w:lineRule="auto"/>
                              <w:jc w:val="center"/>
                              <w:rPr>
                                <w:sz w:val="20"/>
                                <w:szCs w:val="20"/>
                              </w:rPr>
                            </w:pPr>
                            <w:r>
                              <w:rPr>
                                <w:sz w:val="20"/>
                                <w:szCs w:val="20"/>
                              </w:rPr>
                              <w:t>Criterios</w:t>
                            </w:r>
                            <w:r w:rsidRPr="00AF6645">
                              <w:rPr>
                                <w:sz w:val="20"/>
                                <w:szCs w:val="20"/>
                              </w:rPr>
                              <w:t xml:space="preserve"> de principios para territorios </w:t>
                            </w:r>
                          </w:p>
                        </w:txbxContent>
                      </wps:txbx>
                      <wps:bodyPr rot="0" spcFirstLastPara="0" vertOverflow="overflow" horzOverflow="overflow" vert="horz" wrap="square" lIns="36000" tIns="36000" rIns="36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294 Rectángulo redondeado" o:spid="_x0000_s1076" style="position:absolute;left:0;text-align:left;margin-left:143.5pt;margin-top:2.65pt;width:125.9pt;height:42.5pt;z-index:25196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" fillcolor="window" strokecolor="windowText" strokeweight="1.5pt">
                <v:textbox inset="1mm,1mm,1mm,1mm">
                  <w:txbxContent>
                    <w:p w:rsidR="002A21E4" w:rsidRPr="00AF6645" w:rsidRDefault="002A21E4" w:rsidP="00A2172D">
                      <w:pPr>
                        <w:spacing w:after="0" w:line="240" w:lineRule="auto"/>
                        <w:jc w:val="center"/>
                        <w:rPr>
                          <w:sz w:val="20"/>
                          <w:szCs w:val="20"/>
                        </w:rPr>
                      </w:pPr>
                      <w:r>
                        <w:rPr>
                          <w:sz w:val="20"/>
                          <w:szCs w:val="20"/>
                        </w:rPr>
                        <w:t>Criterios</w:t>
                      </w:r>
                      <w:r w:rsidRPr="00AF6645">
                        <w:rPr>
                          <w:sz w:val="20"/>
                          <w:szCs w:val="20"/>
                        </w:rPr>
                        <w:t xml:space="preserve"> de principios para territorios </w:t>
                      </w:r>
                    </w:p>
                  </w:txbxContent>
                </v:textbox>
              </v:roundrect>
            </w:pict>
          </mc:Fallback>
        </mc:AlternateContent>
      </w:r>
      <w:r w:rsidRPr="00E92763">
        <w:rPr>
          <w:rFonts w:ascii="Arial" w:hAnsi="Arial" w:cs="Arial"/>
          <w:b/>
          <w:noProof/>
          <w:color w:val="000000" w:themeColor="text1"/>
          <w:lang w:eastAsia="es-CL"/>
        </w:rPr>
        <mc:AlternateContent>
          <mc:Choice Requires="wps">
            <w:drawing>
              <wp:anchor distT="0" distB="0" distL="114300" distR="114300" simplePos="0" relativeHeight="251963392" behindDoc="0" locked="0" layoutInCell="1" allowOverlap="1" wp14:anchorId="46531571" wp14:editId="7C6A7833">
                <wp:simplePos x="0" y="0"/>
                <wp:positionH relativeFrom="column">
                  <wp:posOffset>26670</wp:posOffset>
                </wp:positionH>
                <wp:positionV relativeFrom="paragraph">
                  <wp:posOffset>36195</wp:posOffset>
                </wp:positionV>
                <wp:extent cx="1607185" cy="539750"/>
                <wp:effectExtent l="0" t="0" r="12065" b="12700"/>
                <wp:wrapNone/>
                <wp:docPr id="60" name="60 Rectángulo redondeado"/>
                <wp:cNvGraphicFramePr/>
                <a:graphic xmlns:a="http://schemas.openxmlformats.org/drawingml/2006/main">
                  <a:graphicData uri="http://schemas.microsoft.com/office/word/2010/wordprocessingShape">
                    <wps:wsp>
                      <wps:cNvSpPr/>
                      <wps:spPr>
                        <a:xfrm>
                          <a:off x="0" y="0"/>
                          <a:ext cx="1607185" cy="539750"/>
                        </a:xfrm>
                        <a:prstGeom prst="roundRect">
                          <a:avLst>
                            <a:gd name="adj" fmla="val 0"/>
                          </a:avLst>
                        </a:prstGeom>
                        <a:solidFill>
                          <a:sysClr val="window" lastClr="FFFFFF"/>
                        </a:solidFill>
                        <a:ln w="19050" cap="flat" cmpd="sng" algn="ctr">
                          <a:solidFill>
                            <a:sysClr val="windowText" lastClr="000000"/>
                          </a:solidFill>
                          <a:prstDash val="solid"/>
                        </a:ln>
                        <a:effectLst/>
                      </wps:spPr>
                      <wps:txbx>
                        <w:txbxContent>
                          <w:p w:rsidR="002A21E4" w:rsidRPr="00AF6645" w:rsidRDefault="002A21E4" w:rsidP="00A2172D">
                            <w:pPr>
                              <w:spacing w:after="0" w:line="240" w:lineRule="auto"/>
                              <w:jc w:val="center"/>
                              <w:rPr>
                                <w:sz w:val="20"/>
                                <w:szCs w:val="20"/>
                              </w:rPr>
                            </w:pPr>
                            <w:r w:rsidRPr="00AF6645">
                              <w:rPr>
                                <w:sz w:val="20"/>
                                <w:szCs w:val="20"/>
                              </w:rPr>
                              <w:t>Estructura principal de propuesta</w:t>
                            </w:r>
                            <w:r>
                              <w:rPr>
                                <w:sz w:val="20"/>
                                <w:szCs w:val="20"/>
                              </w:rPr>
                              <w:t>. Gibson (2005)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60 Rectángulo redondeado" o:spid="_x0000_s1077" style="position:absolute;left:0;text-align:left;margin-left:2.1pt;margin-top:2.85pt;width:126.55pt;height:42.5pt;z-index:25196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" fillcolor="window" strokecolor="windowText" strokeweight="1.5pt">
                <v:textbox>
                  <w:txbxContent>
                    <w:p w:rsidR="002A21E4" w:rsidRPr="00AF6645" w:rsidRDefault="002A21E4" w:rsidP="00A2172D">
                      <w:pPr>
                        <w:spacing w:after="0" w:line="240" w:lineRule="auto"/>
                        <w:jc w:val="center"/>
                        <w:rPr>
                          <w:sz w:val="20"/>
                          <w:szCs w:val="20"/>
                        </w:rPr>
                      </w:pPr>
                      <w:r w:rsidRPr="00AF6645">
                        <w:rPr>
                          <w:sz w:val="20"/>
                          <w:szCs w:val="20"/>
                        </w:rPr>
                        <w:t>Estructura principal de propuesta</w:t>
                      </w:r>
                      <w:r>
                        <w:rPr>
                          <w:sz w:val="20"/>
                          <w:szCs w:val="20"/>
                        </w:rPr>
                        <w:t>. Gibson (2005)</w:t>
                      </w:r>
                    </w:p>
                  </w:txbxContent>
                </v:textbox>
              </v:roundrect>
            </w:pict>
          </mc:Fallback>
        </mc:AlternateContent>
      </w:r>
    </w:p>
    <w:p w:rsidR="00A2172D" w:rsidRPr="00E92763" w:rsidRDefault="00A2172D" w:rsidP="00A2172D">
      <w:pPr>
        <w:spacing w:before="240"/>
        <w:rPr>
          <w:rFonts w:ascii="Arial" w:hAnsi="Arial" w:cs="Arial"/>
          <w:color w:val="000000" w:themeColor="text1"/>
        </w:rPr>
      </w:pPr>
      <w:r w:rsidRPr="00E92763">
        <w:rPr>
          <w:rFonts w:ascii="Arial" w:hAnsi="Arial" w:cs="Arial"/>
          <w:b/>
          <w:noProof/>
          <w:color w:val="000000" w:themeColor="text1"/>
          <w:lang w:eastAsia="es-CL"/>
        </w:rPr>
        <mc:AlternateContent>
          <mc:Choice Requires="wps">
            <w:drawing>
              <wp:anchor distT="0" distB="0" distL="114300" distR="114300" simplePos="0" relativeHeight="251973632" behindDoc="0" locked="0" layoutInCell="1" allowOverlap="1" wp14:anchorId="1B9228CD" wp14:editId="51340615">
                <wp:simplePos x="0" y="0"/>
                <wp:positionH relativeFrom="column">
                  <wp:posOffset>4435475</wp:posOffset>
                </wp:positionH>
                <wp:positionV relativeFrom="paragraph">
                  <wp:posOffset>247650</wp:posOffset>
                </wp:positionV>
                <wp:extent cx="0" cy="359410"/>
                <wp:effectExtent l="95250" t="0" r="95250" b="59690"/>
                <wp:wrapNone/>
                <wp:docPr id="318" name="318 Conector recto de flecha"/>
                <wp:cNvGraphicFramePr/>
                <a:graphic xmlns:a="http://schemas.openxmlformats.org/drawingml/2006/main">
                  <a:graphicData uri="http://schemas.microsoft.com/office/word/2010/wordprocessingShape">
                    <wps:wsp>
                      <wps:cNvCnPr/>
                      <wps:spPr>
                        <a:xfrm>
                          <a:off x="0" y="0"/>
                          <a:ext cx="0" cy="359410"/>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318 Conector recto de flecha" o:spid="_x0000_s1026" type="#_x0000_t32" style="position:absolute;margin-left:349.25pt;margin-top:19.5pt;width:0;height:28.3pt;z-index:25197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">
                <v:stroke endarrow="open"/>
              </v:shape>
            </w:pict>
          </mc:Fallback>
        </mc:AlternateContent>
      </w:r>
      <w:r w:rsidRPr="00E92763">
        <w:rPr>
          <w:rFonts w:ascii="Arial" w:hAnsi="Arial" w:cs="Arial"/>
          <w:b/>
          <w:noProof/>
          <w:color w:val="000000" w:themeColor="text1"/>
          <w:lang w:eastAsia="es-CL"/>
        </w:rPr>
        <mc:AlternateContent>
          <mc:Choice Requires="wps">
            <w:drawing>
              <wp:anchor distT="0" distB="0" distL="114300" distR="114300" simplePos="0" relativeHeight="251972608" behindDoc="0" locked="0" layoutInCell="1" allowOverlap="1" wp14:anchorId="53DA23A7" wp14:editId="72969734">
                <wp:simplePos x="0" y="0"/>
                <wp:positionH relativeFrom="column">
                  <wp:posOffset>2633980</wp:posOffset>
                </wp:positionH>
                <wp:positionV relativeFrom="paragraph">
                  <wp:posOffset>243840</wp:posOffset>
                </wp:positionV>
                <wp:extent cx="0" cy="359410"/>
                <wp:effectExtent l="95250" t="0" r="95250" b="59690"/>
                <wp:wrapNone/>
                <wp:docPr id="317" name="317 Conector recto de flecha"/>
                <wp:cNvGraphicFramePr/>
                <a:graphic xmlns:a="http://schemas.openxmlformats.org/drawingml/2006/main">
                  <a:graphicData uri="http://schemas.microsoft.com/office/word/2010/wordprocessingShape">
                    <wps:wsp>
                      <wps:cNvCnPr/>
                      <wps:spPr>
                        <a:xfrm>
                          <a:off x="0" y="0"/>
                          <a:ext cx="0" cy="359410"/>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317 Conector recto de flecha" o:spid="_x0000_s1026" type="#_x0000_t32" style="position:absolute;margin-left:207.4pt;margin-top:19.2pt;width:0;height:28.3pt;z-index:25197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">
                <v:stroke endarrow="open"/>
              </v:shape>
            </w:pict>
          </mc:Fallback>
        </mc:AlternateContent>
      </w:r>
      <w:r w:rsidRPr="00E92763">
        <w:rPr>
          <w:rFonts w:ascii="Arial" w:hAnsi="Arial" w:cs="Arial"/>
          <w:b/>
          <w:noProof/>
          <w:color w:val="000000" w:themeColor="text1"/>
          <w:lang w:eastAsia="es-CL"/>
        </w:rPr>
        <mc:AlternateContent>
          <mc:Choice Requires="wps">
            <w:drawing>
              <wp:anchor distT="0" distB="0" distL="114300" distR="114300" simplePos="0" relativeHeight="251969536" behindDoc="0" locked="0" layoutInCell="1" allowOverlap="1" wp14:anchorId="1633A86B" wp14:editId="56D0D461">
                <wp:simplePos x="0" y="0"/>
                <wp:positionH relativeFrom="column">
                  <wp:posOffset>802005</wp:posOffset>
                </wp:positionH>
                <wp:positionV relativeFrom="paragraph">
                  <wp:posOffset>242570</wp:posOffset>
                </wp:positionV>
                <wp:extent cx="0" cy="359410"/>
                <wp:effectExtent l="95250" t="0" r="95250" b="59690"/>
                <wp:wrapNone/>
                <wp:docPr id="311" name="311 Conector recto de flecha"/>
                <wp:cNvGraphicFramePr/>
                <a:graphic xmlns:a="http://schemas.openxmlformats.org/drawingml/2006/main">
                  <a:graphicData uri="http://schemas.microsoft.com/office/word/2010/wordprocessingShape">
                    <wps:wsp>
                      <wps:cNvCnPr/>
                      <wps:spPr>
                        <a:xfrm>
                          <a:off x="0" y="0"/>
                          <a:ext cx="0" cy="359410"/>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311 Conector recto de flecha" o:spid="_x0000_s1026" type="#_x0000_t32" style="position:absolute;margin-left:63.15pt;margin-top:19.1pt;width:0;height:28.3pt;z-index:25196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">
                <v:stroke endarrow="open"/>
              </v:shape>
            </w:pict>
          </mc:Fallback>
        </mc:AlternateContent>
      </w:r>
    </w:p>
    <w:p w:rsidR="00A2172D" w:rsidRPr="00E92763" w:rsidRDefault="00A2172D" w:rsidP="00A2172D">
      <w:pPr>
        <w:spacing w:before="240"/>
        <w:rPr>
          <w:rFonts w:ascii="Arial" w:hAnsi="Arial" w:cs="Arial"/>
          <w:color w:val="000000" w:themeColor="text1"/>
        </w:rPr>
      </w:pPr>
      <w:r w:rsidRPr="00E92763">
        <w:rPr>
          <w:rFonts w:ascii="Arial" w:hAnsi="Arial" w:cs="Arial"/>
          <w:b/>
          <w:noProof/>
          <w:color w:val="000000" w:themeColor="text1"/>
          <w:lang w:eastAsia="es-CL"/>
        </w:rPr>
        <mc:AlternateContent>
          <mc:Choice Requires="wps">
            <w:drawing>
              <wp:anchor distT="0" distB="0" distL="114300" distR="114300" simplePos="0" relativeHeight="251965440" behindDoc="0" locked="0" layoutInCell="1" allowOverlap="1" wp14:anchorId="24708055" wp14:editId="0AF7F05C">
                <wp:simplePos x="0" y="0"/>
                <wp:positionH relativeFrom="column">
                  <wp:posOffset>7356</wp:posOffset>
                </wp:positionH>
                <wp:positionV relativeFrom="paragraph">
                  <wp:posOffset>205728</wp:posOffset>
                </wp:positionV>
                <wp:extent cx="5264785" cy="465455"/>
                <wp:effectExtent l="0" t="0" r="12065" b="10795"/>
                <wp:wrapNone/>
                <wp:docPr id="58" name="58 Rectángulo redondeado"/>
                <wp:cNvGraphicFramePr/>
                <a:graphic xmlns:a="http://schemas.openxmlformats.org/drawingml/2006/main">
                  <a:graphicData uri="http://schemas.microsoft.com/office/word/2010/wordprocessingShape">
                    <wps:wsp>
                      <wps:cNvSpPr/>
                      <wps:spPr>
                        <a:xfrm>
                          <a:off x="0" y="0"/>
                          <a:ext cx="5264785" cy="465455"/>
                        </a:xfrm>
                        <a:prstGeom prst="roundRect">
                          <a:avLst>
                            <a:gd name="adj" fmla="val 0"/>
                          </a:avLst>
                        </a:prstGeom>
                        <a:solidFill>
                          <a:sysClr val="window" lastClr="FFFFFF"/>
                        </a:solidFill>
                        <a:ln w="19050" cap="flat" cmpd="sng" algn="ctr">
                          <a:solidFill>
                            <a:sysClr val="windowText" lastClr="000000"/>
                          </a:solidFill>
                          <a:prstDash val="solid"/>
                        </a:ln>
                        <a:effectLst/>
                      </wps:spPr>
                      <wps:txbx>
                        <w:txbxContent>
                          <w:p w:rsidR="002A21E4" w:rsidRPr="00AF6645" w:rsidRDefault="002A21E4" w:rsidP="00A2172D">
                            <w:pPr>
                              <w:spacing w:after="0"/>
                              <w:jc w:val="center"/>
                              <w:rPr>
                                <w:sz w:val="20"/>
                                <w:szCs w:val="20"/>
                              </w:rPr>
                            </w:pPr>
                            <w:r w:rsidRPr="00AF6645">
                              <w:rPr>
                                <w:sz w:val="20"/>
                                <w:szCs w:val="20"/>
                              </w:rPr>
                              <w:t>Propuesta de Sostenibilidad para territorios mineros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58 Rectángulo redondeado" o:spid="_x0000_s1078" style="position:absolute;left:0;text-align:left;margin-left:.6pt;margin-top:16.2pt;width:414.55pt;height:36.65pt;z-index:25196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" fillcolor="window" strokecolor="windowText" strokeweight="1.5pt">
                <v:textbox>
                  <w:txbxContent>
                    <w:p w:rsidR="002A21E4" w:rsidRPr="00AF6645" w:rsidRDefault="002A21E4" w:rsidP="00A2172D">
                      <w:pPr>
                        <w:spacing w:after="0"/>
                        <w:jc w:val="center"/>
                        <w:rPr>
                          <w:sz w:val="20"/>
                          <w:szCs w:val="20"/>
                        </w:rPr>
                      </w:pPr>
                      <w:r w:rsidRPr="00AF6645">
                        <w:rPr>
                          <w:sz w:val="20"/>
                          <w:szCs w:val="20"/>
                        </w:rPr>
                        <w:t>Propuesta de Sostenibilidad para territorios mineros</w:t>
                      </w:r>
                    </w:p>
                  </w:txbxContent>
                </v:textbox>
              </v:roundrect>
            </w:pict>
          </mc:Fallback>
        </mc:AlternateContent>
      </w:r>
    </w:p>
    <w:p w:rsidR="00A2172D" w:rsidRPr="00E92763" w:rsidRDefault="00A2172D" w:rsidP="00A2172D">
      <w:pPr>
        <w:spacing w:before="240"/>
        <w:rPr>
          <w:rFonts w:ascii="Arial" w:hAnsi="Arial" w:cs="Arial"/>
          <w:color w:val="000000" w:themeColor="text1"/>
        </w:rPr>
      </w:pPr>
    </w:p>
    <w:p w:rsidR="00A2172D" w:rsidRPr="002613F4" w:rsidRDefault="00A2172D" w:rsidP="00A2172D">
      <w:pPr>
        <w:pStyle w:val="Epgrafe"/>
        <w:spacing w:before="240"/>
        <w:jc w:val="center"/>
        <w:rPr>
          <w:rFonts w:ascii="Arial" w:hAnsi="Arial" w:cs="Arial"/>
          <w:b w:val="0"/>
          <w:color w:val="000000" w:themeColor="text1"/>
        </w:rPr>
      </w:pPr>
      <w:r w:rsidRPr="002613F4">
        <w:rPr>
          <w:rFonts w:ascii="Arial" w:hAnsi="Arial" w:cs="Arial"/>
          <w:b w:val="0"/>
          <w:color w:val="000000" w:themeColor="text1"/>
          <w:sz w:val="22"/>
        </w:rPr>
        <w:t xml:space="preserve">Figura </w:t>
      </w:r>
      <w:r w:rsidRPr="002613F4">
        <w:rPr>
          <w:rFonts w:ascii="Arial" w:hAnsi="Arial" w:cs="Arial"/>
          <w:b w:val="0"/>
          <w:color w:val="000000" w:themeColor="text1"/>
          <w:sz w:val="22"/>
        </w:rPr>
        <w:fldChar w:fldCharType="begin"/>
      </w:r>
      <w:r w:rsidRPr="002613F4">
        <w:rPr>
          <w:rFonts w:ascii="Arial" w:hAnsi="Arial" w:cs="Arial"/>
          <w:b w:val="0"/>
          <w:color w:val="000000" w:themeColor="text1"/>
          <w:sz w:val="22"/>
        </w:rPr>
        <w:instrText xml:space="preserve"> SEQ Figura \* ARABIC </w:instrText>
      </w:r>
      <w:r w:rsidRPr="002613F4">
        <w:rPr>
          <w:rFonts w:ascii="Arial" w:hAnsi="Arial" w:cs="Arial"/>
          <w:b w:val="0"/>
          <w:color w:val="000000" w:themeColor="text1"/>
          <w:sz w:val="22"/>
        </w:rPr>
        <w:fldChar w:fldCharType="separate"/>
      </w:r>
      <w:r w:rsidR="00225844">
        <w:rPr>
          <w:rFonts w:ascii="Arial" w:hAnsi="Arial" w:cs="Arial"/>
          <w:b w:val="0"/>
          <w:noProof/>
          <w:color w:val="000000" w:themeColor="text1"/>
          <w:sz w:val="22"/>
        </w:rPr>
        <w:t>4</w:t>
      </w:r>
      <w:r w:rsidRPr="002613F4">
        <w:rPr>
          <w:rFonts w:ascii="Arial" w:hAnsi="Arial" w:cs="Arial"/>
          <w:b w:val="0"/>
          <w:color w:val="000000" w:themeColor="text1"/>
          <w:sz w:val="22"/>
        </w:rPr>
        <w:fldChar w:fldCharType="end"/>
      </w:r>
      <w:r w:rsidRPr="002613F4">
        <w:rPr>
          <w:rFonts w:ascii="Arial" w:hAnsi="Arial" w:cs="Arial"/>
          <w:b w:val="0"/>
          <w:color w:val="000000" w:themeColor="text1"/>
          <w:sz w:val="22"/>
        </w:rPr>
        <w:t>: Esquema metodológico de la Elaboración de estructura de criterios para cada principio</w:t>
      </w:r>
    </w:p>
    <w:p w:rsidR="00A2172D" w:rsidRPr="00A2172D" w:rsidRDefault="00A2172D" w:rsidP="00A2172D">
      <w:pPr>
        <w:spacing w:line="360" w:lineRule="auto"/>
        <w:rPr>
          <w:rFonts w:ascii="Arial" w:hAnsi="Arial" w:cs="Arial"/>
          <w:color w:val="000000" w:themeColor="text1"/>
          <w:highlight w:val="green"/>
        </w:rPr>
      </w:pPr>
    </w:p>
    <w:p w:rsidR="00D442C7" w:rsidRPr="00A2172D" w:rsidRDefault="0090165E" w:rsidP="002B538F">
      <w:pPr>
        <w:spacing w:before="360" w:after="0" w:line="360" w:lineRule="auto"/>
        <w:rPr>
          <w:rFonts w:ascii="Arial" w:hAnsi="Arial" w:cs="Arial"/>
          <w:b/>
          <w:color w:val="000000" w:themeColor="text1"/>
        </w:rPr>
      </w:pPr>
      <w:r w:rsidRPr="00A2172D">
        <w:rPr>
          <w:rFonts w:ascii="Arial" w:hAnsi="Arial" w:cs="Arial"/>
          <w:b/>
          <w:color w:val="000000" w:themeColor="text1"/>
        </w:rPr>
        <w:t xml:space="preserve">2. </w:t>
      </w:r>
      <w:r w:rsidR="00F90E55" w:rsidRPr="00A2172D">
        <w:rPr>
          <w:rFonts w:ascii="Arial" w:hAnsi="Arial" w:cs="Arial"/>
          <w:b/>
          <w:color w:val="000000" w:themeColor="text1"/>
        </w:rPr>
        <w:t>Estudios de Caso</w:t>
      </w:r>
      <w:r w:rsidR="009F5328" w:rsidRPr="00A2172D">
        <w:rPr>
          <w:rFonts w:ascii="Arial" w:hAnsi="Arial" w:cs="Arial"/>
          <w:b/>
          <w:color w:val="000000" w:themeColor="text1"/>
        </w:rPr>
        <w:t xml:space="preserve"> de territorios bajo estudio</w:t>
      </w:r>
    </w:p>
    <w:p w:rsidR="002A05C4" w:rsidRPr="000E0F90" w:rsidRDefault="00D442C7" w:rsidP="002B538F">
      <w:pPr>
        <w:spacing w:after="0" w:line="360" w:lineRule="auto"/>
        <w:rPr>
          <w:rFonts w:ascii="Arial" w:hAnsi="Arial" w:cs="Arial"/>
          <w:color w:val="000000" w:themeColor="text1"/>
        </w:rPr>
      </w:pPr>
      <w:r w:rsidRPr="000E0F90">
        <w:rPr>
          <w:rFonts w:ascii="Arial" w:hAnsi="Arial" w:cs="Arial"/>
          <w:color w:val="000000" w:themeColor="text1"/>
        </w:rPr>
        <w:t xml:space="preserve">Con la finalidad de </w:t>
      </w:r>
      <w:r w:rsidR="009F5328" w:rsidRPr="000E0F90">
        <w:rPr>
          <w:rFonts w:ascii="Arial" w:hAnsi="Arial" w:cs="Arial"/>
          <w:color w:val="000000" w:themeColor="text1"/>
        </w:rPr>
        <w:t xml:space="preserve">establecer </w:t>
      </w:r>
      <w:r w:rsidR="00552448" w:rsidRPr="000E0F90">
        <w:rPr>
          <w:rFonts w:ascii="Arial" w:hAnsi="Arial" w:cs="Arial"/>
          <w:color w:val="000000" w:themeColor="text1"/>
        </w:rPr>
        <w:t>el contexto</w:t>
      </w:r>
      <w:r w:rsidR="009F5328" w:rsidRPr="000E0F90">
        <w:rPr>
          <w:rFonts w:ascii="Arial" w:hAnsi="Arial" w:cs="Arial"/>
          <w:color w:val="000000" w:themeColor="text1"/>
        </w:rPr>
        <w:t xml:space="preserve"> local</w:t>
      </w:r>
      <w:r w:rsidR="00552448" w:rsidRPr="000E0F90">
        <w:rPr>
          <w:rFonts w:ascii="Arial" w:hAnsi="Arial" w:cs="Arial"/>
          <w:color w:val="000000" w:themeColor="text1"/>
        </w:rPr>
        <w:t>, se desarrollaron estudios de caso de los territorios bajo estudio. Esto permitió identificar</w:t>
      </w:r>
      <w:r w:rsidRPr="000E0F90">
        <w:rPr>
          <w:rFonts w:ascii="Arial" w:hAnsi="Arial" w:cs="Arial"/>
          <w:color w:val="000000" w:themeColor="text1"/>
        </w:rPr>
        <w:t xml:space="preserve"> la biogeoestructura y </w:t>
      </w:r>
      <w:r w:rsidR="0049698D" w:rsidRPr="000E0F90">
        <w:rPr>
          <w:rFonts w:ascii="Arial" w:hAnsi="Arial" w:cs="Arial"/>
          <w:color w:val="000000" w:themeColor="text1"/>
        </w:rPr>
        <w:t>socio estructura</w:t>
      </w:r>
      <w:r w:rsidR="00107707" w:rsidRPr="000E0F90">
        <w:rPr>
          <w:rFonts w:ascii="Arial" w:hAnsi="Arial" w:cs="Arial"/>
          <w:color w:val="000000" w:themeColor="text1"/>
        </w:rPr>
        <w:t xml:space="preserve">, así como </w:t>
      </w:r>
      <w:r w:rsidR="00293BD8" w:rsidRPr="000E0F90">
        <w:rPr>
          <w:rFonts w:ascii="Arial" w:hAnsi="Arial" w:cs="Arial"/>
          <w:color w:val="000000" w:themeColor="text1"/>
        </w:rPr>
        <w:t>tem</w:t>
      </w:r>
      <w:r w:rsidR="002F6557" w:rsidRPr="000E0F90">
        <w:rPr>
          <w:rFonts w:ascii="Arial" w:hAnsi="Arial" w:cs="Arial"/>
          <w:color w:val="000000" w:themeColor="text1"/>
        </w:rPr>
        <w:t>as</w:t>
      </w:r>
      <w:r w:rsidR="00293BD8" w:rsidRPr="000E0F90">
        <w:rPr>
          <w:rFonts w:ascii="Arial" w:hAnsi="Arial" w:cs="Arial"/>
          <w:color w:val="000000" w:themeColor="text1"/>
        </w:rPr>
        <w:t xml:space="preserve"> relevantes para los actores locales </w:t>
      </w:r>
      <w:r w:rsidR="002F6557" w:rsidRPr="000E0F90">
        <w:rPr>
          <w:rFonts w:ascii="Arial" w:hAnsi="Arial" w:cs="Arial"/>
          <w:color w:val="000000" w:themeColor="text1"/>
        </w:rPr>
        <w:t>de dichos territorios, al igual que el legado histórico</w:t>
      </w:r>
      <w:r w:rsidR="00107707" w:rsidRPr="000E0F90">
        <w:rPr>
          <w:rFonts w:ascii="Arial" w:hAnsi="Arial" w:cs="Arial"/>
          <w:color w:val="000000" w:themeColor="text1"/>
        </w:rPr>
        <w:t>.</w:t>
      </w:r>
      <w:r w:rsidR="002F6557" w:rsidRPr="000E0F90">
        <w:rPr>
          <w:rFonts w:ascii="Arial" w:hAnsi="Arial" w:cs="Arial"/>
          <w:color w:val="000000" w:themeColor="text1"/>
        </w:rPr>
        <w:t xml:space="preserve"> </w:t>
      </w:r>
      <w:r w:rsidR="00552448" w:rsidRPr="000E0F90">
        <w:rPr>
          <w:rFonts w:ascii="Arial" w:hAnsi="Arial" w:cs="Arial"/>
          <w:color w:val="000000" w:themeColor="text1"/>
        </w:rPr>
        <w:t xml:space="preserve">Esta información permitió determinar las limitantes y potencialidades que presenta la matriz natural y social de los territorios bajo estudio.  </w:t>
      </w:r>
    </w:p>
    <w:p w:rsidR="00F62406" w:rsidRPr="000E0F90" w:rsidRDefault="002A05C4" w:rsidP="002B538F">
      <w:pPr>
        <w:spacing w:before="240" w:after="0" w:line="360" w:lineRule="auto"/>
        <w:rPr>
          <w:rFonts w:ascii="Arial" w:hAnsi="Arial" w:cs="Arial"/>
          <w:color w:val="000000" w:themeColor="text1"/>
        </w:rPr>
      </w:pPr>
      <w:r w:rsidRPr="000E0F90">
        <w:rPr>
          <w:rFonts w:ascii="Arial" w:hAnsi="Arial" w:cs="Arial"/>
          <w:color w:val="000000" w:themeColor="text1"/>
        </w:rPr>
        <w:t>La</w:t>
      </w:r>
      <w:r w:rsidR="002F6557" w:rsidRPr="000E0F90">
        <w:rPr>
          <w:rFonts w:ascii="Arial" w:hAnsi="Arial" w:cs="Arial"/>
          <w:color w:val="000000" w:themeColor="text1"/>
        </w:rPr>
        <w:t xml:space="preserve"> </w:t>
      </w:r>
      <w:r w:rsidR="00D442C7" w:rsidRPr="000E0F90">
        <w:rPr>
          <w:rFonts w:ascii="Arial" w:hAnsi="Arial" w:cs="Arial"/>
          <w:color w:val="000000" w:themeColor="text1"/>
        </w:rPr>
        <w:t>biogeoestructura local</w:t>
      </w:r>
      <w:r w:rsidR="002F6557" w:rsidRPr="000E0F90">
        <w:rPr>
          <w:rFonts w:ascii="Arial" w:hAnsi="Arial" w:cs="Arial"/>
          <w:color w:val="000000" w:themeColor="text1"/>
        </w:rPr>
        <w:t xml:space="preserve">, </w:t>
      </w:r>
      <w:r w:rsidRPr="000E0F90">
        <w:rPr>
          <w:rFonts w:ascii="Arial" w:hAnsi="Arial" w:cs="Arial"/>
          <w:color w:val="000000" w:themeColor="text1"/>
        </w:rPr>
        <w:t xml:space="preserve">se identificó a nivel comunal </w:t>
      </w:r>
      <w:r w:rsidR="002F6557" w:rsidRPr="000E0F90">
        <w:rPr>
          <w:rFonts w:ascii="Arial" w:hAnsi="Arial" w:cs="Arial"/>
          <w:color w:val="000000" w:themeColor="text1"/>
        </w:rPr>
        <w:t>dada por la ecorregi</w:t>
      </w:r>
      <w:r w:rsidRPr="000E0F90">
        <w:rPr>
          <w:rFonts w:ascii="Arial" w:hAnsi="Arial" w:cs="Arial"/>
          <w:color w:val="000000" w:themeColor="text1"/>
        </w:rPr>
        <w:t>ón y variables físicas correspondientes a: clima,</w:t>
      </w:r>
      <w:r w:rsidR="002F6557" w:rsidRPr="000E0F90">
        <w:rPr>
          <w:rFonts w:ascii="Arial" w:hAnsi="Arial" w:cs="Arial"/>
          <w:color w:val="000000" w:themeColor="text1"/>
        </w:rPr>
        <w:t xml:space="preserve"> g</w:t>
      </w:r>
      <w:r w:rsidR="00D442C7" w:rsidRPr="000E0F90">
        <w:rPr>
          <w:rFonts w:ascii="Arial" w:hAnsi="Arial" w:cs="Arial"/>
          <w:color w:val="000000" w:themeColor="text1"/>
        </w:rPr>
        <w:t>eomorfología</w:t>
      </w:r>
      <w:r w:rsidRPr="000E0F90">
        <w:rPr>
          <w:rFonts w:ascii="Arial" w:hAnsi="Arial" w:cs="Arial"/>
          <w:color w:val="000000" w:themeColor="text1"/>
        </w:rPr>
        <w:t xml:space="preserve"> y suelos</w:t>
      </w:r>
      <w:r w:rsidR="00D442C7" w:rsidRPr="000E0F90">
        <w:rPr>
          <w:rFonts w:ascii="Arial" w:hAnsi="Arial" w:cs="Arial"/>
          <w:color w:val="000000" w:themeColor="text1"/>
        </w:rPr>
        <w:t>, hidro</w:t>
      </w:r>
      <w:r w:rsidR="00293BD8" w:rsidRPr="000E0F90">
        <w:rPr>
          <w:rFonts w:ascii="Arial" w:hAnsi="Arial" w:cs="Arial"/>
          <w:color w:val="000000" w:themeColor="text1"/>
        </w:rPr>
        <w:t xml:space="preserve">estructura </w:t>
      </w:r>
      <w:r w:rsidR="00D442C7" w:rsidRPr="000E0F90">
        <w:rPr>
          <w:rFonts w:ascii="Arial" w:hAnsi="Arial" w:cs="Arial"/>
          <w:color w:val="000000" w:themeColor="text1"/>
        </w:rPr>
        <w:t xml:space="preserve">y </w:t>
      </w:r>
      <w:r w:rsidRPr="000E0F90">
        <w:rPr>
          <w:rFonts w:ascii="Arial" w:hAnsi="Arial" w:cs="Arial"/>
          <w:color w:val="000000" w:themeColor="text1"/>
        </w:rPr>
        <w:t>biota</w:t>
      </w:r>
      <w:r w:rsidR="00552448" w:rsidRPr="000E0F90">
        <w:rPr>
          <w:rFonts w:ascii="Arial" w:hAnsi="Arial" w:cs="Arial"/>
          <w:color w:val="000000" w:themeColor="text1"/>
        </w:rPr>
        <w:t xml:space="preserve">, </w:t>
      </w:r>
      <w:r w:rsidRPr="000E0F90">
        <w:rPr>
          <w:rFonts w:ascii="Arial" w:hAnsi="Arial" w:cs="Arial"/>
          <w:color w:val="000000" w:themeColor="text1"/>
        </w:rPr>
        <w:t>de acuerdo a la metodología empleada en (Arellano et al., 2013)</w:t>
      </w:r>
      <w:r w:rsidR="002B41F5" w:rsidRPr="000E0F90">
        <w:rPr>
          <w:rFonts w:ascii="Arial" w:hAnsi="Arial" w:cs="Arial"/>
          <w:color w:val="000000" w:themeColor="text1"/>
        </w:rPr>
        <w:t xml:space="preserve">. </w:t>
      </w:r>
      <w:r w:rsidR="00D442C7" w:rsidRPr="000E0F90">
        <w:rPr>
          <w:rFonts w:ascii="Arial" w:hAnsi="Arial" w:cs="Arial"/>
          <w:color w:val="000000" w:themeColor="text1"/>
        </w:rPr>
        <w:t>La socio</w:t>
      </w:r>
      <w:r w:rsidR="0049698D" w:rsidRPr="000E0F90">
        <w:rPr>
          <w:rFonts w:ascii="Arial" w:hAnsi="Arial" w:cs="Arial"/>
          <w:color w:val="000000" w:themeColor="text1"/>
        </w:rPr>
        <w:t xml:space="preserve"> </w:t>
      </w:r>
      <w:r w:rsidR="00D442C7" w:rsidRPr="000E0F90">
        <w:rPr>
          <w:rFonts w:ascii="Arial" w:hAnsi="Arial" w:cs="Arial"/>
          <w:color w:val="000000" w:themeColor="text1"/>
        </w:rPr>
        <w:t xml:space="preserve">estructura local, se construyó en base a información socioeconómica oficial proveniente de organismos públicos </w:t>
      </w:r>
      <w:r w:rsidR="00A2717A" w:rsidRPr="000E0F90">
        <w:rPr>
          <w:rFonts w:ascii="Arial" w:hAnsi="Arial" w:cs="Arial"/>
          <w:color w:val="000000" w:themeColor="text1"/>
        </w:rPr>
        <w:t xml:space="preserve">siguiendo la metodología empleada por </w:t>
      </w:r>
      <w:r w:rsidRPr="000E0F90">
        <w:rPr>
          <w:rFonts w:ascii="Arial" w:hAnsi="Arial" w:cs="Arial"/>
          <w:color w:val="000000" w:themeColor="text1"/>
        </w:rPr>
        <w:t>(Arellano et al., 2013).</w:t>
      </w:r>
      <w:r w:rsidR="00D442C7" w:rsidRPr="000E0F90">
        <w:rPr>
          <w:rFonts w:ascii="Arial" w:hAnsi="Arial" w:cs="Arial"/>
          <w:color w:val="000000" w:themeColor="text1"/>
        </w:rPr>
        <w:t xml:space="preserve"> </w:t>
      </w:r>
    </w:p>
    <w:p w:rsidR="00EB311C" w:rsidRPr="000E0F90" w:rsidRDefault="00293BD8" w:rsidP="002B538F">
      <w:pPr>
        <w:shd w:val="clear" w:color="auto" w:fill="FFFFFF"/>
        <w:spacing w:before="240" w:line="360" w:lineRule="auto"/>
        <w:rPr>
          <w:rFonts w:ascii="Arial" w:hAnsi="Arial" w:cs="Arial"/>
          <w:color w:val="000000" w:themeColor="text1"/>
        </w:rPr>
      </w:pPr>
      <w:r w:rsidRPr="000E0F90">
        <w:rPr>
          <w:rFonts w:ascii="Arial" w:hAnsi="Arial" w:cs="Arial"/>
          <w:color w:val="000000" w:themeColor="text1"/>
        </w:rPr>
        <w:t xml:space="preserve">La identificación de las temáticas relevantes para los actores locales, se obtuvo mediante el análisis de </w:t>
      </w:r>
      <w:r w:rsidR="00552448" w:rsidRPr="000E0F90">
        <w:rPr>
          <w:rFonts w:ascii="Arial" w:hAnsi="Arial" w:cs="Arial"/>
          <w:color w:val="000000" w:themeColor="text1"/>
        </w:rPr>
        <w:t xml:space="preserve">contenido, de </w:t>
      </w:r>
      <w:r w:rsidRPr="000E0F90">
        <w:rPr>
          <w:rFonts w:ascii="Arial" w:hAnsi="Arial" w:cs="Arial"/>
          <w:color w:val="000000" w:themeColor="text1"/>
        </w:rPr>
        <w:t xml:space="preserve">entrevistas </w:t>
      </w:r>
      <w:r w:rsidR="00EB311C" w:rsidRPr="000E0F90">
        <w:rPr>
          <w:rFonts w:ascii="Arial" w:hAnsi="Arial" w:cs="Arial"/>
          <w:color w:val="000000" w:themeColor="text1"/>
        </w:rPr>
        <w:t xml:space="preserve">semiestructuradas realizadas a </w:t>
      </w:r>
      <w:r w:rsidRPr="000E0F90">
        <w:rPr>
          <w:rFonts w:ascii="Arial" w:hAnsi="Arial" w:cs="Arial"/>
          <w:color w:val="000000" w:themeColor="text1"/>
        </w:rPr>
        <w:t xml:space="preserve">diversos actores sociales de los territorios </w:t>
      </w:r>
      <w:r w:rsidR="00EB311C" w:rsidRPr="000E0F90">
        <w:rPr>
          <w:rFonts w:ascii="Arial" w:hAnsi="Arial" w:cs="Arial"/>
          <w:color w:val="000000" w:themeColor="text1"/>
        </w:rPr>
        <w:t xml:space="preserve"> en el marco del estudio:</w:t>
      </w:r>
      <w:r w:rsidR="00CD7A1E" w:rsidRPr="000E0F90">
        <w:rPr>
          <w:rFonts w:ascii="Arial" w:hAnsi="Arial" w:cs="Arial"/>
          <w:color w:val="000000" w:themeColor="text1"/>
        </w:rPr>
        <w:t xml:space="preserve"> </w:t>
      </w:r>
      <w:r w:rsidR="00EB311C" w:rsidRPr="000E0F90">
        <w:rPr>
          <w:rFonts w:ascii="Arial" w:hAnsi="Arial" w:cs="Arial"/>
          <w:color w:val="000000" w:themeColor="text1"/>
        </w:rPr>
        <w:t xml:space="preserve">Programa de </w:t>
      </w:r>
      <w:r w:rsidR="00EB311C" w:rsidRPr="000E0F90">
        <w:rPr>
          <w:rFonts w:ascii="Arial" w:hAnsi="Arial" w:cs="Arial"/>
          <w:color w:val="000000" w:themeColor="text1"/>
        </w:rPr>
        <w:lastRenderedPageBreak/>
        <w:t>Fiscalización Preventiva y Gestión de Conflictos Socio-Ambientales</w:t>
      </w:r>
      <w:r w:rsidR="002D53EB" w:rsidRPr="000E0F90">
        <w:rPr>
          <w:rFonts w:ascii="Arial" w:hAnsi="Arial" w:cs="Arial"/>
          <w:color w:val="000000" w:themeColor="text1"/>
        </w:rPr>
        <w:t>, 2013</w:t>
      </w:r>
      <w:r w:rsidR="00EB311C" w:rsidRPr="000E0F90">
        <w:rPr>
          <w:rFonts w:ascii="Arial" w:hAnsi="Arial" w:cs="Arial"/>
          <w:color w:val="000000" w:themeColor="text1"/>
        </w:rPr>
        <w:t>. CONICYT</w:t>
      </w:r>
      <w:r w:rsidR="00CD7A1E" w:rsidRPr="000E0F90">
        <w:rPr>
          <w:rFonts w:ascii="Arial" w:hAnsi="Arial" w:cs="Arial"/>
          <w:color w:val="000000" w:themeColor="text1"/>
        </w:rPr>
        <w:t>.</w:t>
      </w:r>
      <w:r w:rsidR="00EB311C" w:rsidRPr="000E0F90">
        <w:rPr>
          <w:rFonts w:ascii="Arial" w:hAnsi="Arial" w:cs="Arial"/>
          <w:color w:val="000000" w:themeColor="text1"/>
        </w:rPr>
        <w:t xml:space="preserve"> </w:t>
      </w:r>
      <w:r w:rsidR="00CD7A1E" w:rsidRPr="000E0F90">
        <w:rPr>
          <w:rFonts w:ascii="Arial" w:hAnsi="Arial" w:cs="Arial"/>
          <w:color w:val="000000" w:themeColor="text1"/>
        </w:rPr>
        <w:t>Proyecto Folio N°781302012</w:t>
      </w:r>
      <w:r w:rsidR="00EB311C" w:rsidRPr="000E0F90">
        <w:rPr>
          <w:rFonts w:ascii="Arial" w:hAnsi="Arial" w:cs="Arial"/>
          <w:color w:val="000000" w:themeColor="text1"/>
        </w:rPr>
        <w:t xml:space="preserve">. </w:t>
      </w:r>
    </w:p>
    <w:p w:rsidR="00A2717A" w:rsidRPr="000E0F90" w:rsidRDefault="00107707" w:rsidP="002B538F">
      <w:pPr>
        <w:spacing w:before="120" w:after="0" w:line="360" w:lineRule="auto"/>
        <w:rPr>
          <w:rFonts w:ascii="Arial" w:hAnsi="Arial" w:cs="Arial"/>
          <w:color w:val="000000" w:themeColor="text1"/>
        </w:rPr>
      </w:pPr>
      <w:r w:rsidRPr="000E0F90">
        <w:rPr>
          <w:rFonts w:ascii="Arial" w:hAnsi="Arial" w:cs="Arial"/>
          <w:color w:val="000000" w:themeColor="text1"/>
        </w:rPr>
        <w:t>Mediante el</w:t>
      </w:r>
      <w:r w:rsidR="00D442C7" w:rsidRPr="000E0F90">
        <w:rPr>
          <w:rFonts w:ascii="Arial" w:hAnsi="Arial" w:cs="Arial"/>
          <w:color w:val="000000" w:themeColor="text1"/>
        </w:rPr>
        <w:t xml:space="preserve"> análisis de contenido</w:t>
      </w:r>
      <w:r w:rsidR="00EB311C" w:rsidRPr="000E0F90">
        <w:rPr>
          <w:rFonts w:ascii="Arial" w:hAnsi="Arial" w:cs="Arial"/>
          <w:color w:val="000000" w:themeColor="text1"/>
        </w:rPr>
        <w:t>, se identificaron las temáticas relevantes para los actores sociales locales</w:t>
      </w:r>
      <w:r w:rsidR="00293BD8" w:rsidRPr="000E0F90">
        <w:rPr>
          <w:rFonts w:ascii="Arial" w:hAnsi="Arial" w:cs="Arial"/>
          <w:color w:val="000000" w:themeColor="text1"/>
        </w:rPr>
        <w:t>. Esta información se consideró un input importantísimo para establecer la condición actual del territorio, puesto c</w:t>
      </w:r>
      <w:r w:rsidR="00A2717A" w:rsidRPr="000E0F90">
        <w:rPr>
          <w:rFonts w:ascii="Arial" w:hAnsi="Arial" w:cs="Arial"/>
          <w:color w:val="000000" w:themeColor="text1"/>
        </w:rPr>
        <w:t xml:space="preserve">omo lo manifiestan </w:t>
      </w:r>
      <w:sdt>
        <w:sdtPr>
          <w:rPr>
            <w:rFonts w:ascii="Arial" w:hAnsi="Arial" w:cs="Arial"/>
            <w:color w:val="000000" w:themeColor="text1"/>
          </w:rPr>
          <w:id w:val="-10690406"/>
          <w:citation/>
        </w:sdtPr>
        <w:sdtEndPr/>
        <w:sdtContent>
          <w:r w:rsidR="00A2717A" w:rsidRPr="000E0F90">
            <w:rPr>
              <w:rFonts w:ascii="Arial" w:hAnsi="Arial" w:cs="Arial"/>
              <w:color w:val="000000" w:themeColor="text1"/>
            </w:rPr>
            <w:fldChar w:fldCharType="begin"/>
          </w:r>
          <w:r w:rsidR="00780532" w:rsidRPr="000E0F90">
            <w:rPr>
              <w:rFonts w:ascii="Arial" w:hAnsi="Arial" w:cs="Arial"/>
              <w:color w:val="000000" w:themeColor="text1"/>
            </w:rPr>
            <w:instrText xml:space="preserve">CITATION Are13 \t  \l 13322 </w:instrText>
          </w:r>
          <w:r w:rsidR="00A2717A" w:rsidRPr="000E0F90">
            <w:rPr>
              <w:rFonts w:ascii="Arial" w:hAnsi="Arial" w:cs="Arial"/>
              <w:color w:val="000000" w:themeColor="text1"/>
            </w:rPr>
            <w:fldChar w:fldCharType="separate"/>
          </w:r>
          <w:r w:rsidR="008D0261" w:rsidRPr="000E0F90">
            <w:rPr>
              <w:rFonts w:ascii="Arial" w:hAnsi="Arial" w:cs="Arial"/>
              <w:noProof/>
              <w:color w:val="000000" w:themeColor="text1"/>
            </w:rPr>
            <w:t>(Arellano, Gastó, Gálvez, Subercauseaux, Toledo, &amp; Miranda, 2013)</w:t>
          </w:r>
          <w:r w:rsidR="00A2717A" w:rsidRPr="000E0F90">
            <w:rPr>
              <w:rFonts w:ascii="Arial" w:hAnsi="Arial" w:cs="Arial"/>
              <w:color w:val="000000" w:themeColor="text1"/>
            </w:rPr>
            <w:fldChar w:fldCharType="end"/>
          </w:r>
        </w:sdtContent>
      </w:sdt>
      <w:r w:rsidR="00A2717A" w:rsidRPr="000E0F90">
        <w:rPr>
          <w:rFonts w:ascii="Arial" w:hAnsi="Arial" w:cs="Arial"/>
          <w:color w:val="000000" w:themeColor="text1"/>
        </w:rPr>
        <w:t xml:space="preserve"> los discursos proveniente de los actores sociales locales, pueden ser considerados como un diagnóstico del paisaje cultural, reflejando en éstos, el estado y la tendencia del paisaje. Dado que son los receptores finales del estado actual del territorio, y por tanto permiten visibilizar situaciones que no necesariamente pueden ser identificadas a escalas superiores de análisis. </w:t>
      </w:r>
      <w:r w:rsidR="00A2717A" w:rsidRPr="000E0F90">
        <w:rPr>
          <w:rFonts w:ascii="Arial" w:hAnsi="Arial" w:cs="Arial"/>
          <w:color w:val="000000" w:themeColor="text1"/>
        </w:rPr>
        <w:fldChar w:fldCharType="begin" w:fldLock="1"/>
      </w:r>
      <w:r w:rsidR="00A2717A" w:rsidRPr="000E0F90">
        <w:rPr>
          <w:rFonts w:ascii="Arial" w:hAnsi="Arial" w:cs="Arial"/>
          <w:color w:val="000000" w:themeColor="text1"/>
        </w:rPr>
        <w:instrText>ADDIN CSL_CITATION { "citationItems" : [ { "id" : "ITEM-1", "itemData" : { "DOI" : "10.1016/j.eiar.2011.03.004", "ISSN" : "01959255", "author" : [ { "dropping-particle" : "", "family" : "P\u00e9ti", "given" : "M\u00e1rton", "non-dropping-particle" : "", "parse-names" : false, "suffix" : "" } ], "container-title" : "Environmental Impact Assessment Review", "id" : "ITEM-1", "issue" : "1", "issued" : { "date-parts" : [ [ "2012", "1" ] ] }, "page" : "61-73", "publisher" : "Elsevier Inc.", "title" : "A territorial understanding of sustainability in public development", "type" : "article-journal", "volume" : "32" }, "uris" : [ "http://www.mendeley.com/documents/?uuid=2c50d869-67be-4755-b16b-fcbc56b8af44" ] } ], "mendeley" : { "formattedCitation" : "(P\u00e9ti, 2012)", "plainTextFormattedCitation" : "(P\u00e9ti, 2012)", "previouslyFormattedCitation" : "(P\u00e9ti, 2012)" }, "properties" : { "noteIndex" : 0 }, "schema" : "https://github.com/citation-style-language/schema/raw/master/csl-citation.json" }</w:instrText>
      </w:r>
      <w:r w:rsidR="00A2717A" w:rsidRPr="000E0F90">
        <w:rPr>
          <w:rFonts w:ascii="Arial" w:hAnsi="Arial" w:cs="Arial"/>
          <w:color w:val="000000" w:themeColor="text1"/>
        </w:rPr>
        <w:fldChar w:fldCharType="separate"/>
      </w:r>
      <w:r w:rsidR="00A2717A" w:rsidRPr="000E0F90">
        <w:rPr>
          <w:rFonts w:ascii="Arial" w:hAnsi="Arial" w:cs="Arial"/>
          <w:noProof/>
          <w:color w:val="000000" w:themeColor="text1"/>
        </w:rPr>
        <w:t>(Péti, 2012)</w:t>
      </w:r>
      <w:r w:rsidR="00A2717A" w:rsidRPr="000E0F90">
        <w:rPr>
          <w:rFonts w:ascii="Arial" w:hAnsi="Arial" w:cs="Arial"/>
          <w:color w:val="000000" w:themeColor="text1"/>
        </w:rPr>
        <w:fldChar w:fldCharType="end"/>
      </w:r>
      <w:r w:rsidR="00A2717A" w:rsidRPr="000E0F90">
        <w:rPr>
          <w:rFonts w:ascii="Arial" w:hAnsi="Arial" w:cs="Arial"/>
          <w:color w:val="000000" w:themeColor="text1"/>
        </w:rPr>
        <w:t xml:space="preserve"> plantea que los habitantes de un territorio, conocen mejor su entorno local, social, económico y natural, que el contexto global.</w:t>
      </w:r>
    </w:p>
    <w:p w:rsidR="00D442C7" w:rsidRPr="000E0F90" w:rsidRDefault="00D442C7" w:rsidP="002B538F">
      <w:pPr>
        <w:spacing w:before="240" w:line="360" w:lineRule="auto"/>
        <w:rPr>
          <w:rFonts w:ascii="Arial" w:hAnsi="Arial" w:cs="Arial"/>
          <w:color w:val="000000" w:themeColor="text1"/>
        </w:rPr>
      </w:pPr>
      <w:r w:rsidRPr="000E0F90">
        <w:rPr>
          <w:rFonts w:ascii="Arial" w:hAnsi="Arial" w:cs="Arial"/>
          <w:color w:val="000000" w:themeColor="text1"/>
        </w:rPr>
        <w:t>Del mismo modo se incluyó la información histórica de los territorios, aspecto fundamental para determinar los efectos de legado medioambiental, cultural e identitario, así como el estado del capital n</w:t>
      </w:r>
      <w:r w:rsidR="00BD7820" w:rsidRPr="000E0F90">
        <w:rPr>
          <w:rFonts w:ascii="Arial" w:hAnsi="Arial" w:cs="Arial"/>
          <w:color w:val="000000" w:themeColor="text1"/>
        </w:rPr>
        <w:t>atural local, lo que determina</w:t>
      </w:r>
      <w:r w:rsidRPr="000E0F90">
        <w:rPr>
          <w:rFonts w:ascii="Arial" w:hAnsi="Arial" w:cs="Arial"/>
          <w:color w:val="000000" w:themeColor="text1"/>
        </w:rPr>
        <w:t xml:space="preserve"> las posibilidades actuales y futuras de alcanzar el desarrollo sostenible de los territorios </w:t>
      </w:r>
      <w:r w:rsidRPr="000E0F90">
        <w:rPr>
          <w:rFonts w:ascii="Arial" w:hAnsi="Arial" w:cs="Arial"/>
          <w:color w:val="000000" w:themeColor="text1"/>
        </w:rPr>
        <w:fldChar w:fldCharType="begin" w:fldLock="1"/>
      </w:r>
      <w:r w:rsidR="00935A8F">
        <w:rPr>
          <w:rFonts w:ascii="Arial" w:hAnsi="Arial" w:cs="Arial"/>
          <w:color w:val="000000" w:themeColor="text1"/>
        </w:rPr>
        <w:instrText>ADDIN CSL_CITATION { "citationItems" : [ { "id" : "ITEM-1", "itemData" : { "DOI" : "10.1007/s13280-012-0369-z", "ISSN" : "0044-7447", "PMID" : "23475652", "abstract" : "Barriers and bridges to implement policies about sustainable development and sustainability commonly depend on the past development of social-ecological systems. Production of metals required integration of use of ore, streams for energy, and wood for bioenergy and construction, as well as of multiple societal actors. Focusing on the Swedish Bergslagen region as a case study we (1) describe the phases of natural resource use triggered by metallurgy, (2) the location and spatial extent of 22 definitions of Bergslagen divided into four zones as a proxy of cumulative pressure on landscapes, and (3) analyze the consequences for natural capital and society. We found clear gradients in industrial activity, stream alteration, and amount of natural forest from the core to the periphery of Bergslagen. Additionally, the legacy of top-down governance is linked to today's poorly diversified business sector and thus municipal vulnerability. Comparing the Bergslagen case study with other similar regions in Russia and Germany, we discuss the usefulness of multiple case studies.", "author" : [ { "dropping-particle" : "", "family" : "Angelstam", "given" : "Per", "non-dropping-particle" : "", "parse-names" : false, "suffix" : "" }, { "dropping-particle" : "", "family" : "Andersson", "given" : "Kjell", "non-dropping-particle" : "", "parse-names" : false, "suffix" : "" }, { "dropping-particle" : "", "family" : "Isacson", "given" : "Maths", "non-dropping-particle" : "", "parse-names" : false, "suffix" : "" }, { "dropping-particle" : "V.", "family" : "Gavrilov", "given" : "Dmitri", "non-dropping-particle" : "", "parse-names" : false, "suffix" : "" }, { "dropping-particle" : "", "family" : "Axelsson", "given" : "Robert", "non-dropping-particle" : "", "parse-names" : false, "suffix" : "" }, { "dropping-particle" : "", "family" : "B\u00e4ckstr\u00f6m", "given" : "Mattias", "non-dropping-particle" : "", "parse-names" : false, "suffix" : "" }, { "dropping-particle" : "", "family" : "Degerman", "given" : "Erik", "non-dropping-particle" : "", "parse-names" : false, "suffix" : "" }, { "dropping-particle" : "", "family" : "Elbakidze", "given" : "Marine", "non-dropping-particle" : "", "parse-names" : false, "suffix" : "" }, { "dropping-particle" : "", "family" : "Kazakova-Apkarimova", "given" : "Elena Yu", "non-dropping-particle" : "", "parse-names" : false, "suffix" : "" }, { "dropping-particle" : "", "family" : "Sartz", "given" : "Lotta", "non-dropping-particle" : "", "parse-names" : false, "suffix" : "" }, { "dropping-particle" : "", "family" : "S\u00e4dbom", "given" : "Stefan", "non-dropping-particle" : "", "parse-names" : false, "suffix" : "" }, { "dropping-particle" : "", "family" : "T\u00f6rnblom", "given" : "Johan", "non-dropping-particle" : "", "parse-names" : false, "suffix" : "" } ], "container-title" : "Ambio", "id" : "ITEM-1", "issue" : "2", "issued" : { "date-parts" : [ [ "2013", "3" ] ] }, "page" : "146-159", "title" : "Learning about the history of landscape use for the future: Consequences for ecological and social systems in swedish Bergslagen", "type" : "article-journal", "volume" : "42" }, "uris" : [ "http://www.mendeley.com/documents/?uuid=44f22ce2-365f-4de7-be77-fe409865c3db" ] } ], "mendeley" : { "formattedCitation" : "(Angelstam et al., 2013)", "plainTextFormattedCitation" : "(Angelstam et al., 2013)", "previouslyFormattedCitation" : "(Angelstam et al., 2013)" }, "properties" : { "noteIndex" : 0 }, "schema" : "https://github.com/citation-style-language/schema/raw/master/csl-citation.json" }</w:instrText>
      </w:r>
      <w:r w:rsidRPr="000E0F90">
        <w:rPr>
          <w:rFonts w:ascii="Arial" w:hAnsi="Arial" w:cs="Arial"/>
          <w:color w:val="000000" w:themeColor="text1"/>
        </w:rPr>
        <w:fldChar w:fldCharType="separate"/>
      </w:r>
      <w:r w:rsidR="00935A8F" w:rsidRPr="00935A8F">
        <w:rPr>
          <w:rFonts w:ascii="Arial" w:hAnsi="Arial" w:cs="Arial"/>
          <w:noProof/>
          <w:color w:val="000000" w:themeColor="text1"/>
        </w:rPr>
        <w:t>(Angelstam et al., 2013)</w:t>
      </w:r>
      <w:r w:rsidRPr="000E0F90">
        <w:rPr>
          <w:rFonts w:ascii="Arial" w:hAnsi="Arial" w:cs="Arial"/>
          <w:color w:val="000000" w:themeColor="text1"/>
        </w:rPr>
        <w:fldChar w:fldCharType="end"/>
      </w:r>
      <w:r w:rsidR="00BD7820" w:rsidRPr="000E0F90">
        <w:rPr>
          <w:rFonts w:ascii="Arial" w:hAnsi="Arial" w:cs="Arial"/>
          <w:color w:val="000000" w:themeColor="text1"/>
        </w:rPr>
        <w:t>.</w:t>
      </w:r>
      <w:r w:rsidRPr="000E0F90">
        <w:rPr>
          <w:rFonts w:ascii="Arial" w:hAnsi="Arial" w:cs="Arial"/>
          <w:color w:val="000000" w:themeColor="text1"/>
        </w:rPr>
        <w:t xml:space="preserve"> </w:t>
      </w:r>
    </w:p>
    <w:p w:rsidR="00D442C7" w:rsidRPr="000E0F90" w:rsidRDefault="00D442C7" w:rsidP="002B538F">
      <w:pPr>
        <w:spacing w:before="360" w:after="0" w:line="360" w:lineRule="auto"/>
        <w:rPr>
          <w:rFonts w:ascii="Arial" w:hAnsi="Arial" w:cs="Arial"/>
          <w:b/>
          <w:color w:val="000000" w:themeColor="text1"/>
        </w:rPr>
      </w:pPr>
      <w:r w:rsidRPr="000E0F90">
        <w:rPr>
          <w:rFonts w:ascii="Arial" w:hAnsi="Arial" w:cs="Arial"/>
          <w:b/>
          <w:color w:val="000000" w:themeColor="text1"/>
        </w:rPr>
        <w:t xml:space="preserve">3. </w:t>
      </w:r>
      <w:r w:rsidR="0049698D" w:rsidRPr="000E0F90">
        <w:rPr>
          <w:rFonts w:ascii="Arial" w:hAnsi="Arial" w:cs="Arial"/>
          <w:b/>
          <w:color w:val="000000" w:themeColor="text1"/>
        </w:rPr>
        <w:t>Construcción</w:t>
      </w:r>
      <w:r w:rsidR="004310C4" w:rsidRPr="000E0F90">
        <w:rPr>
          <w:rFonts w:ascii="Arial" w:hAnsi="Arial" w:cs="Arial"/>
          <w:b/>
          <w:color w:val="000000" w:themeColor="text1"/>
        </w:rPr>
        <w:t xml:space="preserve"> </w:t>
      </w:r>
      <w:r w:rsidR="00BD7820" w:rsidRPr="000E0F90">
        <w:rPr>
          <w:rFonts w:ascii="Arial" w:hAnsi="Arial" w:cs="Arial"/>
          <w:b/>
          <w:color w:val="000000" w:themeColor="text1"/>
        </w:rPr>
        <w:t xml:space="preserve">de </w:t>
      </w:r>
      <w:r w:rsidR="00E0505F">
        <w:rPr>
          <w:rFonts w:ascii="Arial" w:hAnsi="Arial" w:cs="Arial"/>
          <w:b/>
          <w:color w:val="000000" w:themeColor="text1"/>
        </w:rPr>
        <w:t xml:space="preserve">propuesta de </w:t>
      </w:r>
      <w:r w:rsidR="00BD7820" w:rsidRPr="000E0F90">
        <w:rPr>
          <w:rFonts w:ascii="Arial" w:hAnsi="Arial" w:cs="Arial"/>
          <w:b/>
          <w:color w:val="000000" w:themeColor="text1"/>
        </w:rPr>
        <w:t>principios de sostenibilidad para territorios mineros</w:t>
      </w:r>
      <w:r w:rsidRPr="000E0F90">
        <w:rPr>
          <w:rFonts w:ascii="Arial" w:hAnsi="Arial" w:cs="Arial"/>
          <w:b/>
          <w:color w:val="000000" w:themeColor="text1"/>
        </w:rPr>
        <w:t xml:space="preserve"> </w:t>
      </w:r>
    </w:p>
    <w:p w:rsidR="000734B7" w:rsidRPr="002613F4" w:rsidRDefault="00D442C7" w:rsidP="002B538F">
      <w:pPr>
        <w:spacing w:after="240" w:line="360" w:lineRule="auto"/>
        <w:rPr>
          <w:rFonts w:ascii="Arial" w:hAnsi="Arial" w:cs="Arial"/>
          <w:color w:val="000000" w:themeColor="text1"/>
          <w:lang w:val="en-US"/>
        </w:rPr>
      </w:pPr>
      <w:r w:rsidRPr="000E0F90">
        <w:rPr>
          <w:rFonts w:ascii="Arial" w:hAnsi="Arial" w:cs="Arial"/>
          <w:color w:val="000000" w:themeColor="text1"/>
        </w:rPr>
        <w:t>Con la finalidad de elaborar una propuesta integrada</w:t>
      </w:r>
      <w:r w:rsidR="000734B7" w:rsidRPr="000E0F90">
        <w:rPr>
          <w:rFonts w:ascii="Arial" w:hAnsi="Arial" w:cs="Arial"/>
          <w:color w:val="000000" w:themeColor="text1"/>
        </w:rPr>
        <w:t xml:space="preserve"> y contextualizada</w:t>
      </w:r>
      <w:r w:rsidRPr="000E0F90">
        <w:rPr>
          <w:rFonts w:ascii="Arial" w:hAnsi="Arial" w:cs="Arial"/>
          <w:color w:val="000000" w:themeColor="text1"/>
        </w:rPr>
        <w:t xml:space="preserve">, el marco conceptual se </w:t>
      </w:r>
      <w:r w:rsidR="00CC51CE" w:rsidRPr="000E0F90">
        <w:rPr>
          <w:rFonts w:ascii="Arial" w:hAnsi="Arial" w:cs="Arial"/>
          <w:color w:val="000000" w:themeColor="text1"/>
        </w:rPr>
        <w:t>integró con</w:t>
      </w:r>
      <w:r w:rsidR="00DC7D89" w:rsidRPr="000E0F90">
        <w:rPr>
          <w:rFonts w:ascii="Arial" w:hAnsi="Arial" w:cs="Arial"/>
          <w:color w:val="000000" w:themeColor="text1"/>
        </w:rPr>
        <w:t xml:space="preserve"> la </w:t>
      </w:r>
      <w:r w:rsidR="00EB311C" w:rsidRPr="000E0F90">
        <w:rPr>
          <w:rFonts w:ascii="Arial" w:hAnsi="Arial" w:cs="Arial"/>
          <w:color w:val="000000" w:themeColor="text1"/>
        </w:rPr>
        <w:t xml:space="preserve">información </w:t>
      </w:r>
      <w:r w:rsidR="000734B7" w:rsidRPr="000E0F90">
        <w:rPr>
          <w:rFonts w:ascii="Arial" w:hAnsi="Arial" w:cs="Arial"/>
          <w:color w:val="000000" w:themeColor="text1"/>
        </w:rPr>
        <w:t xml:space="preserve">generada en los estudios de caso, </w:t>
      </w:r>
      <w:r w:rsidRPr="000E0F90">
        <w:rPr>
          <w:rFonts w:ascii="Arial" w:hAnsi="Arial" w:cs="Arial"/>
          <w:color w:val="000000" w:themeColor="text1"/>
        </w:rPr>
        <w:t xml:space="preserve">seleccionando </w:t>
      </w:r>
      <w:r w:rsidR="000734B7" w:rsidRPr="000E0F90">
        <w:rPr>
          <w:rFonts w:ascii="Arial" w:hAnsi="Arial" w:cs="Arial"/>
          <w:color w:val="000000" w:themeColor="text1"/>
        </w:rPr>
        <w:t xml:space="preserve">y reformulando </w:t>
      </w:r>
      <w:r w:rsidRPr="000E0F90">
        <w:rPr>
          <w:rFonts w:ascii="Arial" w:hAnsi="Arial" w:cs="Arial"/>
          <w:color w:val="000000" w:themeColor="text1"/>
        </w:rPr>
        <w:t xml:space="preserve">aquellos criterios </w:t>
      </w:r>
      <w:r w:rsidR="00EB311C" w:rsidRPr="000E0F90">
        <w:rPr>
          <w:rFonts w:ascii="Arial" w:hAnsi="Arial" w:cs="Arial"/>
          <w:color w:val="000000" w:themeColor="text1"/>
        </w:rPr>
        <w:t>con</w:t>
      </w:r>
      <w:r w:rsidRPr="000E0F90">
        <w:rPr>
          <w:rFonts w:ascii="Arial" w:hAnsi="Arial" w:cs="Arial"/>
          <w:color w:val="000000" w:themeColor="text1"/>
        </w:rPr>
        <w:t xml:space="preserve"> la condición de los territorios bajo estudio, del mismo modo, aspectos del ámbito local que no fuesen incorporados en la propuesta conceptual inicial, se incluyeron a la propuesta definitiva. Esta adaptación de principios y criterios, es recomendada por </w:t>
      </w:r>
      <w:r w:rsidR="000734B7" w:rsidRPr="000E0F90">
        <w:rPr>
          <w:rFonts w:ascii="Arial" w:hAnsi="Arial" w:cs="Arial"/>
          <w:color w:val="000000" w:themeColor="text1"/>
        </w:rPr>
        <w:t>diversos autores</w:t>
      </w:r>
      <w:r w:rsidR="002B41F5" w:rsidRPr="000E0F90">
        <w:rPr>
          <w:rFonts w:ascii="Arial" w:hAnsi="Arial" w:cs="Arial"/>
          <w:color w:val="000000" w:themeColor="text1"/>
        </w:rPr>
        <w:t xml:space="preserve"> </w:t>
      </w:r>
      <w:r w:rsidR="002B41F5" w:rsidRPr="000E0F90">
        <w:rPr>
          <w:rFonts w:ascii="Arial" w:hAnsi="Arial" w:cs="Arial"/>
          <w:color w:val="000000" w:themeColor="text1"/>
        </w:rPr>
        <w:fldChar w:fldCharType="begin" w:fldLock="1"/>
      </w:r>
      <w:r w:rsidR="0017610B" w:rsidRPr="000E0F90">
        <w:rPr>
          <w:rFonts w:ascii="Arial" w:hAnsi="Arial" w:cs="Arial"/>
          <w:color w:val="000000" w:themeColor="text1"/>
        </w:rPr>
        <w:instrText>ADDIN CSL_CITATION { "citationItems" : [ { "id" : "ITEM-1", "itemData" : { "author" : [ { "dropping-particle" : "", "family" : "Gibson", "given" : "Robert B", "non-dropping-particle" : "", "parse-names" : false, "suffix" : "" } ], "id" : "ITEM-1", "issue" : "3", "issued" : { "date-parts" : [ [ "2006" ] ] }, "page" : "259-280", "title" : "BEYOND THE PILLARS : SUSTAINABILITY ASSESSMENT AS A FRAMEWORK FOR EFFECTIVE INTEGRATION OF SOCIAL , ECONOMIC AND ECOLOGICAL CONSIDERATIONS IN SIGNIFICANT DECISION-MAKING The core argument here is quite simple . Because sustainability is an essentially int", "type" : "article-journal", "volume" : "8" }, "uris" : [ "http://www.mendeley.com/documents/?uuid=d3c97d20-f0ff-429a-8693-8b289fd7b587" ] } ], "mendeley" : { "formattedCitation" : "(Gibson, 2006)", "plainTextFormattedCitation" : "(Gibson, 2006)", "previouslyFormattedCitation" : "(Gibson, 2006)" }, "properties" : { "noteIndex" : 0 }, "schema" : "https://github.com/citation-style-language/schema/raw/master/csl-citation.json" }</w:instrText>
      </w:r>
      <w:r w:rsidR="002B41F5" w:rsidRPr="000E0F90">
        <w:rPr>
          <w:rFonts w:ascii="Arial" w:hAnsi="Arial" w:cs="Arial"/>
          <w:color w:val="000000" w:themeColor="text1"/>
        </w:rPr>
        <w:fldChar w:fldCharType="separate"/>
      </w:r>
      <w:r w:rsidR="004464EF" w:rsidRPr="000E0F90">
        <w:rPr>
          <w:rFonts w:ascii="Arial" w:hAnsi="Arial" w:cs="Arial"/>
          <w:noProof/>
          <w:color w:val="000000" w:themeColor="text1"/>
        </w:rPr>
        <w:t>(Gibson, 2006)</w:t>
      </w:r>
      <w:r w:rsidR="002B41F5" w:rsidRPr="000E0F90">
        <w:rPr>
          <w:rFonts w:ascii="Arial" w:hAnsi="Arial" w:cs="Arial"/>
          <w:color w:val="000000" w:themeColor="text1"/>
        </w:rPr>
        <w:fldChar w:fldCharType="end"/>
      </w:r>
      <w:r w:rsidR="002B41F5" w:rsidRPr="000E0F90">
        <w:rPr>
          <w:rFonts w:ascii="Arial" w:hAnsi="Arial" w:cs="Arial"/>
          <w:color w:val="000000" w:themeColor="text1"/>
        </w:rPr>
        <w:t xml:space="preserve"> </w:t>
      </w:r>
      <w:r w:rsidR="002B41F5" w:rsidRPr="000E0F90">
        <w:rPr>
          <w:rFonts w:ascii="Arial" w:hAnsi="Arial" w:cs="Arial"/>
          <w:color w:val="000000" w:themeColor="text1"/>
        </w:rPr>
        <w:fldChar w:fldCharType="begin" w:fldLock="1"/>
      </w:r>
      <w:r w:rsidR="002B41F5" w:rsidRPr="000E0F90">
        <w:rPr>
          <w:rFonts w:ascii="Arial" w:hAnsi="Arial" w:cs="Arial"/>
          <w:color w:val="000000" w:themeColor="text1"/>
        </w:rPr>
        <w:instrText xml:space="preserve">ADDIN CSL_CITATION { "citationItems" : [ { "id" : "ITEM-1", "itemData" : { "ISSN" : "1993-3800", "abstract" : "New Urbanism New Urbanism is an urban design movement, which arose in the USA in the early 1980s, promoting walkable, mixed-use neighbourhoods and transit-oriented development, seeking to end suburban sprawl and promote community. Characteristics include narrow streets, wide sidewalks and higher densities, qualities which we can all find in the European cities. Green Urbanism Green Urbanism is </w:instrText>
      </w:r>
      <w:r w:rsidR="002B41F5" w:rsidRPr="00B17364">
        <w:rPr>
          <w:rFonts w:ascii="Arial" w:hAnsi="Arial" w:cs="Arial"/>
          <w:color w:val="000000" w:themeColor="text1"/>
          <w:lang w:val="en-US"/>
        </w:rPr>
        <w:instrText xml:space="preserve">a conceptual model for zero-emission and zero-waste urban design, which arose in the 1990s, promoting compact energy-efficient urban development, seeking to transform and re-engineer existing city districts and regenerate the post-industrial city centre. It promotes the development of socially and environmentally sustainable city districts. This paper will first look at the timeline of important publications that have been published on sustainable design and have emerged from different schools of thought, to exemplify how gradually the notion of Green Urbanism evolved. It then identifies the intertwined principles for achieving Green Urbanism.", "author" : [ { "dropping-particle" : "", "family" : "Lehmann", "given" : "Steffen", "non-dropping-particle" : "", "parse-names" : false, "suffix" : "" } ], "container-title" : "Survey And Perspectives Integrating Environment &amp; Society", "id" : "ITEM-1", "issue" : "October", "issued" : { "date-parts" : [ [ "2010" </w:instrText>
      </w:r>
      <w:r w:rsidR="002B41F5" w:rsidRPr="000E0F90">
        <w:rPr>
          <w:rFonts w:ascii="Arial" w:hAnsi="Arial" w:cs="Arial"/>
          <w:color w:val="000000" w:themeColor="text1"/>
          <w:lang w:val="en-US"/>
        </w:rPr>
        <w:instrText>] ] }, "page" : "Art. 6", "title" : "Green Urbanism: Formulating a Series of Holistic Principles.", "type" : "article-journal", "volume" : "3" }, "uris" : [ "http://www.mendeley.com/documents/?uuid=7b43f80a-d8ec-4748-a9dc-ee203f8b89d7" ] } ], "mendeley" : { "formattedCitation" : "(Lehmann, 2010)", "plainTextFormattedCitation" : "(Lehmann, 2010)", "previouslyFormattedCitation" : "(Lehmann, 2010)" }, "properties" : { "noteIndex" : 0 }, "schema" : "https://github.com/citation-style-language/schema/raw/master/csl-citation.json" }</w:instrText>
      </w:r>
      <w:r w:rsidR="002B41F5" w:rsidRPr="000E0F90">
        <w:rPr>
          <w:rFonts w:ascii="Arial" w:hAnsi="Arial" w:cs="Arial"/>
          <w:color w:val="000000" w:themeColor="text1"/>
        </w:rPr>
        <w:fldChar w:fldCharType="separate"/>
      </w:r>
      <w:r w:rsidR="002B41F5" w:rsidRPr="000E0F90">
        <w:rPr>
          <w:rFonts w:ascii="Arial" w:hAnsi="Arial" w:cs="Arial"/>
          <w:noProof/>
          <w:color w:val="000000" w:themeColor="text1"/>
          <w:lang w:val="en-US"/>
        </w:rPr>
        <w:t>(Lehmann, 2010)</w:t>
      </w:r>
      <w:r w:rsidR="002B41F5" w:rsidRPr="000E0F90">
        <w:rPr>
          <w:rFonts w:ascii="Arial" w:hAnsi="Arial" w:cs="Arial"/>
          <w:color w:val="000000" w:themeColor="text1"/>
        </w:rPr>
        <w:fldChar w:fldCharType="end"/>
      </w:r>
      <w:r w:rsidR="002B41F5" w:rsidRPr="000E0F90">
        <w:rPr>
          <w:rFonts w:ascii="Arial" w:hAnsi="Arial" w:cs="Arial"/>
          <w:color w:val="000000" w:themeColor="text1"/>
          <w:lang w:val="en-US"/>
        </w:rPr>
        <w:t xml:space="preserve"> </w:t>
      </w:r>
      <w:r w:rsidR="002B41F5" w:rsidRPr="000E0F90">
        <w:rPr>
          <w:rFonts w:ascii="Arial" w:hAnsi="Arial" w:cs="Arial"/>
          <w:color w:val="000000" w:themeColor="text1"/>
        </w:rPr>
        <w:fldChar w:fldCharType="begin" w:fldLock="1"/>
      </w:r>
      <w:r w:rsidR="002B41F5" w:rsidRPr="000E0F90">
        <w:rPr>
          <w:rFonts w:ascii="Arial" w:hAnsi="Arial" w:cs="Arial"/>
          <w:color w:val="000000" w:themeColor="text1"/>
          <w:lang w:val="en-US"/>
        </w:rPr>
        <w:instrText>ADDIN CSL_CITATION { "citationItems" : [ { "id" : "ITEM-1", "itemData" : { "DOI" : "10.1002/sd.377", "ISBN" : "1099-1719", "ISSN" : "09680802", "abstract" : "Due to its fuzziness, the model of sustainable development has to be particularized and contextualized before it can be used as a yardstick. A local indicator system for two German cities has been developed to meet these requirements using a new conceptualization of sustainability. Initially, local problem areas were identified in a bottom-up approach by local authority personnel. These problem areas were contrasted with a set of sustainability rules, which had been systematically derived from a basic sustainability norm that gives minimum requirements for sustainable development. Indicators were specified at the interface between local problem areas and sustainability rules. The indicators are expected to provide information on whether the city is over time becoming closer to or farther removed from the respective sustainability goals in its problem areas. Copyright \u00a9 2008 John Wiley &amp; Sons, Ltd and ERP Environment.", "author" : [ { "dropping-particle" : "", "family" : "Hartmuth", "given" : "Gerhard", "non-dropping-particle" : "", "parse-names" : false, "suffix" : "" }, { "dropping-particle" : "", "family" : "Huber", "given" : "Katja", "non-dropping-particle" : "", "parse-names" : false, "suffix" : "" }, { "dropping-particle" : "", "family" : "Rink", "given" : "Dieter", "non-dropping-particle" : "", "parse-names" : false, "suffix" : "" } ], "container-title" : "Sustainable Development", "id" : "ITEM-1", "issued" : { "date-parts" : [ [ "2008" ] ] }, "page" : "261-270", "title" : "Operationalization and contextualization of sustainability at the local level", "type" : "article-journal", "volume" : "16" }, "uris" : [ "http://www.mendeley.com/documents/?uuid=d42dff2e-e1be-4349-88b3-b57cc5234755" ] } ], "mendeley" : { "formattedCitation" : "(Hartmuth et al., 2008)", "plainTextFormattedCitation" : "(Hartmuth et al., 2008)", "previouslyFormattedCitation" : "(Hartmuth et al., 2008)" }, "properties" : { "noteIndex" : 0 }, "schema" : "https://github.com/citation-style-language/schema/raw/master/csl-citation.json" }</w:instrText>
      </w:r>
      <w:r w:rsidR="002B41F5" w:rsidRPr="000E0F90">
        <w:rPr>
          <w:rFonts w:ascii="Arial" w:hAnsi="Arial" w:cs="Arial"/>
          <w:color w:val="000000" w:themeColor="text1"/>
        </w:rPr>
        <w:fldChar w:fldCharType="separate"/>
      </w:r>
      <w:r w:rsidR="002B41F5" w:rsidRPr="000E0F90">
        <w:rPr>
          <w:rFonts w:ascii="Arial" w:hAnsi="Arial" w:cs="Arial"/>
          <w:noProof/>
          <w:color w:val="000000" w:themeColor="text1"/>
          <w:lang w:val="en-US"/>
        </w:rPr>
        <w:t>(Hartmuth et al., 2008)</w:t>
      </w:r>
      <w:r w:rsidR="002B41F5" w:rsidRPr="000E0F90">
        <w:rPr>
          <w:rFonts w:ascii="Arial" w:hAnsi="Arial" w:cs="Arial"/>
          <w:color w:val="000000" w:themeColor="text1"/>
        </w:rPr>
        <w:fldChar w:fldCharType="end"/>
      </w:r>
      <w:r w:rsidR="002D53EB" w:rsidRPr="000E0F90">
        <w:rPr>
          <w:rFonts w:ascii="Arial" w:hAnsi="Arial" w:cs="Arial"/>
          <w:color w:val="000000" w:themeColor="text1"/>
          <w:lang w:val="en-US"/>
        </w:rPr>
        <w:t xml:space="preserve"> </w:t>
      </w:r>
      <w:r w:rsidR="002D53EB" w:rsidRPr="002F44F7">
        <w:rPr>
          <w:rFonts w:ascii="Arial" w:hAnsi="Arial" w:cs="Arial"/>
          <w:color w:val="000000" w:themeColor="text1"/>
        </w:rPr>
        <w:fldChar w:fldCharType="begin" w:fldLock="1"/>
      </w:r>
      <w:r w:rsidR="00D442EE" w:rsidRPr="00A830E3">
        <w:rPr>
          <w:rFonts w:ascii="Arial" w:hAnsi="Arial" w:cs="Arial"/>
          <w:color w:val="000000" w:themeColor="text1"/>
          <w:lang w:val="en-US"/>
        </w:rPr>
        <w:instrText>ADDIN CSL_CITATION { "citationItems" : [ { "id" : "ITEM-1", "itemData" : { "DOI" : "10.1016/j.jclepro.2017.03.047", "ISBN" : "9789289347945", "ISSN" : "09596526", "abstract" : "The mining industry has a major impact on society - from an economic, environmental and social perspective and due to a vast number of criteria. Which criteria should be given priority depends on where the mining operations take place. This paper's focus on the Nordic mining industry is partly due to the positive economic trend that the industry is currently experiencing and partly because very little research has been conducted on how the European mining industry addresses sustainability. The purpose of this study is therefore to examine the Nordic mining industry's sustainability practices and to develop guidelines for such efforts. The research methods used in the study include a literature review, a content analysis of sustainability reports, a review of existing sustainability initiatives, guidelines and tools, a stakeholder survey and interviews with mining company officials. Based on the findings, sustainability criteria guidelines for the Nordic mining industry are suggested in the areas of corporate governance, fair operating practices, economic aspects, human rights, labour practices, society and the environment. The content of the guidelines is discussed in the light of the sustainability practices performed by the studied mining companies.", "author" : [ { "dropping-particle" : "", "family" : "Ran\u00e4ngen", "given" : "Helena", "non-dropping-particle" : "", "parse-names" : false, "suffix" : "" }, { "dropping-particle" : "", "family" : "Lindman", "given" : "\u00c5sa", "non-dropping-particle" : "", "parse-names" : false, "suffix" : "" } ], "container-title" : "Journal of Cleaner Production", "id" : "ITEM-1", "issued" : { "date-parts" : [ [ "2017" ] ] }, "page" : "43-52", "title" : "A path towards sustainability for the Nordic mining industry", "type" : "article-journal", "volume" : "151" }, "uris" : [ "http://www.mendeley.com/documents/?uuid=6c35c3e3-ee0c-4b28-8acc-e8d00b36d33a" ] } ], "mendeley" : { "formattedCitation" : "(Ran\u00e4ngen &amp; Lindman, 2017)", "plainTextFormattedCitation" : "(Ran\u00e4ngen &amp; Lindman, 2017)", "previouslyFormattedCitation" : "(Ran\u00e4ngen &amp; Lindman, 2017)" }, "properties" : { "noteIndex" : 0 }, "schema" : "https://github.com/citation-style-language/schema/raw/master/csl-citation.json" }</w:instrText>
      </w:r>
      <w:r w:rsidR="002D53EB" w:rsidRPr="002F44F7">
        <w:rPr>
          <w:rFonts w:ascii="Arial" w:hAnsi="Arial" w:cs="Arial"/>
          <w:color w:val="000000" w:themeColor="text1"/>
        </w:rPr>
        <w:fldChar w:fldCharType="separate"/>
      </w:r>
      <w:r w:rsidR="002D53EB" w:rsidRPr="00A830E3">
        <w:rPr>
          <w:rFonts w:ascii="Arial" w:hAnsi="Arial" w:cs="Arial"/>
          <w:noProof/>
          <w:color w:val="000000" w:themeColor="text1"/>
          <w:lang w:val="en-US"/>
        </w:rPr>
        <w:t>(Ranängen &amp; Lindman, 2017)</w:t>
      </w:r>
      <w:r w:rsidR="002D53EB" w:rsidRPr="002F44F7">
        <w:rPr>
          <w:rFonts w:ascii="Arial" w:hAnsi="Arial" w:cs="Arial"/>
          <w:color w:val="000000" w:themeColor="text1"/>
        </w:rPr>
        <w:fldChar w:fldCharType="end"/>
      </w:r>
      <w:r w:rsidRPr="00A830E3">
        <w:rPr>
          <w:rFonts w:ascii="Arial" w:hAnsi="Arial" w:cs="Arial"/>
          <w:color w:val="000000" w:themeColor="text1"/>
          <w:lang w:val="en-US"/>
        </w:rPr>
        <w:t xml:space="preserve">, </w:t>
      </w:r>
      <w:r w:rsidRPr="002613F4">
        <w:rPr>
          <w:rFonts w:ascii="Arial" w:hAnsi="Arial" w:cs="Arial"/>
          <w:color w:val="000000" w:themeColor="text1"/>
          <w:lang w:val="en-US"/>
        </w:rPr>
        <w:t xml:space="preserve">puesto que los principios planteados </w:t>
      </w:r>
      <w:r w:rsidR="000734B7" w:rsidRPr="002613F4">
        <w:rPr>
          <w:rFonts w:ascii="Arial" w:hAnsi="Arial" w:cs="Arial"/>
          <w:color w:val="000000" w:themeColor="text1"/>
          <w:lang w:val="en-US"/>
        </w:rPr>
        <w:t xml:space="preserve">o normas globales </w:t>
      </w:r>
      <w:r w:rsidRPr="002613F4">
        <w:rPr>
          <w:rFonts w:ascii="Arial" w:hAnsi="Arial" w:cs="Arial"/>
          <w:color w:val="000000" w:themeColor="text1"/>
          <w:lang w:val="en-US"/>
        </w:rPr>
        <w:t xml:space="preserve">son insensibles a las condiciones particulares y prioridades de los diferentes </w:t>
      </w:r>
      <w:r w:rsidR="000734B7" w:rsidRPr="002613F4">
        <w:rPr>
          <w:rFonts w:ascii="Arial" w:hAnsi="Arial" w:cs="Arial"/>
          <w:color w:val="000000" w:themeColor="text1"/>
          <w:lang w:val="en-US"/>
        </w:rPr>
        <w:t>territorios</w:t>
      </w:r>
      <w:r w:rsidR="002B41F5" w:rsidRPr="002613F4">
        <w:rPr>
          <w:rFonts w:ascii="Arial" w:hAnsi="Arial" w:cs="Arial"/>
          <w:color w:val="000000" w:themeColor="text1"/>
          <w:lang w:val="en-US"/>
        </w:rPr>
        <w:t>.</w:t>
      </w:r>
      <w:r w:rsidRPr="002613F4">
        <w:rPr>
          <w:rFonts w:ascii="Arial" w:hAnsi="Arial" w:cs="Arial"/>
          <w:color w:val="000000" w:themeColor="text1"/>
          <w:lang w:val="en-US"/>
        </w:rPr>
        <w:t xml:space="preserve"> </w:t>
      </w:r>
    </w:p>
    <w:p w:rsidR="00E92763" w:rsidRDefault="00E92763" w:rsidP="002B538F">
      <w:pPr>
        <w:spacing w:after="240" w:line="360" w:lineRule="auto"/>
        <w:rPr>
          <w:rFonts w:ascii="Arial" w:hAnsi="Arial" w:cs="Arial"/>
          <w:color w:val="000000" w:themeColor="text1"/>
          <w:lang w:val="en-US"/>
        </w:rPr>
      </w:pPr>
    </w:p>
    <w:p w:rsidR="00E92763" w:rsidRPr="000E0F90" w:rsidRDefault="00E92763" w:rsidP="002B538F">
      <w:pPr>
        <w:spacing w:after="240" w:line="360" w:lineRule="auto"/>
        <w:rPr>
          <w:rFonts w:ascii="Arial" w:hAnsi="Arial" w:cs="Arial"/>
          <w:color w:val="000000" w:themeColor="text1"/>
          <w:lang w:val="en-US"/>
        </w:rPr>
      </w:pPr>
    </w:p>
    <w:p w:rsidR="00D442C7" w:rsidRPr="000E0F90" w:rsidRDefault="00EF18ED" w:rsidP="002B538F">
      <w:pPr>
        <w:spacing w:before="360" w:after="0" w:line="360" w:lineRule="auto"/>
        <w:rPr>
          <w:rFonts w:ascii="Arial" w:hAnsi="Arial" w:cs="Arial"/>
          <w:b/>
          <w:color w:val="000000" w:themeColor="text1"/>
        </w:rPr>
      </w:pPr>
      <w:r w:rsidRPr="000E0F90">
        <w:rPr>
          <w:rFonts w:ascii="Arial" w:hAnsi="Arial" w:cs="Arial"/>
          <w:b/>
          <w:color w:val="000000" w:themeColor="text1"/>
        </w:rPr>
        <w:lastRenderedPageBreak/>
        <w:t>4</w:t>
      </w:r>
      <w:r w:rsidR="00D442C7" w:rsidRPr="000E0F90">
        <w:rPr>
          <w:rFonts w:ascii="Arial" w:hAnsi="Arial" w:cs="Arial"/>
          <w:b/>
          <w:color w:val="000000" w:themeColor="text1"/>
        </w:rPr>
        <w:t xml:space="preserve">. Evaluación </w:t>
      </w:r>
      <w:r w:rsidR="004310C4" w:rsidRPr="000E0F90">
        <w:rPr>
          <w:rFonts w:ascii="Arial" w:hAnsi="Arial" w:cs="Arial"/>
          <w:b/>
          <w:color w:val="000000" w:themeColor="text1"/>
        </w:rPr>
        <w:t xml:space="preserve">de estado de territorios mineros </w:t>
      </w:r>
    </w:p>
    <w:p w:rsidR="00690432" w:rsidRPr="00E51C30" w:rsidRDefault="00217E87" w:rsidP="002B538F">
      <w:pPr>
        <w:spacing w:line="360" w:lineRule="auto"/>
        <w:rPr>
          <w:rFonts w:ascii="Arial" w:hAnsi="Arial" w:cs="Arial"/>
          <w:color w:val="000000" w:themeColor="text1"/>
          <w:lang w:val="en-US"/>
        </w:rPr>
      </w:pPr>
      <w:r w:rsidRPr="000E0F90">
        <w:rPr>
          <w:rFonts w:ascii="Arial" w:hAnsi="Arial" w:cs="Arial"/>
          <w:color w:val="000000" w:themeColor="text1"/>
        </w:rPr>
        <w:t xml:space="preserve">Como etapa final de este estudio, la propuesta de sostenibilidad fue utilizada como instrumento de evaluación de la sostenibilidad </w:t>
      </w:r>
      <w:r w:rsidR="00282B94" w:rsidRPr="000E0F90">
        <w:rPr>
          <w:rFonts w:ascii="Arial" w:hAnsi="Arial" w:cs="Arial"/>
          <w:color w:val="000000" w:themeColor="text1"/>
        </w:rPr>
        <w:t xml:space="preserve">de </w:t>
      </w:r>
      <w:r w:rsidRPr="000E0F90">
        <w:rPr>
          <w:rFonts w:ascii="Arial" w:hAnsi="Arial" w:cs="Arial"/>
          <w:color w:val="000000" w:themeColor="text1"/>
        </w:rPr>
        <w:t>territori</w:t>
      </w:r>
      <w:r w:rsidR="00282B94" w:rsidRPr="000E0F90">
        <w:rPr>
          <w:rFonts w:ascii="Arial" w:hAnsi="Arial" w:cs="Arial"/>
          <w:color w:val="000000" w:themeColor="text1"/>
        </w:rPr>
        <w:t>os mineros</w:t>
      </w:r>
      <w:r w:rsidRPr="000E0F90">
        <w:rPr>
          <w:rFonts w:ascii="Arial" w:hAnsi="Arial" w:cs="Arial"/>
          <w:color w:val="000000" w:themeColor="text1"/>
        </w:rPr>
        <w:t xml:space="preserve">. </w:t>
      </w:r>
      <w:r w:rsidR="00690432" w:rsidRPr="000E0F90">
        <w:rPr>
          <w:rFonts w:ascii="Arial" w:hAnsi="Arial" w:cs="Arial"/>
          <w:color w:val="000000" w:themeColor="text1"/>
        </w:rPr>
        <w:t xml:space="preserve">Diversos autores concuerdan que las </w:t>
      </w:r>
      <w:r w:rsidR="0049698D" w:rsidRPr="000E0F90">
        <w:rPr>
          <w:rFonts w:ascii="Arial" w:hAnsi="Arial" w:cs="Arial"/>
          <w:color w:val="000000" w:themeColor="text1"/>
        </w:rPr>
        <w:t>evaluaciones</w:t>
      </w:r>
      <w:r w:rsidR="00690432" w:rsidRPr="000E0F90">
        <w:rPr>
          <w:rFonts w:ascii="Arial" w:hAnsi="Arial" w:cs="Arial"/>
          <w:color w:val="000000" w:themeColor="text1"/>
        </w:rPr>
        <w:t xml:space="preserve"> de sostenibilidad requieren modelos integrativos y adaptativos, tanto de las diversas disciplinas así como en las escalas temporales y espaciales, dada la naturaleza de los problemas que enfrenta la ciencia </w:t>
      </w:r>
      <w:r w:rsidR="00096AD2" w:rsidRPr="000E0F90">
        <w:rPr>
          <w:rFonts w:ascii="Arial" w:hAnsi="Arial" w:cs="Arial"/>
          <w:color w:val="000000" w:themeColor="text1"/>
        </w:rPr>
        <w:t>de la sostenibilidad</w:t>
      </w:r>
      <w:r w:rsidR="003711D9" w:rsidRPr="000E0F90">
        <w:rPr>
          <w:rFonts w:ascii="Arial" w:hAnsi="Arial" w:cs="Arial"/>
          <w:color w:val="000000" w:themeColor="text1"/>
        </w:rPr>
        <w:t>, y que eviten en lo posible un enfoque reduccionista</w:t>
      </w:r>
      <w:r w:rsidR="00690432" w:rsidRPr="000E0F90">
        <w:rPr>
          <w:rFonts w:ascii="Arial" w:hAnsi="Arial" w:cs="Arial"/>
          <w:color w:val="000000" w:themeColor="text1"/>
        </w:rPr>
        <w:t xml:space="preserve">  </w:t>
      </w:r>
      <w:r w:rsidR="00690432" w:rsidRPr="000E0F90">
        <w:rPr>
          <w:rFonts w:ascii="Arial" w:hAnsi="Arial" w:cs="Arial"/>
          <w:color w:val="000000" w:themeColor="text1"/>
        </w:rPr>
        <w:fldChar w:fldCharType="begin" w:fldLock="1"/>
      </w:r>
      <w:r w:rsidR="00D70F3B" w:rsidRPr="000E0F90">
        <w:rPr>
          <w:rFonts w:ascii="Arial" w:hAnsi="Arial" w:cs="Arial"/>
          <w:color w:val="000000" w:themeColor="text1"/>
        </w:rPr>
        <w:instrText>ADDIN CSL_CITATION { "citationItems" : [ { "id" : "ITEM-1", "itemData" : { "DOI" : "10.1016/j.ecolind.2011.07.001", "ISBN" : "1470-160X", "ISSN" : "1470160X", "abstract" : "Revisiting the way society defines and measures progress has been identified as one of the key levers in tackling the root causes of unsustainable development. The recent economic and food crises exposed a critical weakness in the ability of currently mainstream indicators of progress to provide early warning and take adequate preventive action. Since the early 1990s a growing number of organizations have been involved in the development of indicator systems around the key socio-economic and environmental concerns of sustainable development within their own context. In order to provide guidance and promote best practice, in 1997 a global group of leading measurement and assessment experts developed the Bellagio Principles. The Bellagio Principles have become a widely quoted reference point for measuring sustainable development, but new developments in policy, science, civil society and technology have made their update necessary. The Bellagio Sustainability Assessment and Measurement Principles (BellagioSTAMP) have been developed through a similar expert group process, using the original Principles as a starting point. Intended to be used as a complete set, the new BellagioSTAMP includes eight principles: (1) Guiding vision; (2) Essential considerations; (3) Adequate scope; (4) Framework and indicators; (5) Transparency; (6) Effective communications; (7) Broad participation; and (8) Continuity and capacity. The paper provides the rationale for the revision of the principles, their detailed description and guidance for their application. \u00a9 2011 Elsevier Ltd. All rights reserved.", "author" : [ { "dropping-particle" : "", "family" : "Pint\u00e9r", "given" : "L\u00e1szl\u00f3", "non-dropping-particle" : "", "parse-names" : false, "suffix" : "" }, { "dropping-particle" : "", "family" : "Hardi", "given" : "Peter", "non-dropping-particle" : "", "parse-names" : false, "suffix" : "" }, { "dropping-particle" : "", "family" : "Martinuzzi", "given" : "Andr\u00e9", "non-dropping-particle" : "", "parse-names" : false, "suffix" : "" }, { "dropping-particle" : "", "family" : "Hall", "given" : "Jon", "non-dropping-particle" : "", "parse-names" : false, "suffix" : "" } ], "container-title" : "Ecological Indicators", "id" : "ITEM-1", "issued" : { "date-parts" : [ [ "2012" ] ] }, "page" : "20-28", "publisher" : "Elsevier Ltd", "title" : "Bellagio STAMP: Principles for sustainability assessment and measurement", "type" : "article-journal", "volume" : "17" }, "uris" : [ "http://www.mendeley.com/documents/?uuid=b68264ea-ee30-46e4-a129-90f5d4115404" ] } ], "mendeley" : { "formattedCitation" : "(Pint\u00e9r, Hardi, Martinuzzi, &amp; Hall, 2012)", "plainTextFormattedCitation" : "(Pint\u00e9r, Hardi, Martinuzzi, &amp; Hall, 2012)", "previouslyFormattedCitation" : "(Pint\u00e9r, Hardi, Martinuzzi, &amp; Hall, 2012)" }, "properties" : { "noteIndex" : 0 }, "schema" : "https://github.com/citation-style-language/schema/raw/master/csl-citation.json" }</w:instrText>
      </w:r>
      <w:r w:rsidR="00690432" w:rsidRPr="000E0F90">
        <w:rPr>
          <w:rFonts w:ascii="Arial" w:hAnsi="Arial" w:cs="Arial"/>
          <w:color w:val="000000" w:themeColor="text1"/>
        </w:rPr>
        <w:fldChar w:fldCharType="separate"/>
      </w:r>
      <w:r w:rsidR="00D70F3B" w:rsidRPr="000E0F90">
        <w:rPr>
          <w:rFonts w:ascii="Arial" w:hAnsi="Arial" w:cs="Arial"/>
          <w:noProof/>
          <w:color w:val="000000" w:themeColor="text1"/>
        </w:rPr>
        <w:t>(Pintér, Hardi, Martinuzzi, &amp; Hall, 2012)</w:t>
      </w:r>
      <w:r w:rsidR="00690432" w:rsidRPr="000E0F90">
        <w:rPr>
          <w:rFonts w:ascii="Arial" w:hAnsi="Arial" w:cs="Arial"/>
          <w:color w:val="000000" w:themeColor="text1"/>
        </w:rPr>
        <w:fldChar w:fldCharType="end"/>
      </w:r>
      <w:r w:rsidR="00690432" w:rsidRPr="000E0F90">
        <w:rPr>
          <w:rFonts w:ascii="Arial" w:hAnsi="Arial" w:cs="Arial"/>
          <w:color w:val="000000" w:themeColor="text1"/>
        </w:rPr>
        <w:t xml:space="preserve"> </w:t>
      </w:r>
      <w:r w:rsidR="00690432" w:rsidRPr="000E0F90">
        <w:rPr>
          <w:rFonts w:ascii="Arial" w:hAnsi="Arial" w:cs="Arial"/>
          <w:color w:val="000000" w:themeColor="text1"/>
        </w:rPr>
        <w:fldChar w:fldCharType="begin" w:fldLock="1"/>
      </w:r>
      <w:r w:rsidR="00690432" w:rsidRPr="000E0F90">
        <w:rPr>
          <w:rFonts w:ascii="Arial" w:hAnsi="Arial" w:cs="Arial"/>
          <w:color w:val="000000" w:themeColor="text1"/>
        </w:rPr>
        <w:instrText xml:space="preserve">ADDIN CSL_CITATION { "citationItems" : [ { "id" : "ITEM-1", "itemData" : { "DOI" : "10.1016/S0167-8809(99)00090-0", "ISBN" : "0167-8809", "ISSN" : "01678809", "abstract" : "Sustainability may be regarded as one of the most challenging and, at the same time, most fuzzy contemporary paradigms. In the present study, referring to the history of other leading ideas, this confusion is identified as a typical feature of young paradigms with a particular danger of misuse and destruction of the idea. Requirements necessary to save and evolve the paradigm of sustainability are identified. It is shown that help cannot be expected in the phrasing of a generally accepted definition. As an alternative, it is proposed to focus on the assessment procedure, where quantitative or qualitative value measures of the paradigm are developed for particular situations. The present study intends (i) to clarify the logic and terminology of the assessment process in general, (ii) to provide an effective assessment concept for sustainability in the field of agricultural land-use, and (iii) to demonstrate possible perspectives for rural planning practices. The first part displays fundamental aspects of valuation theory. The methodology of explicit assessment is introduced and described as a heuristic procedure, evolving the meaning of a term or paradigm in a socio-cultural discourse and in relation with practical experience. In the second part, focusing on sustainability assessment, the terminology, steps and elements of the general assessment procedure are defined on behalf of the assessment of land-use sustainability as an example. The iterative procedure allows developing quantitative and/or qualitative value measures for particular situations. The central element of the method is a hierarchically structured collection of viewpoints, called checklist of criteria. In a holistic, comprehensive approach towards sustainability ('strong' sustainability), five principal criteria are recommended for consideration: (i) abiotic </w:instrText>
      </w:r>
      <w:r w:rsidR="00690432" w:rsidRPr="000E0F90">
        <w:rPr>
          <w:rFonts w:ascii="Arial" w:hAnsi="Arial" w:cs="Arial"/>
          <w:color w:val="000000" w:themeColor="text1"/>
          <w:lang w:val="en-US"/>
        </w:rPr>
        <w:instrText>environment; (ii) biotic environment, including animal welfare; (iii) cultural values, defined as human emotional and mental well being and creativity of society; (iv) sociology; and (v) economy. To each principal criterion, a hierarchical list of important sub-criteria is added. For the project-specific selection of suitable sub-criteria, guidelines are described in detail. The result is an individual assessment system adapted to the natural, cultural, political and economic basic conditions of a given project. In the third part, the example of a Swiss land-use planning project shows the implementation of the methodology in practice \u2026", "author" : [ { "dropping-particle" : "", "family" : "Bosshard", "given" : "Andreas", "non-dropping-particle" : "", "parse-names" : false, "suffix" : "" } ], "container-title" : "Agriculture, Ecosystems and Environment", "id" : "ITEM-1", "issued" : { "date-parts" : [ [ "2000" ] ] }, "page" : "29-41", "title" : "A methodology and terminology of sustainability assessment and its perspectives for rural planning", "type" : "article-journal", "volume" : "77" }, "uris" : [ "http://www.mendeley.com/documents/?uuid=5910987b-cb68-4a62-bf4a-b5c90de1f444" ] } ], "mendeley" : { "formattedCitation" : "(Bosshard, 2000)", "plainTextFormattedCitation" : "(Bosshard, 2000)", "previouslyFormattedCitation" : "(Bosshard, 2000)" }, "properties" : { "noteIndex" : 0 }, "schema" : "https://github.com/citation-style-language/schema/raw/master/csl-citation.json" }</w:instrText>
      </w:r>
      <w:r w:rsidR="00690432" w:rsidRPr="000E0F90">
        <w:rPr>
          <w:rFonts w:ascii="Arial" w:hAnsi="Arial" w:cs="Arial"/>
          <w:color w:val="000000" w:themeColor="text1"/>
        </w:rPr>
        <w:fldChar w:fldCharType="separate"/>
      </w:r>
      <w:r w:rsidR="00690432" w:rsidRPr="000E0F90">
        <w:rPr>
          <w:rFonts w:ascii="Arial" w:hAnsi="Arial" w:cs="Arial"/>
          <w:noProof/>
          <w:color w:val="000000" w:themeColor="text1"/>
          <w:lang w:val="en-US"/>
        </w:rPr>
        <w:t>(Bosshard, 2000)</w:t>
      </w:r>
      <w:r w:rsidR="00690432" w:rsidRPr="000E0F90">
        <w:rPr>
          <w:rFonts w:ascii="Arial" w:hAnsi="Arial" w:cs="Arial"/>
          <w:color w:val="000000" w:themeColor="text1"/>
        </w:rPr>
        <w:fldChar w:fldCharType="end"/>
      </w:r>
      <w:r w:rsidR="00096AD2" w:rsidRPr="000E0F90">
        <w:rPr>
          <w:rFonts w:ascii="Arial" w:hAnsi="Arial" w:cs="Arial"/>
          <w:color w:val="000000" w:themeColor="text1"/>
          <w:lang w:val="en-US"/>
        </w:rPr>
        <w:t xml:space="preserve"> </w:t>
      </w:r>
      <w:r w:rsidR="00274986" w:rsidRPr="000E0F90">
        <w:rPr>
          <w:rFonts w:ascii="Arial" w:hAnsi="Arial" w:cs="Arial"/>
          <w:color w:val="000000" w:themeColor="text1"/>
        </w:rPr>
        <w:fldChar w:fldCharType="begin" w:fldLock="1"/>
      </w:r>
      <w:r w:rsidR="00E76E60" w:rsidRPr="000E0F90">
        <w:rPr>
          <w:rFonts w:ascii="Arial" w:hAnsi="Arial" w:cs="Arial"/>
          <w:color w:val="000000" w:themeColor="text1"/>
          <w:lang w:val="en-US"/>
        </w:rPr>
        <w:instrText>ADDIN CSL_CITATION { "citationItems" : [ { "id" : "ITEM-1", "itemData" : { "DOI" : "10.1016/j.eiar.2007.09.002", "ISSN" : "01959255", "author" : [ { "dropping-particle" : "", "family" : "Gasparatos", "given" : "Alexandros", "non-dropping-particle" : "", "parse-names" : false, "suffix" : "" }, { "dropping-particle" : "", "family" : "El-Haram", "given" : "Mohamed", "non-dropping-particle" : "", "parse-names" : false, "suffix" : "" }, { "dropping-particle" : "", "family" : "Horner", "given" : "Malcolm", "non-dropping-particle" : "", "parse-names" : false, "suffix" : "" } ], "container-title" : "Environmental Impact Assessment Review", "id" : "ITEM-1", "issue" : "4-5", "issued" : { "date-parts" : [ [ "2008", "5" ] ] }, "page" : "286-311", "title" : "A critical review of reductionist approaches for assessing the progress towards sustainability", "type" : "article-journal", "volume" : "28" }, "uris" : [ "http://www.mendeley.com/documents/?uuid=b9540f14-0a76-45c4-bb9d-fd24ebeffe34" ] } ], "mendeley" : { "formattedCitation" : "(Gasparatos, El-Haram, &amp; Horner, 2008)", "plainTextFormattedCitation" : "(Gasparatos, El-Haram, &amp; Horner, 2008)", "previouslyFormattedCitation" : "(Gasparatos, El-Haram, &amp; Horner, 2008)" }, "properties" : { "noteIndex" : 0 }, "schema" : "https://github.com/citation-style-language/schema/raw/master/csl-citation.json" }</w:instrText>
      </w:r>
      <w:r w:rsidR="00274986" w:rsidRPr="000E0F90">
        <w:rPr>
          <w:rFonts w:ascii="Arial" w:hAnsi="Arial" w:cs="Arial"/>
          <w:color w:val="000000" w:themeColor="text1"/>
        </w:rPr>
        <w:fldChar w:fldCharType="separate"/>
      </w:r>
      <w:r w:rsidR="00274986" w:rsidRPr="000E0F90">
        <w:rPr>
          <w:rFonts w:ascii="Arial" w:hAnsi="Arial" w:cs="Arial"/>
          <w:noProof/>
          <w:color w:val="000000" w:themeColor="text1"/>
          <w:lang w:val="en-US"/>
        </w:rPr>
        <w:t>(Gasparatos, El-Haram, &amp; Horner, 2008)</w:t>
      </w:r>
      <w:r w:rsidR="00274986" w:rsidRPr="000E0F90">
        <w:rPr>
          <w:rFonts w:ascii="Arial" w:hAnsi="Arial" w:cs="Arial"/>
          <w:color w:val="000000" w:themeColor="text1"/>
        </w:rPr>
        <w:fldChar w:fldCharType="end"/>
      </w:r>
      <w:r w:rsidR="00E76E60" w:rsidRPr="000E0F90">
        <w:rPr>
          <w:rFonts w:ascii="Arial" w:hAnsi="Arial" w:cs="Arial"/>
          <w:color w:val="000000" w:themeColor="text1"/>
          <w:lang w:val="en-US"/>
        </w:rPr>
        <w:t xml:space="preserve"> </w:t>
      </w:r>
      <w:r w:rsidR="00E76E60" w:rsidRPr="000E0F90">
        <w:rPr>
          <w:rFonts w:ascii="Arial" w:hAnsi="Arial" w:cs="Arial"/>
          <w:color w:val="000000" w:themeColor="text1"/>
        </w:rPr>
        <w:fldChar w:fldCharType="begin" w:fldLock="1"/>
      </w:r>
      <w:r w:rsidR="0017610B" w:rsidRPr="000E0F90">
        <w:rPr>
          <w:rFonts w:ascii="Arial" w:hAnsi="Arial" w:cs="Arial"/>
          <w:color w:val="000000" w:themeColor="text1"/>
          <w:lang w:val="en-US"/>
        </w:rPr>
        <w:instrText>ADDIN CSL_CITATION { "citationItems" : [ { "id" : "ITEM-1", "itemData" : { "author" : [ { "dropping-particle" : "", "family" : "Gibson", "given" : "Robert B", "non-dropping-particle" : "", "parse-names" : false, "suffix" : "" } ], "id" : "ITEM-1", "issue" : "3", "issued" : { "date-parts" : [ [ "2006" ] ] }, "page" : "259-280", "title" : "BEYOND THE PILLARS : SUSTAINABILITY ASSESSMENT AS A FRAMEWORK FOR EFFECTIVE INTEGRATION OF SOCIAL , ECONOMIC AND ECOLOGICAL CONSIDERATIONS IN SIGNIFICANT DECISION-MAKING The core argument here is quite simple . Because sustainability is an essentially int", "type" : "article-journal", "volume" : "8" }, "uris" : [ "http://www.mendeley.com/documents/?uuid=d3c97d20-f0ff-429a-8693-8b289fd7b587" ] } ], "mendeley" : { "formattedCitation" : "(Gibson, 2006)", "plainTextFormattedCitation" : "(Gibson, 2006)", "previouslyFormattedCitation" : "(Gibson, 2006)" }, "properties" : { "noteIndex" : 0 }, "schema" : "https://github.com/citation-style-language/schema/raw/master/csl-citation.json" }</w:instrText>
      </w:r>
      <w:r w:rsidR="00E76E60" w:rsidRPr="000E0F90">
        <w:rPr>
          <w:rFonts w:ascii="Arial" w:hAnsi="Arial" w:cs="Arial"/>
          <w:color w:val="000000" w:themeColor="text1"/>
        </w:rPr>
        <w:fldChar w:fldCharType="separate"/>
      </w:r>
      <w:r w:rsidR="004464EF" w:rsidRPr="000E0F90">
        <w:rPr>
          <w:rFonts w:ascii="Arial" w:hAnsi="Arial" w:cs="Arial"/>
          <w:noProof/>
          <w:color w:val="000000" w:themeColor="text1"/>
          <w:lang w:val="en-US"/>
        </w:rPr>
        <w:t>(Gibson, 2006)</w:t>
      </w:r>
      <w:r w:rsidR="00E76E60" w:rsidRPr="000E0F90">
        <w:rPr>
          <w:rFonts w:ascii="Arial" w:hAnsi="Arial" w:cs="Arial"/>
          <w:color w:val="000000" w:themeColor="text1"/>
        </w:rPr>
        <w:fldChar w:fldCharType="end"/>
      </w:r>
      <w:r w:rsidR="0073587D" w:rsidRPr="000E0F90">
        <w:rPr>
          <w:rFonts w:ascii="Arial" w:hAnsi="Arial" w:cs="Arial"/>
          <w:color w:val="000000" w:themeColor="text1"/>
          <w:lang w:val="en-US"/>
        </w:rPr>
        <w:t xml:space="preserve"> </w:t>
      </w:r>
      <w:r w:rsidR="0073587D" w:rsidRPr="000E0F90">
        <w:rPr>
          <w:rFonts w:ascii="Arial" w:hAnsi="Arial" w:cs="Arial"/>
          <w:color w:val="000000" w:themeColor="text1"/>
        </w:rPr>
        <w:fldChar w:fldCharType="begin" w:fldLock="1"/>
      </w:r>
      <w:r w:rsidR="00E7611B" w:rsidRPr="000E0F90">
        <w:rPr>
          <w:rFonts w:ascii="Arial" w:hAnsi="Arial" w:cs="Arial"/>
          <w:color w:val="000000" w:themeColor="text1"/>
          <w:lang w:val="en-US"/>
        </w:rPr>
        <w:instrText>ADDIN CSL_CITATION { "citationItems" : [ { "id" : "ITEM-1", "itemData" : { "DOI" : "10.1016/j.ecolecon.2005.11.008", "ISBN" : "0921-8009", "ISSN" : "09218009", "abstract" : "Sustainability indicators based on local data provide a practical method to monitor progress towards sustainable development. However, since there are many conflicting frameworks proposed to develop indicators, it is unclear how best to collect these data. The purpose of this paper is to analyse the literature on developing and applying sustainability indicators at local scales to develop a methodological framework that summarises best practice. First, two ideological paradigms are outlined: one that is expert-led and top-down, and one that is community-based and bottom-up. Second, the paper assesses the methodological steps proposed in each paradigm to identify, select and measure indicators. Finally, the paper concludes by proposing a learning process that integrates best practice for stakeholder-led local sustainability assessments. By integrating approaches from different paradigms, the proposed process offers a holistic approach for measuring progress towards sustainable development. It emphasizes the importance of participatory approaches setting the context for sustainability assessment at local scales, but stresses the role of expert-led methods in indicator evaluation and dissemination. Research findi</w:instrText>
      </w:r>
      <w:r w:rsidR="00E7611B" w:rsidRPr="00E51C30">
        <w:rPr>
          <w:rFonts w:ascii="Arial" w:hAnsi="Arial" w:cs="Arial"/>
          <w:color w:val="000000" w:themeColor="text1"/>
          <w:lang w:val="en-US"/>
        </w:rPr>
        <w:instrText>ngs from around the world are used to show how the proposed process can be used to develop quantitative and qualitative indicators that are both scientifically rigorous and objective while remaining easy to collect and interpret for communities. ?? 2005 Elsevier B.V. All rights reserved.", "author" : [ { "dropping-particle" : "", "family" : "Reed", "given" : "Mark S.", "non-dropping-particle" : "", "parse-names" : false, "suffix" : "" }, { "dropping-particle" : "", "family" : "Fraser", "given" : "Evan D G", "non-dropping-particle" : "", "parse-names" : false, "suffix" : "" }, { "dropping-particle" : "", "family" : "Dougill", "given" : "Andrew J.", "non-dropping-particle" : "", "parse-names" : false, "suffix" : "" } ], "container-title" : "Ecological Economics", "id" : "ITEM-1", "issued" : { "date-parts" : [ [ "2006" ] ] }, "page" : "406-418", "title" : "An adaptive learning process for developing and applying sustainability indicators with local communities", "type" : "article-journal", "volume" : "59" }, "uris" : [ "http://www.mendeley.com/documents/?uuid=ce227a0b-04c8-4c27-8d53-f27c31dc27fc" ] } ], "mendeley" : { "formattedCitation" : "(Reed, Fraser, &amp; Dougill, 2006)", "plainTextFormattedCitation" : "(Reed, Fraser, &amp; Dougill, 2006)", "previouslyFormattedCitation" : "(Reed, Fraser, &amp; Dougill, 2006)" }, "properties" : { "noteIndex" : 0 }, "schema" : "https://github.com/citation-style-language/schema/raw/master/csl-citation.json" }</w:instrText>
      </w:r>
      <w:r w:rsidR="0073587D" w:rsidRPr="000E0F90">
        <w:rPr>
          <w:rFonts w:ascii="Arial" w:hAnsi="Arial" w:cs="Arial"/>
          <w:color w:val="000000" w:themeColor="text1"/>
        </w:rPr>
        <w:fldChar w:fldCharType="separate"/>
      </w:r>
      <w:r w:rsidR="00F22AA6" w:rsidRPr="00E51C30">
        <w:rPr>
          <w:rFonts w:ascii="Arial" w:hAnsi="Arial" w:cs="Arial"/>
          <w:noProof/>
          <w:color w:val="000000" w:themeColor="text1"/>
          <w:lang w:val="en-US"/>
        </w:rPr>
        <w:t>(Reed, Fraser, &amp; Dougill, 2006)</w:t>
      </w:r>
      <w:r w:rsidR="0073587D" w:rsidRPr="000E0F90">
        <w:rPr>
          <w:rFonts w:ascii="Arial" w:hAnsi="Arial" w:cs="Arial"/>
          <w:color w:val="000000" w:themeColor="text1"/>
        </w:rPr>
        <w:fldChar w:fldCharType="end"/>
      </w:r>
      <w:r w:rsidR="003711D9" w:rsidRPr="00E51C30">
        <w:rPr>
          <w:rFonts w:ascii="Arial" w:hAnsi="Arial" w:cs="Arial"/>
          <w:color w:val="000000" w:themeColor="text1"/>
          <w:lang w:val="en-US"/>
        </w:rPr>
        <w:t xml:space="preserve"> </w:t>
      </w:r>
      <w:r w:rsidR="00230D79" w:rsidRPr="00E51C30">
        <w:rPr>
          <w:rFonts w:ascii="Arial" w:hAnsi="Arial" w:cs="Arial"/>
          <w:color w:val="000000" w:themeColor="text1"/>
          <w:lang w:val="en-US"/>
        </w:rPr>
        <w:t>(Bond et al., 2012)</w:t>
      </w:r>
      <w:r w:rsidR="00690432" w:rsidRPr="00E51C30">
        <w:rPr>
          <w:rFonts w:ascii="Arial" w:hAnsi="Arial" w:cs="Arial"/>
          <w:color w:val="000000" w:themeColor="text1"/>
          <w:lang w:val="en-US"/>
        </w:rPr>
        <w:t xml:space="preserve">. </w:t>
      </w:r>
    </w:p>
    <w:p w:rsidR="00230D79" w:rsidRPr="00230D79" w:rsidRDefault="00230D79" w:rsidP="00230D79">
      <w:pPr>
        <w:tabs>
          <w:tab w:val="left" w:pos="1110"/>
        </w:tabs>
        <w:spacing w:line="360" w:lineRule="auto"/>
        <w:rPr>
          <w:rFonts w:ascii="Arial" w:hAnsi="Arial" w:cs="Arial"/>
          <w:color w:val="000000" w:themeColor="text1"/>
          <w:lang w:val="en-US"/>
        </w:rPr>
      </w:pPr>
      <w:r>
        <w:rPr>
          <w:rFonts w:ascii="Arial" w:hAnsi="Arial" w:cs="Arial"/>
          <w:color w:val="000000" w:themeColor="text1"/>
        </w:rPr>
        <w:t>Puesto que la propuesta incorporó fuentes de información científica</w:t>
      </w:r>
      <w:r w:rsidRPr="00230D79">
        <w:rPr>
          <w:rFonts w:ascii="Arial" w:hAnsi="Arial" w:cs="Arial"/>
          <w:color w:val="000000" w:themeColor="text1"/>
        </w:rPr>
        <w:t xml:space="preserve"> </w:t>
      </w:r>
      <w:r>
        <w:rPr>
          <w:rFonts w:ascii="Arial" w:hAnsi="Arial" w:cs="Arial"/>
          <w:color w:val="000000" w:themeColor="text1"/>
        </w:rPr>
        <w:t xml:space="preserve">y fuentes de información local, existe una </w:t>
      </w:r>
      <w:r w:rsidRPr="000E0F90">
        <w:rPr>
          <w:rFonts w:ascii="Arial" w:hAnsi="Arial" w:cs="Arial"/>
          <w:color w:val="000000" w:themeColor="text1"/>
        </w:rPr>
        <w:t>selección exhaustiva</w:t>
      </w:r>
      <w:r>
        <w:rPr>
          <w:rFonts w:ascii="Arial" w:hAnsi="Arial" w:cs="Arial"/>
          <w:color w:val="000000" w:themeColor="text1"/>
        </w:rPr>
        <w:t xml:space="preserve"> </w:t>
      </w:r>
      <w:r w:rsidRPr="000E0F90">
        <w:rPr>
          <w:rFonts w:ascii="Arial" w:hAnsi="Arial" w:cs="Arial"/>
          <w:color w:val="000000" w:themeColor="text1"/>
        </w:rPr>
        <w:t xml:space="preserve">de criterios </w:t>
      </w:r>
      <w:r>
        <w:rPr>
          <w:rFonts w:ascii="Arial" w:hAnsi="Arial" w:cs="Arial"/>
          <w:color w:val="000000" w:themeColor="text1"/>
        </w:rPr>
        <w:t xml:space="preserve">con </w:t>
      </w:r>
      <w:r w:rsidRPr="000E0F90">
        <w:rPr>
          <w:rFonts w:ascii="Arial" w:hAnsi="Arial" w:cs="Arial"/>
          <w:color w:val="000000" w:themeColor="text1"/>
        </w:rPr>
        <w:t>aspectos críticos locales</w:t>
      </w:r>
      <w:r>
        <w:rPr>
          <w:rFonts w:ascii="Arial" w:hAnsi="Arial" w:cs="Arial"/>
          <w:color w:val="000000" w:themeColor="text1"/>
        </w:rPr>
        <w:t xml:space="preserve">. La utilización de la propuesta como herramienta de evaluación es altamente recomendada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"10.1016/j.ecolind.2011.07.001", "ISBN" : "1470-160X", "ISSN" : "1470160X", "abstract" : "Revisiting the way society defines and measures progress has been identified as one of the key levers in tackling the root causes of unsustainable development. The recent economic and food crises exposed a critical weakness in the ability of currently mainstream indicators of progress to provide early warning and take adequate preventive action. Since the early 1990s a growing number of organizations have been involved in the development of indicator systems around the key socio-economic and environmental concerns of sustainable development within their own context. In order to provide guidance and promote best practice, in 1997 a global group of leading measurement and assessment experts developed the Bellagio Principles. The Bellagio Principles have become a widely quoted reference point for measuring sustainable development, but new developments in policy, science, civil society and technology have made their update necessary. The Bellagio Sustainability Assessment and Measurement Principles (BellagioSTAMP) have been developed through a similar expert group process, using the original Principles as a starting point. Intended to be used as a complete set, the new BellagioSTAMP includes eight principles: (1) Guiding vision; (2) Essential considerations; (3) Adequate scope; (4) Framework and indicators; (5) Transparency; (6) Effective communications; (7) Broad participation; and (8) Continuity and capacity. The paper provides the rationale for the revision of the principles, their detailed description and guidance for their application. \u00a9 2011 Elsevier Ltd. All rights reserved.", "author" : [ { "dropping-particle" : "", "family" : "Pint\u00e9r", "given" : "L\u00e1szl\u00f3", "non-dropping-particle" : "", "parse-names" : false, "suffix" : "" }, { "dropping-particle" : "", "family" : "Hardi", "given" : "Peter", "non-dropping-particle" : "", "parse-names" : false, "suffix" : "" }, { "dropping-particle" : "", "family" : "Martinuzzi", "given" : "Andr\u00e9", "non-dropping-particle" : "", "parse-names" : false, "suffix" : "" }, { "dropping-particle" : "", "family" : "Hall", "given" : "Jon", "non-dropping-particle" : "", "parse-names" : false, "suffix" : "" } ], "container-title" : "Ecological Indicators", "id" : "ITEM-1", "issued" : { "date-parts" : [ [ "2012" ] ] }, "page" : "20-28", "publisher" : "Elsevier Ltd", "title" : "Bellagio STAMP: Principles for sustainability assessment and measurement", "type" : "article-journal", "volume" : "17" }, "uris" : [ "http://www.mendeley.com/documents/?uuid=b68264ea-ee30-46e4-a129-90f5d4115404" ] } ], "mendeley" : { "formattedCitation" : "(Pint\u00e9r et al., 2012)", "plainTextFormattedCitation" : "(Pint\u00e9r et al., 2012)", "previouslyFormattedCitation" : "(Pint\u00e9r et al., 2012)"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(Pintér et al., 2012)</w:t>
      </w:r>
      <w:r w:rsidRPr="000E0F90">
        <w:rPr>
          <w:rFonts w:ascii="Arial" w:hAnsi="Arial" w:cs="Arial"/>
          <w:color w:val="000000" w:themeColor="text1"/>
        </w:rPr>
        <w:fldChar w:fldCharType="end"/>
      </w:r>
      <w:r>
        <w:rPr>
          <w:rFonts w:ascii="Arial" w:hAnsi="Arial" w:cs="Arial"/>
          <w:color w:val="000000" w:themeColor="text1"/>
        </w:rPr>
        <w:t xml:space="preserve">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"10.1007/s11769-011-0490-0", "ISSN" : "1002-0063", "author" : [ { "dropping-particle" : "", "family" : "Peng", "given" : "Jian", "non-dropping-particle" : "", "parse-names" : false, "suffix" : "" }, { "dropping-particle" : "", "family" : "Wang", "given" : "Yanglin", "non-dropping-particle" : "", "parse-names" : false, "suffix" : "" }, { "dropping-particle" : "", "family" : "Wu", "given" : "Jiansheng", "non-dropping-particle" : "", "parse-names" : false, "suffix" : "" }, { "dropping-particle" : "", "family" : "Shen", "given" : "Hong", "non-dropping-particle" : "", "parse-names" : false, "suffix" : "" }, { "dropping-particle" : "", "family" : "Pan", "given" : "Yajing", "non-dropping-particle" : "", "parse-names" : false, "suffix" : "" } ], "container-title" : "Chinese Geographical Science", "id" : "ITEM-1", "issue" : "4", "issued" : { "date-parts" : [ [ "2011", "7", "26" ] ] }, "page" : "496-510", "title" : "Research progress on evaluation frameworks of regional ecological sustainability", "type" : "article-journal", "volume" : "21" }, "uris" : [ "http://www.mendeley.com/documents/?uuid=b4c96145-792e-44ab-a870-e9e88e8bfaea" ] } ], "mendeley" : { "formattedCitation" : "(Peng, Wang, Wu, Shen, &amp; Pan, 2011)", "plainTextFormattedCitation" : "(Peng, Wang, Wu, Shen, &amp; Pan, 2011)", "previouslyFormattedCitation" : "(Peng, Wang, Wu, Shen, &amp; Pan, 2011)"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(Peng, Wang, Wu, Shen, &amp; Pan, 2011)</w:t>
      </w:r>
      <w:r w:rsidRPr="000E0F90">
        <w:rPr>
          <w:rFonts w:ascii="Arial" w:hAnsi="Arial" w:cs="Arial"/>
          <w:color w:val="000000" w:themeColor="text1"/>
        </w:rPr>
        <w:fldChar w:fldCharType="end"/>
      </w:r>
      <w:r w:rsidRPr="00230D79">
        <w:rPr>
          <w:rFonts w:ascii="Arial" w:hAnsi="Arial" w:cs="Arial"/>
          <w:color w:val="000000" w:themeColor="text1"/>
        </w:rPr>
        <w:t xml:space="preserve">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"10.1016/j.ecolecon.2005.11.008", "ISBN" : "0921-8009", "ISSN" : "09218009", "abstract" : "Sustainability indicators based on local data provide a practical method to monitor progress towards sustainable development. However, since there are many conflicting frameworks proposed to develop indicators, it is unclear how best to collect these data. The purpose of this paper is to analyse the literature on developing and applying sustainability indicators at local scales to develop a methodological framework that summarises best practice. First, two ideological paradigms are outlined: one that is expert-led and top-down, and one that is community-based and bottom-up. Second, the paper assesses the methodological steps proposed in each paradigm to identify, select and measure indicators. Finally, the paper concludes by proposing a learning process that integrates best practice for stakeholder-led local sustainability assessments. By integrating approaches from different paradigms, the proposed process offers a holistic approach for measuring progress towards sustainable development. It emphasizes the importance of participatory approaches setting the context for sustainability assessment at local scales, but stresses the role of expert-led methods in indicator evaluation and dissemination. Research findings from around the world are used to show how the proposed process can be used to develop quantitative and qualitative indicators that are both scientifically rigorous and objective while remaining easy to collect and interpret for communities. ?? 2005 Elsevier B.V. All rights reserved.", "author" : [ { "dropping-particle" : "", "family" : "Reed", "given" : "Mark S.", "non-dropping-particle" : "", "parse-names" : false, "suffix" : "" }, { "dropping-particle" : "", "family" : "Fraser", "given" : "Evan D G", "non-dropping-particle" : "", "parse-names" : false, "suffix" : "" }, { "dropping-particle" : "", "family" : "Dougill", "given" : "Andrew J.", "non-dropping-particle" : "", "parse-names" : false, "suffix" : "" } ], "container-title" : "Ecological Economics", "id" : "ITEM-1", "issued" : { "date-parts" : [ [ "2006" ] ] }, "page" : "406-418", "title" : "An adaptive learning process for developing and applying sustainability indicators with local communities", "type" : "article-journal", "volume" : "59" }, "uris" : [ "http://www.mendeley.com/documents/?uuid=ce227a0b-04c8-4c27-8d53-f27c31dc27fc" ] } ], "mendeley" : { "formattedCitation" : "(Reed et al., 2006)", "plainTextFormattedCitation" : "(Reed et al., 2006)", "previouslyFormattedCitation" : "(Reed et al., 2006)"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(Reed et al., 2006)</w:t>
      </w:r>
      <w:r w:rsidRPr="000E0F90">
        <w:rPr>
          <w:rFonts w:ascii="Arial" w:hAnsi="Arial" w:cs="Arial"/>
          <w:color w:val="000000" w:themeColor="text1"/>
        </w:rPr>
        <w:fldChar w:fldCharType="end"/>
      </w:r>
      <w:r w:rsidRPr="000E0F90">
        <w:rPr>
          <w:rFonts w:ascii="Arial" w:hAnsi="Arial" w:cs="Arial"/>
          <w:color w:val="000000" w:themeColor="text1"/>
        </w:rPr>
        <w:t>.</w:t>
      </w:r>
      <w:r>
        <w:rPr>
          <w:rFonts w:ascii="Arial" w:hAnsi="Arial" w:cs="Arial"/>
          <w:color w:val="000000" w:themeColor="text1"/>
        </w:rPr>
        <w:t xml:space="preserve"> Al igual que </w:t>
      </w:r>
      <w:r w:rsidRPr="00230D79">
        <w:rPr>
          <w:rFonts w:ascii="Arial" w:hAnsi="Arial" w:cs="Arial"/>
          <w:color w:val="000000" w:themeColor="text1"/>
        </w:rPr>
        <w:t>el sistema de evaluación este adaptado</w:t>
      </w:r>
      <w:r>
        <w:rPr>
          <w:rFonts w:ascii="Arial" w:hAnsi="Arial" w:cs="Arial"/>
          <w:color w:val="000000" w:themeColor="text1"/>
        </w:rPr>
        <w:t xml:space="preserve"> </w:t>
      </w:r>
      <w:r w:rsidRPr="00230D79">
        <w:rPr>
          <w:rFonts w:ascii="Arial" w:hAnsi="Arial" w:cs="Arial"/>
          <w:color w:val="000000" w:themeColor="text1"/>
        </w:rPr>
        <w:t>a la escala de análisis</w:t>
      </w:r>
      <w:r>
        <w:rPr>
          <w:rFonts w:ascii="Arial" w:hAnsi="Arial" w:cs="Arial"/>
          <w:color w:val="000000" w:themeColor="text1"/>
        </w:rPr>
        <w:t xml:space="preserve"> </w:t>
      </w:r>
      <w:r w:rsidRPr="000E0F90">
        <w:rPr>
          <w:rFonts w:ascii="Arial" w:hAnsi="Arial" w:cs="Arial"/>
          <w:color w:val="000000" w:themeColor="text1"/>
        </w:rPr>
        <w:fldChar w:fldCharType="begin" w:fldLock="1"/>
      </w:r>
      <w:r w:rsidRPr="000E0F90">
        <w:rPr>
          <w:rFonts w:ascii="Arial" w:hAnsi="Arial" w:cs="Arial"/>
          <w:color w:val="000000" w:themeColor="text1"/>
        </w:rPr>
        <w:instrText xml:space="preserve">ADDIN CSL_CITATION { "citationItems" : [ { "id" : "ITEM-1", "itemData" : { "DOI" : "10.1016/S0167-8809(99)00090-0", "ISBN" : "0167-8809", "ISSN" : "01678809", "abstract" : "Sustainability may be regarded as one of the most challenging and, at the same time, most fuzzy contemporary paradigms. In the present study, referring to the history of other leading ideas, this confusion is identified as a typical feature of young paradigms with a particular danger of misuse and destruction of the idea. Requirements necessary to save and evolve the paradigm of sustainability are identified. It is shown that help cannot be expected in the phrasing of a generally accepted definition. As an alternative, it is proposed to focus on the assessment procedure, where quantitative or qualitative value measures of the paradigm are developed for particular situations. The present study intends (i) to clarify the logic and terminology of the assessment process in general, (ii) to provide an effective assessment concept for sustainability in the field of agricultural land-use, and (iii) to demonstrate possible perspectives for rural planning practices. The first part displays fundamental aspects of valuation theory. The methodology of explicit assessment is introduced and described as a heuristic procedure, evolving the meaning of a term or paradigm in a socio-cultural discourse and in relation with practical experience. In the second part, focusing on sustainability assessment, the terminology, steps and elements of the general assessment procedure are defined on behalf of the assessment of land-use sustainability as an example. The iterative procedure allows developing quantitative and/or qualitative value measures for particular situations. The central element of the method is a hierarchically structured collection of viewpoints, called checklist of criteria. In a holistic, comprehensive approach towards sustainability ('strong' sustainability), five principal criteria are recommended for consideration: (i) abiotic </w:instrText>
      </w:r>
      <w:r w:rsidRPr="00230D79">
        <w:rPr>
          <w:rFonts w:ascii="Arial" w:hAnsi="Arial" w:cs="Arial"/>
          <w:color w:val="000000" w:themeColor="text1"/>
          <w:lang w:val="en-US"/>
        </w:rPr>
        <w:instrText>environment; (ii) biotic environment, including animal welfare; (iii) cultural values, defined as human emotional and mental well being and creativity of society; (iv) sociology; and (v) economy. To each principal criterion, a hierarchical list of important sub-criteria is added. For the project-specific selection of suitable sub-criteria, guidelines are described in detail. The result is an individual assessment system adapted to the natural, cultural, political and economic basic conditions of a given project. In the third part, the example of a Swiss land-use planning project shows the implementation of the methodology in practice \u2026", "author" : [ { "dropping-particle" : "", "family" : "Bosshard", "given" : "Andreas", "non-dropping-particle" : "", "parse-names" : false, "suffix" : "" } ], "container-title" : "Agriculture, Ecosystems and Environment", "id" : "ITEM-1", "issued" : { "date-parts" : [ [ "2000" ] ] }, "page"</w:instrText>
      </w:r>
      <w:r w:rsidRPr="000E0F90">
        <w:rPr>
          <w:rFonts w:ascii="Arial" w:hAnsi="Arial" w:cs="Arial"/>
          <w:color w:val="000000" w:themeColor="text1"/>
          <w:lang w:val="en-US"/>
        </w:rPr>
        <w:instrText xml:space="preserve"> : "29-41", "title" : "A methodology and terminology of sustainability assessment and its perspectives for rural planning", "type" : "article-journal", "volume" : "77" }, "uris" : [ "http://www.mendeley.com/documents/?uuid=5910987b-cb68-4a62-bf4a-b5c90de1f444" ] } ], "mendeley" : { "formattedCitation" : "(Bosshard, 2000)", "plainTextFormattedCitation" : "(Bosshard, 2000)", "previouslyFormattedCitation" : "(Bosshard, 2000)"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lang w:val="en-US"/>
        </w:rPr>
        <w:t>(Bosshard, 2000)</w:t>
      </w:r>
      <w:r w:rsidRPr="000E0F90">
        <w:rPr>
          <w:rFonts w:ascii="Arial" w:hAnsi="Arial" w:cs="Arial"/>
          <w:color w:val="000000" w:themeColor="text1"/>
        </w:rPr>
        <w:fldChar w:fldCharType="end"/>
      </w:r>
      <w:r w:rsidRPr="000E0F90">
        <w:rPr>
          <w:rFonts w:ascii="Arial" w:hAnsi="Arial" w:cs="Arial"/>
          <w:color w:val="000000" w:themeColor="text1"/>
          <w:lang w:val="en-US"/>
        </w:rPr>
        <w:t xml:space="preserve"> </w:t>
      </w:r>
      <w:r w:rsidRPr="000E0F90">
        <w:rPr>
          <w:rFonts w:ascii="Arial" w:hAnsi="Arial" w:cs="Arial"/>
          <w:color w:val="000000" w:themeColor="text1"/>
        </w:rPr>
        <w:fldChar w:fldCharType="begin" w:fldLock="1"/>
      </w:r>
      <w:r w:rsidRPr="000E0F90">
        <w:rPr>
          <w:rFonts w:ascii="Arial" w:hAnsi="Arial" w:cs="Arial"/>
          <w:color w:val="000000" w:themeColor="text1"/>
          <w:lang w:val="en-US"/>
        </w:rPr>
        <w:instrText>ADDIN CSL_CITATION { "citationItems" : [ { "id" : "ITEM-1", "itemData" : { "DOI" : "10.1016/j.ecolecon.2005.11.008", "ISBN" : "0921-8009", "ISSN" : "09218009", "abstract" : "Sustainability indicators based on local data provide a practical method to monitor progress towards sustainable development. However, since there are many conflicting frameworks proposed to develop indicators, it is unclear how best to collect these data. The purpose of this paper is to analyse the literature on developing and applying sustainability indicators at local scales to develop a methodological framework that summarises best practice. First, two ideological paradigms are outlined: one that is expert-led and top-down, and one that is community-based and bottom-up. Second, the paper assesses the methodological steps proposed in each paradigm to identify, select and measure indicators. Finally, the paper concludes by proposing a learning process that integrates best practice for stakeholder-led local sustainability assessments. By integrating approaches from different paradigms, the proposed process offers a holistic approach for measuring progress towards sustainable development. It emphasizes the importance of participatory approaches setting the context for sustainability assessment at local scales, but stresses the role of expert-led methods in indicator evaluation and dissemination. Research findings from around the world are used to show how the proposed process can be used to develop quantitative and qualitative indicators that are both scientifically rigorous and objective while remaining easy to collect and interpret for communities. ?? 2005 Elsevier B.V. All rights reserved.", "author" : [ { "dropping-particle" : "", "family" : "Reed", "given" : "Mark S.", "non-dropping-particle" : "", "parse-names" : false, "suffix" : "" }, { "dropping-particle" : "", "family" : "Fraser", "given" : "Evan D G", "non-dropping-particle" : "", "parse-names" : false, "suffix" : "" }, { "dropping-particle" : "", "family" : "Dougill", "given" : "Andrew J.", "non-dropping-particle" : "", "parse-names" : false, "suffix" : "" } ], "container-title" : "Ecological Economics", "id" : "ITEM-1", "issued" : { "date-parts" : [ [ "2006" ] ] }, "page" : "406-418", "title" : "An adaptive learning process for developing and applying sustainability indicators with local communities", "type" : "article-journal", "volume" : "59" }, "uris" : [ "http://www.mendeley.com/documents/?uuid=ce227a0b-04c8-4c27-8d53-f27c31dc27fc" ] } ], "mendeley" : { "formattedCitation" : "(Reed et al., 2006)", "plainTextFormattedCitation" : "(Reed et al., 2006)", "previouslyFormattedCitation" : "(Reed et al., 2006)"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lang w:val="en-US"/>
        </w:rPr>
        <w:t>(Reed et al., 2006)</w:t>
      </w:r>
      <w:r w:rsidRPr="000E0F90">
        <w:rPr>
          <w:rFonts w:ascii="Arial" w:hAnsi="Arial" w:cs="Arial"/>
          <w:color w:val="000000" w:themeColor="text1"/>
        </w:rPr>
        <w:fldChar w:fldCharType="end"/>
      </w:r>
      <w:r w:rsidRPr="00230D79">
        <w:rPr>
          <w:rFonts w:ascii="Arial" w:hAnsi="Arial" w:cs="Arial"/>
          <w:color w:val="000000" w:themeColor="text1"/>
          <w:lang w:val="en-US"/>
        </w:rPr>
        <w:t xml:space="preserve"> </w:t>
      </w:r>
      <w:r w:rsidRPr="000E0F90">
        <w:rPr>
          <w:rFonts w:ascii="Arial" w:hAnsi="Arial" w:cs="Arial"/>
          <w:color w:val="000000" w:themeColor="text1"/>
        </w:rPr>
        <w:fldChar w:fldCharType="begin" w:fldLock="1"/>
      </w:r>
      <w:r w:rsidRPr="00230D79">
        <w:rPr>
          <w:rFonts w:ascii="Arial" w:hAnsi="Arial" w:cs="Arial"/>
          <w:color w:val="000000" w:themeColor="text1"/>
          <w:lang w:val="en-US"/>
        </w:rPr>
        <w:instrText>ADDIN CSL_CITATION { "citationItems" : [ { "id" : "ITEM-1", "itemData" : { "DOI" : "10.1016/j.ecolecon.2008.11.016", "ISBN" : "0921-8009", "ISSN" : "09218009", "PMID" : "2879", "abstract" : "Definitions of sustainability abound. However, they tend to be abstract and thus open to diverging interpretations. Conversely, scientists need concrete guidance to develop quantitative measures of the sustainability of agricultural systems, such as sustainability indicators. Bridging this gap between what policy provides and what scientists need involves strong normative elements. Many publications on sustainable agriculture suggest bridging the gap through participatory stakeholder processes. However, participatory stakeholder involvement is not always practicable, due to the high cost and time required. In addition, the outcome of such processes can lack transparency and validity to outsiders. In this paper (the first of a series of two, [Walter, C. and St\u00fctzel, H., 2009-this issue. A new method for assessing the sustainability of land-use systems (II): Evaluating impact indicators. Ecological Economics]), we introduce an alternative method for concretising sustainability within a given context. It is based on a systematic inventory of potential issues through a structured literature review, and then uses a simple and transparent criterion to decide which of these potential issues is actually relevant within the given context. This approach yields a set of concrete issues against which to test the impact of agricultural production systems. It also makes transparent the normative and descriptive elements of the process, which helps to control value-driven biases. We demonstrate the practical applicability of this approach by testing it for an agricultural area in Northwest Germany. \u00a9 2008 Elsevier B.V. All rights reserved.", "author" : [ { "dropping-particle" : "", "family" : "Walter", "given" : "Christof", "non-dropping-particle" : "", "parse-names" : false, "suffix" : "" }, { "dropping-particle" : "", "family" : "St\u00fctzel", "given" : "Hartmut", "non-dropping-particle" : "", "parse-names" : false, "suffix" : "" } ], "container-title" : "Ecological Economics", "id" : "ITEM-1", "issue" : "5", "issued" : { "date-parts" : [ [ "2009" ] ] }, "page" : "1275-1287", "publisher" : "Elsevier B.V.", "title" : "A new method for assessing the sustainability of land-use systems (I): Identifying the relevant issues", "type" : "article-journal", "volume" : "68" }, "uris" : [ "http://www.mendeley.com/documents/?uuid=16363d72-8bef-45d4-87e8-81e7e8ded95c" ] } ], "mendeley" : { "formattedCitation" : "(Walter &amp; St\u00fctzel, 2009)", "plainTextFormattedCitation" : "(Walter &amp; St\u00fctzel, 2009)", "previouslyFormattedCitation" : "(Walter &amp; St\u00fctzel, 2009)" }, "properties" : { "noteIndex" : 0 }, "schema" : "https://github.com/citation-style-language/schema/raw/master/csl-citation.json" }</w:instrText>
      </w:r>
      <w:r w:rsidRPr="000E0F90">
        <w:rPr>
          <w:rFonts w:ascii="Arial" w:hAnsi="Arial" w:cs="Arial"/>
          <w:color w:val="000000" w:themeColor="text1"/>
        </w:rPr>
        <w:fldChar w:fldCharType="separate"/>
      </w:r>
      <w:r w:rsidRPr="00230D79">
        <w:rPr>
          <w:rFonts w:ascii="Arial" w:hAnsi="Arial" w:cs="Arial"/>
          <w:noProof/>
          <w:color w:val="000000" w:themeColor="text1"/>
          <w:lang w:val="en-US"/>
        </w:rPr>
        <w:t>(Walter &amp; Stützel, 2009)</w:t>
      </w:r>
      <w:r w:rsidRPr="000E0F90">
        <w:rPr>
          <w:rFonts w:ascii="Arial" w:hAnsi="Arial" w:cs="Arial"/>
          <w:color w:val="000000" w:themeColor="text1"/>
        </w:rPr>
        <w:fldChar w:fldCharType="end"/>
      </w:r>
      <w:r w:rsidRPr="00230D79">
        <w:rPr>
          <w:rFonts w:ascii="Arial" w:hAnsi="Arial" w:cs="Arial"/>
          <w:color w:val="000000" w:themeColor="text1"/>
          <w:lang w:val="en-US"/>
        </w:rPr>
        <w:t>.</w:t>
      </w:r>
    </w:p>
    <w:p w:rsidR="00ED6BA5" w:rsidRPr="000E0F90" w:rsidRDefault="00ED6BA5" w:rsidP="002B538F">
      <w:pPr>
        <w:tabs>
          <w:tab w:val="left" w:pos="1110"/>
        </w:tabs>
        <w:spacing w:line="360" w:lineRule="auto"/>
        <w:rPr>
          <w:rFonts w:ascii="Arial" w:hAnsi="Arial" w:cs="Arial"/>
          <w:color w:val="000000" w:themeColor="text1"/>
        </w:rPr>
      </w:pPr>
      <w:r w:rsidRPr="002613F4">
        <w:rPr>
          <w:rFonts w:ascii="Arial" w:hAnsi="Arial" w:cs="Arial"/>
          <w:color w:val="000000" w:themeColor="text1"/>
        </w:rPr>
        <w:t xml:space="preserve">La propuesta de principios de sostenibilidad se evaluó </w:t>
      </w:r>
      <w:r w:rsidR="002D53EB" w:rsidRPr="002613F4">
        <w:rPr>
          <w:rFonts w:ascii="Arial" w:hAnsi="Arial" w:cs="Arial"/>
          <w:color w:val="000000" w:themeColor="text1"/>
        </w:rPr>
        <w:t xml:space="preserve">únicamente </w:t>
      </w:r>
      <w:r w:rsidRPr="002613F4">
        <w:rPr>
          <w:rFonts w:ascii="Arial" w:hAnsi="Arial" w:cs="Arial"/>
          <w:color w:val="000000" w:themeColor="text1"/>
        </w:rPr>
        <w:t xml:space="preserve">a través de la información proveniente de actores locales, </w:t>
      </w:r>
      <w:r w:rsidR="00570E86" w:rsidRPr="002613F4">
        <w:rPr>
          <w:rFonts w:ascii="Arial" w:hAnsi="Arial" w:cs="Arial"/>
          <w:color w:val="000000" w:themeColor="text1"/>
        </w:rPr>
        <w:t xml:space="preserve">dado que son los receptores finales del estado actual del territorio, pudiendo ser considerados como un diagnóstico del paisaje cultural, reflejando en éstos, el estado y la tendencia del paisaje </w:t>
      </w:r>
      <w:r w:rsidR="00570E86" w:rsidRPr="000E0F90">
        <w:rPr>
          <w:rFonts w:ascii="Arial" w:hAnsi="Arial" w:cs="Arial"/>
          <w:color w:val="000000" w:themeColor="text1"/>
        </w:rPr>
        <w:fldChar w:fldCharType="begin" w:fldLock="1"/>
      </w:r>
      <w:r w:rsidR="00570E86" w:rsidRPr="002613F4">
        <w:rPr>
          <w:rFonts w:ascii="Arial" w:hAnsi="Arial" w:cs="Arial"/>
          <w:color w:val="000000" w:themeColor="text1"/>
        </w:rPr>
        <w:instrText>ADDIN CSL_CITATION { "citationItems" : [ { "id" : "ITEM-1", "itemData" : { "DOI" : "10.1016/j.eiar.2011.03.004", "ISSN" : "01959255", "author" : [ { "dropping-particle" : "", "family" : "P\u00e9ti", "given" : "M\u00e1rton", "non-dropping-particle" : "", "parse-names" : false, "suffix" : "" } ], "container-title" : "Environmental Impact Assessment Review", "id" : "ITEM-1", "issue" : "1", "issued" : { "date-parts" : [ [ "2012", "1" ] ] }, "page" : "61-73", "publisher" : "Elsevier Inc.", "title" : "A territorial understanding of sustainability in public development", "type" : "article-journal", "volume" : "32" }, "uris" : [ "http://www.mendeley.com/documents/?uuid=2c50d869-67be-4755-b16b-fcbc56b8af44" ] } ], "mendeley" : { "formattedCitation" : "(P\u00e9ti, 2012)", "plainTextFormattedCitation" : "(P\u00e9ti, 2012)", "previouslyFormattedCitation" : "(P\u00e9ti, 2012)" }, "properties" : { "noteIndex" : 0 }, "schema" : "https://github.com/citation-style-language/schema/raw/master/csl-citation.json" }</w:instrText>
      </w:r>
      <w:r w:rsidR="00570E86" w:rsidRPr="000E0F90">
        <w:rPr>
          <w:rFonts w:ascii="Arial" w:hAnsi="Arial" w:cs="Arial"/>
          <w:color w:val="000000" w:themeColor="text1"/>
        </w:rPr>
        <w:fldChar w:fldCharType="separate"/>
      </w:r>
      <w:r w:rsidR="00570E86" w:rsidRPr="002613F4">
        <w:rPr>
          <w:rFonts w:ascii="Arial" w:hAnsi="Arial" w:cs="Arial"/>
          <w:noProof/>
          <w:color w:val="000000" w:themeColor="text1"/>
        </w:rPr>
        <w:t>(Péti, 2012)</w:t>
      </w:r>
      <w:r w:rsidR="00570E86" w:rsidRPr="000E0F90">
        <w:rPr>
          <w:rFonts w:ascii="Arial" w:hAnsi="Arial" w:cs="Arial"/>
          <w:color w:val="000000" w:themeColor="text1"/>
        </w:rPr>
        <w:fldChar w:fldCharType="end"/>
      </w:r>
      <w:r w:rsidR="00570E86" w:rsidRPr="002613F4">
        <w:rPr>
          <w:rFonts w:ascii="Arial" w:hAnsi="Arial" w:cs="Arial"/>
          <w:color w:val="000000" w:themeColor="text1"/>
        </w:rPr>
        <w:t xml:space="preserve">,  </w:t>
      </w:r>
      <w:sdt>
        <w:sdtPr>
          <w:rPr>
            <w:rFonts w:ascii="Arial" w:hAnsi="Arial" w:cs="Arial"/>
            <w:color w:val="000000" w:themeColor="text1"/>
          </w:rPr>
          <w:id w:val="-1449928421"/>
          <w:citation/>
        </w:sdtPr>
        <w:sdtEndPr/>
        <w:sdtContent>
          <w:r w:rsidR="00570E86" w:rsidRPr="000E0F90">
            <w:rPr>
              <w:rFonts w:ascii="Arial" w:hAnsi="Arial" w:cs="Arial"/>
              <w:color w:val="000000" w:themeColor="text1"/>
            </w:rPr>
            <w:fldChar w:fldCharType="begin"/>
          </w:r>
          <w:r w:rsidR="00570E86" w:rsidRPr="002613F4">
            <w:rPr>
              <w:rFonts w:ascii="Arial" w:hAnsi="Arial" w:cs="Arial"/>
              <w:color w:val="000000" w:themeColor="text1"/>
            </w:rPr>
            <w:instrText xml:space="preserve">CITATION Are13 \l 13322 </w:instrText>
          </w:r>
          <w:r w:rsidR="00570E86" w:rsidRPr="000E0F90">
            <w:rPr>
              <w:rFonts w:ascii="Arial" w:hAnsi="Arial" w:cs="Arial"/>
              <w:color w:val="000000" w:themeColor="text1"/>
            </w:rPr>
            <w:fldChar w:fldCharType="separate"/>
          </w:r>
          <w:r w:rsidR="008D0261" w:rsidRPr="002613F4">
            <w:rPr>
              <w:rFonts w:ascii="Arial" w:hAnsi="Arial" w:cs="Arial"/>
              <w:noProof/>
              <w:color w:val="000000" w:themeColor="text1"/>
            </w:rPr>
            <w:t xml:space="preserve">(Arellano, Gastó, Gálvez, Subercauseaux, Toledo, &amp; Miranda, Bases para el ordenamiento territorial integrador de la minería del hierro con el desarrollo comunal. </w:t>
          </w:r>
          <w:r w:rsidR="008D0261" w:rsidRPr="000E0F90">
            <w:rPr>
              <w:rFonts w:ascii="Arial" w:hAnsi="Arial" w:cs="Arial"/>
              <w:noProof/>
              <w:color w:val="000000" w:themeColor="text1"/>
            </w:rPr>
            <w:t>Estudio de caso comuna de La Higuera, 2013)</w:t>
          </w:r>
          <w:r w:rsidR="00570E86" w:rsidRPr="000E0F90">
            <w:rPr>
              <w:rFonts w:ascii="Arial" w:hAnsi="Arial" w:cs="Arial"/>
              <w:color w:val="000000" w:themeColor="text1"/>
            </w:rPr>
            <w:fldChar w:fldCharType="end"/>
          </w:r>
        </w:sdtContent>
      </w:sdt>
      <w:r w:rsidR="00570E86" w:rsidRPr="000E0F90">
        <w:rPr>
          <w:rFonts w:ascii="Arial" w:hAnsi="Arial" w:cs="Arial"/>
          <w:color w:val="000000" w:themeColor="text1"/>
        </w:rPr>
        <w:t>.</w:t>
      </w:r>
      <w:r w:rsidR="00BD7820" w:rsidRPr="000E0F90">
        <w:rPr>
          <w:rFonts w:ascii="Arial" w:hAnsi="Arial" w:cs="Arial"/>
          <w:color w:val="000000" w:themeColor="text1"/>
        </w:rPr>
        <w:t xml:space="preserve"> </w:t>
      </w:r>
      <w:r w:rsidR="00570E86" w:rsidRPr="000E0F90">
        <w:rPr>
          <w:rFonts w:ascii="Arial" w:hAnsi="Arial" w:cs="Arial"/>
          <w:color w:val="000000" w:themeColor="text1"/>
        </w:rPr>
        <w:t>C</w:t>
      </w:r>
      <w:r w:rsidRPr="000E0F90">
        <w:rPr>
          <w:rFonts w:ascii="Arial" w:hAnsi="Arial" w:cs="Arial"/>
          <w:color w:val="000000" w:themeColor="text1"/>
        </w:rPr>
        <w:t>otejando la información local en relación al nivel de aproximación a cada principio y el criterio propuesto. De forma de identificar el estado actual de los territorios, identificando aquellos aspectos que son atendidos en cada territorio, así como aquellos que no son abordados</w:t>
      </w:r>
      <w:r w:rsidR="002D53EB" w:rsidRPr="000E0F90">
        <w:rPr>
          <w:rFonts w:ascii="Arial" w:hAnsi="Arial" w:cs="Arial"/>
          <w:color w:val="000000" w:themeColor="text1"/>
        </w:rPr>
        <w:t>, desde la perspectiva de los actores locales</w:t>
      </w:r>
      <w:r w:rsidRPr="000E0F90">
        <w:rPr>
          <w:rFonts w:ascii="Arial" w:hAnsi="Arial" w:cs="Arial"/>
          <w:color w:val="000000" w:themeColor="text1"/>
        </w:rPr>
        <w:t xml:space="preserve">. </w:t>
      </w:r>
    </w:p>
    <w:p w:rsidR="002B538F" w:rsidRDefault="00ED6BA5" w:rsidP="002B538F">
      <w:pPr>
        <w:tabs>
          <w:tab w:val="left" w:pos="1110"/>
        </w:tabs>
        <w:spacing w:before="120" w:line="360" w:lineRule="auto"/>
        <w:rPr>
          <w:rFonts w:ascii="Arial" w:hAnsi="Arial" w:cs="Arial"/>
          <w:color w:val="000000" w:themeColor="text1"/>
        </w:rPr>
      </w:pPr>
      <w:r w:rsidRPr="000E0F90">
        <w:rPr>
          <w:rFonts w:ascii="Arial" w:hAnsi="Arial" w:cs="Arial"/>
          <w:color w:val="000000" w:themeColor="text1"/>
        </w:rPr>
        <w:t xml:space="preserve">Para ello, la contribución de las acciones territoriales a cada criterio de sostenibilidad, se calificó de forma cualitativa, asignando: </w:t>
      </w:r>
      <w:r w:rsidRPr="000E0F90">
        <w:rPr>
          <w:rFonts w:ascii="Arial" w:hAnsi="Arial" w:cs="Arial"/>
          <w:b/>
          <w:color w:val="000000" w:themeColor="text1"/>
        </w:rPr>
        <w:t>SI</w:t>
      </w:r>
      <w:r w:rsidRPr="000E0F90">
        <w:rPr>
          <w:rFonts w:ascii="Arial" w:hAnsi="Arial" w:cs="Arial"/>
          <w:color w:val="000000" w:themeColor="text1"/>
        </w:rPr>
        <w:t xml:space="preserve">, cuando contribuye a la sostenibilidad; </w:t>
      </w:r>
      <w:r w:rsidRPr="000E0F90">
        <w:rPr>
          <w:rFonts w:ascii="Arial" w:hAnsi="Arial" w:cs="Arial"/>
          <w:b/>
          <w:color w:val="000000" w:themeColor="text1"/>
        </w:rPr>
        <w:t>NO</w:t>
      </w:r>
      <w:r w:rsidRPr="000E0F90">
        <w:rPr>
          <w:rFonts w:ascii="Arial" w:hAnsi="Arial" w:cs="Arial"/>
          <w:color w:val="000000" w:themeColor="text1"/>
        </w:rPr>
        <w:t xml:space="preserve">, cuando no contribuye a la sostenibilidad; y </w:t>
      </w:r>
      <w:r w:rsidRPr="000E0F90">
        <w:rPr>
          <w:rFonts w:ascii="Arial" w:hAnsi="Arial" w:cs="Arial"/>
          <w:b/>
          <w:color w:val="000000" w:themeColor="text1"/>
        </w:rPr>
        <w:t>P</w:t>
      </w:r>
      <w:r w:rsidRPr="000E0F90">
        <w:rPr>
          <w:rFonts w:ascii="Arial" w:hAnsi="Arial" w:cs="Arial"/>
          <w:color w:val="000000" w:themeColor="text1"/>
        </w:rPr>
        <w:t>, si la contribución es parcial.</w:t>
      </w:r>
    </w:p>
    <w:p w:rsidR="00230D79" w:rsidRDefault="00230D79" w:rsidP="002B538F">
      <w:pPr>
        <w:tabs>
          <w:tab w:val="left" w:pos="1110"/>
        </w:tabs>
        <w:spacing w:before="120" w:line="360" w:lineRule="auto"/>
        <w:rPr>
          <w:rFonts w:ascii="Arial" w:hAnsi="Arial" w:cs="Arial"/>
          <w:color w:val="000000" w:themeColor="text1"/>
        </w:rPr>
      </w:pPr>
    </w:p>
    <w:p w:rsidR="00230D79" w:rsidRDefault="00230D79" w:rsidP="002B538F">
      <w:pPr>
        <w:tabs>
          <w:tab w:val="left" w:pos="1110"/>
        </w:tabs>
        <w:spacing w:before="120" w:line="360" w:lineRule="auto"/>
        <w:rPr>
          <w:rFonts w:ascii="Arial" w:hAnsi="Arial" w:cs="Arial"/>
          <w:color w:val="000000" w:themeColor="text1"/>
        </w:rPr>
      </w:pPr>
    </w:p>
    <w:p w:rsidR="00CC51CE" w:rsidRPr="000E0F90" w:rsidRDefault="00702D9A" w:rsidP="00702D9A">
      <w:pPr>
        <w:jc w:val="left"/>
        <w:rPr>
          <w:rFonts w:ascii="Arial" w:hAnsi="Arial" w:cs="Arial"/>
          <w:color w:val="000000" w:themeColor="text1"/>
        </w:rPr>
      </w:pPr>
      <w:r w:rsidRPr="000E0F90">
        <w:rPr>
          <w:rFonts w:ascii="Arial" w:hAnsi="Arial" w:cs="Arial"/>
          <w:noProof/>
          <w:color w:val="000000" w:themeColor="text1"/>
          <w:lang w:eastAsia="es-CL"/>
        </w:rPr>
        <w:lastRenderedPageBreak/>
        <mc:AlternateContent>
          <mc:Choice Requires="wps">
            <w:drawing>
              <wp:anchor distT="0" distB="0" distL="114300" distR="114300" simplePos="0" relativeHeight="251960320" behindDoc="0" locked="0" layoutInCell="1" allowOverlap="1" wp14:anchorId="64CCA4BA" wp14:editId="19D87353">
                <wp:simplePos x="0" y="0"/>
                <wp:positionH relativeFrom="column">
                  <wp:posOffset>3302000</wp:posOffset>
                </wp:positionH>
                <wp:positionV relativeFrom="paragraph">
                  <wp:posOffset>4364364</wp:posOffset>
                </wp:positionV>
                <wp:extent cx="1371600" cy="524510"/>
                <wp:effectExtent l="0" t="0" r="0" b="8890"/>
                <wp:wrapNone/>
                <wp:docPr id="5" name="5 Rectángulo redondeado"/>
                <wp:cNvGraphicFramePr/>
                <a:graphic xmlns:a="http://schemas.openxmlformats.org/drawingml/2006/main">
                  <a:graphicData uri="http://schemas.microsoft.com/office/word/2010/wordprocessingShape">
                    <wps:wsp>
                      <wps:cNvSpPr/>
                      <wps:spPr>
                        <a:xfrm>
                          <a:off x="0" y="0"/>
                          <a:ext cx="1371600" cy="524510"/>
                        </a:xfrm>
                        <a:prstGeom prst="roundRect">
                          <a:avLst/>
                        </a:prstGeom>
                        <a:solidFill>
                          <a:sysClr val="window" lastClr="FFFFFF"/>
                        </a:solidFill>
                        <a:ln w="25400" cap="flat" cmpd="sng" algn="ctr">
                          <a:noFill/>
                          <a:prstDash val="solid"/>
                        </a:ln>
                        <a:effectLst/>
                      </wps:spPr>
                      <wps:txbx>
                        <w:txbxContent>
                          <w:p w:rsidR="002A21E4" w:rsidRPr="00BD7820" w:rsidRDefault="002A21E4" w:rsidP="00702D9A">
                            <w:pPr>
                              <w:spacing w:after="0"/>
                              <w:rPr>
                                <w:b/>
                                <w:sz w:val="20"/>
                              </w:rPr>
                            </w:pPr>
                            <w:r w:rsidRPr="00BD7820">
                              <w:rPr>
                                <w:b/>
                                <w:sz w:val="20"/>
                              </w:rPr>
                              <w:t>Contextualización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5 Rectángulo redondeado" o:spid="_x0000_s1079" style="position:absolute;margin-left:260pt;margin-top:343.65pt;width:108pt;height:41.3pt;z-index:25196032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" fillcolor="window" stroked="f" strokeweight="2pt">
                <v:textbox>
                  <w:txbxContent>
                    <w:p w:rsidR="002A21E4" w:rsidRPr="00BD7820" w:rsidRDefault="002A21E4" w:rsidP="00702D9A">
                      <w:pPr>
                        <w:spacing w:after="0"/>
                        <w:rPr>
                          <w:b/>
                          <w:sz w:val="20"/>
                        </w:rPr>
                      </w:pPr>
                      <w:r w:rsidRPr="00BD7820">
                        <w:rPr>
                          <w:b/>
                          <w:sz w:val="20"/>
                        </w:rPr>
                        <w:t>Contextualización</w:t>
                      </w:r>
                    </w:p>
                  </w:txbxContent>
                </v:textbox>
              </v:roundrect>
            </w:pict>
          </mc:Fallback>
        </mc:AlternateContent>
      </w:r>
      <w:r w:rsidR="00096C73" w:rsidRPr="000E0F90">
        <w:rPr>
          <w:rFonts w:ascii="Arial" w:hAnsi="Arial" w:cs="Arial"/>
          <w:noProof/>
          <w:color w:val="000000" w:themeColor="text1"/>
          <w:lang w:eastAsia="es-CL"/>
        </w:rPr>
        <mc:AlternateContent>
          <mc:Choice Requires="wpg">
            <w:drawing>
              <wp:anchor distT="0" distB="0" distL="114300" distR="114300" simplePos="0" relativeHeight="251882496" behindDoc="0" locked="0" layoutInCell="1" allowOverlap="1" wp14:anchorId="1FCD0561" wp14:editId="175425FE">
                <wp:simplePos x="0" y="0"/>
                <wp:positionH relativeFrom="column">
                  <wp:posOffset>-98425</wp:posOffset>
                </wp:positionH>
                <wp:positionV relativeFrom="paragraph">
                  <wp:posOffset>139065</wp:posOffset>
                </wp:positionV>
                <wp:extent cx="5557702" cy="5237631"/>
                <wp:effectExtent l="0" t="0" r="24130" b="20320"/>
                <wp:wrapNone/>
                <wp:docPr id="324" name="324 Grupo"/>
                <wp:cNvGraphicFramePr/>
                <a:graphic xmlns:a="http://schemas.openxmlformats.org/drawingml/2006/main">
                  <a:graphicData uri="http://schemas.microsoft.com/office/word/2010/wordprocessingGroup">
                    <wpg:wgp>
                      <wpg:cNvGrpSpPr/>
                      <wpg:grpSpPr>
                        <a:xfrm>
                          <a:off x="0" y="0"/>
                          <a:ext cx="5557702" cy="5237631"/>
                          <a:chOff x="0" y="0"/>
                          <a:chExt cx="5557702" cy="5237631"/>
                        </a:xfrm>
                      </wpg:grpSpPr>
                      <wps:wsp>
                        <wps:cNvPr id="19" name="19 Rectángulo redondeado"/>
                        <wps:cNvSpPr/>
                        <wps:spPr>
                          <a:xfrm>
                            <a:off x="0" y="3934047"/>
                            <a:ext cx="1331562" cy="525743"/>
                          </a:xfrm>
                          <a:prstGeom prst="roundRect">
                            <a:avLst/>
                          </a:prstGeom>
                        </wps:spPr>
                        <wps:style>
                          <a:lnRef idx="2">
                            <a:schemeClr val="dk1"/>
                          </a:lnRef>
                          <a:fillRef idx="1">
                            <a:schemeClr val="lt1"/>
                          </a:fillRef>
                          <a:effectRef idx="0">
                            <a:schemeClr val="dk1"/>
                          </a:effectRef>
                          <a:fontRef idx="minor">
                            <a:schemeClr val="dk1"/>
                          </a:fontRef>
                        </wps:style>
                        <wps:txbx>
                          <w:txbxContent>
                            <w:p w:rsidR="002A21E4" w:rsidRPr="00BD7820" w:rsidRDefault="002A21E4" w:rsidP="00F37D86">
                              <w:pPr>
                                <w:spacing w:after="0"/>
                                <w:jc w:val="center"/>
                                <w:rPr>
                                  <w:sz w:val="20"/>
                                  <w:szCs w:val="20"/>
                                </w:rPr>
                              </w:pPr>
                              <w:r w:rsidRPr="00BD7820">
                                <w:rPr>
                                  <w:sz w:val="20"/>
                                  <w:szCs w:val="20"/>
                                </w:rPr>
                                <w:t>Biogeosteructura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 name="20 Rectángulo redondeado"/>
                        <wps:cNvSpPr/>
                        <wps:spPr>
                          <a:xfrm>
                            <a:off x="1584251" y="3934047"/>
                            <a:ext cx="1259809" cy="525743"/>
                          </a:xfrm>
                          <a:prstGeom prst="roundRect">
                            <a:avLst/>
                          </a:prstGeom>
                        </wps:spPr>
                        <wps:style>
                          <a:lnRef idx="2">
                            <a:schemeClr val="dk1"/>
                          </a:lnRef>
                          <a:fillRef idx="1">
                            <a:schemeClr val="lt1"/>
                          </a:fillRef>
                          <a:effectRef idx="0">
                            <a:schemeClr val="dk1"/>
                          </a:effectRef>
                          <a:fontRef idx="minor">
                            <a:schemeClr val="dk1"/>
                          </a:fontRef>
                        </wps:style>
                        <wps:txbx>
                          <w:txbxContent>
                            <w:p w:rsidR="002A21E4" w:rsidRPr="00BD7820" w:rsidRDefault="002A21E4" w:rsidP="00F37D86">
                              <w:pPr>
                                <w:spacing w:after="0"/>
                                <w:jc w:val="center"/>
                                <w:rPr>
                                  <w:sz w:val="20"/>
                                  <w:szCs w:val="20"/>
                                </w:rPr>
                              </w:pPr>
                              <w:r w:rsidRPr="00BD7820">
                                <w:rPr>
                                  <w:sz w:val="20"/>
                                  <w:szCs w:val="20"/>
                                </w:rPr>
                                <w:t>Socioestructura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 name="22 Rectángulo redondeado"/>
                        <wps:cNvSpPr/>
                        <wps:spPr>
                          <a:xfrm>
                            <a:off x="0" y="4710224"/>
                            <a:ext cx="1331562" cy="525743"/>
                          </a:xfrm>
                          <a:prstGeom prst="roundRect">
                            <a:avLst/>
                          </a:prstGeom>
                        </wps:spPr>
                        <wps:style>
                          <a:lnRef idx="2">
                            <a:schemeClr val="dk1"/>
                          </a:lnRef>
                          <a:fillRef idx="1">
                            <a:schemeClr val="lt1"/>
                          </a:fillRef>
                          <a:effectRef idx="0">
                            <a:schemeClr val="dk1"/>
                          </a:effectRef>
                          <a:fontRef idx="minor">
                            <a:schemeClr val="dk1"/>
                          </a:fontRef>
                        </wps:style>
                        <wps:txbx>
                          <w:txbxContent>
                            <w:p w:rsidR="002A21E4" w:rsidRPr="00BD7820" w:rsidRDefault="002A21E4" w:rsidP="00F37D86">
                              <w:pPr>
                                <w:spacing w:after="0"/>
                                <w:jc w:val="center"/>
                                <w:rPr>
                                  <w:sz w:val="20"/>
                                  <w:szCs w:val="20"/>
                                </w:rPr>
                              </w:pPr>
                              <w:r w:rsidRPr="00BD7820">
                                <w:rPr>
                                  <w:sz w:val="20"/>
                                  <w:szCs w:val="20"/>
                                </w:rPr>
                                <w:t>Contexto Histórico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23 Rectángulo redondeado"/>
                        <wps:cNvSpPr/>
                        <wps:spPr>
                          <a:xfrm>
                            <a:off x="1584251" y="4710224"/>
                            <a:ext cx="1259809" cy="525743"/>
                          </a:xfrm>
                          <a:prstGeom prst="roundRect">
                            <a:avLst/>
                          </a:prstGeom>
                        </wps:spPr>
                        <wps:style>
                          <a:lnRef idx="2">
                            <a:schemeClr val="dk1"/>
                          </a:lnRef>
                          <a:fillRef idx="1">
                            <a:schemeClr val="lt1"/>
                          </a:fillRef>
                          <a:effectRef idx="0">
                            <a:schemeClr val="dk1"/>
                          </a:effectRef>
                          <a:fontRef idx="minor">
                            <a:schemeClr val="dk1"/>
                          </a:fontRef>
                        </wps:style>
                        <wps:txbx>
                          <w:txbxContent>
                            <w:p w:rsidR="002A21E4" w:rsidRPr="00BD7820" w:rsidRDefault="002A21E4" w:rsidP="00F37D86">
                              <w:pPr>
                                <w:spacing w:after="0"/>
                                <w:jc w:val="center"/>
                                <w:rPr>
                                  <w:sz w:val="20"/>
                                  <w:szCs w:val="20"/>
                                </w:rPr>
                              </w:pPr>
                              <w:r w:rsidRPr="00BD7820">
                                <w:rPr>
                                  <w:sz w:val="20"/>
                                  <w:szCs w:val="20"/>
                                </w:rPr>
                                <w:t>Actores Locales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 name="12 Rectángulo redondeado"/>
                        <wps:cNvSpPr/>
                        <wps:spPr>
                          <a:xfrm>
                            <a:off x="712381" y="2892056"/>
                            <a:ext cx="1517479" cy="551747"/>
                          </a:xfrm>
                          <a:prstGeom prst="roundRect">
                            <a:avLst/>
                          </a:prstGeom>
                        </wps:spPr>
                        <wps:style>
                          <a:lnRef idx="2">
                            <a:schemeClr val="dk1"/>
                          </a:lnRef>
                          <a:fillRef idx="1">
                            <a:schemeClr val="lt1"/>
                          </a:fillRef>
                          <a:effectRef idx="0">
                            <a:schemeClr val="dk1"/>
                          </a:effectRef>
                          <a:fontRef idx="minor">
                            <a:schemeClr val="dk1"/>
                          </a:fontRef>
                        </wps:style>
                        <wps:txbx>
                          <w:txbxContent>
                            <w:p w:rsidR="002A21E4" w:rsidRPr="00BD7820" w:rsidRDefault="002A21E4" w:rsidP="00F37D86">
                              <w:pPr>
                                <w:spacing w:after="0"/>
                                <w:jc w:val="center"/>
                                <w:rPr>
                                  <w:sz w:val="20"/>
                                </w:rPr>
                              </w:pPr>
                              <w:r w:rsidRPr="00BD7820">
                                <w:rPr>
                                  <w:sz w:val="20"/>
                                </w:rPr>
                                <w:t xml:space="preserve">Estudios de Caso </w:t>
                              </w:r>
                            </w:p>
                            <w:p w:rsidR="002A21E4" w:rsidRPr="00BD7820" w:rsidRDefault="002A21E4" w:rsidP="00F37D86">
                              <w:pPr>
                                <w:spacing w:after="0"/>
                                <w:jc w:val="center"/>
                                <w:rPr>
                                  <w:sz w:val="20"/>
                                </w:rPr>
                              </w:pPr>
                              <w:r w:rsidRPr="00BD7820">
                                <w:rPr>
                                  <w:sz w:val="20"/>
                                </w:rPr>
                                <w:t>(Bottom up)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 name="15 Conector recto"/>
                        <wps:cNvCnPr/>
                        <wps:spPr>
                          <a:xfrm>
                            <a:off x="1456660" y="2286000"/>
                            <a:ext cx="0" cy="603810"/>
                          </a:xfrm>
                          <a:prstGeom prst="line">
                            <a:avLst/>
                          </a:prstGeom>
                          <a:ln w="28575"/>
                        </wps:spPr>
                        <wps:style>
                          <a:lnRef idx="1">
                            <a:schemeClr val="dk1"/>
                          </a:lnRef>
                          <a:fillRef idx="0">
                            <a:schemeClr val="dk1"/>
                          </a:fillRef>
                          <a:effectRef idx="0">
                            <a:schemeClr val="dk1"/>
                          </a:effectRef>
                          <a:fontRef idx="minor">
                            <a:schemeClr val="tx1"/>
                          </a:fontRef>
                        </wps:style>
                        <wps:bodyPr/>
                      </wps:wsp>
                      <wps:wsp>
                        <wps:cNvPr id="18" name="18 Conector recto de flecha"/>
                        <wps:cNvCnPr/>
                        <wps:spPr>
                          <a:xfrm>
                            <a:off x="1456660" y="2626242"/>
                            <a:ext cx="1069221" cy="0"/>
                          </a:xfrm>
                          <a:prstGeom prst="straightConnector1">
                            <a:avLst/>
                          </a:prstGeom>
                          <a:ln w="28575">
                            <a:tailEnd type="arrow"/>
                          </a:ln>
                        </wps:spPr>
                        <wps:style>
                          <a:lnRef idx="1">
                            <a:schemeClr val="dk1"/>
                          </a:lnRef>
                          <a:fillRef idx="0">
                            <a:schemeClr val="dk1"/>
                          </a:fillRef>
                          <a:effectRef idx="0">
                            <a:schemeClr val="dk1"/>
                          </a:effectRef>
                          <a:fontRef idx="minor">
                            <a:schemeClr val="tx1"/>
                          </a:fontRef>
                        </wps:style>
                        <wps:bodyPr/>
                      </wps:wsp>
                      <wps:wsp>
                        <wps:cNvPr id="35" name="35 Rectángulo redondeado"/>
                        <wps:cNvSpPr/>
                        <wps:spPr>
                          <a:xfrm>
                            <a:off x="2538413" y="2228850"/>
                            <a:ext cx="1337818" cy="847636"/>
                          </a:xfrm>
                          <a:prstGeom prst="roundRect">
                            <a:avLst/>
                          </a:prstGeom>
                        </wps:spPr>
                        <wps:style>
                          <a:lnRef idx="2">
                            <a:schemeClr val="dk1"/>
                          </a:lnRef>
                          <a:fillRef idx="1">
                            <a:schemeClr val="lt1"/>
                          </a:fillRef>
                          <a:effectRef idx="0">
                            <a:schemeClr val="dk1"/>
                          </a:effectRef>
                          <a:fontRef idx="minor">
                            <a:schemeClr val="dk1"/>
                          </a:fontRef>
                        </wps:style>
                        <wps:txbx>
                          <w:txbxContent>
                            <w:p w:rsidR="002A21E4" w:rsidRPr="00BD7820" w:rsidRDefault="002A21E4" w:rsidP="00F37D86">
                              <w:pPr>
                                <w:spacing w:after="0"/>
                                <w:jc w:val="center"/>
                                <w:rPr>
                                  <w:sz w:val="20"/>
                                </w:rPr>
                              </w:pPr>
                              <w:r w:rsidRPr="00BD7820">
                                <w:rPr>
                                  <w:sz w:val="20"/>
                                </w:rPr>
                                <w:t>Principios de Sostenibilidad para Territorios Mineros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6" name="36 Rectángulo redondeado"/>
                        <wps:cNvSpPr/>
                        <wps:spPr>
                          <a:xfrm>
                            <a:off x="4411655" y="2379410"/>
                            <a:ext cx="1146047" cy="551747"/>
                          </a:xfrm>
                          <a:prstGeom prst="roundRect">
                            <a:avLst/>
                          </a:prstGeom>
                        </wps:spPr>
                        <wps:style>
                          <a:lnRef idx="2">
                            <a:schemeClr val="dk1"/>
                          </a:lnRef>
                          <a:fillRef idx="1">
                            <a:schemeClr val="lt1"/>
                          </a:fillRef>
                          <a:effectRef idx="0">
                            <a:schemeClr val="dk1"/>
                          </a:effectRef>
                          <a:fontRef idx="minor">
                            <a:schemeClr val="dk1"/>
                          </a:fontRef>
                        </wps:style>
                        <wps:txbx>
                          <w:txbxContent>
                            <w:p w:rsidR="002A21E4" w:rsidRPr="00BD7820" w:rsidRDefault="002A21E4" w:rsidP="00F37D86">
                              <w:pPr>
                                <w:spacing w:after="0"/>
                                <w:jc w:val="center"/>
                                <w:rPr>
                                  <w:sz w:val="20"/>
                                </w:rPr>
                              </w:pPr>
                              <w:r w:rsidRPr="00BD7820">
                                <w:rPr>
                                  <w:sz w:val="20"/>
                                </w:rPr>
                                <w:t>Evaluación Sostenibilidad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7" name="37 Conector recto de flecha"/>
                        <wps:cNvCnPr>
                          <a:stCxn id="35" idx="3"/>
                          <a:endCxn id="36" idx="1"/>
                        </wps:cNvCnPr>
                        <wps:spPr>
                          <a:xfrm>
                            <a:off x="3876231" y="2652668"/>
                            <a:ext cx="535424" cy="2616"/>
                          </a:xfrm>
                          <a:prstGeom prst="straightConnector1">
                            <a:avLst/>
                          </a:prstGeom>
                          <a:ln w="28575">
                            <a:tailEnd type="arrow"/>
                          </a:ln>
                        </wps:spPr>
                        <wps:style>
                          <a:lnRef idx="1">
                            <a:schemeClr val="dk1"/>
                          </a:lnRef>
                          <a:fillRef idx="0">
                            <a:schemeClr val="dk1"/>
                          </a:fillRef>
                          <a:effectRef idx="0">
                            <a:schemeClr val="dk1"/>
                          </a:effectRef>
                          <a:fontRef idx="minor">
                            <a:schemeClr val="tx1"/>
                          </a:fontRef>
                        </wps:style>
                        <wps:bodyPr/>
                      </wps:wsp>
                      <wps:wsp>
                        <wps:cNvPr id="29" name="29 Rectángulo redondeado"/>
                        <wps:cNvSpPr/>
                        <wps:spPr>
                          <a:xfrm>
                            <a:off x="681372" y="1775587"/>
                            <a:ext cx="1574171" cy="525715"/>
                          </a:xfrm>
                          <a:prstGeom prst="roundRect">
                            <a:avLst/>
                          </a:prstGeom>
                        </wps:spPr>
                        <wps:style>
                          <a:lnRef idx="2">
                            <a:schemeClr val="dk1"/>
                          </a:lnRef>
                          <a:fillRef idx="1">
                            <a:schemeClr val="lt1"/>
                          </a:fillRef>
                          <a:effectRef idx="0">
                            <a:schemeClr val="dk1"/>
                          </a:effectRef>
                          <a:fontRef idx="minor">
                            <a:schemeClr val="dk1"/>
                          </a:fontRef>
                        </wps:style>
                        <wps:txbx>
                          <w:txbxContent>
                            <w:p w:rsidR="002A21E4" w:rsidRPr="00BD7820" w:rsidRDefault="002A21E4" w:rsidP="00F37D86">
                              <w:pPr>
                                <w:spacing w:after="0"/>
                                <w:jc w:val="center"/>
                                <w:rPr>
                                  <w:sz w:val="20"/>
                                </w:rPr>
                              </w:pPr>
                              <w:r w:rsidRPr="00BD7820">
                                <w:rPr>
                                  <w:sz w:val="20"/>
                                </w:rPr>
                                <w:t>Información Científica (Top Down)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 name="38 Rectángulo redondeado"/>
                        <wps:cNvSpPr/>
                        <wps:spPr>
                          <a:xfrm>
                            <a:off x="655551" y="0"/>
                            <a:ext cx="1610749" cy="525145"/>
                          </a:xfrm>
                          <a:prstGeom prst="roundRect">
                            <a:avLst/>
                          </a:prstGeom>
                        </wps:spPr>
                        <wps:style>
                          <a:lnRef idx="2">
                            <a:schemeClr val="dk1"/>
                          </a:lnRef>
                          <a:fillRef idx="1">
                            <a:schemeClr val="lt1"/>
                          </a:fillRef>
                          <a:effectRef idx="0">
                            <a:schemeClr val="dk1"/>
                          </a:effectRef>
                          <a:fontRef idx="minor">
                            <a:schemeClr val="dk1"/>
                          </a:fontRef>
                        </wps:style>
                        <wps:txbx>
                          <w:txbxContent>
                            <w:p w:rsidR="002A21E4" w:rsidRPr="00CC51CE" w:rsidRDefault="002A21E4" w:rsidP="00F37D86">
                              <w:pPr>
                                <w:spacing w:after="0"/>
                                <w:jc w:val="center"/>
                                <w:rPr>
                                  <w:sz w:val="20"/>
                                </w:rPr>
                              </w:pPr>
                              <w:r w:rsidRPr="00CC51CE">
                                <w:rPr>
                                  <w:sz w:val="20"/>
                                </w:rPr>
                                <w:t>Selección de Principios de Sostenibilidad Territorial</w:t>
                              </w:r>
                            </w:p>
                          </w:txbxContent>
                        </wps:txbx>
                        <wps:bodyPr rot="0" spcFirstLastPara="0" vertOverflow="overflow" horzOverflow="overflow" vert="horz" wrap="square" lIns="36000" tIns="45720" rIns="36000" bIns="45720" numCol="1" spcCol="0" rtlCol="0" fromWordArt="0" anchor="ctr" anchorCtr="0" forceAA="0" compatLnSpc="1">
                          <a:prstTxWarp prst="textNoShape">
                            <a:avLst/>
                          </a:prstTxWarp>
                          <a:noAutofit/>
                        </wps:bodyPr>
                      </wps:wsp>
                      <wps:wsp>
                        <wps:cNvPr id="39" name="39 Rectángulo redondeado"/>
                        <wps:cNvSpPr/>
                        <wps:spPr>
                          <a:xfrm>
                            <a:off x="664233" y="893109"/>
                            <a:ext cx="1610693" cy="525145"/>
                          </a:xfrm>
                          <a:prstGeom prst="roundRect">
                            <a:avLst/>
                          </a:prstGeom>
                        </wps:spPr>
                        <wps:style>
                          <a:lnRef idx="2">
                            <a:schemeClr val="dk1"/>
                          </a:lnRef>
                          <a:fillRef idx="1">
                            <a:schemeClr val="lt1"/>
                          </a:fillRef>
                          <a:effectRef idx="0">
                            <a:schemeClr val="dk1"/>
                          </a:effectRef>
                          <a:fontRef idx="minor">
                            <a:schemeClr val="dk1"/>
                          </a:fontRef>
                        </wps:style>
                        <wps:txbx>
                          <w:txbxContent>
                            <w:p w:rsidR="002A21E4" w:rsidRPr="00CC51CE" w:rsidRDefault="002A21E4" w:rsidP="00F37D86">
                              <w:pPr>
                                <w:spacing w:after="0"/>
                                <w:jc w:val="center"/>
                                <w:rPr>
                                  <w:sz w:val="20"/>
                                </w:rPr>
                              </w:pPr>
                              <w:r w:rsidRPr="00CC51CE">
                                <w:rPr>
                                  <w:sz w:val="20"/>
                                </w:rPr>
                                <w:t xml:space="preserve">Selección de </w:t>
                              </w:r>
                              <w:r>
                                <w:rPr>
                                  <w:sz w:val="20"/>
                                </w:rPr>
                                <w:t>Criterios</w:t>
                              </w:r>
                              <w:r w:rsidRPr="00CC51CE">
                                <w:rPr>
                                  <w:sz w:val="20"/>
                                </w:rPr>
                                <w:t xml:space="preserve"> de Principios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 name="46 Conector recto de flecha"/>
                        <wps:cNvCnPr/>
                        <wps:spPr>
                          <a:xfrm>
                            <a:off x="1456660" y="1424763"/>
                            <a:ext cx="0" cy="360000"/>
                          </a:xfrm>
                          <a:prstGeom prst="straightConnector1">
                            <a:avLst/>
                          </a:prstGeom>
                          <a:ln w="19050">
                            <a:tailEnd type="arrow"/>
                          </a:ln>
                        </wps:spPr>
                        <wps:style>
                          <a:lnRef idx="1">
                            <a:schemeClr val="dk1"/>
                          </a:lnRef>
                          <a:fillRef idx="0">
                            <a:schemeClr val="dk1"/>
                          </a:fillRef>
                          <a:effectRef idx="0">
                            <a:schemeClr val="dk1"/>
                          </a:effectRef>
                          <a:fontRef idx="minor">
                            <a:schemeClr val="tx1"/>
                          </a:fontRef>
                        </wps:style>
                        <wps:bodyPr/>
                      </wps:wsp>
                      <wps:wsp>
                        <wps:cNvPr id="47" name="47 Conector recto de flecha"/>
                        <wps:cNvCnPr/>
                        <wps:spPr>
                          <a:xfrm flipV="1">
                            <a:off x="1456660" y="3444949"/>
                            <a:ext cx="65" cy="1513304"/>
                          </a:xfrm>
                          <a:prstGeom prst="straightConnector1">
                            <a:avLst/>
                          </a:prstGeom>
                          <a:ln w="19050">
                            <a:tailEnd type="arrow"/>
                          </a:ln>
                        </wps:spPr>
                        <wps:style>
                          <a:lnRef idx="1">
                            <a:schemeClr val="dk1"/>
                          </a:lnRef>
                          <a:fillRef idx="0">
                            <a:schemeClr val="dk1"/>
                          </a:fillRef>
                          <a:effectRef idx="0">
                            <a:schemeClr val="dk1"/>
                          </a:effectRef>
                          <a:fontRef idx="minor">
                            <a:schemeClr val="tx1"/>
                          </a:fontRef>
                        </wps:style>
                        <wps:bodyPr/>
                      </wps:wsp>
                      <wps:wsp>
                        <wps:cNvPr id="48" name="48 Conector recto"/>
                        <wps:cNvCnPr/>
                        <wps:spPr>
                          <a:xfrm>
                            <a:off x="1329069" y="4274289"/>
                            <a:ext cx="252251" cy="0"/>
                          </a:xfrm>
                          <a:prstGeom prst="line">
                            <a:avLst/>
                          </a:prstGeom>
                          <a:ln w="19050"/>
                        </wps:spPr>
                        <wps:style>
                          <a:lnRef idx="1">
                            <a:schemeClr val="dk1"/>
                          </a:lnRef>
                          <a:fillRef idx="0">
                            <a:schemeClr val="dk1"/>
                          </a:fillRef>
                          <a:effectRef idx="0">
                            <a:schemeClr val="dk1"/>
                          </a:effectRef>
                          <a:fontRef idx="minor">
                            <a:schemeClr val="tx1"/>
                          </a:fontRef>
                        </wps:style>
                        <wps:bodyPr/>
                      </wps:wsp>
                      <wps:wsp>
                        <wps:cNvPr id="55" name="55 Conector recto"/>
                        <wps:cNvCnPr/>
                        <wps:spPr>
                          <a:xfrm>
                            <a:off x="1329069" y="4954773"/>
                            <a:ext cx="252251" cy="0"/>
                          </a:xfrm>
                          <a:prstGeom prst="line">
                            <a:avLst/>
                          </a:prstGeom>
                          <a:ln w="19050"/>
                        </wps:spPr>
                        <wps:style>
                          <a:lnRef idx="1">
                            <a:schemeClr val="dk1"/>
                          </a:lnRef>
                          <a:fillRef idx="0">
                            <a:schemeClr val="dk1"/>
                          </a:fillRef>
                          <a:effectRef idx="0">
                            <a:schemeClr val="dk1"/>
                          </a:effectRef>
                          <a:fontRef idx="minor">
                            <a:schemeClr val="tx1"/>
                          </a:fontRef>
                        </wps:style>
                        <wps:bodyPr/>
                      </wps:wsp>
                      <wps:wsp>
                        <wps:cNvPr id="301" name="301 Cerrar llave"/>
                        <wps:cNvSpPr/>
                        <wps:spPr>
                          <a:xfrm>
                            <a:off x="2945218" y="3817089"/>
                            <a:ext cx="188664" cy="1420542"/>
                          </a:xfrm>
                          <a:prstGeom prst="rightBrace">
                            <a:avLst/>
                          </a:prstGeom>
                          <a:ln w="19050"/>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21" name="321 Conector recto de flecha"/>
                        <wps:cNvCnPr/>
                        <wps:spPr>
                          <a:xfrm>
                            <a:off x="1467293" y="531628"/>
                            <a:ext cx="10632" cy="361507"/>
                          </a:xfrm>
                          <a:prstGeom prst="straightConnector1">
                            <a:avLst/>
                          </a:prstGeom>
                          <a:ln w="19050">
                            <a:tailEnd type="arrow"/>
                          </a:ln>
                        </wps:spPr>
                        <wps:style>
                          <a:lnRef idx="1">
                            <a:schemeClr val="dk1"/>
                          </a:lnRef>
                          <a:fillRef idx="0">
                            <a:schemeClr val="dk1"/>
                          </a:fillRef>
                          <a:effectRef idx="0">
                            <a:schemeClr val="dk1"/>
                          </a:effectRef>
                          <a:fontRef idx="minor">
                            <a:schemeClr val="tx1"/>
                          </a:fontRef>
                        </wps:style>
                        <wps:bodyPr/>
                      </wps:wsp>
                      <wps:wsp>
                        <wps:cNvPr id="322" name="322 Cerrar llave"/>
                        <wps:cNvSpPr/>
                        <wps:spPr>
                          <a:xfrm>
                            <a:off x="2655581" y="10633"/>
                            <a:ext cx="188595" cy="1420495"/>
                          </a:xfrm>
                          <a:prstGeom prst="rightBrace">
                            <a:avLst/>
                          </a:prstGeom>
                          <a:noFill/>
                          <a:ln w="19050" cap="flat" cmpd="sng" algn="ctr">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23" name="323 Rectángulo redondeado"/>
                        <wps:cNvSpPr/>
                        <wps:spPr>
                          <a:xfrm>
                            <a:off x="2894935" y="446568"/>
                            <a:ext cx="1372117" cy="525145"/>
                          </a:xfrm>
                          <a:prstGeom prst="roundRect">
                            <a:avLst/>
                          </a:prstGeom>
                          <a:ln>
                            <a:noFill/>
                          </a:ln>
                        </wps:spPr>
                        <wps:style>
                          <a:lnRef idx="2">
                            <a:schemeClr val="dk1"/>
                          </a:lnRef>
                          <a:fillRef idx="1">
                            <a:schemeClr val="lt1"/>
                          </a:fillRef>
                          <a:effectRef idx="0">
                            <a:schemeClr val="dk1"/>
                          </a:effectRef>
                          <a:fontRef idx="minor">
                            <a:schemeClr val="dk1"/>
                          </a:fontRef>
                        </wps:style>
                        <wps:txbx>
                          <w:txbxContent>
                            <w:p w:rsidR="002A21E4" w:rsidRPr="00BD7820" w:rsidRDefault="002A21E4" w:rsidP="00265BAE">
                              <w:pPr>
                                <w:spacing w:after="0"/>
                                <w:rPr>
                                  <w:b/>
                                  <w:sz w:val="20"/>
                                </w:rPr>
                              </w:pPr>
                              <w:r w:rsidRPr="00BD7820">
                                <w:rPr>
                                  <w:b/>
                                  <w:sz w:val="20"/>
                                </w:rPr>
                                <w:t>Operacionalización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anchor>
            </w:drawing>
          </mc:Choice>
          <mc:Fallback>
            <w:pict>
              <v:group id="324 Grupo" o:spid="_x0000_s1080" style="position:absolute;margin-left:-7.75pt;margin-top:10.95pt;width:437.6pt;height:412.4pt;z-index:251882496;mso-width-relative:margin" coordsize="55577,523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">
                <v:roundrect id="19 Rectángulo redondeado" o:spid="_x0000_s1081" style="position:absolute;top:39340;width:13315;height:5257;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A08EA&#10;AADbAAAADwAAAGRycy9kb3ducmV2LnhtbERPTWvCQBC9F/oflin0VjeRppiYjVhLRXKrFbwO2TEJ&#10;zc6G7Griv3cFobd5vM/JV5PpxIUG11pWEM8iEMSV1S3XCg6/328LEM4ja+wsk4IrOVgVz085ZtqO&#10;/EOXva9FCGGXoYLG+z6T0lUNGXQz2xMH7mQHgz7AoZZ6wDGEm07Oo+hDGmw5NDTY06ah6m9/Ngo8&#10;Y5Sey3j7mbSTfV8ck691mSj1+jKtlyA8Tf5f/HDvdJifwv2XcIAsb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f4wNPBAAAA2wAAAA8AAAAAAAAAAAAAAAAAmAIAAGRycy9kb3du&#10;cmV2LnhtbFBLBQYAAAAABAAEAPUAAACGAwAAAAA=&#10;" fillcolor="white [3201]" strokecolor="black [3200]" strokeweight="2pt">
                  <v:textbox>
                    <w:txbxContent>
                      <w:p w:rsidR="002A21E4" w:rsidRPr="00BD7820" w:rsidRDefault="002A21E4" w:rsidP="00F37D86">
                        <w:pPr>
                          <w:spacing w:after="0"/>
                          <w:jc w:val="center"/>
                          <w:rPr>
                            <w:sz w:val="20"/>
                            <w:szCs w:val="20"/>
                          </w:rPr>
                        </w:pPr>
                        <w:r w:rsidRPr="00BD7820">
                          <w:rPr>
                            <w:sz w:val="20"/>
                            <w:szCs w:val="20"/>
                          </w:rPr>
                          <w:t>Biogeosteructura</w:t>
                        </w:r>
                      </w:p>
                    </w:txbxContent>
                  </v:textbox>
                </v:roundrect>
                <v:roundrect id="20 Rectángulo redondeado" o:spid="_x0000_s1082" style="position:absolute;left:15842;top:39340;width:12598;height:5257;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6j87wA&#10;AADbAAAADwAAAGRycy9kb3ducmV2LnhtbERPyQrCMBC9C/5DGMGbpooVrUZxQRFvLuB1aMa22ExK&#10;E7X+vTkIHh9vny8bU4oX1a6wrGDQj0AQp1YXnCm4Xna9CQjnkTWWlknBhxwsF+3WHBNt33yi19ln&#10;IoSwS1BB7n2VSOnSnAy6vq2IA3e3tUEfYJ1JXeM7hJtSDqNoLA0WHBpyrGiTU/o4P40CzxhNn8fB&#10;fh0XjR1NbvF2dYyV6naa1QyEp8b/xT/3QSsYhvXhS/gBcvEF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DIrqPzvAAAANsAAAAPAAAAAAAAAAAAAAAAAJgCAABkcnMvZG93bnJldi54&#10;bWxQSwUGAAAAAAQABAD1AAAAgQMAAAAA&#10;" fillcolor="white [3201]" strokecolor="black [3200]" strokeweight="2pt">
                  <v:textbox>
                    <w:txbxContent>
                      <w:p w:rsidR="002A21E4" w:rsidRPr="00BD7820" w:rsidRDefault="002A21E4" w:rsidP="00F37D86">
                        <w:pPr>
                          <w:spacing w:after="0"/>
                          <w:jc w:val="center"/>
                          <w:rPr>
                            <w:sz w:val="20"/>
                            <w:szCs w:val="20"/>
                          </w:rPr>
                        </w:pPr>
                        <w:r w:rsidRPr="00BD7820">
                          <w:rPr>
                            <w:sz w:val="20"/>
                            <w:szCs w:val="20"/>
                          </w:rPr>
                          <w:t>Socioestructura</w:t>
                        </w:r>
                      </w:p>
                    </w:txbxContent>
                  </v:textbox>
                </v:roundrect>
                <v:roundrect id="22 Rectángulo redondeado" o:spid="_x0000_s1083" style="position:absolute;top:47102;width:13315;height:5257;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CYH8MA&#10;AADbAAAADwAAAGRycy9kb3ducmV2LnhtbESPW2vCQBSE34X+h+UUfNONoRFNXcW2WCRvXqCvh+xp&#10;Epo9G7Kbi//eLQg+DjPzDbPZjaYWPbWusqxgMY9AEOdWV1wouF4OsxUI55E11pZJwY0c7LYvkw2m&#10;2g58ov7sCxEg7FJUUHrfpFK6vCSDbm4b4uD92tagD7ItpG5xCHBTyziKltJgxWGhxIY+S8r/zp1R&#10;4BmjdZctvj+SarRvq5/ka58lSk1fx/07CE+jf4Yf7aNWEMfw/yX8ALm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zCYH8MAAADbAAAADwAAAAAAAAAAAAAAAACYAgAAZHJzL2Rv&#10;d25yZXYueG1sUEsFBgAAAAAEAAQA9QAAAIgDAAAAAA==&#10;" fillcolor="white [3201]" strokecolor="black [3200]" strokeweight="2pt">
                  <v:textbox>
                    <w:txbxContent>
                      <w:p w:rsidR="002A21E4" w:rsidRPr="00BD7820" w:rsidRDefault="002A21E4" w:rsidP="00F37D86">
                        <w:pPr>
                          <w:spacing w:after="0"/>
                          <w:jc w:val="center"/>
                          <w:rPr>
                            <w:sz w:val="20"/>
                            <w:szCs w:val="20"/>
                          </w:rPr>
                        </w:pPr>
                        <w:r w:rsidRPr="00BD7820">
                          <w:rPr>
                            <w:sz w:val="20"/>
                            <w:szCs w:val="20"/>
                          </w:rPr>
                          <w:t>Contexto Histórico</w:t>
                        </w:r>
                      </w:p>
                    </w:txbxContent>
                  </v:textbox>
                </v:roundrect>
                <v:roundrect id="23 Rectángulo redondeado" o:spid="_x0000_s1084" style="position:absolute;left:15842;top:47102;width:12598;height:5257;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w9hMIA&#10;AADbAAAADwAAAGRycy9kb3ducmV2LnhtbESPQYvCMBSE74L/IbwFb5rWtYtWU9EVF/G2Knh9NM+2&#10;bPNSmqj135sFweMwM98wi2VnanGj1lWWFcSjCARxbnXFhYLTcTucgnAeWWNtmRQ8yMEy6/cWmGp7&#10;51+6HXwhAoRdigpK75tUSpeXZNCNbEMcvIttDfog20LqFu8Bbmo5jqIvabDisFBiQ98l5X+Hq1Hg&#10;GaPZdR//rJOqs5PpOdms9olSg49uNQfhqfPv8Ku90wrGn/D/JfwAmT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4fD2EwgAAANsAAAAPAAAAAAAAAAAAAAAAAJgCAABkcnMvZG93&#10;bnJldi54bWxQSwUGAAAAAAQABAD1AAAAhwMAAAAA&#10;" fillcolor="white [3201]" strokecolor="black [3200]" strokeweight="2pt">
                  <v:textbox>
                    <w:txbxContent>
                      <w:p w:rsidR="002A21E4" w:rsidRPr="00BD7820" w:rsidRDefault="002A21E4" w:rsidP="00F37D86">
                        <w:pPr>
                          <w:spacing w:after="0"/>
                          <w:jc w:val="center"/>
                          <w:rPr>
                            <w:sz w:val="20"/>
                            <w:szCs w:val="20"/>
                          </w:rPr>
                        </w:pPr>
                        <w:r w:rsidRPr="00BD7820">
                          <w:rPr>
                            <w:sz w:val="20"/>
                            <w:szCs w:val="20"/>
                          </w:rPr>
                          <w:t>Actores Locales</w:t>
                        </w:r>
                      </w:p>
                    </w:txbxContent>
                  </v:textbox>
                </v:roundrect>
                <v:roundrect id="12 Rectángulo redondeado" o:spid="_x0000_s1085" style="position:absolute;left:7123;top:28920;width:15175;height:5518;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xSosEA&#10;AADbAAAADwAAAGRycy9kb3ducmV2LnhtbERPTWvCQBC9F/wPywi91V1DUzS6StpSEW+1gtchO01C&#10;s7Mhu4nx37uC0Ns83uest6NtxECdrx1rmM8UCOLCmZpLDaefr5cFCB+QDTaOScOVPGw3k6c1ZsZd&#10;+JuGYyhFDGGfoYYqhDaT0hcVWfQz1xJH7td1FkOEXSlNh5cYbhuZKPUmLdYcGyps6aOi4u/YWw2B&#10;US37w3z3ntaje12c08/8kGr9PB3zFYhAY/gXP9x7E+cncP8lHiA3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lcUqLBAAAA2wAAAA8AAAAAAAAAAAAAAAAAmAIAAGRycy9kb3du&#10;cmV2LnhtbFBLBQYAAAAABAAEAPUAAACGAwAAAAA=&#10;" fillcolor="white [3201]" strokecolor="black [3200]" strokeweight="2pt">
                  <v:textbox>
                    <w:txbxContent>
                      <w:p w:rsidR="002A21E4" w:rsidRPr="00BD7820" w:rsidRDefault="002A21E4" w:rsidP="00F37D86">
                        <w:pPr>
                          <w:spacing w:after="0"/>
                          <w:jc w:val="center"/>
                          <w:rPr>
                            <w:sz w:val="20"/>
                          </w:rPr>
                        </w:pPr>
                        <w:r w:rsidRPr="00BD7820">
                          <w:rPr>
                            <w:sz w:val="20"/>
                          </w:rPr>
                          <w:t xml:space="preserve">Estudios de Caso </w:t>
                        </w:r>
                      </w:p>
                      <w:p w:rsidR="002A21E4" w:rsidRPr="00BD7820" w:rsidRDefault="002A21E4" w:rsidP="00F37D86">
                        <w:pPr>
                          <w:spacing w:after="0"/>
                          <w:jc w:val="center"/>
                          <w:rPr>
                            <w:sz w:val="20"/>
                          </w:rPr>
                        </w:pPr>
                        <w:r w:rsidRPr="00BD7820">
                          <w:rPr>
                            <w:sz w:val="20"/>
                          </w:rPr>
                          <w:t>(Bottom up)</w:t>
                        </w:r>
                      </w:p>
                    </w:txbxContent>
                  </v:textbox>
                </v:roundrect>
                <v:line id="15 Conector recto" o:spid="_x0000_s1086" style="position:absolute;visibility:visible;mso-wrap-style:square" from="14566,22860" to="14566,288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OrIeMEAAADbAAAADwAAAGRycy9kb3ducmV2LnhtbERP32vCMBB+H/g/hBN8W9PpJqMziijK&#10;9jgt6OPR3JpicylJrN3++mUw8O0+vp+3WA22FT350DhW8JTlIIgrpxuuFZTH3eMriBCRNbaOScE3&#10;BVgtRw8LLLS78Sf1h1iLFMKhQAUmxq6QMlSGLIbMdcSJ+3LeYkzQ11J7vKVw28ppns+lxYZTg8GO&#10;Noaqy+FqFZz3pqy2tf94PuXnac+zi//BUqnJeFi/gYg0xLv43/2u0/wX+PslHSCX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Y6sh4wQAAANsAAAAPAAAAAAAAAAAAAAAA&#10;AKECAABkcnMvZG93bnJldi54bWxQSwUGAAAAAAQABAD5AAAAjwMAAAAA&#10;" strokecolor="black [3040]" strokeweight="2.25pt"/>
                <v:shapetype id="_x0000_t32" coordsize="21600,21600" o:spt="32" o:oned="t" path="m,l21600,21600e" filled="f">
                  <v:path arrowok="t" fillok="f" o:connecttype="none"/>
                  <o:lock v:ext="edit" shapetype="t"/>
                </v:shapetype>
                <v:shape id="18 Conector recto de flecha" o:spid="_x0000_s1087" type="#_x0000_t32" style="position:absolute;left:14566;top:26262;width:10692;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4jTuMQAAADbAAAADwAAAGRycy9kb3ducmV2LnhtbESP3WrCQBCF7wu+wzJC7+rGUlqJrqJC&#10;UQql/j3AkB2TxexsyK6a+PSdi0LvZjhnzvlmtuh8rW7URhfYwHiUgSIugnVcGjgdP18moGJCtlgH&#10;JgM9RVjMB08zzG24855uh1QqCeGYo4EqpSbXOhYVeYyj0BCLdg6txyRrW2rb4l3Cfa1fs+xde3Qs&#10;DRU2tK6ouByu3oBrerf5+e53H8T9blVO8Pz2+DLmedgtp6ASdenf/He9tYIvsPKLDKDn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7iNO4xAAAANsAAAAPAAAAAAAAAAAA&#10;AAAAAKECAABkcnMvZG93bnJldi54bWxQSwUGAAAAAAQABAD5AAAAkgMAAAAA&#10;" strokecolor="black [3040]" strokeweight="2.25pt">
                  <v:stroke endarrow="open"/>
                </v:shape>
                <v:roundrect id="35 Rectángulo redondeado" o:spid="_x0000_s1088" style="position:absolute;left:25384;top:22288;width:13378;height:8476;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CWtsMA&#10;AADbAAAADwAAAGRycy9kb3ducmV2LnhtbESPT2vCQBTE74LfYXlCb2bjn4hNs4paWiS3aqHXR/aZ&#10;BLNvQ3Y16bd3C0KPw8z8hsm2g2nEnTpXW1Ywi2IQxIXVNZcKvs8f0zUI55E1NpZJwS852G7GowxT&#10;bXv+ovvJlyJA2KWooPK+TaV0RUUGXWRb4uBdbGfQB9mVUnfYB7hp5DyOV9JgzWGhwpYOFRXX080o&#10;8Izx6y2ffe6TerDL9U/yvssTpV4mw+4NhKfB/4ef7aNWsEjg70v4AXL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QCWtsMAAADbAAAADwAAAAAAAAAAAAAAAACYAgAAZHJzL2Rv&#10;d25yZXYueG1sUEsFBgAAAAAEAAQA9QAAAIgDAAAAAA==&#10;" fillcolor="white [3201]" strokecolor="black [3200]" strokeweight="2pt">
                  <v:textbox>
                    <w:txbxContent>
                      <w:p w:rsidR="002A21E4" w:rsidRPr="00BD7820" w:rsidRDefault="002A21E4" w:rsidP="00F37D86">
                        <w:pPr>
                          <w:spacing w:after="0"/>
                          <w:jc w:val="center"/>
                          <w:rPr>
                            <w:sz w:val="20"/>
                          </w:rPr>
                        </w:pPr>
                        <w:r w:rsidRPr="00BD7820">
                          <w:rPr>
                            <w:sz w:val="20"/>
                          </w:rPr>
                          <w:t>Principios de Sostenibilidad para Territorios Mineros</w:t>
                        </w:r>
                      </w:p>
                    </w:txbxContent>
                  </v:textbox>
                </v:roundrect>
                <v:roundrect id="36 Rectángulo redondeado" o:spid="_x0000_s1089" style="position:absolute;left:44116;top:23794;width:11461;height:5517;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IIwcIA&#10;AADbAAAADwAAAGRycy9kb3ducmV2LnhtbESPS6vCMBSE9xf8D+EI7q6pj4pWo/hAubjzAW4PzbEt&#10;NieliVr/vREuuBxm5htmtmhMKR5Uu8Kygl43AkGcWl1wpuB82v6OQTiPrLG0TApe5GAxb/3MMNH2&#10;yQd6HH0mAoRdggpy76tESpfmZNB1bUUcvKutDfog60zqGp8BbkrZj6KRNFhwWMixonVO6e14Nwo8&#10;YzS573u7VVw0dji+xJvlPlaq026WUxCeGv8N/7f/tILBCD5fwg+Q8z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0gjBwgAAANsAAAAPAAAAAAAAAAAAAAAAAJgCAABkcnMvZG93&#10;bnJldi54bWxQSwUGAAAAAAQABAD1AAAAhwMAAAAA&#10;" fillcolor="white [3201]" strokecolor="black [3200]" strokeweight="2pt">
                  <v:textbox>
                    <w:txbxContent>
                      <w:p w:rsidR="002A21E4" w:rsidRPr="00BD7820" w:rsidRDefault="002A21E4" w:rsidP="00F37D86">
                        <w:pPr>
                          <w:spacing w:after="0"/>
                          <w:jc w:val="center"/>
                          <w:rPr>
                            <w:sz w:val="20"/>
                          </w:rPr>
                        </w:pPr>
                        <w:r w:rsidRPr="00BD7820">
                          <w:rPr>
                            <w:sz w:val="20"/>
                          </w:rPr>
                          <w:t>Evaluación Sostenibilidad</w:t>
                        </w:r>
                      </w:p>
                    </w:txbxContent>
                  </v:textbox>
                </v:roundrect>
                <v:shape id="37 Conector recto de flecha" o:spid="_x0000_s1090" type="#_x0000_t32" style="position:absolute;left:38762;top:26526;width:5354;height:2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aIbqsQAAADbAAAADwAAAGRycy9kb3ducmV2LnhtbESP0WrCQBRE34X+w3ILvummVVRSN6KF&#10;ohSkqe0HXLI3ydLs3ZDdauLXdwWhj8PMnGHWm9424kydN44VPE0TEMSF04YrBd9fb5MVCB+QNTaO&#10;ScFAHjbZw2iNqXYX/qTzKVQiQtinqKAOoU2l9EVNFv3UtcTRK11nMUTZVVJ3eIlw28jnJFlIi4bj&#10;Qo0tvdZU/Jx+rQLTDmb/cRzyJfGQ76oVlvPru1Ljx377AiJQH/7D9/ZBK5gt4fYl/gCZ/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BohuqxAAAANsAAAAPAAAAAAAAAAAA&#10;AAAAAKECAABkcnMvZG93bnJldi54bWxQSwUGAAAAAAQABAD5AAAAkgMAAAAA&#10;" strokecolor="black [3040]" strokeweight="2.25pt">
                  <v:stroke endarrow="open"/>
                </v:shape>
                <v:roundrect id="29 Rectángulo redondeado" o:spid="_x0000_s1091" style="position:absolute;left:6813;top:17755;width:15742;height:5258;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QKbsAA&#10;AADbAAAADwAAAGRycy9kb3ducmV2LnhtbESPS6vCMBSE94L/IRzBnaaKvWg1ig8UcecD3B6aY1ts&#10;TkoTtf57Iwh3OczMN8xs0ZhSPKl2hWUFg34Egji1uuBMweW87Y1BOI+ssbRMCt7kYDFvt2aYaPvi&#10;Iz1PPhMBwi5BBbn3VSKlS3My6Pq2Ig7ezdYGfZB1JnWNrwA3pRxG0Z80WHBYyLGidU7p/fQwCjxj&#10;NHkcBrtVXDR2NL7Gm+UhVqrbaZZTEJ4a/x/+tfdawXAC3y/hB8j5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ZQKbsAAAADbAAAADwAAAAAAAAAAAAAAAACYAgAAZHJzL2Rvd25y&#10;ZXYueG1sUEsFBgAAAAAEAAQA9QAAAIUDAAAAAA==&#10;" fillcolor="white [3201]" strokecolor="black [3200]" strokeweight="2pt">
                  <v:textbox>
                    <w:txbxContent>
                      <w:p w:rsidR="002A21E4" w:rsidRPr="00BD7820" w:rsidRDefault="002A21E4" w:rsidP="00F37D86">
                        <w:pPr>
                          <w:spacing w:after="0"/>
                          <w:jc w:val="center"/>
                          <w:rPr>
                            <w:sz w:val="20"/>
                          </w:rPr>
                        </w:pPr>
                        <w:r w:rsidRPr="00BD7820">
                          <w:rPr>
                            <w:sz w:val="20"/>
                          </w:rPr>
                          <w:t>Información Científica (Top Down)</w:t>
                        </w:r>
                      </w:p>
                    </w:txbxContent>
                  </v:textbox>
                </v:roundrect>
                <v:roundrect id="38 Rectángulo redondeado" o:spid="_x0000_s1092" style="position:absolute;left:6555;width:16108;height:5251;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Zsd8AA&#10;AADbAAAADwAAAGRycy9kb3ducmV2LnhtbERPTYvCMBC9C/sfwgh701QFcatRVFhYwYtV1uuQjG21&#10;mXSbrFZ/vTkIHh/ve7ZobSWu1PjSsYJBPwFBrJ0pOVdw2H/3JiB8QDZYOSYFd/KwmH90Zpgad+Md&#10;XbOQixjCPkUFRQh1KqXXBVn0fVcTR+7kGoshwiaXpsFbDLeVHCbJWFosOTYUWNO6IH3J/q0C/WhX&#10;21Gm/86r09fxN5j9Jt+elfrstsspiEBteItf7h+jYBTHxi/xB8j5E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TZsd8AAAADbAAAADwAAAAAAAAAAAAAAAACYAgAAZHJzL2Rvd25y&#10;ZXYueG1sUEsFBgAAAAAEAAQA9QAAAIUDAAAAAA==&#10;" fillcolor="white [3201]" strokecolor="black [3200]" strokeweight="2pt">
                  <v:textbox inset="1mm,,1mm">
                    <w:txbxContent>
                      <w:p w:rsidR="002A21E4" w:rsidRPr="00CC51CE" w:rsidRDefault="002A21E4" w:rsidP="00F37D86">
                        <w:pPr>
                          <w:spacing w:after="0"/>
                          <w:jc w:val="center"/>
                          <w:rPr>
                            <w:sz w:val="20"/>
                          </w:rPr>
                        </w:pPr>
                        <w:r w:rsidRPr="00CC51CE">
                          <w:rPr>
                            <w:sz w:val="20"/>
                          </w:rPr>
                          <w:t>Selección de Principios de Sostenibilidad Territorial</w:t>
                        </w:r>
                      </w:p>
                    </w:txbxContent>
                  </v:textbox>
                </v:roundrect>
                <v:roundrect id="39 Rectángulo redondeado" o:spid="_x0000_s1093" style="position:absolute;left:6642;top:8931;width:16107;height:5251;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E2cs8IA&#10;AADbAAAADwAAAGRycy9kb3ducmV2LnhtbESPS6vCMBSE9xf8D+EI7q6pj4pWo/hAubjzAW4PzbEt&#10;NieliVr/vREuuBxm5htmtmhMKR5Uu8Kygl43AkGcWl1wpuB82v6OQTiPrLG0TApe5GAxb/3MMNH2&#10;yQd6HH0mAoRdggpy76tESpfmZNB1bUUcvKutDfog60zqGp8BbkrZj6KRNFhwWMixonVO6e14Nwo8&#10;YzS573u7VVw0dji+xJvlPlaq026WUxCeGv8N/7f/tILBBD5fwg+Q8z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TZyzwgAAANsAAAAPAAAAAAAAAAAAAAAAAJgCAABkcnMvZG93&#10;bnJldi54bWxQSwUGAAAAAAQABAD1AAAAhwMAAAAA&#10;" fillcolor="white [3201]" strokecolor="black [3200]" strokeweight="2pt">
                  <v:textbox>
                    <w:txbxContent>
                      <w:p w:rsidR="002A21E4" w:rsidRPr="00CC51CE" w:rsidRDefault="002A21E4" w:rsidP="00F37D86">
                        <w:pPr>
                          <w:spacing w:after="0"/>
                          <w:jc w:val="center"/>
                          <w:rPr>
                            <w:sz w:val="20"/>
                          </w:rPr>
                        </w:pPr>
                        <w:r w:rsidRPr="00CC51CE">
                          <w:rPr>
                            <w:sz w:val="20"/>
                          </w:rPr>
                          <w:t xml:space="preserve">Selección de </w:t>
                        </w:r>
                        <w:r>
                          <w:rPr>
                            <w:sz w:val="20"/>
                          </w:rPr>
                          <w:t>Criterios</w:t>
                        </w:r>
                        <w:r w:rsidRPr="00CC51CE">
                          <w:rPr>
                            <w:sz w:val="20"/>
                          </w:rPr>
                          <w:t xml:space="preserve"> de Principios</w:t>
                        </w:r>
                      </w:p>
                    </w:txbxContent>
                  </v:textbox>
                </v:roundrect>
                <v:shape id="46 Conector recto de flecha" o:spid="_x0000_s1094" type="#_x0000_t32" style="position:absolute;left:14566;top:14247;width:0;height:360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raVZMEAAADbAAAADwAAAGRycy9kb3ducmV2LnhtbESP3YrCMBSE7wXfIRxhb0RTFxGtRlHZ&#10;RS/9e4BDc2yrzUlJota3N4Lg5TAz3zCzRWMqcSfnS8sKBv0EBHFmdcm5gtPxvzcG4QOyxsoyKXiS&#10;h8W83Zphqu2D93Q/hFxECPsUFRQh1KmUPivIoO/bmjh6Z+sMhihdLrXDR4SbSv4myUgaLDkuFFjT&#10;uqDsergZBbR9arv5q9eXbl663W6/as6TlVI/nWY5BRGoCd/wp73VCoYjeH+JP0DOX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mtpVkwQAAANsAAAAPAAAAAAAAAAAAAAAA&#10;AKECAABkcnMvZG93bnJldi54bWxQSwUGAAAAAAQABAD5AAAAjwMAAAAA&#10;" strokecolor="black [3040]" strokeweight="1.5pt">
                  <v:stroke endarrow="open"/>
                </v:shape>
                <v:shape id="47 Conector recto de flecha" o:spid="_x0000_s1095" type="#_x0000_t32" style="position:absolute;left:14566;top:34449;width:1;height:15133;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VBpHMQAAADbAAAADwAAAGRycy9kb3ducmV2LnhtbESPT2sCMRTE7wW/Q3iCt5q1SFu2RtGC&#10;0mP9A3p8bl43SzcvaxLd3W/fCEKPw8z8hpktOluLG/lQOVYwGWcgiAunKy4VHPbr53cQISJrrB2T&#10;gp4CLOaDpxnm2rW8pdsuliJBOOSowMTY5FKGwpDFMHYNcfJ+nLcYk/Sl1B7bBLe1fMmyV2mx4rRg&#10;sKFPQ8Xv7moVXPrJeXXuN81322+OZuVPx3Z7Umo07JYfICJ18T/8aH9pBdM3uH9JP0DO/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1UGkcxAAAANsAAAAPAAAAAAAAAAAA&#10;AAAAAKECAABkcnMvZG93bnJldi54bWxQSwUGAAAAAAQABAD5AAAAkgMAAAAA&#10;" strokecolor="black [3040]" strokeweight="1.5pt">
                  <v:stroke endarrow="open"/>
                </v:shape>
                <v:line id="48 Conector recto" o:spid="_x0000_s1096" style="position:absolute;visibility:visible;mso-wrap-style:square" from="13290,42742" to="15813,427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edcTb0AAADbAAAADwAAAGRycy9kb3ducmV2LnhtbERPTYvCMBC9L/gfwgje1tRFllKNIoro&#10;1bqgx6EZm2IzKc2s1n9vDgt7fLzv5XrwrXpQH5vABmbTDBRxFWzDtYGf8/4zBxUF2WIbmAy8KMJ6&#10;NfpYYmHDk0/0KKVWKYRjgQacSFdoHStHHuM0dMSJu4XeoyTY19r2+EzhvtVfWfatPTacGhx2tHVU&#10;3ctfb8BfmraakZx3wtd6n5dumx9OxkzGw2YBSmiQf/Gf+2gNzNPY9CX9AL16Aw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AHnXE29AAAA2wAAAA8AAAAAAAAAAAAAAAAAoQIA&#10;AGRycy9kb3ducmV2LnhtbFBLBQYAAAAABAAEAPkAAACLAwAAAAA=&#10;" strokecolor="black [3040]" strokeweight="1.5pt"/>
                <v:line id="55 Conector recto" o:spid="_x0000_s1097" style="position:absolute;visibility:visible;mso-wrap-style:square" from="13290,49547" to="15813,495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j9lDsEAAADbAAAADwAAAGRycy9kb3ducmV2LnhtbESPwWrDMBBE74X+g9hCb7XsQoJxopiS&#10;EtprnEJyXKytZWqtjLVN3L+PAoEeh5l5w6zr2Q/qTFPsAxsoshwUcRtsz52Br8PupQQVBdniEJgM&#10;/FGEevP4sMbKhgvv6dxIpxKEY4UGnMhYaR1bRx5jFkbi5H2HyaMkOXXaTnhJcD/o1zxfao89pwWH&#10;I20dtT/Nrzfgj/3QFiSHd+FTtysbty0/9sY8P81vK1BCs/yH7+1Pa2CxgNuX9AP05go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qP2UOwQAAANsAAAAPAAAAAAAAAAAAAAAA&#10;AKECAABkcnMvZG93bnJldi54bWxQSwUGAAAAAAQABAD5AAAAjwMAAAAA&#10;" strokecolor="black [3040]" strokeweight="1.5p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301 Cerrar llave" o:spid="_x0000_s1098" type="#_x0000_t88" style="position:absolute;left:29452;top:38170;width:1886;height:1420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kHvAsEA&#10;AADcAAAADwAAAGRycy9kb3ducmV2LnhtbESPQYvCMBSE78L+h/AWvIhNrCBLNZVFEAS9qIvnR/O2&#10;LW1eShO1/nsjCB6HmfmGWa0H24ob9b52rGGWKBDEhTM1lxr+ztvpDwgfkA22jknDgzys86/RCjPj&#10;7nyk2ymUIkLYZ6ihCqHLpPRFRRZ94jri6P273mKIsi+l6fEe4baVqVILabHmuFBhR5uKiuZ0tRqa&#10;HdJ+0siL4rTYbw/NxZ5dqvX4e/hdggg0hE/43d4ZDXM1g9eZeARk/g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JB7wLBAAAA3AAAAA8AAAAAAAAAAAAAAAAAmAIAAGRycy9kb3du&#10;cmV2LnhtbFBLBQYAAAAABAAEAPUAAACGAwAAAAA=&#10;" adj="239" strokecolor="black [3040]" strokeweight="1.5pt"/>
                <v:shape id="321 Conector recto de flecha" o:spid="_x0000_s1099" type="#_x0000_t32" style="position:absolute;left:14672;top:5316;width:107;height:361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Yc7g8MAAADcAAAADwAAAGRycy9kb3ducmV2LnhtbESP3YrCMBSE7wXfIRzBG1lTFcTtNhUV&#10;F730Zx/g0Bzb7jYnJYla334jCF4OM/MNky0704gbOV9bVjAZJyCIC6trLhX8nL8/FiB8QNbYWCYF&#10;D/KwzPu9DFNt73yk2ymUIkLYp6igCqFNpfRFRQb92LbE0btYZzBE6UqpHd4j3DRymiRzabDmuFBh&#10;S5uKir/T1Sig/UPb3bbd/I7K2h0Ox3V3+VwrNRx0qy8QgbrwDr/ae61gNp3A80w8AjL/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GHO4PDAAAA3AAAAA8AAAAAAAAAAAAA&#10;AAAAoQIAAGRycy9kb3ducmV2LnhtbFBLBQYAAAAABAAEAPkAAACRAwAAAAA=&#10;" strokecolor="black [3040]" strokeweight="1.5pt">
                  <v:stroke endarrow="open"/>
                </v:shape>
                <v:shape id="322 Cerrar llave" o:spid="_x0000_s1100" type="#_x0000_t88" style="position:absolute;left:26555;top:106;width:1886;height:1420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0r1McA&#10;AADcAAAADwAAAGRycy9kb3ducmV2LnhtbESPT2sCMRTE70K/Q3gFL1KzbmkpW6NUQexBxL+V3h6b&#10;183Wzcu6SXX99k2h4HGYmd8ww3FrK3GmxpeOFQz6CQji3OmSCwW77ezhBYQPyBorx6TgSh7Go7vO&#10;EDPtLrym8yYUIkLYZ6jAhFBnUvrckEXfdzVx9L5cYzFE2RRSN3iJcFvJNEmepcWS44LBmqaG8uPm&#10;xyo4LDyWyWrZm3zrw/70cTXzp8+1Ut379u0VRKA23ML/7Xet4DFN4e9MPAJy9A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JNK9THAAAA3AAAAA8AAAAAAAAAAAAAAAAAmAIAAGRy&#10;cy9kb3ducmV2LnhtbFBLBQYAAAAABAAEAPUAAACMAwAAAAA=&#10;" adj="239" strokeweight="1.5pt"/>
                <v:roundrect id="323 Rectángulo redondeado" o:spid="_x0000_s1101" style="position:absolute;left:28949;top:4465;width:13721;height:5252;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0MMMA&#10;AADcAAAADwAAAGRycy9kb3ducmV2LnhtbESP3YrCMBCF74V9hzCCd5qqqyvVKIuwshcK2vUBhmRs&#10;q82kNFmtb28EwcvD+fk4i1VrK3GlxpeOFQwHCQhi7UzJuYLj309/BsIHZIOVY1JwJw+r5Udngalx&#10;Nz7QNQu5iCPsU1RQhFCnUnpdkEU/cDVx9E6usRiibHJpGrzFcVvJUZJMpcWSI6HAmtYF6Uv2byPk&#10;+HnWd3PamK2dTb52erdfX4JSvW77PQcRqA3v8Kv9axSMR2N4nolHQC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F0MMMAAADcAAAADwAAAAAAAAAAAAAAAACYAgAAZHJzL2Rv&#10;d25yZXYueG1sUEsFBgAAAAAEAAQA9QAAAIgDAAAAAA==&#10;" fillcolor="white [3201]" stroked="f" strokeweight="2pt">
                  <v:textbox>
                    <w:txbxContent>
                      <w:p w:rsidR="002A21E4" w:rsidRPr="00BD7820" w:rsidRDefault="002A21E4" w:rsidP="00265BAE">
                        <w:pPr>
                          <w:spacing w:after="0"/>
                          <w:rPr>
                            <w:b/>
                            <w:sz w:val="20"/>
                          </w:rPr>
                        </w:pPr>
                        <w:r w:rsidRPr="00BD7820">
                          <w:rPr>
                            <w:b/>
                            <w:sz w:val="20"/>
                          </w:rPr>
                          <w:t>Operacionalización</w:t>
                        </w:r>
                      </w:p>
                    </w:txbxContent>
                  </v:textbox>
                </v:roundrect>
              </v:group>
            </w:pict>
          </mc:Fallback>
        </mc:AlternateContent>
      </w:r>
    </w:p>
    <w:p w:rsidR="00CC51CE" w:rsidRPr="000E0F90" w:rsidRDefault="00CC51CE" w:rsidP="00CC51CE">
      <w:pPr>
        <w:jc w:val="left"/>
        <w:rPr>
          <w:rFonts w:ascii="Arial" w:hAnsi="Arial" w:cs="Arial"/>
          <w:b/>
          <w:color w:val="000000" w:themeColor="text1"/>
        </w:rPr>
      </w:pPr>
    </w:p>
    <w:p w:rsidR="00702D9A" w:rsidRDefault="00702D9A" w:rsidP="00FC778E"/>
    <w:p w:rsidR="00702D9A" w:rsidRPr="00702D9A" w:rsidRDefault="00702D9A" w:rsidP="00702D9A"/>
    <w:p w:rsidR="00702D9A" w:rsidRPr="00702D9A" w:rsidRDefault="00702D9A" w:rsidP="00702D9A"/>
    <w:p w:rsidR="00702D9A" w:rsidRPr="00702D9A" w:rsidRDefault="00702D9A" w:rsidP="00702D9A"/>
    <w:p w:rsidR="00702D9A" w:rsidRPr="00702D9A" w:rsidRDefault="00702D9A" w:rsidP="00702D9A"/>
    <w:p w:rsidR="00702D9A" w:rsidRPr="00702D9A" w:rsidRDefault="00702D9A" w:rsidP="00702D9A"/>
    <w:p w:rsidR="00702D9A" w:rsidRPr="00702D9A" w:rsidRDefault="00702D9A" w:rsidP="00702D9A"/>
    <w:p w:rsidR="00702D9A" w:rsidRPr="00702D9A" w:rsidRDefault="00702D9A" w:rsidP="00702D9A"/>
    <w:p w:rsidR="00702D9A" w:rsidRPr="00702D9A" w:rsidRDefault="00702D9A" w:rsidP="00702D9A"/>
    <w:p w:rsidR="00702D9A" w:rsidRPr="00702D9A" w:rsidRDefault="00702D9A" w:rsidP="00702D9A"/>
    <w:p w:rsidR="00702D9A" w:rsidRPr="00702D9A" w:rsidRDefault="00702D9A" w:rsidP="00702D9A"/>
    <w:p w:rsidR="00702D9A" w:rsidRPr="00702D9A" w:rsidRDefault="00702D9A" w:rsidP="00702D9A"/>
    <w:p w:rsidR="00702D9A" w:rsidRPr="00702D9A" w:rsidRDefault="00702D9A" w:rsidP="00702D9A"/>
    <w:p w:rsidR="00702D9A" w:rsidRDefault="00702D9A" w:rsidP="00FC778E"/>
    <w:p w:rsidR="00702D9A" w:rsidRDefault="00702D9A" w:rsidP="00FC778E"/>
    <w:p w:rsidR="00702D9A" w:rsidRDefault="00702D9A" w:rsidP="00702D9A"/>
    <w:p w:rsidR="00702D9A" w:rsidRPr="00702D9A" w:rsidRDefault="00702D9A" w:rsidP="00702D9A">
      <w:r w:rsidRPr="000E0F90">
        <w:rPr>
          <w:rFonts w:ascii="Arial" w:hAnsi="Arial" w:cs="Arial"/>
          <w:color w:val="000000" w:themeColor="text1"/>
        </w:rPr>
        <w:t xml:space="preserve">Figura </w:t>
      </w:r>
      <w:r w:rsidRPr="000E0F90">
        <w:rPr>
          <w:rFonts w:ascii="Arial" w:hAnsi="Arial" w:cs="Arial"/>
          <w:color w:val="000000" w:themeColor="text1"/>
        </w:rPr>
        <w:fldChar w:fldCharType="begin"/>
      </w:r>
      <w:r w:rsidRPr="000E0F90">
        <w:rPr>
          <w:rFonts w:ascii="Arial" w:hAnsi="Arial" w:cs="Arial"/>
          <w:color w:val="000000" w:themeColor="text1"/>
        </w:rPr>
        <w:instrText xml:space="preserve"> SEQ Figura \* ARABIC </w:instrText>
      </w:r>
      <w:r w:rsidRPr="000E0F90">
        <w:rPr>
          <w:rFonts w:ascii="Arial" w:hAnsi="Arial" w:cs="Arial"/>
          <w:color w:val="000000" w:themeColor="text1"/>
        </w:rPr>
        <w:fldChar w:fldCharType="separate"/>
      </w:r>
      <w:r w:rsidR="00225844">
        <w:rPr>
          <w:rFonts w:ascii="Arial" w:hAnsi="Arial" w:cs="Arial"/>
          <w:noProof/>
          <w:color w:val="000000" w:themeColor="text1"/>
        </w:rPr>
        <w:t>5</w:t>
      </w:r>
      <w:r w:rsidRPr="000E0F90">
        <w:rPr>
          <w:rFonts w:ascii="Arial" w:hAnsi="Arial" w:cs="Arial"/>
          <w:color w:val="000000" w:themeColor="text1"/>
        </w:rPr>
        <w:fldChar w:fldCharType="end"/>
      </w:r>
      <w:r w:rsidRPr="000E0F90">
        <w:rPr>
          <w:rFonts w:ascii="Arial" w:hAnsi="Arial" w:cs="Arial"/>
          <w:color w:val="000000" w:themeColor="text1"/>
        </w:rPr>
        <w:t>: Esquema metodológico empleado en la investigación</w:t>
      </w:r>
    </w:p>
    <w:p w:rsidR="0075360B" w:rsidRPr="000E0F90" w:rsidRDefault="00CC51CE" w:rsidP="002B538F">
      <w:pPr>
        <w:pStyle w:val="Ttulo2"/>
        <w:spacing w:line="360" w:lineRule="auto"/>
        <w:rPr>
          <w:rFonts w:cs="Arial"/>
        </w:rPr>
      </w:pPr>
      <w:r w:rsidRPr="00702D9A">
        <w:br w:type="page"/>
      </w:r>
      <w:bookmarkStart w:id="18" w:name="_Toc488774912"/>
      <w:r w:rsidR="00996909" w:rsidRPr="000E0F90">
        <w:rPr>
          <w:rFonts w:cs="Arial"/>
        </w:rPr>
        <w:lastRenderedPageBreak/>
        <w:t>AREA DE ESTUDIO</w:t>
      </w:r>
      <w:bookmarkEnd w:id="18"/>
    </w:p>
    <w:p w:rsidR="00252330" w:rsidRPr="000E0F90" w:rsidRDefault="00112107" w:rsidP="002B538F">
      <w:pPr>
        <w:spacing w:before="240" w:after="0" w:line="360" w:lineRule="auto"/>
        <w:rPr>
          <w:rFonts w:ascii="Arial" w:hAnsi="Arial" w:cs="Arial"/>
          <w:b/>
          <w:color w:val="000000" w:themeColor="text1"/>
        </w:rPr>
      </w:pPr>
      <w:r w:rsidRPr="000E0F90">
        <w:rPr>
          <w:rFonts w:ascii="Arial" w:hAnsi="Arial" w:cs="Arial"/>
          <w:b/>
          <w:color w:val="000000" w:themeColor="text1"/>
        </w:rPr>
        <w:t xml:space="preserve">REGIÓN DE ATACAMA: </w:t>
      </w:r>
    </w:p>
    <w:p w:rsidR="00996909" w:rsidRPr="000E0F90" w:rsidRDefault="00996909" w:rsidP="002B538F">
      <w:pPr>
        <w:spacing w:line="360" w:lineRule="auto"/>
        <w:rPr>
          <w:rFonts w:ascii="Arial" w:hAnsi="Arial" w:cs="Arial"/>
          <w:color w:val="000000" w:themeColor="text1"/>
        </w:rPr>
      </w:pPr>
      <w:r w:rsidRPr="000E0F90">
        <w:rPr>
          <w:rFonts w:ascii="Arial" w:hAnsi="Arial" w:cs="Arial"/>
          <w:color w:val="000000" w:themeColor="text1"/>
        </w:rPr>
        <w:t>La tercera región de Atacama se ubica entre 25° 17’ y 29°, 11 de latitud sur, limita al norte con la región de Antofagasta y al sur con la región de Coquimbo, al este con territor</w:t>
      </w:r>
      <w:r w:rsidR="00BD7820" w:rsidRPr="000E0F90">
        <w:rPr>
          <w:rFonts w:ascii="Arial" w:hAnsi="Arial" w:cs="Arial"/>
          <w:color w:val="000000" w:themeColor="text1"/>
        </w:rPr>
        <w:t>io argentino y al oeste con el Océano P</w:t>
      </w:r>
      <w:r w:rsidRPr="000E0F90">
        <w:rPr>
          <w:rFonts w:ascii="Arial" w:hAnsi="Arial" w:cs="Arial"/>
          <w:color w:val="000000" w:themeColor="text1"/>
        </w:rPr>
        <w:t xml:space="preserve">acífico. Posee una superficie de 75.176,20 kilómetros cuadrados, equivalentes al 9,94% del territorio nacional </w:t>
      </w:r>
      <w:sdt>
        <w:sdtPr>
          <w:rPr>
            <w:rFonts w:ascii="Arial" w:hAnsi="Arial" w:cs="Arial"/>
            <w:color w:val="000000" w:themeColor="text1"/>
          </w:rPr>
          <w:id w:val="-879470255"/>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INE07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(INE, 2007)</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Está organizada políticamente en tres </w:t>
      </w:r>
      <w:r w:rsidRPr="000E0F90">
        <w:rPr>
          <w:rFonts w:ascii="Arial" w:eastAsia="Times New Roman" w:hAnsi="Arial" w:cs="Arial"/>
          <w:color w:val="000000" w:themeColor="text1"/>
          <w:lang w:eastAsia="es-ES"/>
        </w:rPr>
        <w:t xml:space="preserve">provincias, correspondientes a Chañaral, Copiapó y Huasco, y nueve comunas. </w:t>
      </w:r>
    </w:p>
    <w:p w:rsidR="00452DEB" w:rsidRPr="000E0F90" w:rsidRDefault="00452DEB" w:rsidP="002B538F">
      <w:pPr>
        <w:spacing w:before="240" w:after="0" w:line="360" w:lineRule="auto"/>
        <w:rPr>
          <w:rFonts w:ascii="Arial" w:hAnsi="Arial" w:cs="Arial"/>
          <w:b/>
          <w:color w:val="000000" w:themeColor="text1"/>
          <w:u w:val="single"/>
        </w:rPr>
      </w:pPr>
      <w:r w:rsidRPr="000E0F90">
        <w:rPr>
          <w:rFonts w:ascii="Arial" w:hAnsi="Arial" w:cs="Arial"/>
          <w:b/>
          <w:color w:val="000000" w:themeColor="text1"/>
          <w:u w:val="single"/>
        </w:rPr>
        <w:t>Biogeoestructura</w:t>
      </w:r>
    </w:p>
    <w:p w:rsidR="008E5FE4" w:rsidRPr="000E0F90" w:rsidRDefault="00452DEB" w:rsidP="002B538F">
      <w:pPr>
        <w:spacing w:line="360" w:lineRule="auto"/>
        <w:rPr>
          <w:rFonts w:ascii="Arial" w:eastAsia="Times New Roman" w:hAnsi="Arial" w:cs="Arial"/>
          <w:color w:val="000000" w:themeColor="text1"/>
          <w:lang w:eastAsia="es-ES"/>
        </w:rPr>
      </w:pPr>
      <w:r w:rsidRPr="000E0F90">
        <w:rPr>
          <w:rFonts w:ascii="Arial" w:eastAsia="Times New Roman" w:hAnsi="Arial" w:cs="Arial"/>
          <w:color w:val="000000" w:themeColor="text1"/>
          <w:lang w:eastAsia="es-ES"/>
        </w:rPr>
        <w:t xml:space="preserve">La región se localiza entre la zona hiperárida de la región de Antofagasta y la zona </w:t>
      </w:r>
      <w:r w:rsidR="00D442EE" w:rsidRPr="000E0F90">
        <w:rPr>
          <w:rFonts w:ascii="Arial" w:eastAsia="Times New Roman" w:hAnsi="Arial" w:cs="Arial"/>
          <w:color w:val="000000" w:themeColor="text1"/>
          <w:lang w:eastAsia="es-ES"/>
        </w:rPr>
        <w:t>mediterránea semiárida de la Región de Coquimbo</w:t>
      </w:r>
      <w:r w:rsidR="00194A9F" w:rsidRPr="000E0F90">
        <w:rPr>
          <w:rFonts w:ascii="Arial" w:eastAsia="Times New Roman" w:hAnsi="Arial" w:cs="Arial"/>
          <w:color w:val="000000" w:themeColor="text1"/>
          <w:lang w:eastAsia="es-ES"/>
        </w:rPr>
        <w:t xml:space="preserve">, observándose una transición climática en sentido longitudinal </w:t>
      </w:r>
      <w:sdt>
        <w:sdtPr>
          <w:rPr>
            <w:rFonts w:ascii="Arial" w:eastAsia="Times New Roman" w:hAnsi="Arial" w:cs="Arial"/>
            <w:color w:val="000000" w:themeColor="text1"/>
            <w:lang w:eastAsia="es-ES"/>
          </w:rPr>
          <w:id w:val="-1045753586"/>
          <w:citation/>
        </w:sdtPr>
        <w:sdtEndPr/>
        <w:sdtContent>
          <w:r w:rsidR="00194A9F" w:rsidRPr="000E0F90">
            <w:rPr>
              <w:rFonts w:ascii="Arial" w:eastAsia="Times New Roman" w:hAnsi="Arial" w:cs="Arial"/>
              <w:color w:val="000000" w:themeColor="text1"/>
              <w:lang w:eastAsia="es-ES"/>
            </w:rPr>
            <w:fldChar w:fldCharType="begin"/>
          </w:r>
          <w:r w:rsidR="00194A9F" w:rsidRPr="000E0F90">
            <w:rPr>
              <w:rFonts w:ascii="Arial" w:eastAsia="Times New Roman" w:hAnsi="Arial" w:cs="Arial"/>
              <w:color w:val="000000" w:themeColor="text1"/>
              <w:lang w:eastAsia="es-ES"/>
            </w:rPr>
            <w:instrText xml:space="preserve">CITATION DGA042 \t  \l 13322 </w:instrText>
          </w:r>
          <w:r w:rsidR="00194A9F" w:rsidRPr="000E0F90">
            <w:rPr>
              <w:rFonts w:ascii="Arial" w:eastAsia="Times New Roman" w:hAnsi="Arial" w:cs="Arial"/>
              <w:color w:val="000000" w:themeColor="text1"/>
              <w:lang w:eastAsia="es-ES"/>
            </w:rPr>
            <w:fldChar w:fldCharType="separate"/>
          </w:r>
          <w:r w:rsidR="008D0261" w:rsidRPr="000E0F90">
            <w:rPr>
              <w:rFonts w:ascii="Arial" w:eastAsia="Times New Roman" w:hAnsi="Arial" w:cs="Arial"/>
              <w:noProof/>
              <w:color w:val="000000" w:themeColor="text1"/>
              <w:lang w:eastAsia="es-ES"/>
            </w:rPr>
            <w:t>(DGA, 2004)</w:t>
          </w:r>
          <w:r w:rsidR="00194A9F" w:rsidRPr="000E0F90">
            <w:rPr>
              <w:rFonts w:ascii="Arial" w:eastAsia="Times New Roman" w:hAnsi="Arial" w:cs="Arial"/>
              <w:color w:val="000000" w:themeColor="text1"/>
              <w:lang w:eastAsia="es-ES"/>
            </w:rPr>
            <w:fldChar w:fldCharType="end"/>
          </w:r>
        </w:sdtContent>
      </w:sdt>
      <w:r w:rsidR="00D442EE" w:rsidRPr="000E0F90">
        <w:rPr>
          <w:rFonts w:ascii="Arial" w:eastAsia="Times New Roman" w:hAnsi="Arial" w:cs="Arial"/>
          <w:color w:val="000000" w:themeColor="text1"/>
          <w:lang w:eastAsia="es-ES"/>
        </w:rPr>
        <w:t>. Es una región árida, con bajas precipitaciones, concentradas en los meses invernales</w:t>
      </w:r>
      <w:r w:rsidR="0003579C" w:rsidRPr="000E0F90">
        <w:rPr>
          <w:rFonts w:ascii="Arial" w:eastAsia="Times New Roman" w:hAnsi="Arial" w:cs="Arial"/>
          <w:color w:val="000000" w:themeColor="text1"/>
          <w:lang w:eastAsia="es-ES"/>
        </w:rPr>
        <w:t xml:space="preserve"> </w:t>
      </w:r>
      <w:r w:rsidR="0003579C" w:rsidRPr="000E0F90">
        <w:rPr>
          <w:rFonts w:ascii="Arial" w:eastAsia="Times New Roman" w:hAnsi="Arial" w:cs="Arial"/>
          <w:color w:val="000000" w:themeColor="text1"/>
          <w:lang w:eastAsia="es-ES"/>
        </w:rPr>
        <w:fldChar w:fldCharType="begin" w:fldLock="1"/>
      </w:r>
      <w:r w:rsidR="006B717B" w:rsidRPr="000E0F90">
        <w:rPr>
          <w:rFonts w:ascii="Arial" w:eastAsia="Times New Roman" w:hAnsi="Arial" w:cs="Arial"/>
          <w:color w:val="000000" w:themeColor="text1"/>
          <w:lang w:eastAsia="es-ES"/>
        </w:rPr>
        <w:instrText>ADDIN CSL_CITATION { "citationItems" : [ { "id" : "ITEM-1", "itemData" : { "author" : [ { "dropping-particle" : "", "family" : "Juli\u00e1", "given" : "Crist\u00f3bal", "non-dropping-particle" : "", "parse-names" : false, "suffix" : "" }, { "dropping-particle" : "", "family" : "Montecinos", "given" : "Sonia", "non-dropping-particle" : "", "parse-names" : false, "suffix" : "" }, { "dropping-particle" : "", "family" : "Maldonado", "given" : "Antonio", "non-dropping-particle" : "", "parse-names" : false, "suffix" : "" } ], "container-title" : "Libro Rojo de la Flora Nativa y de los Sitios Prioritarios para su Conservaci\u00f3n: Regi\u00f3n de Atacama", "id" : "ITEM-1", "issued" : { "date-parts" : [ [ "2008" ] ] }, "page" : "25 - 42", "title" : "Caracter\u00edsticas Clim\u00e1ticas de la Regi\u00f3n de Atacama", "type" : "article-journal" }, "uris" : [ "http://www.mendeley.com/documents/?uuid=9493dadc-dff1-4c7c-9628-ed244d268ed8" ] } ], "mendeley" : { "formattedCitation" : "(Juli\u00e1, Montecinos, &amp; Maldonado, 2008)", "plainTextFormattedCitation" : "(Juli\u00e1, Montecinos, &amp; Maldonado, 2008)", "previouslyFormattedCitation" : "(Juli\u00e1, Montecinos, &amp; Maldonado, 2008)" }, "properties" : { "noteIndex" : 0 }, "schema" : "https://github.com/citation-style-language/schema/raw/master/csl-citation.json" }</w:instrText>
      </w:r>
      <w:r w:rsidR="0003579C" w:rsidRPr="000E0F90">
        <w:rPr>
          <w:rFonts w:ascii="Arial" w:eastAsia="Times New Roman" w:hAnsi="Arial" w:cs="Arial"/>
          <w:color w:val="000000" w:themeColor="text1"/>
          <w:lang w:eastAsia="es-ES"/>
        </w:rPr>
        <w:fldChar w:fldCharType="separate"/>
      </w:r>
      <w:r w:rsidR="000A0238" w:rsidRPr="000E0F90">
        <w:rPr>
          <w:rFonts w:ascii="Arial" w:eastAsia="Times New Roman" w:hAnsi="Arial" w:cs="Arial"/>
          <w:noProof/>
          <w:color w:val="000000" w:themeColor="text1"/>
          <w:lang w:eastAsia="es-ES"/>
        </w:rPr>
        <w:t>(Juliá, Montecinos, &amp; Maldonado, 2008)</w:t>
      </w:r>
      <w:r w:rsidR="0003579C" w:rsidRPr="000E0F90">
        <w:rPr>
          <w:rFonts w:ascii="Arial" w:eastAsia="Times New Roman" w:hAnsi="Arial" w:cs="Arial"/>
          <w:color w:val="000000" w:themeColor="text1"/>
          <w:lang w:eastAsia="es-ES"/>
        </w:rPr>
        <w:fldChar w:fldCharType="end"/>
      </w:r>
      <w:r w:rsidR="00D442EE" w:rsidRPr="000E0F90">
        <w:rPr>
          <w:rFonts w:ascii="Arial" w:eastAsia="Times New Roman" w:hAnsi="Arial" w:cs="Arial"/>
          <w:color w:val="000000" w:themeColor="text1"/>
          <w:lang w:eastAsia="es-ES"/>
        </w:rPr>
        <w:t xml:space="preserve">. </w:t>
      </w:r>
      <w:r w:rsidR="00FC778E">
        <w:rPr>
          <w:rFonts w:ascii="Arial" w:eastAsia="Times New Roman" w:hAnsi="Arial" w:cs="Arial"/>
          <w:color w:val="000000" w:themeColor="text1"/>
          <w:lang w:eastAsia="es-ES"/>
        </w:rPr>
        <w:t xml:space="preserve">Se evidencian neblinas costeras, </w:t>
      </w:r>
      <w:r w:rsidR="00C749FA" w:rsidRPr="000E0F90">
        <w:rPr>
          <w:rFonts w:ascii="Arial" w:eastAsia="Times New Roman" w:hAnsi="Arial" w:cs="Arial"/>
          <w:color w:val="000000" w:themeColor="text1"/>
          <w:lang w:eastAsia="es-ES"/>
        </w:rPr>
        <w:t>que permiten e</w:t>
      </w:r>
      <w:r w:rsidR="008E5FE4" w:rsidRPr="000E0F90">
        <w:rPr>
          <w:rFonts w:ascii="Arial" w:eastAsia="Times New Roman" w:hAnsi="Arial" w:cs="Arial"/>
          <w:color w:val="000000" w:themeColor="text1"/>
          <w:lang w:eastAsia="es-ES"/>
        </w:rPr>
        <w:t xml:space="preserve">l desarrollo de vegetación; condiciones </w:t>
      </w:r>
      <w:r w:rsidR="002B2DB2" w:rsidRPr="000E0F90">
        <w:rPr>
          <w:rFonts w:ascii="Arial" w:eastAsia="Times New Roman" w:hAnsi="Arial" w:cs="Arial"/>
          <w:color w:val="000000" w:themeColor="text1"/>
          <w:lang w:eastAsia="es-ES"/>
        </w:rPr>
        <w:t>m</w:t>
      </w:r>
      <w:r w:rsidR="008E5FE4" w:rsidRPr="000E0F90">
        <w:rPr>
          <w:rFonts w:ascii="Arial" w:eastAsia="Times New Roman" w:hAnsi="Arial" w:cs="Arial"/>
          <w:color w:val="000000" w:themeColor="text1"/>
          <w:lang w:eastAsia="es-ES"/>
        </w:rPr>
        <w:t xml:space="preserve">ás </w:t>
      </w:r>
      <w:r w:rsidR="00C749FA" w:rsidRPr="000E0F90">
        <w:rPr>
          <w:rFonts w:ascii="Arial" w:eastAsia="Times New Roman" w:hAnsi="Arial" w:cs="Arial"/>
          <w:color w:val="000000" w:themeColor="text1"/>
          <w:lang w:eastAsia="es-ES"/>
        </w:rPr>
        <w:t>áridas</w:t>
      </w:r>
      <w:r w:rsidR="00FC778E" w:rsidRPr="00FC778E">
        <w:rPr>
          <w:rFonts w:ascii="Arial" w:eastAsia="Times New Roman" w:hAnsi="Arial" w:cs="Arial"/>
          <w:color w:val="000000" w:themeColor="text1"/>
          <w:lang w:eastAsia="es-ES"/>
        </w:rPr>
        <w:t xml:space="preserve"> </w:t>
      </w:r>
      <w:r w:rsidR="00FC778E" w:rsidRPr="000E0F90">
        <w:rPr>
          <w:rFonts w:ascii="Arial" w:eastAsia="Times New Roman" w:hAnsi="Arial" w:cs="Arial"/>
          <w:color w:val="000000" w:themeColor="text1"/>
          <w:lang w:eastAsia="es-ES"/>
        </w:rPr>
        <w:t>hacia el interior</w:t>
      </w:r>
      <w:r w:rsidR="008E5FE4" w:rsidRPr="000E0F90">
        <w:rPr>
          <w:rFonts w:ascii="Arial" w:eastAsia="Times New Roman" w:hAnsi="Arial" w:cs="Arial"/>
          <w:color w:val="000000" w:themeColor="text1"/>
          <w:lang w:eastAsia="es-ES"/>
        </w:rPr>
        <w:t xml:space="preserve">, </w:t>
      </w:r>
      <w:r w:rsidR="00194A9F" w:rsidRPr="000E0F90">
        <w:rPr>
          <w:rFonts w:ascii="Arial" w:eastAsia="Times New Roman" w:hAnsi="Arial" w:cs="Arial"/>
          <w:color w:val="000000" w:themeColor="text1"/>
          <w:lang w:eastAsia="es-ES"/>
        </w:rPr>
        <w:t xml:space="preserve">salvo la entrada de los valles; </w:t>
      </w:r>
      <w:r w:rsidR="00FC778E">
        <w:rPr>
          <w:rFonts w:ascii="Arial" w:eastAsia="Times New Roman" w:hAnsi="Arial" w:cs="Arial"/>
          <w:color w:val="000000" w:themeColor="text1"/>
          <w:lang w:eastAsia="es-ES"/>
        </w:rPr>
        <w:t xml:space="preserve">y menores </w:t>
      </w:r>
      <w:r w:rsidR="00FC778E" w:rsidRPr="000E0F90">
        <w:rPr>
          <w:rFonts w:ascii="Arial" w:eastAsia="Times New Roman" w:hAnsi="Arial" w:cs="Arial"/>
          <w:color w:val="000000" w:themeColor="text1"/>
          <w:lang w:eastAsia="es-ES"/>
        </w:rPr>
        <w:t xml:space="preserve">temperaturas y precipitaciones </w:t>
      </w:r>
      <w:r w:rsidR="00FC778E">
        <w:rPr>
          <w:rFonts w:ascii="Arial" w:eastAsia="Times New Roman" w:hAnsi="Arial" w:cs="Arial"/>
          <w:color w:val="000000" w:themeColor="text1"/>
          <w:lang w:eastAsia="es-ES"/>
        </w:rPr>
        <w:t xml:space="preserve">nivales </w:t>
      </w:r>
      <w:r w:rsidR="00167508">
        <w:rPr>
          <w:rFonts w:ascii="Arial" w:eastAsia="Times New Roman" w:hAnsi="Arial" w:cs="Arial"/>
          <w:color w:val="000000" w:themeColor="text1"/>
          <w:lang w:eastAsia="es-ES"/>
        </w:rPr>
        <w:t>en la</w:t>
      </w:r>
      <w:r w:rsidR="008E5FE4" w:rsidRPr="000E0F90">
        <w:rPr>
          <w:rFonts w:ascii="Arial" w:eastAsia="Times New Roman" w:hAnsi="Arial" w:cs="Arial"/>
          <w:color w:val="000000" w:themeColor="text1"/>
          <w:lang w:eastAsia="es-ES"/>
        </w:rPr>
        <w:t xml:space="preserve"> alta montaña </w:t>
      </w:r>
      <w:r w:rsidR="008E5FE4" w:rsidRPr="000E0F90">
        <w:rPr>
          <w:rFonts w:ascii="Arial" w:eastAsia="Times New Roman" w:hAnsi="Arial" w:cs="Arial"/>
          <w:color w:val="000000" w:themeColor="text1"/>
          <w:lang w:eastAsia="es-ES"/>
        </w:rPr>
        <w:fldChar w:fldCharType="begin" w:fldLock="1"/>
      </w:r>
      <w:r w:rsidR="00BD577D" w:rsidRPr="000E0F90">
        <w:rPr>
          <w:rFonts w:ascii="Arial" w:eastAsia="Times New Roman" w:hAnsi="Arial" w:cs="Arial"/>
          <w:color w:val="000000" w:themeColor="text1"/>
          <w:lang w:eastAsia="es-ES"/>
        </w:rPr>
        <w:instrText>ADDIN CSL_CITATION { "citationItems" : [ { "id" : "ITEM-1", "itemData" : { "author" : [ { "dropping-particle" : "", "family" : "Juli\u00e1", "given" : "Crist\u00f3bal", "non-dropping-particle" : "", "parse-names" : false, "suffix" : "" }, { "dropping-particle" : "", "family" : "Montecinos", "given" : "Sonia", "non-dropping-particle" : "", "parse-names" : false, "suffix" : "" }, { "dropping-particle" : "", "family" : "Maldonado", "given" : "Antonio", "non-dropping-particle" : "", "parse-names" : false, "suffix" : "" } ], "container-title" : "Libro Rojo de la Flora Nativa y de los Sitios Prioritarios para su Conservaci\u00f3n: Regi\u00f3n de Atacama", "id" : "ITEM-1", "issued" : { "date-parts" : [ [ "2008" ] ] }, "page" : "25 - 42", "title" : "Caracter\u00edsticas Clim\u00e1ticas de la Regi\u00f3n de Atacama", "type" : "article-journal" }, "uris" : [ "http://www.mendeley.com/documents/?uuid=9493dadc-dff1-4c7c-9628-ed244d268ed8" ] } ], "mendeley" : { "formattedCitation" : "(Juli\u00e1 et al., 2008)", "plainTextFormattedCitation" : "(Juli\u00e1 et al., 2008)", "previouslyFormattedCitation" : "(Juli\u00e1 et al., 2008)" }, "properties" : { "noteIndex" : 0 }, "schema" : "https://github.com/citation-style-language/schema/raw/master/csl-citation.json" }</w:instrText>
      </w:r>
      <w:r w:rsidR="008E5FE4" w:rsidRPr="000E0F90">
        <w:rPr>
          <w:rFonts w:ascii="Arial" w:eastAsia="Times New Roman" w:hAnsi="Arial" w:cs="Arial"/>
          <w:color w:val="000000" w:themeColor="text1"/>
          <w:lang w:eastAsia="es-ES"/>
        </w:rPr>
        <w:fldChar w:fldCharType="separate"/>
      </w:r>
      <w:r w:rsidR="00BD577D" w:rsidRPr="000E0F90">
        <w:rPr>
          <w:rFonts w:ascii="Arial" w:eastAsia="Times New Roman" w:hAnsi="Arial" w:cs="Arial"/>
          <w:noProof/>
          <w:color w:val="000000" w:themeColor="text1"/>
          <w:lang w:eastAsia="es-ES"/>
        </w:rPr>
        <w:t>(Juliá et al., 2008)</w:t>
      </w:r>
      <w:r w:rsidR="008E5FE4" w:rsidRPr="000E0F90">
        <w:rPr>
          <w:rFonts w:ascii="Arial" w:eastAsia="Times New Roman" w:hAnsi="Arial" w:cs="Arial"/>
          <w:color w:val="000000" w:themeColor="text1"/>
          <w:lang w:eastAsia="es-ES"/>
        </w:rPr>
        <w:fldChar w:fldCharType="end"/>
      </w:r>
      <w:r w:rsidR="008E5FE4" w:rsidRPr="000E0F90">
        <w:rPr>
          <w:rFonts w:ascii="Arial" w:eastAsia="Times New Roman" w:hAnsi="Arial" w:cs="Arial"/>
          <w:color w:val="000000" w:themeColor="text1"/>
          <w:lang w:eastAsia="es-ES"/>
        </w:rPr>
        <w:t>.</w:t>
      </w:r>
    </w:p>
    <w:p w:rsidR="00252330" w:rsidRPr="000E0F90" w:rsidRDefault="00252330" w:rsidP="002B538F">
      <w:pPr>
        <w:spacing w:after="120" w:line="360" w:lineRule="auto"/>
        <w:rPr>
          <w:rFonts w:ascii="Arial" w:eastAsia="Times New Roman" w:hAnsi="Arial" w:cs="Arial"/>
          <w:b/>
          <w:color w:val="000000" w:themeColor="text1"/>
          <w:lang w:eastAsia="es-ES"/>
        </w:rPr>
      </w:pPr>
      <w:r w:rsidRPr="000E0F90">
        <w:rPr>
          <w:rFonts w:ascii="Arial" w:eastAsia="Times New Roman" w:hAnsi="Arial" w:cs="Arial"/>
          <w:color w:val="000000" w:themeColor="text1"/>
          <w:lang w:eastAsia="es-ES"/>
        </w:rPr>
        <w:t xml:space="preserve">La Región de Atacama se encuentra en el </w:t>
      </w:r>
      <w:r w:rsidR="0049698D" w:rsidRPr="000E0F90">
        <w:rPr>
          <w:rFonts w:ascii="Arial" w:eastAsia="Times New Roman" w:hAnsi="Arial" w:cs="Arial"/>
          <w:color w:val="000000" w:themeColor="text1"/>
          <w:lang w:eastAsia="es-ES"/>
        </w:rPr>
        <w:t>límite</w:t>
      </w:r>
      <w:r w:rsidRPr="000E0F90">
        <w:rPr>
          <w:rFonts w:ascii="Arial" w:eastAsia="Times New Roman" w:hAnsi="Arial" w:cs="Arial"/>
          <w:color w:val="000000" w:themeColor="text1"/>
          <w:lang w:eastAsia="es-ES"/>
        </w:rPr>
        <w:t xml:space="preserve"> entre el Norte Chico y el Norte Grande, </w:t>
      </w:r>
      <w:r w:rsidR="00FC778E">
        <w:rPr>
          <w:rFonts w:ascii="Arial" w:eastAsia="Times New Roman" w:hAnsi="Arial" w:cs="Arial"/>
          <w:color w:val="000000" w:themeColor="text1"/>
          <w:lang w:eastAsia="es-ES"/>
        </w:rPr>
        <w:t>presenta las siguientes morfológicas</w:t>
      </w:r>
      <w:r w:rsidRPr="000E0F90">
        <w:rPr>
          <w:rFonts w:ascii="Arial" w:eastAsia="Times New Roman" w:hAnsi="Arial" w:cs="Arial"/>
          <w:color w:val="000000" w:themeColor="text1"/>
          <w:lang w:eastAsia="es-ES"/>
        </w:rPr>
        <w:t xml:space="preserve">: Planicies Litorales, Cordillera de la Costa, Depresión intermedia, con la Pampa Ondulada Austral </w:t>
      </w:r>
      <w:r w:rsidR="00FC778E">
        <w:rPr>
          <w:rFonts w:ascii="Arial" w:eastAsia="Times New Roman" w:hAnsi="Arial" w:cs="Arial"/>
          <w:color w:val="000000" w:themeColor="text1"/>
          <w:lang w:eastAsia="es-ES"/>
        </w:rPr>
        <w:t>(</w:t>
      </w:r>
      <w:r w:rsidRPr="000E0F90">
        <w:rPr>
          <w:rFonts w:ascii="Arial" w:eastAsia="Times New Roman" w:hAnsi="Arial" w:cs="Arial"/>
          <w:color w:val="000000" w:themeColor="text1"/>
          <w:lang w:eastAsia="es-ES"/>
        </w:rPr>
        <w:t>norte</w:t>
      </w:r>
      <w:r w:rsidR="00FC778E">
        <w:rPr>
          <w:rFonts w:ascii="Arial" w:eastAsia="Times New Roman" w:hAnsi="Arial" w:cs="Arial"/>
          <w:color w:val="000000" w:themeColor="text1"/>
          <w:lang w:eastAsia="es-ES"/>
        </w:rPr>
        <w:t>)</w:t>
      </w:r>
      <w:r w:rsidRPr="000E0F90">
        <w:rPr>
          <w:rFonts w:ascii="Arial" w:eastAsia="Times New Roman" w:hAnsi="Arial" w:cs="Arial"/>
          <w:color w:val="000000" w:themeColor="text1"/>
          <w:lang w:eastAsia="es-ES"/>
        </w:rPr>
        <w:t xml:space="preserve"> y la Pampa Transicional </w:t>
      </w:r>
      <w:r w:rsidR="00FC778E">
        <w:rPr>
          <w:rFonts w:ascii="Arial" w:eastAsia="Times New Roman" w:hAnsi="Arial" w:cs="Arial"/>
          <w:color w:val="000000" w:themeColor="text1"/>
          <w:lang w:eastAsia="es-ES"/>
        </w:rPr>
        <w:t>(</w:t>
      </w:r>
      <w:r w:rsidRPr="000E0F90">
        <w:rPr>
          <w:rFonts w:ascii="Arial" w:eastAsia="Times New Roman" w:hAnsi="Arial" w:cs="Arial"/>
          <w:color w:val="000000" w:themeColor="text1"/>
          <w:lang w:eastAsia="es-ES"/>
        </w:rPr>
        <w:t>sur</w:t>
      </w:r>
      <w:r w:rsidR="00FC778E">
        <w:rPr>
          <w:rFonts w:ascii="Arial" w:eastAsia="Times New Roman" w:hAnsi="Arial" w:cs="Arial"/>
          <w:color w:val="000000" w:themeColor="text1"/>
          <w:lang w:eastAsia="es-ES"/>
        </w:rPr>
        <w:t>)</w:t>
      </w:r>
      <w:r w:rsidRPr="000E0F90">
        <w:rPr>
          <w:rFonts w:ascii="Arial" w:eastAsia="Times New Roman" w:hAnsi="Arial" w:cs="Arial"/>
          <w:color w:val="000000" w:themeColor="text1"/>
          <w:lang w:eastAsia="es-ES"/>
        </w:rPr>
        <w:t>; Cordillera de Domeyko en el norte</w:t>
      </w:r>
      <w:r w:rsidR="00FC778E">
        <w:rPr>
          <w:rFonts w:ascii="Arial" w:eastAsia="Times New Roman" w:hAnsi="Arial" w:cs="Arial"/>
          <w:color w:val="000000" w:themeColor="text1"/>
          <w:lang w:eastAsia="es-ES"/>
        </w:rPr>
        <w:t>; C</w:t>
      </w:r>
      <w:r w:rsidRPr="000E0F90">
        <w:rPr>
          <w:rFonts w:ascii="Arial" w:eastAsia="Times New Roman" w:hAnsi="Arial" w:cs="Arial"/>
          <w:color w:val="000000" w:themeColor="text1"/>
          <w:lang w:eastAsia="es-ES"/>
        </w:rPr>
        <w:t xml:space="preserve">uencas Altiplánicas </w:t>
      </w:r>
      <w:r w:rsidR="00FC778E">
        <w:rPr>
          <w:rFonts w:ascii="Arial" w:eastAsia="Times New Roman" w:hAnsi="Arial" w:cs="Arial"/>
          <w:color w:val="000000" w:themeColor="text1"/>
          <w:lang w:eastAsia="es-ES"/>
        </w:rPr>
        <w:t>en</w:t>
      </w:r>
      <w:r w:rsidRPr="000E0F90">
        <w:rPr>
          <w:rFonts w:ascii="Arial" w:eastAsia="Times New Roman" w:hAnsi="Arial" w:cs="Arial"/>
          <w:color w:val="000000" w:themeColor="text1"/>
          <w:lang w:eastAsia="es-ES"/>
        </w:rPr>
        <w:t xml:space="preserve"> el nororiente</w:t>
      </w:r>
      <w:r w:rsidR="0049698D" w:rsidRPr="000E0F90">
        <w:rPr>
          <w:rFonts w:ascii="Arial" w:eastAsia="Times New Roman" w:hAnsi="Arial" w:cs="Arial"/>
          <w:color w:val="000000" w:themeColor="text1"/>
          <w:lang w:eastAsia="es-ES"/>
        </w:rPr>
        <w:t>,</w:t>
      </w:r>
      <w:r w:rsidRPr="000E0F90">
        <w:rPr>
          <w:rFonts w:ascii="Arial" w:eastAsia="Times New Roman" w:hAnsi="Arial" w:cs="Arial"/>
          <w:color w:val="000000" w:themeColor="text1"/>
          <w:lang w:eastAsia="es-ES"/>
        </w:rPr>
        <w:t xml:space="preserve"> y </w:t>
      </w:r>
      <w:r w:rsidR="00FC778E">
        <w:rPr>
          <w:rFonts w:ascii="Arial" w:eastAsia="Times New Roman" w:hAnsi="Arial" w:cs="Arial"/>
          <w:color w:val="000000" w:themeColor="text1"/>
          <w:lang w:eastAsia="es-ES"/>
        </w:rPr>
        <w:t>Cordillera de los Andes en</w:t>
      </w:r>
      <w:r w:rsidRPr="000E0F90">
        <w:rPr>
          <w:rFonts w:ascii="Arial" w:eastAsia="Times New Roman" w:hAnsi="Arial" w:cs="Arial"/>
          <w:color w:val="000000" w:themeColor="text1"/>
          <w:lang w:eastAsia="es-ES"/>
        </w:rPr>
        <w:t xml:space="preserve"> el suroriente </w:t>
      </w:r>
      <w:sdt>
        <w:sdtPr>
          <w:rPr>
            <w:rFonts w:ascii="Arial" w:hAnsi="Arial" w:cs="Arial"/>
            <w:color w:val="000000" w:themeColor="text1"/>
          </w:rPr>
          <w:id w:val="-1711791138"/>
          <w:citation/>
        </w:sdtPr>
        <w:sdtEndPr/>
        <w:sdtContent>
          <w:r w:rsidRPr="000E0F90">
            <w:rPr>
              <w:rFonts w:ascii="Arial" w:hAnsi="Arial" w:cs="Arial"/>
              <w:color w:val="000000" w:themeColor="text1"/>
            </w:rPr>
            <w:fldChar w:fldCharType="begin"/>
          </w:r>
          <w:r w:rsidR="00833579">
            <w:rPr>
              <w:rFonts w:ascii="Arial" w:hAnsi="Arial" w:cs="Arial"/>
              <w:color w:val="000000" w:themeColor="text1"/>
            </w:rPr>
            <w:instrText xml:space="preserve">CITATION ARC13 \t  \l 13322 </w:instrText>
          </w:r>
          <w:r w:rsidRPr="000E0F90">
            <w:rPr>
              <w:rFonts w:ascii="Arial" w:hAnsi="Arial" w:cs="Arial"/>
              <w:color w:val="000000" w:themeColor="text1"/>
            </w:rPr>
            <w:fldChar w:fldCharType="separate"/>
          </w:r>
          <w:r w:rsidR="00833579" w:rsidRPr="00833579">
            <w:rPr>
              <w:rFonts w:ascii="Arial" w:hAnsi="Arial" w:cs="Arial"/>
              <w:noProof/>
              <w:color w:val="000000" w:themeColor="text1"/>
            </w:rPr>
            <w:t>(ARCADIS, 2013)</w:t>
          </w:r>
          <w:r w:rsidRPr="000E0F90">
            <w:rPr>
              <w:rFonts w:ascii="Arial" w:hAnsi="Arial" w:cs="Arial"/>
              <w:color w:val="000000" w:themeColor="text1"/>
            </w:rPr>
            <w:fldChar w:fldCharType="end"/>
          </w:r>
        </w:sdtContent>
      </w:sdt>
      <w:sdt>
        <w:sdtPr>
          <w:rPr>
            <w:rFonts w:ascii="Arial" w:hAnsi="Arial" w:cs="Arial"/>
            <w:color w:val="000000" w:themeColor="text1"/>
          </w:rPr>
          <w:id w:val="-1432358807"/>
          <w:citation/>
        </w:sdtPr>
        <w:sdtEndPr/>
        <w:sdtContent>
          <w:r w:rsidR="00CA5FD1" w:rsidRPr="000E0F90">
            <w:rPr>
              <w:rFonts w:ascii="Arial" w:hAnsi="Arial" w:cs="Arial"/>
              <w:color w:val="000000" w:themeColor="text1"/>
            </w:rPr>
            <w:fldChar w:fldCharType="begin"/>
          </w:r>
          <w:r w:rsidR="00CA5FD1" w:rsidRPr="000E0F90">
            <w:rPr>
              <w:rFonts w:ascii="Arial" w:hAnsi="Arial" w:cs="Arial"/>
              <w:color w:val="000000" w:themeColor="text1"/>
            </w:rPr>
            <w:instrText xml:space="preserve"> CITATION Bör83 \l 13322 </w:instrText>
          </w:r>
          <w:r w:rsidR="00CA5FD1" w:rsidRPr="000E0F90">
            <w:rPr>
              <w:rFonts w:ascii="Arial" w:hAnsi="Arial" w:cs="Arial"/>
              <w:color w:val="000000" w:themeColor="text1"/>
            </w:rPr>
            <w:fldChar w:fldCharType="separate"/>
          </w:r>
          <w:r w:rsidR="008D0261" w:rsidRPr="000E0F90">
            <w:rPr>
              <w:rFonts w:ascii="Arial" w:hAnsi="Arial" w:cs="Arial"/>
              <w:noProof/>
              <w:color w:val="000000" w:themeColor="text1"/>
            </w:rPr>
            <w:t xml:space="preserve"> (Börgel, 1983)</w:t>
          </w:r>
          <w:r w:rsidR="00CA5FD1" w:rsidRPr="000E0F90">
            <w:rPr>
              <w:rFonts w:ascii="Arial" w:hAnsi="Arial" w:cs="Arial"/>
              <w:color w:val="000000" w:themeColor="text1"/>
            </w:rPr>
            <w:fldChar w:fldCharType="end"/>
          </w:r>
        </w:sdtContent>
      </w:sdt>
      <w:r w:rsidR="00CA5FD1" w:rsidRPr="000E0F90">
        <w:rPr>
          <w:rFonts w:ascii="Arial" w:hAnsi="Arial" w:cs="Arial"/>
          <w:color w:val="000000" w:themeColor="text1"/>
        </w:rPr>
        <w:t>.</w:t>
      </w:r>
      <w:r w:rsidRPr="000E0F90">
        <w:rPr>
          <w:rFonts w:ascii="Arial" w:eastAsia="Times New Roman" w:hAnsi="Arial" w:cs="Arial"/>
          <w:color w:val="000000" w:themeColor="text1"/>
          <w:lang w:eastAsia="es-ES"/>
        </w:rPr>
        <w:t xml:space="preserve"> </w:t>
      </w:r>
    </w:p>
    <w:p w:rsidR="00252330" w:rsidRPr="000E0F90" w:rsidRDefault="00252330" w:rsidP="002B538F">
      <w:pPr>
        <w:spacing w:line="360" w:lineRule="auto"/>
        <w:rPr>
          <w:rFonts w:ascii="Arial" w:hAnsi="Arial" w:cs="Arial"/>
          <w:color w:val="000000" w:themeColor="text1"/>
        </w:rPr>
      </w:pPr>
      <w:r w:rsidRPr="000E0F90">
        <w:rPr>
          <w:rFonts w:ascii="Arial" w:hAnsi="Arial" w:cs="Arial"/>
          <w:color w:val="000000" w:themeColor="text1"/>
        </w:rPr>
        <w:t>La hidroestructura de la región se compone de dos sistemas hidrográficos exorreicos, el Rio Copiapó y el Río Huasco</w:t>
      </w:r>
      <w:r w:rsidR="00547F11" w:rsidRPr="000E0F90">
        <w:rPr>
          <w:rFonts w:ascii="Arial" w:hAnsi="Arial" w:cs="Arial"/>
          <w:color w:val="000000" w:themeColor="text1"/>
        </w:rPr>
        <w:t xml:space="preserve">. </w:t>
      </w:r>
      <w:r w:rsidR="00FC778E">
        <w:rPr>
          <w:rFonts w:ascii="Arial" w:hAnsi="Arial" w:cs="Arial"/>
          <w:color w:val="000000" w:themeColor="text1"/>
        </w:rPr>
        <w:t>E</w:t>
      </w:r>
      <w:r w:rsidR="0008441B" w:rsidRPr="000E0F90">
        <w:rPr>
          <w:rFonts w:ascii="Arial" w:hAnsi="Arial" w:cs="Arial"/>
          <w:color w:val="000000" w:themeColor="text1"/>
        </w:rPr>
        <w:t xml:space="preserve">l río Copiapó </w:t>
      </w:r>
      <w:r w:rsidR="006F4014" w:rsidRPr="000E0F90">
        <w:rPr>
          <w:rFonts w:ascii="Arial" w:hAnsi="Arial" w:cs="Arial"/>
          <w:color w:val="000000" w:themeColor="text1"/>
        </w:rPr>
        <w:t>presenta</w:t>
      </w:r>
      <w:r w:rsidR="0008441B" w:rsidRPr="000E0F90">
        <w:rPr>
          <w:rFonts w:ascii="Arial" w:hAnsi="Arial" w:cs="Arial"/>
          <w:color w:val="000000" w:themeColor="text1"/>
        </w:rPr>
        <w:t xml:space="preserve"> un</w:t>
      </w:r>
      <w:r w:rsidR="006F4014" w:rsidRPr="000E0F90">
        <w:rPr>
          <w:rFonts w:ascii="Arial" w:hAnsi="Arial" w:cs="Arial"/>
          <w:color w:val="000000" w:themeColor="text1"/>
        </w:rPr>
        <w:t xml:space="preserve"> </w:t>
      </w:r>
      <w:r w:rsidR="0049698D" w:rsidRPr="000E0F90">
        <w:rPr>
          <w:rFonts w:ascii="Arial" w:hAnsi="Arial" w:cs="Arial"/>
          <w:color w:val="000000" w:themeColor="text1"/>
        </w:rPr>
        <w:t>régimen</w:t>
      </w:r>
      <w:r w:rsidR="006F4014" w:rsidRPr="000E0F90">
        <w:rPr>
          <w:rFonts w:ascii="Arial" w:hAnsi="Arial" w:cs="Arial"/>
          <w:color w:val="000000" w:themeColor="text1"/>
        </w:rPr>
        <w:t xml:space="preserve"> </w:t>
      </w:r>
      <w:r w:rsidR="00FC778E">
        <w:rPr>
          <w:rFonts w:ascii="Arial" w:hAnsi="Arial" w:cs="Arial"/>
          <w:color w:val="000000" w:themeColor="text1"/>
        </w:rPr>
        <w:t xml:space="preserve">nival y </w:t>
      </w:r>
      <w:r w:rsidR="00547F11" w:rsidRPr="000E0F90">
        <w:rPr>
          <w:rFonts w:ascii="Arial" w:hAnsi="Arial" w:cs="Arial"/>
          <w:color w:val="000000" w:themeColor="text1"/>
        </w:rPr>
        <w:t>mixto</w:t>
      </w:r>
      <w:r w:rsidR="00FC778E">
        <w:rPr>
          <w:rFonts w:ascii="Arial" w:hAnsi="Arial" w:cs="Arial"/>
          <w:color w:val="000000" w:themeColor="text1"/>
        </w:rPr>
        <w:t>, y e</w:t>
      </w:r>
      <w:r w:rsidR="0008441B" w:rsidRPr="000E0F90">
        <w:rPr>
          <w:rFonts w:ascii="Arial" w:hAnsi="Arial" w:cs="Arial"/>
          <w:color w:val="000000" w:themeColor="text1"/>
        </w:rPr>
        <w:t xml:space="preserve">l río Huasco presenta un régimen nival, </w:t>
      </w:r>
      <w:r w:rsidR="00FC778E">
        <w:rPr>
          <w:rFonts w:ascii="Arial" w:hAnsi="Arial" w:cs="Arial"/>
          <w:color w:val="000000" w:themeColor="text1"/>
        </w:rPr>
        <w:t xml:space="preserve">con una pequeña </w:t>
      </w:r>
      <w:r w:rsidR="0008441B" w:rsidRPr="000E0F90">
        <w:rPr>
          <w:rFonts w:ascii="Arial" w:hAnsi="Arial" w:cs="Arial"/>
          <w:color w:val="000000" w:themeColor="text1"/>
        </w:rPr>
        <w:t xml:space="preserve">influencia pluvial </w:t>
      </w:r>
      <w:sdt>
        <w:sdtPr>
          <w:rPr>
            <w:rFonts w:ascii="Arial" w:hAnsi="Arial" w:cs="Arial"/>
            <w:color w:val="000000" w:themeColor="text1"/>
          </w:rPr>
          <w:id w:val="726274638"/>
          <w:citation/>
        </w:sdtPr>
        <w:sdtEndPr/>
        <w:sdtContent>
          <w:r w:rsidR="0008441B" w:rsidRPr="000E0F90">
            <w:rPr>
              <w:rFonts w:ascii="Arial" w:hAnsi="Arial" w:cs="Arial"/>
              <w:color w:val="000000" w:themeColor="text1"/>
            </w:rPr>
            <w:fldChar w:fldCharType="begin"/>
          </w:r>
          <w:r w:rsidR="0008441B" w:rsidRPr="000E0F90">
            <w:rPr>
              <w:rFonts w:ascii="Arial" w:hAnsi="Arial" w:cs="Arial"/>
              <w:color w:val="000000" w:themeColor="text1"/>
            </w:rPr>
            <w:instrText xml:space="preserve">CITATION DGA04 \t  \l 13322 </w:instrText>
          </w:r>
          <w:r w:rsidR="0008441B" w:rsidRPr="000E0F90">
            <w:rPr>
              <w:rFonts w:ascii="Arial" w:hAnsi="Arial" w:cs="Arial"/>
              <w:color w:val="000000" w:themeColor="text1"/>
            </w:rPr>
            <w:fldChar w:fldCharType="separate"/>
          </w:r>
          <w:r w:rsidR="008D0261" w:rsidRPr="000E0F90">
            <w:rPr>
              <w:rFonts w:ascii="Arial" w:hAnsi="Arial" w:cs="Arial"/>
              <w:noProof/>
              <w:color w:val="000000" w:themeColor="text1"/>
            </w:rPr>
            <w:t>(DGA, 2004)</w:t>
          </w:r>
          <w:r w:rsidR="0008441B" w:rsidRPr="000E0F90">
            <w:rPr>
              <w:rFonts w:ascii="Arial" w:hAnsi="Arial" w:cs="Arial"/>
              <w:color w:val="000000" w:themeColor="text1"/>
            </w:rPr>
            <w:fldChar w:fldCharType="end"/>
          </w:r>
        </w:sdtContent>
      </w:sdt>
      <w:r w:rsidR="0008441B" w:rsidRPr="000E0F90">
        <w:rPr>
          <w:rFonts w:ascii="Arial" w:hAnsi="Arial" w:cs="Arial"/>
          <w:color w:val="000000" w:themeColor="text1"/>
        </w:rPr>
        <w:t xml:space="preserve">. </w:t>
      </w:r>
    </w:p>
    <w:p w:rsidR="00C809C1" w:rsidRPr="000E0F90" w:rsidRDefault="00252330" w:rsidP="002B538F">
      <w:pPr>
        <w:spacing w:line="360" w:lineRule="auto"/>
        <w:rPr>
          <w:rFonts w:ascii="Arial" w:hAnsi="Arial" w:cs="Arial"/>
          <w:color w:val="000000" w:themeColor="text1"/>
        </w:rPr>
      </w:pPr>
      <w:r w:rsidRPr="000E0F90">
        <w:rPr>
          <w:rFonts w:ascii="Arial" w:eastAsia="Times New Roman" w:hAnsi="Arial" w:cs="Arial"/>
          <w:bCs/>
          <w:iCs/>
          <w:color w:val="000000" w:themeColor="text1"/>
          <w:lang w:eastAsia="es-ES"/>
        </w:rPr>
        <w:t xml:space="preserve">De acuerdo a </w:t>
      </w:r>
      <w:sdt>
        <w:sdtPr>
          <w:rPr>
            <w:rFonts w:ascii="Arial" w:hAnsi="Arial" w:cs="Arial"/>
            <w:color w:val="000000" w:themeColor="text1"/>
          </w:rPr>
          <w:id w:val="1450745765"/>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Lue06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(Luebert &amp; Pliscoff, 2006)</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la región de Atacama se caracteriza por presentar vegetación principalmente de tipo matorral, el cual se va diferenciando de acuerdo al gradiente altitudinal y longitudinal. Observándose matorral de tipo desértico y bajo desértico, desde la costa a la precordillera</w:t>
      </w:r>
      <w:r w:rsidR="00833579">
        <w:rPr>
          <w:rFonts w:ascii="Arial" w:hAnsi="Arial" w:cs="Arial"/>
          <w:color w:val="000000" w:themeColor="text1"/>
        </w:rPr>
        <w:t>.</w:t>
      </w:r>
      <w:r w:rsidRPr="000E0F90">
        <w:rPr>
          <w:rFonts w:ascii="Arial" w:hAnsi="Arial" w:cs="Arial"/>
          <w:color w:val="000000" w:themeColor="text1"/>
        </w:rPr>
        <w:t xml:space="preserve"> </w:t>
      </w:r>
      <w:proofErr w:type="gramStart"/>
      <w:r w:rsidRPr="000E0F90">
        <w:rPr>
          <w:rFonts w:ascii="Arial" w:hAnsi="Arial" w:cs="Arial"/>
          <w:color w:val="000000" w:themeColor="text1"/>
        </w:rPr>
        <w:t>y</w:t>
      </w:r>
      <w:proofErr w:type="gramEnd"/>
      <w:r w:rsidRPr="000E0F90">
        <w:rPr>
          <w:rFonts w:ascii="Arial" w:hAnsi="Arial" w:cs="Arial"/>
          <w:color w:val="000000" w:themeColor="text1"/>
        </w:rPr>
        <w:t xml:space="preserve"> herbazal en las zonas andinas.</w:t>
      </w:r>
      <w:r w:rsidR="0008441B" w:rsidRPr="000E0F90">
        <w:rPr>
          <w:rFonts w:ascii="Arial" w:hAnsi="Arial" w:cs="Arial"/>
          <w:color w:val="000000" w:themeColor="text1"/>
        </w:rPr>
        <w:t xml:space="preserve"> </w:t>
      </w:r>
    </w:p>
    <w:p w:rsidR="001C2FD7" w:rsidRPr="000E0F90" w:rsidRDefault="00561BEB" w:rsidP="002B538F">
      <w:pPr>
        <w:spacing w:line="360" w:lineRule="auto"/>
        <w:rPr>
          <w:rFonts w:ascii="Arial" w:hAnsi="Arial" w:cs="Arial"/>
          <w:color w:val="000000" w:themeColor="text1"/>
        </w:rPr>
      </w:pPr>
      <w:r w:rsidRPr="000E0F90">
        <w:rPr>
          <w:rFonts w:ascii="Arial" w:hAnsi="Arial" w:cs="Arial"/>
          <w:color w:val="000000" w:themeColor="text1"/>
        </w:rPr>
        <w:t>La región de Atacama presenta 44 sitios prioritarios</w:t>
      </w:r>
      <w:r w:rsidR="001C2FD7" w:rsidRPr="000E0F90">
        <w:rPr>
          <w:rFonts w:ascii="Arial" w:hAnsi="Arial" w:cs="Arial"/>
          <w:color w:val="000000" w:themeColor="text1"/>
        </w:rPr>
        <w:t>, de acuerdo a la Estrategia Regional de Biodiversidad año 2010-2017</w:t>
      </w:r>
      <w:r w:rsidR="00452DEB" w:rsidRPr="000E0F90">
        <w:rPr>
          <w:rFonts w:ascii="Arial" w:hAnsi="Arial" w:cs="Arial"/>
          <w:color w:val="000000" w:themeColor="text1"/>
        </w:rPr>
        <w:t xml:space="preserve"> </w:t>
      </w:r>
      <w:sdt>
        <w:sdtPr>
          <w:rPr>
            <w:rFonts w:ascii="Arial" w:hAnsi="Arial" w:cs="Arial"/>
            <w:color w:val="000000" w:themeColor="text1"/>
          </w:rPr>
          <w:id w:val="1771738116"/>
          <w:citation/>
        </w:sdtPr>
        <w:sdtEndPr/>
        <w:sdtContent>
          <w:r w:rsidR="00452DEB" w:rsidRPr="000E0F90">
            <w:rPr>
              <w:rFonts w:ascii="Arial" w:hAnsi="Arial" w:cs="Arial"/>
              <w:color w:val="000000" w:themeColor="text1"/>
            </w:rPr>
            <w:fldChar w:fldCharType="begin"/>
          </w:r>
          <w:r w:rsidR="00452DEB" w:rsidRPr="000E0F90">
            <w:rPr>
              <w:rFonts w:ascii="Arial" w:hAnsi="Arial" w:cs="Arial"/>
              <w:color w:val="000000" w:themeColor="text1"/>
            </w:rPr>
            <w:instrText xml:space="preserve">CITATION CON09 \t  \l 13322 </w:instrText>
          </w:r>
          <w:r w:rsidR="00452DEB" w:rsidRPr="000E0F90">
            <w:rPr>
              <w:rFonts w:ascii="Arial" w:hAnsi="Arial" w:cs="Arial"/>
              <w:color w:val="000000" w:themeColor="text1"/>
            </w:rPr>
            <w:fldChar w:fldCharType="separate"/>
          </w:r>
          <w:r w:rsidR="008D0261" w:rsidRPr="000E0F90">
            <w:rPr>
              <w:rFonts w:ascii="Arial" w:hAnsi="Arial" w:cs="Arial"/>
              <w:noProof/>
              <w:color w:val="000000" w:themeColor="text1"/>
            </w:rPr>
            <w:t>(CONAMA, 2009)</w:t>
          </w:r>
          <w:r w:rsidR="00452DEB" w:rsidRPr="000E0F90">
            <w:rPr>
              <w:rFonts w:ascii="Arial" w:hAnsi="Arial" w:cs="Arial"/>
              <w:color w:val="000000" w:themeColor="text1"/>
            </w:rPr>
            <w:fldChar w:fldCharType="end"/>
          </w:r>
        </w:sdtContent>
      </w:sdt>
      <w:r w:rsidRPr="000E0F90">
        <w:rPr>
          <w:rFonts w:ascii="Arial" w:hAnsi="Arial" w:cs="Arial"/>
          <w:color w:val="000000" w:themeColor="text1"/>
        </w:rPr>
        <w:t xml:space="preserve">. </w:t>
      </w:r>
      <w:r w:rsidR="001C2FD7" w:rsidRPr="000E0F90">
        <w:rPr>
          <w:rFonts w:ascii="Arial" w:hAnsi="Arial" w:cs="Arial"/>
          <w:color w:val="000000" w:themeColor="text1"/>
        </w:rPr>
        <w:t xml:space="preserve">Respecto a la cantidad de </w:t>
      </w:r>
      <w:r w:rsidR="001C2FD7" w:rsidRPr="000E0F90">
        <w:rPr>
          <w:rFonts w:ascii="Arial" w:hAnsi="Arial" w:cs="Arial"/>
          <w:color w:val="000000" w:themeColor="text1"/>
        </w:rPr>
        <w:lastRenderedPageBreak/>
        <w:t xml:space="preserve">especies nativas descritas para la región, se identifican 155 especies, entre reptiles, anfibios, aves, mamíferos y peces, de los cuales el 40% se encuentran en alguna categoría de conservación. </w:t>
      </w:r>
    </w:p>
    <w:p w:rsidR="008C68E8" w:rsidRPr="000E0F90" w:rsidRDefault="008C68E8" w:rsidP="00FC778E">
      <w:pPr>
        <w:spacing w:after="0" w:line="360" w:lineRule="auto"/>
        <w:rPr>
          <w:rFonts w:ascii="Arial" w:hAnsi="Arial" w:cs="Arial"/>
          <w:b/>
          <w:color w:val="000000" w:themeColor="text1"/>
          <w:u w:val="single"/>
        </w:rPr>
      </w:pPr>
      <w:r w:rsidRPr="000E0F90">
        <w:rPr>
          <w:rFonts w:ascii="Arial" w:hAnsi="Arial" w:cs="Arial"/>
          <w:b/>
          <w:color w:val="000000" w:themeColor="text1"/>
          <w:u w:val="single"/>
        </w:rPr>
        <w:t>Antecedentes Socioeconómicos</w:t>
      </w:r>
    </w:p>
    <w:p w:rsidR="003F7077" w:rsidRPr="000E0F90" w:rsidRDefault="003F7077" w:rsidP="002B538F">
      <w:pPr>
        <w:spacing w:line="360" w:lineRule="auto"/>
        <w:rPr>
          <w:rFonts w:ascii="Arial" w:hAnsi="Arial" w:cs="Arial"/>
          <w:color w:val="000000" w:themeColor="text1"/>
        </w:rPr>
      </w:pPr>
      <w:r w:rsidRPr="000E0F90">
        <w:rPr>
          <w:rFonts w:ascii="Arial" w:hAnsi="Arial" w:cs="Arial"/>
          <w:color w:val="000000" w:themeColor="text1"/>
        </w:rPr>
        <w:t>La población identificada en el Censo de 2002,  asciende a 254.336 habitantes, representando el 1,68% de la población nacional. De la población regional, el 91,5% reside en territorio urbano y el 8,5% en rural. Respecto a los pueblos originarios, de acuerdo al Censo de 2002, el 2,96% de la población de la Región de Atacama (7.538 personas) pert</w:t>
      </w:r>
      <w:r w:rsidR="00FC778E">
        <w:rPr>
          <w:rFonts w:ascii="Arial" w:hAnsi="Arial" w:cs="Arial"/>
          <w:color w:val="000000" w:themeColor="text1"/>
        </w:rPr>
        <w:t xml:space="preserve">enecen a alguna etnia indígena </w:t>
      </w:r>
      <w:sdt>
        <w:sdtPr>
          <w:rPr>
            <w:rFonts w:ascii="Arial" w:hAnsi="Arial" w:cs="Arial"/>
            <w:color w:val="000000" w:themeColor="text1"/>
          </w:rPr>
          <w:id w:val="-2024074039"/>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CITATION INE02 \t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(INE, 2002)</w:t>
          </w:r>
          <w:r w:rsidRPr="000E0F90">
            <w:rPr>
              <w:rFonts w:ascii="Arial" w:hAnsi="Arial" w:cs="Arial"/>
              <w:color w:val="000000" w:themeColor="text1"/>
            </w:rPr>
            <w:fldChar w:fldCharType="end"/>
          </w:r>
        </w:sdtContent>
      </w:sdt>
    </w:p>
    <w:p w:rsidR="00452DEB" w:rsidRPr="000E0F90" w:rsidRDefault="003F7077" w:rsidP="002B538F">
      <w:pPr>
        <w:spacing w:after="0" w:line="360" w:lineRule="auto"/>
        <w:rPr>
          <w:rFonts w:ascii="Arial" w:hAnsi="Arial" w:cs="Arial"/>
          <w:b/>
          <w:color w:val="000000" w:themeColor="text1"/>
        </w:rPr>
      </w:pPr>
      <w:r w:rsidRPr="000E0F90">
        <w:rPr>
          <w:rFonts w:ascii="Arial" w:hAnsi="Arial" w:cs="Arial"/>
          <w:b/>
          <w:color w:val="000000" w:themeColor="text1"/>
        </w:rPr>
        <w:t>Actividades Económicas</w:t>
      </w:r>
    </w:p>
    <w:p w:rsidR="003F7077" w:rsidRPr="00AD2B39" w:rsidRDefault="003F7077" w:rsidP="002B538F">
      <w:pPr>
        <w:spacing w:after="0" w:line="360" w:lineRule="auto"/>
        <w:rPr>
          <w:rFonts w:ascii="Arial" w:hAnsi="Arial" w:cs="Arial"/>
          <w:color w:val="000000" w:themeColor="text1"/>
        </w:rPr>
      </w:pPr>
      <w:r w:rsidRPr="000E0F90">
        <w:rPr>
          <w:rFonts w:ascii="Arial" w:hAnsi="Arial" w:cs="Arial"/>
          <w:color w:val="000000" w:themeColor="text1"/>
        </w:rPr>
        <w:t xml:space="preserve">En cuanto al desarrollo económico de la región, </w:t>
      </w:r>
      <w:r w:rsidR="00167508">
        <w:rPr>
          <w:rFonts w:ascii="Arial" w:hAnsi="Arial" w:cs="Arial"/>
          <w:color w:val="000000" w:themeColor="text1"/>
        </w:rPr>
        <w:t>l</w:t>
      </w:r>
      <w:r w:rsidR="00833579">
        <w:rPr>
          <w:rFonts w:ascii="Arial" w:hAnsi="Arial" w:cs="Arial"/>
          <w:color w:val="000000" w:themeColor="text1"/>
        </w:rPr>
        <w:t>as actividades que contribuyen mayormente al PIB regional, son l</w:t>
      </w:r>
      <w:r w:rsidR="00E52F8C" w:rsidRPr="000E0F90">
        <w:rPr>
          <w:rFonts w:ascii="Arial" w:hAnsi="Arial" w:cs="Arial"/>
          <w:color w:val="000000" w:themeColor="text1"/>
        </w:rPr>
        <w:t>a miner</w:t>
      </w:r>
      <w:r w:rsidR="00833579">
        <w:rPr>
          <w:rFonts w:ascii="Arial" w:hAnsi="Arial" w:cs="Arial"/>
          <w:color w:val="000000" w:themeColor="text1"/>
        </w:rPr>
        <w:t>í</w:t>
      </w:r>
      <w:r w:rsidR="00E52F8C" w:rsidRPr="000E0F90">
        <w:rPr>
          <w:rFonts w:ascii="Arial" w:hAnsi="Arial" w:cs="Arial"/>
          <w:color w:val="000000" w:themeColor="text1"/>
        </w:rPr>
        <w:t>a</w:t>
      </w:r>
      <w:r w:rsidR="00833579">
        <w:rPr>
          <w:rFonts w:ascii="Arial" w:hAnsi="Arial" w:cs="Arial"/>
          <w:color w:val="000000" w:themeColor="text1"/>
        </w:rPr>
        <w:t xml:space="preserve"> </w:t>
      </w:r>
      <w:r w:rsidR="00167508">
        <w:rPr>
          <w:rFonts w:ascii="Arial" w:hAnsi="Arial" w:cs="Arial"/>
          <w:color w:val="000000" w:themeColor="text1"/>
        </w:rPr>
        <w:t>(</w:t>
      </w:r>
      <w:r w:rsidR="00167508" w:rsidRPr="000E0F90">
        <w:rPr>
          <w:rFonts w:ascii="Arial" w:hAnsi="Arial" w:cs="Arial"/>
          <w:color w:val="000000" w:themeColor="text1"/>
        </w:rPr>
        <w:t>44,33%</w:t>
      </w:r>
      <w:r w:rsidR="00167508">
        <w:rPr>
          <w:rFonts w:ascii="Arial" w:hAnsi="Arial" w:cs="Arial"/>
          <w:color w:val="000000" w:themeColor="text1"/>
        </w:rPr>
        <w:t>)</w:t>
      </w:r>
      <w:r w:rsidR="00167508" w:rsidRPr="000E0F90">
        <w:rPr>
          <w:rFonts w:ascii="Arial" w:hAnsi="Arial" w:cs="Arial"/>
          <w:color w:val="000000" w:themeColor="text1"/>
        </w:rPr>
        <w:t xml:space="preserve"> </w:t>
      </w:r>
      <w:r w:rsidR="00833579">
        <w:rPr>
          <w:rFonts w:ascii="Arial" w:hAnsi="Arial" w:cs="Arial"/>
          <w:color w:val="000000" w:themeColor="text1"/>
        </w:rPr>
        <w:t xml:space="preserve">y </w:t>
      </w:r>
      <w:r w:rsidRPr="000E0F90">
        <w:rPr>
          <w:rFonts w:ascii="Arial" w:hAnsi="Arial" w:cs="Arial"/>
          <w:color w:val="000000" w:themeColor="text1"/>
        </w:rPr>
        <w:t>construcción</w:t>
      </w:r>
      <w:r w:rsidR="00167508">
        <w:rPr>
          <w:rFonts w:ascii="Arial" w:hAnsi="Arial" w:cs="Arial"/>
          <w:color w:val="000000" w:themeColor="text1"/>
        </w:rPr>
        <w:t xml:space="preserve"> (</w:t>
      </w:r>
      <w:r w:rsidR="00167508" w:rsidRPr="000E0F90">
        <w:rPr>
          <w:rFonts w:ascii="Arial" w:hAnsi="Arial" w:cs="Arial"/>
          <w:color w:val="000000" w:themeColor="text1"/>
        </w:rPr>
        <w:t>26,64%</w:t>
      </w:r>
      <w:r w:rsidR="00167508">
        <w:rPr>
          <w:rFonts w:ascii="Arial" w:hAnsi="Arial" w:cs="Arial"/>
          <w:color w:val="000000" w:themeColor="text1"/>
        </w:rPr>
        <w:t>)</w:t>
      </w:r>
      <w:r w:rsidR="00DD2839" w:rsidRPr="000E0F90">
        <w:rPr>
          <w:rFonts w:ascii="Arial" w:hAnsi="Arial" w:cs="Arial"/>
          <w:color w:val="000000" w:themeColor="text1"/>
        </w:rPr>
        <w:t xml:space="preserve"> </w:t>
      </w:r>
      <w:sdt>
        <w:sdtPr>
          <w:rPr>
            <w:rFonts w:ascii="Arial" w:hAnsi="Arial" w:cs="Arial"/>
            <w:color w:val="000000" w:themeColor="text1"/>
          </w:rPr>
          <w:id w:val="-822195365"/>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Ban16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(Banco Central de Chile, 2016)</w:t>
          </w:r>
          <w:r w:rsidRPr="000E0F90">
            <w:rPr>
              <w:rFonts w:ascii="Arial" w:hAnsi="Arial" w:cs="Arial"/>
              <w:color w:val="000000" w:themeColor="text1"/>
            </w:rPr>
            <w:fldChar w:fldCharType="end"/>
          </w:r>
        </w:sdtContent>
      </w:sdt>
      <w:r w:rsidRPr="000E0F90">
        <w:rPr>
          <w:rFonts w:ascii="Arial" w:hAnsi="Arial" w:cs="Arial"/>
          <w:color w:val="000000" w:themeColor="text1"/>
        </w:rPr>
        <w:t>.</w:t>
      </w:r>
      <w:r w:rsidR="00DD2839" w:rsidRPr="000E0F90">
        <w:rPr>
          <w:rFonts w:ascii="Arial" w:hAnsi="Arial" w:cs="Arial"/>
          <w:color w:val="000000" w:themeColor="text1"/>
        </w:rPr>
        <w:t xml:space="preserve"> </w:t>
      </w:r>
      <w:r w:rsidR="00167508">
        <w:rPr>
          <w:rFonts w:ascii="Arial" w:hAnsi="Arial" w:cs="Arial"/>
          <w:color w:val="000000" w:themeColor="text1"/>
        </w:rPr>
        <w:t xml:space="preserve">El principal sector exportador corresponde a </w:t>
      </w:r>
      <w:r w:rsidR="00452DEB" w:rsidRPr="000E0F90">
        <w:rPr>
          <w:rFonts w:ascii="Arial" w:hAnsi="Arial" w:cs="Arial"/>
          <w:color w:val="000000" w:themeColor="text1"/>
        </w:rPr>
        <w:t xml:space="preserve">la minería </w:t>
      </w:r>
      <w:r w:rsidR="00F10354">
        <w:rPr>
          <w:rFonts w:ascii="Arial" w:hAnsi="Arial" w:cs="Arial"/>
          <w:color w:val="000000" w:themeColor="text1"/>
        </w:rPr>
        <w:t>(</w:t>
      </w:r>
      <w:r w:rsidR="00452DEB" w:rsidRPr="000E0F90">
        <w:rPr>
          <w:rFonts w:ascii="Arial" w:hAnsi="Arial" w:cs="Arial"/>
          <w:color w:val="000000" w:themeColor="text1"/>
        </w:rPr>
        <w:t>94%</w:t>
      </w:r>
      <w:r w:rsidR="00F10354">
        <w:rPr>
          <w:rFonts w:ascii="Arial" w:hAnsi="Arial" w:cs="Arial"/>
          <w:color w:val="000000" w:themeColor="text1"/>
        </w:rPr>
        <w:t>)</w:t>
      </w:r>
      <w:r w:rsidR="00E52F8C" w:rsidRPr="000E0F90">
        <w:rPr>
          <w:rFonts w:ascii="Arial" w:hAnsi="Arial" w:cs="Arial"/>
          <w:color w:val="000000" w:themeColor="text1"/>
        </w:rPr>
        <w:t>, seguido por la agricultura</w:t>
      </w:r>
      <w:r w:rsidR="00452DEB" w:rsidRPr="000E0F90">
        <w:rPr>
          <w:rFonts w:ascii="Arial" w:hAnsi="Arial" w:cs="Arial"/>
          <w:color w:val="000000" w:themeColor="text1"/>
        </w:rPr>
        <w:t xml:space="preserve"> </w:t>
      </w:r>
      <w:r w:rsidR="00F10354">
        <w:rPr>
          <w:rFonts w:ascii="Arial" w:hAnsi="Arial" w:cs="Arial"/>
          <w:color w:val="000000" w:themeColor="text1"/>
        </w:rPr>
        <w:t>(</w:t>
      </w:r>
      <w:r w:rsidR="00452DEB" w:rsidRPr="000E0F90">
        <w:rPr>
          <w:rFonts w:ascii="Arial" w:hAnsi="Arial" w:cs="Arial"/>
          <w:color w:val="000000" w:themeColor="text1"/>
        </w:rPr>
        <w:t>4,16 %</w:t>
      </w:r>
      <w:r w:rsidR="00F10354">
        <w:rPr>
          <w:rFonts w:ascii="Arial" w:hAnsi="Arial" w:cs="Arial"/>
          <w:color w:val="000000" w:themeColor="text1"/>
        </w:rPr>
        <w:t>)</w:t>
      </w:r>
      <w:r w:rsidR="00452DEB" w:rsidRPr="000E0F90">
        <w:rPr>
          <w:rFonts w:ascii="Arial" w:hAnsi="Arial" w:cs="Arial"/>
          <w:color w:val="000000" w:themeColor="text1"/>
        </w:rPr>
        <w:t xml:space="preserve"> </w:t>
      </w:r>
      <w:sdt>
        <w:sdtPr>
          <w:rPr>
            <w:rFonts w:ascii="Arial" w:hAnsi="Arial" w:cs="Arial"/>
            <w:color w:val="000000" w:themeColor="text1"/>
          </w:rPr>
          <w:id w:val="2049720735"/>
          <w:citation/>
        </w:sdtPr>
        <w:sdtEndPr/>
        <w:sdtContent>
          <w:r w:rsidR="00452DEB" w:rsidRPr="000E0F90">
            <w:rPr>
              <w:rFonts w:ascii="Arial" w:hAnsi="Arial" w:cs="Arial"/>
              <w:color w:val="000000" w:themeColor="text1"/>
            </w:rPr>
            <w:fldChar w:fldCharType="begin"/>
          </w:r>
          <w:r w:rsidR="00452DEB" w:rsidRPr="000E0F90">
            <w:rPr>
              <w:rFonts w:ascii="Arial" w:hAnsi="Arial" w:cs="Arial"/>
              <w:color w:val="000000" w:themeColor="text1"/>
            </w:rPr>
            <w:instrText xml:space="preserve"> CITATION INE15 \l 13322 </w:instrText>
          </w:r>
          <w:r w:rsidR="00452DEB" w:rsidRPr="000E0F90">
            <w:rPr>
              <w:rFonts w:ascii="Arial" w:hAnsi="Arial" w:cs="Arial"/>
              <w:color w:val="000000" w:themeColor="text1"/>
            </w:rPr>
            <w:fldChar w:fldCharType="separate"/>
          </w:r>
          <w:r w:rsidR="008D0261" w:rsidRPr="000E0F90">
            <w:rPr>
              <w:rFonts w:ascii="Arial" w:hAnsi="Arial" w:cs="Arial"/>
              <w:noProof/>
              <w:color w:val="000000" w:themeColor="text1"/>
            </w:rPr>
            <w:t>(INE Atacama, 2015)</w:t>
          </w:r>
          <w:r w:rsidR="00452DEB" w:rsidRPr="000E0F90">
            <w:rPr>
              <w:rFonts w:ascii="Arial" w:hAnsi="Arial" w:cs="Arial"/>
              <w:color w:val="000000" w:themeColor="text1"/>
            </w:rPr>
            <w:fldChar w:fldCharType="end"/>
          </w:r>
        </w:sdtContent>
      </w:sdt>
      <w:r w:rsidR="00452DEB" w:rsidRPr="000E0F90">
        <w:rPr>
          <w:rFonts w:ascii="Arial" w:hAnsi="Arial" w:cs="Arial"/>
          <w:color w:val="000000" w:themeColor="text1"/>
        </w:rPr>
        <w:t>. El empleo</w:t>
      </w:r>
      <w:r w:rsidR="0003579C" w:rsidRPr="000E0F90">
        <w:rPr>
          <w:rFonts w:ascii="Arial" w:hAnsi="Arial" w:cs="Arial"/>
          <w:color w:val="000000" w:themeColor="text1"/>
        </w:rPr>
        <w:t xml:space="preserve"> regional proviene </w:t>
      </w:r>
      <w:r w:rsidR="00AD2B39">
        <w:rPr>
          <w:rFonts w:ascii="Arial" w:hAnsi="Arial" w:cs="Arial"/>
          <w:color w:val="000000" w:themeColor="text1"/>
        </w:rPr>
        <w:t xml:space="preserve">principalmente </w:t>
      </w:r>
      <w:r w:rsidR="00167508">
        <w:rPr>
          <w:rFonts w:ascii="Arial" w:hAnsi="Arial" w:cs="Arial"/>
          <w:color w:val="000000" w:themeColor="text1"/>
        </w:rPr>
        <w:t>del</w:t>
      </w:r>
      <w:r w:rsidR="00452DEB" w:rsidRPr="000E0F90">
        <w:rPr>
          <w:rFonts w:ascii="Arial" w:hAnsi="Arial" w:cs="Arial"/>
          <w:color w:val="000000" w:themeColor="text1"/>
        </w:rPr>
        <w:t xml:space="preserve"> Comercio (20,5%), Minería (15,4%), Industria Manufacturera (8,5%) </w:t>
      </w:r>
      <w:r w:rsidR="00AD2B39">
        <w:rPr>
          <w:rFonts w:ascii="Arial" w:hAnsi="Arial" w:cs="Arial"/>
          <w:color w:val="000000" w:themeColor="text1"/>
        </w:rPr>
        <w:t>Enseñanza (7,8%)</w:t>
      </w:r>
      <w:r w:rsidR="009B4845">
        <w:rPr>
          <w:rFonts w:ascii="Arial" w:hAnsi="Arial" w:cs="Arial"/>
          <w:color w:val="000000" w:themeColor="text1"/>
        </w:rPr>
        <w:t>,</w:t>
      </w:r>
      <w:r w:rsidR="00167508">
        <w:rPr>
          <w:rFonts w:ascii="Arial" w:hAnsi="Arial" w:cs="Arial"/>
          <w:color w:val="000000" w:themeColor="text1"/>
        </w:rPr>
        <w:t xml:space="preserve"> Administración pública (7,3%) </w:t>
      </w:r>
      <w:sdt>
        <w:sdtPr>
          <w:rPr>
            <w:rFonts w:ascii="Arial" w:hAnsi="Arial" w:cs="Arial"/>
            <w:color w:val="000000" w:themeColor="text1"/>
          </w:rPr>
          <w:id w:val="128442743"/>
          <w:citation/>
        </w:sdtPr>
        <w:sdtEndPr/>
        <w:sdtContent>
          <w:r w:rsidR="00452DEB" w:rsidRPr="000E0F90">
            <w:rPr>
              <w:rFonts w:ascii="Arial" w:hAnsi="Arial" w:cs="Arial"/>
              <w:color w:val="000000" w:themeColor="text1"/>
            </w:rPr>
            <w:fldChar w:fldCharType="begin"/>
          </w:r>
          <w:r w:rsidR="00452DEB" w:rsidRPr="000E0F90">
            <w:rPr>
              <w:rFonts w:ascii="Arial" w:hAnsi="Arial" w:cs="Arial"/>
              <w:color w:val="000000" w:themeColor="text1"/>
            </w:rPr>
            <w:instrText xml:space="preserve"> CITATION INE14 \l 13322 </w:instrText>
          </w:r>
          <w:r w:rsidR="00452DEB" w:rsidRPr="000E0F90">
            <w:rPr>
              <w:rFonts w:ascii="Arial" w:hAnsi="Arial" w:cs="Arial"/>
              <w:color w:val="000000" w:themeColor="text1"/>
            </w:rPr>
            <w:fldChar w:fldCharType="separate"/>
          </w:r>
          <w:r w:rsidR="008D0261" w:rsidRPr="000E0F90">
            <w:rPr>
              <w:rFonts w:ascii="Arial" w:hAnsi="Arial" w:cs="Arial"/>
              <w:noProof/>
              <w:color w:val="000000" w:themeColor="text1"/>
            </w:rPr>
            <w:t>(INE, 2014)</w:t>
          </w:r>
          <w:r w:rsidR="00452DEB" w:rsidRPr="000E0F90">
            <w:rPr>
              <w:rFonts w:ascii="Arial" w:hAnsi="Arial" w:cs="Arial"/>
              <w:color w:val="000000" w:themeColor="text1"/>
            </w:rPr>
            <w:fldChar w:fldCharType="end"/>
          </w:r>
        </w:sdtContent>
      </w:sdt>
      <w:r w:rsidR="00452DEB" w:rsidRPr="000E0F90">
        <w:rPr>
          <w:rFonts w:ascii="Arial" w:hAnsi="Arial" w:cs="Arial"/>
          <w:color w:val="000000" w:themeColor="text1"/>
        </w:rPr>
        <w:t xml:space="preserve">. </w:t>
      </w:r>
    </w:p>
    <w:p w:rsidR="003F7077" w:rsidRPr="000E0F90" w:rsidRDefault="003F7077" w:rsidP="00167508">
      <w:pPr>
        <w:spacing w:before="240" w:after="0" w:line="360" w:lineRule="auto"/>
        <w:rPr>
          <w:rFonts w:ascii="Arial" w:hAnsi="Arial" w:cs="Arial"/>
          <w:b/>
          <w:color w:val="000000" w:themeColor="text1"/>
        </w:rPr>
      </w:pPr>
      <w:r w:rsidRPr="000E0F90">
        <w:rPr>
          <w:rFonts w:ascii="Arial" w:hAnsi="Arial" w:cs="Arial"/>
          <w:b/>
          <w:color w:val="000000" w:themeColor="text1"/>
        </w:rPr>
        <w:t xml:space="preserve">Actividad Minera </w:t>
      </w:r>
    </w:p>
    <w:p w:rsidR="003F7077" w:rsidRPr="000E0F90" w:rsidRDefault="003F7077" w:rsidP="00AD2B39">
      <w:pPr>
        <w:spacing w:line="360" w:lineRule="auto"/>
        <w:rPr>
          <w:rFonts w:ascii="Arial" w:hAnsi="Arial" w:cs="Arial"/>
          <w:color w:val="000000" w:themeColor="text1"/>
        </w:rPr>
      </w:pPr>
      <w:r w:rsidRPr="000E0F90">
        <w:rPr>
          <w:rFonts w:ascii="Arial" w:hAnsi="Arial" w:cs="Arial"/>
          <w:color w:val="000000" w:themeColor="text1"/>
        </w:rPr>
        <w:t xml:space="preserve">La actividad minera de la región se concentra en la extracción de minerales metálicos, donde se encuentra el cobre, molibdeno, oro, plata y hierro. </w:t>
      </w:r>
      <w:r w:rsidR="00AD2B39">
        <w:rPr>
          <w:rFonts w:ascii="Arial" w:hAnsi="Arial" w:cs="Arial"/>
          <w:color w:val="000000" w:themeColor="text1"/>
        </w:rPr>
        <w:t xml:space="preserve">Siendo </w:t>
      </w:r>
      <w:r w:rsidR="00AD2B39" w:rsidRPr="000E0F90">
        <w:rPr>
          <w:rFonts w:ascii="Arial" w:hAnsi="Arial" w:cs="Arial"/>
          <w:color w:val="000000" w:themeColor="text1"/>
        </w:rPr>
        <w:t>el</w:t>
      </w:r>
      <w:r w:rsidR="00AD2B39">
        <w:rPr>
          <w:rFonts w:ascii="Arial" w:hAnsi="Arial" w:cs="Arial"/>
          <w:color w:val="000000" w:themeColor="text1"/>
        </w:rPr>
        <w:t xml:space="preserve"> principal productor de hierro </w:t>
      </w:r>
      <w:r w:rsidR="00AD2B39" w:rsidRPr="000E0F90">
        <w:rPr>
          <w:rFonts w:ascii="Arial" w:hAnsi="Arial" w:cs="Arial"/>
          <w:color w:val="000000" w:themeColor="text1"/>
        </w:rPr>
        <w:t xml:space="preserve">y segundo productor de oro </w:t>
      </w:r>
      <w:sdt>
        <w:sdtPr>
          <w:rPr>
            <w:rFonts w:ascii="Arial" w:hAnsi="Arial" w:cs="Arial"/>
            <w:color w:val="000000" w:themeColor="text1"/>
          </w:rPr>
          <w:id w:val="1693178664"/>
          <w:citation/>
        </w:sdtPr>
        <w:sdtEndPr/>
        <w:sdtContent>
          <w:r w:rsidR="00AD2B39" w:rsidRPr="000E0F90">
            <w:rPr>
              <w:rFonts w:ascii="Arial" w:hAnsi="Arial" w:cs="Arial"/>
              <w:color w:val="000000" w:themeColor="text1"/>
            </w:rPr>
            <w:fldChar w:fldCharType="begin"/>
          </w:r>
          <w:r w:rsidR="00AD2B39" w:rsidRPr="000E0F90">
            <w:rPr>
              <w:rFonts w:ascii="Arial" w:hAnsi="Arial" w:cs="Arial"/>
              <w:color w:val="000000" w:themeColor="text1"/>
            </w:rPr>
            <w:instrText xml:space="preserve"> CITATION SER14 \l 13322 </w:instrText>
          </w:r>
          <w:r w:rsidR="00AD2B39" w:rsidRPr="000E0F90">
            <w:rPr>
              <w:rFonts w:ascii="Arial" w:hAnsi="Arial" w:cs="Arial"/>
              <w:color w:val="000000" w:themeColor="text1"/>
            </w:rPr>
            <w:fldChar w:fldCharType="separate"/>
          </w:r>
          <w:r w:rsidR="00AD2B39" w:rsidRPr="000E0F90">
            <w:rPr>
              <w:rFonts w:ascii="Arial" w:hAnsi="Arial" w:cs="Arial"/>
              <w:noProof/>
              <w:color w:val="000000" w:themeColor="text1"/>
            </w:rPr>
            <w:t>(SERNAGEOMIN, 2014)</w:t>
          </w:r>
          <w:r w:rsidR="00AD2B39" w:rsidRPr="000E0F90">
            <w:rPr>
              <w:rFonts w:ascii="Arial" w:hAnsi="Arial" w:cs="Arial"/>
              <w:color w:val="000000" w:themeColor="text1"/>
            </w:rPr>
            <w:fldChar w:fldCharType="end"/>
          </w:r>
        </w:sdtContent>
      </w:sdt>
      <w:r w:rsidR="00AD2B39" w:rsidRPr="000E0F90">
        <w:rPr>
          <w:rFonts w:ascii="Arial" w:hAnsi="Arial" w:cs="Arial"/>
          <w:color w:val="000000" w:themeColor="text1"/>
        </w:rPr>
        <w:t xml:space="preserve">. </w:t>
      </w:r>
      <w:r w:rsidR="00167508">
        <w:rPr>
          <w:rFonts w:ascii="Arial" w:hAnsi="Arial" w:cs="Arial"/>
          <w:color w:val="000000" w:themeColor="text1"/>
        </w:rPr>
        <w:t>E</w:t>
      </w:r>
      <w:r w:rsidRPr="000E0F90">
        <w:rPr>
          <w:rFonts w:ascii="Arial" w:hAnsi="Arial" w:cs="Arial"/>
          <w:color w:val="000000" w:themeColor="text1"/>
        </w:rPr>
        <w:t>n la región de Atacama se ubican 2090 faenas mineras operativas</w:t>
      </w:r>
      <w:r w:rsidR="00167508">
        <w:rPr>
          <w:rFonts w:ascii="Arial" w:hAnsi="Arial" w:cs="Arial"/>
          <w:color w:val="000000" w:themeColor="text1"/>
        </w:rPr>
        <w:t xml:space="preserve"> (</w:t>
      </w:r>
      <w:r w:rsidRPr="000E0F90">
        <w:rPr>
          <w:rFonts w:ascii="Arial" w:hAnsi="Arial" w:cs="Arial"/>
          <w:color w:val="000000" w:themeColor="text1"/>
        </w:rPr>
        <w:t>33,2%</w:t>
      </w:r>
      <w:r w:rsidR="00167508">
        <w:rPr>
          <w:rFonts w:ascii="Arial" w:hAnsi="Arial" w:cs="Arial"/>
          <w:color w:val="000000" w:themeColor="text1"/>
        </w:rPr>
        <w:t xml:space="preserve"> del país), predominando </w:t>
      </w:r>
      <w:r w:rsidR="00AD2B39">
        <w:rPr>
          <w:rFonts w:ascii="Arial" w:hAnsi="Arial" w:cs="Arial"/>
          <w:color w:val="000000" w:themeColor="text1"/>
        </w:rPr>
        <w:t xml:space="preserve">faenas de la categoría D (68%). </w:t>
      </w:r>
      <w:r w:rsidR="0003579C" w:rsidRPr="000E0F90">
        <w:rPr>
          <w:rFonts w:ascii="Arial" w:hAnsi="Arial" w:cs="Arial"/>
          <w:color w:val="000000" w:themeColor="text1"/>
        </w:rPr>
        <w:t>S</w:t>
      </w:r>
      <w:r w:rsidRPr="000E0F90">
        <w:rPr>
          <w:rFonts w:ascii="Arial" w:hAnsi="Arial" w:cs="Arial"/>
          <w:color w:val="000000" w:themeColor="text1"/>
        </w:rPr>
        <w:t>e evidencian 80 pasivos (19,56%</w:t>
      </w:r>
      <w:r w:rsidR="00AD2B39">
        <w:rPr>
          <w:rFonts w:ascii="Arial" w:hAnsi="Arial" w:cs="Arial"/>
          <w:color w:val="000000" w:themeColor="text1"/>
        </w:rPr>
        <w:t xml:space="preserve"> del país</w:t>
      </w:r>
      <w:r w:rsidRPr="000E0F90">
        <w:rPr>
          <w:rFonts w:ascii="Arial" w:hAnsi="Arial" w:cs="Arial"/>
          <w:color w:val="000000" w:themeColor="text1"/>
        </w:rPr>
        <w:t>)</w:t>
      </w:r>
      <w:r w:rsidR="0003579C" w:rsidRPr="000E0F90">
        <w:rPr>
          <w:rFonts w:ascii="Arial" w:hAnsi="Arial" w:cs="Arial"/>
          <w:color w:val="000000" w:themeColor="text1"/>
        </w:rPr>
        <w:t xml:space="preserve"> y </w:t>
      </w:r>
      <w:r w:rsidR="00E52F8C" w:rsidRPr="000E0F90">
        <w:rPr>
          <w:rFonts w:ascii="Arial" w:hAnsi="Arial" w:cs="Arial"/>
          <w:color w:val="000000" w:themeColor="text1"/>
        </w:rPr>
        <w:t>168 relaves</w:t>
      </w:r>
      <w:r w:rsidR="00AD2B39">
        <w:rPr>
          <w:rFonts w:ascii="Arial" w:hAnsi="Arial" w:cs="Arial"/>
          <w:color w:val="000000" w:themeColor="text1"/>
        </w:rPr>
        <w:t xml:space="preserve"> (</w:t>
      </w:r>
      <w:r w:rsidR="00E52F8C" w:rsidRPr="000E0F90">
        <w:rPr>
          <w:rFonts w:ascii="Arial" w:hAnsi="Arial" w:cs="Arial"/>
          <w:color w:val="000000" w:themeColor="text1"/>
        </w:rPr>
        <w:t xml:space="preserve">23,4% </w:t>
      </w:r>
      <w:r w:rsidR="00AD2B39">
        <w:rPr>
          <w:rFonts w:ascii="Arial" w:hAnsi="Arial" w:cs="Arial"/>
          <w:color w:val="000000" w:themeColor="text1"/>
        </w:rPr>
        <w:t xml:space="preserve">del país) </w:t>
      </w:r>
      <w:r w:rsidR="00E52F8C" w:rsidRPr="000E0F90">
        <w:rPr>
          <w:rFonts w:ascii="Arial" w:hAnsi="Arial" w:cs="Arial"/>
          <w:color w:val="000000" w:themeColor="text1"/>
        </w:rPr>
        <w:t xml:space="preserve">de los cuales </w:t>
      </w:r>
      <w:r w:rsidRPr="000E0F90">
        <w:rPr>
          <w:rFonts w:ascii="Arial" w:hAnsi="Arial" w:cs="Arial"/>
          <w:color w:val="000000" w:themeColor="text1"/>
        </w:rPr>
        <w:t xml:space="preserve">sólo 41 relaves </w:t>
      </w:r>
      <w:r w:rsidR="00E52F8C" w:rsidRPr="000E0F90">
        <w:rPr>
          <w:rFonts w:ascii="Arial" w:hAnsi="Arial" w:cs="Arial"/>
          <w:color w:val="000000" w:themeColor="text1"/>
        </w:rPr>
        <w:t xml:space="preserve">cuentan </w:t>
      </w:r>
      <w:r w:rsidRPr="000E0F90">
        <w:rPr>
          <w:rFonts w:ascii="Arial" w:hAnsi="Arial" w:cs="Arial"/>
          <w:color w:val="000000" w:themeColor="text1"/>
        </w:rPr>
        <w:t>co</w:t>
      </w:r>
      <w:r w:rsidR="00AD2B39">
        <w:rPr>
          <w:rFonts w:ascii="Arial" w:hAnsi="Arial" w:cs="Arial"/>
          <w:color w:val="000000" w:themeColor="text1"/>
        </w:rPr>
        <w:t xml:space="preserve">n Plan de Cierre </w:t>
      </w:r>
      <w:sdt>
        <w:sdtPr>
          <w:rPr>
            <w:rFonts w:ascii="Arial" w:hAnsi="Arial" w:cs="Arial"/>
            <w:color w:val="000000" w:themeColor="text1"/>
          </w:rPr>
          <w:id w:val="955291428"/>
          <w:citation/>
        </w:sdtPr>
        <w:sdtEndPr/>
        <w:sdtContent>
          <w:r w:rsidR="0003579C" w:rsidRPr="000E0F90">
            <w:rPr>
              <w:rFonts w:ascii="Arial" w:hAnsi="Arial" w:cs="Arial"/>
              <w:color w:val="000000" w:themeColor="text1"/>
            </w:rPr>
            <w:fldChar w:fldCharType="begin"/>
          </w:r>
          <w:r w:rsidR="00954120" w:rsidRPr="000E0F90">
            <w:rPr>
              <w:rFonts w:ascii="Arial" w:hAnsi="Arial" w:cs="Arial"/>
              <w:color w:val="000000" w:themeColor="text1"/>
            </w:rPr>
            <w:instrText xml:space="preserve">CITATION SER16 \l 13322 </w:instrText>
          </w:r>
          <w:r w:rsidR="0003579C" w:rsidRPr="000E0F90">
            <w:rPr>
              <w:rFonts w:ascii="Arial" w:hAnsi="Arial" w:cs="Arial"/>
              <w:color w:val="000000" w:themeColor="text1"/>
            </w:rPr>
            <w:fldChar w:fldCharType="separate"/>
          </w:r>
          <w:r w:rsidR="008D0261" w:rsidRPr="000E0F90">
            <w:rPr>
              <w:rFonts w:ascii="Arial" w:hAnsi="Arial" w:cs="Arial"/>
              <w:noProof/>
              <w:color w:val="000000" w:themeColor="text1"/>
            </w:rPr>
            <w:t>(SERNAGEOMIN, 2010)</w:t>
          </w:r>
          <w:r w:rsidR="0003579C" w:rsidRPr="000E0F90">
            <w:rPr>
              <w:rFonts w:ascii="Arial" w:hAnsi="Arial" w:cs="Arial"/>
              <w:color w:val="000000" w:themeColor="text1"/>
            </w:rPr>
            <w:fldChar w:fldCharType="end"/>
          </w:r>
        </w:sdtContent>
      </w:sdt>
      <w:r w:rsidR="0003579C" w:rsidRPr="000E0F90">
        <w:rPr>
          <w:rFonts w:ascii="Arial" w:hAnsi="Arial" w:cs="Arial"/>
          <w:color w:val="000000" w:themeColor="text1"/>
        </w:rPr>
        <w:t xml:space="preserve"> </w:t>
      </w:r>
      <w:sdt>
        <w:sdtPr>
          <w:rPr>
            <w:rFonts w:ascii="Arial" w:hAnsi="Arial" w:cs="Arial"/>
            <w:color w:val="000000" w:themeColor="text1"/>
          </w:rPr>
          <w:id w:val="-1184819311"/>
          <w:citation/>
        </w:sdtPr>
        <w:sdtEndPr/>
        <w:sdtContent>
          <w:r w:rsidR="0003579C" w:rsidRPr="000E0F90">
            <w:rPr>
              <w:rFonts w:ascii="Arial" w:hAnsi="Arial" w:cs="Arial"/>
              <w:color w:val="000000" w:themeColor="text1"/>
            </w:rPr>
            <w:fldChar w:fldCharType="begin"/>
          </w:r>
          <w:r w:rsidR="0003579C" w:rsidRPr="000E0F90">
            <w:rPr>
              <w:rFonts w:ascii="Arial" w:hAnsi="Arial" w:cs="Arial"/>
              <w:color w:val="000000" w:themeColor="text1"/>
            </w:rPr>
            <w:instrText xml:space="preserve"> CITATION Ser16 \l 13322 </w:instrText>
          </w:r>
          <w:r w:rsidR="0003579C" w:rsidRPr="000E0F90">
            <w:rPr>
              <w:rFonts w:ascii="Arial" w:hAnsi="Arial" w:cs="Arial"/>
              <w:color w:val="000000" w:themeColor="text1"/>
            </w:rPr>
            <w:fldChar w:fldCharType="separate"/>
          </w:r>
          <w:r w:rsidR="008D0261" w:rsidRPr="000E0F90">
            <w:rPr>
              <w:rFonts w:ascii="Arial" w:hAnsi="Arial" w:cs="Arial"/>
              <w:noProof/>
              <w:color w:val="000000" w:themeColor="text1"/>
            </w:rPr>
            <w:t>(Sernageomin, 2016)</w:t>
          </w:r>
          <w:r w:rsidR="0003579C" w:rsidRPr="000E0F90">
            <w:rPr>
              <w:rFonts w:ascii="Arial" w:hAnsi="Arial" w:cs="Arial"/>
              <w:color w:val="000000" w:themeColor="text1"/>
            </w:rPr>
            <w:fldChar w:fldCharType="end"/>
          </w:r>
        </w:sdtContent>
      </w:sdt>
      <w:r w:rsidR="00167508">
        <w:rPr>
          <w:rFonts w:ascii="Arial" w:hAnsi="Arial" w:cs="Arial"/>
          <w:color w:val="000000" w:themeColor="text1"/>
        </w:rPr>
        <w:t xml:space="preserve"> </w:t>
      </w:r>
      <w:r w:rsidR="00167508" w:rsidRPr="000E0F90">
        <w:rPr>
          <w:rFonts w:ascii="Arial" w:hAnsi="Arial" w:cs="Arial"/>
          <w:color w:val="000000" w:themeColor="text1"/>
        </w:rPr>
        <w:t>(</w:t>
      </w:r>
      <w:r w:rsidR="00167508" w:rsidRPr="000E0F90">
        <w:rPr>
          <w:rFonts w:ascii="Arial" w:hAnsi="Arial" w:cs="Arial"/>
          <w:noProof/>
          <w:color w:val="000000" w:themeColor="text1"/>
        </w:rPr>
        <w:t>SERNAGEOMIN, 2013)</w:t>
      </w:r>
      <w:r w:rsidR="00167508">
        <w:rPr>
          <w:rFonts w:ascii="Arial" w:hAnsi="Arial" w:cs="Arial"/>
          <w:noProof/>
          <w:color w:val="000000" w:themeColor="text1"/>
        </w:rPr>
        <w:t>.</w:t>
      </w:r>
    </w:p>
    <w:p w:rsidR="00885B2C" w:rsidRPr="000E0F90" w:rsidRDefault="003F7077" w:rsidP="002B538F">
      <w:pPr>
        <w:spacing w:after="0" w:line="360" w:lineRule="auto"/>
        <w:rPr>
          <w:rFonts w:ascii="Arial" w:hAnsi="Arial" w:cs="Arial"/>
          <w:b/>
          <w:color w:val="000000" w:themeColor="text1"/>
        </w:rPr>
      </w:pPr>
      <w:r w:rsidRPr="000E0F90">
        <w:rPr>
          <w:rFonts w:ascii="Arial" w:hAnsi="Arial" w:cs="Arial"/>
          <w:b/>
          <w:color w:val="000000" w:themeColor="text1"/>
        </w:rPr>
        <w:t>Actividades Agropecuarias</w:t>
      </w:r>
    </w:p>
    <w:p w:rsidR="00885B2C" w:rsidRPr="000E0F90" w:rsidRDefault="00167508" w:rsidP="00F10354">
      <w:pPr>
        <w:spacing w:after="0" w:line="360" w:lineRule="auto"/>
        <w:rPr>
          <w:rFonts w:ascii="Arial" w:hAnsi="Arial" w:cs="Arial"/>
          <w:color w:val="000000" w:themeColor="text1"/>
        </w:rPr>
      </w:pPr>
      <w:r>
        <w:rPr>
          <w:rFonts w:ascii="Arial" w:hAnsi="Arial" w:cs="Arial"/>
          <w:color w:val="000000" w:themeColor="text1"/>
        </w:rPr>
        <w:t>L</w:t>
      </w:r>
      <w:r w:rsidR="003F7077" w:rsidRPr="000E0F90">
        <w:rPr>
          <w:rFonts w:ascii="Arial" w:hAnsi="Arial" w:cs="Arial"/>
          <w:color w:val="000000" w:themeColor="text1"/>
        </w:rPr>
        <w:t>a</w:t>
      </w:r>
      <w:r w:rsidR="00AD2B39">
        <w:rPr>
          <w:rFonts w:ascii="Arial" w:hAnsi="Arial" w:cs="Arial"/>
          <w:color w:val="000000" w:themeColor="text1"/>
        </w:rPr>
        <w:t>s principales producciones por</w:t>
      </w:r>
      <w:r w:rsidR="003F7077" w:rsidRPr="000E0F90">
        <w:rPr>
          <w:rFonts w:ascii="Arial" w:hAnsi="Arial" w:cs="Arial"/>
          <w:color w:val="000000" w:themeColor="text1"/>
        </w:rPr>
        <w:t xml:space="preserve"> superficie cultivable </w:t>
      </w:r>
      <w:r w:rsidR="00AD2B39">
        <w:rPr>
          <w:rFonts w:ascii="Arial" w:hAnsi="Arial" w:cs="Arial"/>
          <w:color w:val="000000" w:themeColor="text1"/>
        </w:rPr>
        <w:t>corresponden a frutales (67,4%), plantas forrajeras (11,5%), hortalizas (8,4%) y viñas y parrones (3,7%). En cuanto a la ganadería regional, predominan los caprinos</w:t>
      </w:r>
      <w:r>
        <w:rPr>
          <w:rFonts w:ascii="Arial" w:hAnsi="Arial" w:cs="Arial"/>
          <w:color w:val="000000" w:themeColor="text1"/>
        </w:rPr>
        <w:t>,</w:t>
      </w:r>
      <w:r w:rsidR="00AD2B39">
        <w:rPr>
          <w:rFonts w:ascii="Arial" w:hAnsi="Arial" w:cs="Arial"/>
          <w:color w:val="000000" w:themeColor="text1"/>
        </w:rPr>
        <w:t xml:space="preserve"> seguida de bovinos y asnales</w:t>
      </w:r>
      <w:r>
        <w:rPr>
          <w:rFonts w:ascii="Arial" w:hAnsi="Arial" w:cs="Arial"/>
          <w:color w:val="000000" w:themeColor="text1"/>
        </w:rPr>
        <w:t>.</w:t>
      </w:r>
      <w:r w:rsidR="00AD2B39">
        <w:rPr>
          <w:rFonts w:ascii="Arial" w:hAnsi="Arial" w:cs="Arial"/>
          <w:color w:val="000000" w:themeColor="text1"/>
        </w:rPr>
        <w:t xml:space="preserve"> </w:t>
      </w:r>
      <w:r>
        <w:rPr>
          <w:rFonts w:ascii="Arial" w:hAnsi="Arial" w:cs="Arial"/>
          <w:color w:val="000000" w:themeColor="text1"/>
        </w:rPr>
        <w:t>E</w:t>
      </w:r>
      <w:r w:rsidRPr="000E0F90">
        <w:rPr>
          <w:rFonts w:ascii="Arial" w:hAnsi="Arial" w:cs="Arial"/>
          <w:color w:val="000000" w:themeColor="text1"/>
        </w:rPr>
        <w:t xml:space="preserve">l perfil de </w:t>
      </w:r>
      <w:r>
        <w:rPr>
          <w:rFonts w:ascii="Arial" w:hAnsi="Arial" w:cs="Arial"/>
          <w:color w:val="000000" w:themeColor="text1"/>
        </w:rPr>
        <w:t xml:space="preserve">explotaciones </w:t>
      </w:r>
      <w:r w:rsidRPr="000E0F90">
        <w:rPr>
          <w:rFonts w:ascii="Arial" w:hAnsi="Arial" w:cs="Arial"/>
          <w:color w:val="000000" w:themeColor="text1"/>
        </w:rPr>
        <w:t xml:space="preserve">agrícolas </w:t>
      </w:r>
      <w:r>
        <w:rPr>
          <w:rFonts w:ascii="Arial" w:hAnsi="Arial" w:cs="Arial"/>
          <w:color w:val="000000" w:themeColor="text1"/>
        </w:rPr>
        <w:t xml:space="preserve">corresponde principalmente a </w:t>
      </w:r>
      <w:r w:rsidRPr="000E0F90">
        <w:rPr>
          <w:rFonts w:ascii="Arial" w:hAnsi="Arial" w:cs="Arial"/>
          <w:color w:val="000000" w:themeColor="text1"/>
        </w:rPr>
        <w:t xml:space="preserve">explotaciones de tamaño pequeño </w:t>
      </w:r>
      <w:r>
        <w:rPr>
          <w:rFonts w:ascii="Arial" w:hAnsi="Arial" w:cs="Arial"/>
          <w:color w:val="000000" w:themeColor="text1"/>
        </w:rPr>
        <w:t>(</w:t>
      </w:r>
      <w:r w:rsidRPr="000E0F90">
        <w:rPr>
          <w:rFonts w:ascii="Arial" w:hAnsi="Arial" w:cs="Arial"/>
          <w:color w:val="000000" w:themeColor="text1"/>
        </w:rPr>
        <w:t xml:space="preserve">superficie menor a 20 ha), </w:t>
      </w:r>
      <w:r>
        <w:rPr>
          <w:rFonts w:ascii="Arial" w:hAnsi="Arial" w:cs="Arial"/>
          <w:color w:val="000000" w:themeColor="text1"/>
        </w:rPr>
        <w:t>correspondiente a</w:t>
      </w:r>
      <w:r w:rsidRPr="000E0F90">
        <w:rPr>
          <w:rFonts w:ascii="Arial" w:hAnsi="Arial" w:cs="Arial"/>
          <w:color w:val="000000" w:themeColor="text1"/>
        </w:rPr>
        <w:t xml:space="preserve">l 80,6% </w:t>
      </w:r>
      <w:r>
        <w:rPr>
          <w:rFonts w:ascii="Arial" w:hAnsi="Arial" w:cs="Arial"/>
          <w:color w:val="000000" w:themeColor="text1"/>
        </w:rPr>
        <w:t>regional</w:t>
      </w:r>
      <w:r w:rsidRPr="00167508">
        <w:rPr>
          <w:rFonts w:ascii="Arial" w:hAnsi="Arial" w:cs="Arial"/>
          <w:color w:val="000000" w:themeColor="text1"/>
        </w:rPr>
        <w:t xml:space="preserve"> </w:t>
      </w:r>
      <w:sdt>
        <w:sdtPr>
          <w:rPr>
            <w:rFonts w:ascii="Arial" w:hAnsi="Arial" w:cs="Arial"/>
            <w:color w:val="000000" w:themeColor="text1"/>
          </w:rPr>
          <w:id w:val="-1622223656"/>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ODE14 \l 13322 </w:instrText>
          </w:r>
          <w:r w:rsidRPr="000E0F90">
            <w:rPr>
              <w:rFonts w:ascii="Arial" w:hAnsi="Arial" w:cs="Arial"/>
              <w:color w:val="000000" w:themeColor="text1"/>
            </w:rPr>
            <w:fldChar w:fldCharType="separate"/>
          </w:r>
          <w:r w:rsidRPr="000E0F90">
            <w:rPr>
              <w:rFonts w:ascii="Arial" w:hAnsi="Arial" w:cs="Arial"/>
              <w:noProof/>
              <w:color w:val="000000" w:themeColor="text1"/>
            </w:rPr>
            <w:t>(ODEPA &amp; INE, 2014)</w:t>
          </w:r>
          <w:r w:rsidRPr="000E0F90">
            <w:rPr>
              <w:rFonts w:ascii="Arial" w:hAnsi="Arial" w:cs="Arial"/>
              <w:color w:val="000000" w:themeColor="text1"/>
            </w:rPr>
            <w:fldChar w:fldCharType="end"/>
          </w:r>
        </w:sdtContent>
      </w:sdt>
      <w:r w:rsidRPr="000E0F90">
        <w:rPr>
          <w:rFonts w:ascii="Arial" w:hAnsi="Arial" w:cs="Arial"/>
          <w:color w:val="000000" w:themeColor="text1"/>
        </w:rPr>
        <w:t>.</w:t>
      </w:r>
    </w:p>
    <w:p w:rsidR="00312025" w:rsidRPr="000E0F90" w:rsidRDefault="00312025" w:rsidP="002B538F">
      <w:pPr>
        <w:spacing w:after="0" w:line="360" w:lineRule="auto"/>
        <w:jc w:val="left"/>
        <w:rPr>
          <w:rFonts w:ascii="Arial" w:hAnsi="Arial" w:cs="Arial"/>
          <w:b/>
          <w:color w:val="000000" w:themeColor="text1"/>
          <w:lang w:eastAsia="es-ES"/>
        </w:rPr>
      </w:pPr>
      <w:r w:rsidRPr="000E0F90">
        <w:rPr>
          <w:rFonts w:ascii="Arial" w:hAnsi="Arial" w:cs="Arial"/>
          <w:b/>
          <w:color w:val="000000" w:themeColor="text1"/>
          <w:lang w:eastAsia="es-ES"/>
        </w:rPr>
        <w:lastRenderedPageBreak/>
        <w:t>REGION DE COQUIMBO</w:t>
      </w:r>
    </w:p>
    <w:p w:rsidR="00312025" w:rsidRPr="000E0F90" w:rsidRDefault="00312025" w:rsidP="002B538F">
      <w:pPr>
        <w:spacing w:line="360" w:lineRule="auto"/>
        <w:rPr>
          <w:rFonts w:ascii="Arial" w:hAnsi="Arial" w:cs="Arial"/>
          <w:color w:val="000000" w:themeColor="text1"/>
        </w:rPr>
      </w:pPr>
      <w:r w:rsidRPr="000E0F90">
        <w:rPr>
          <w:rFonts w:ascii="Arial" w:hAnsi="Arial" w:cs="Arial"/>
          <w:color w:val="000000" w:themeColor="text1"/>
        </w:rPr>
        <w:t xml:space="preserve">La región de Coquimbo se extiende entre los 29° 02´ y los 32° 16´ de latitud sur, limita al norte con la Región de Atacama, al oeste con el Océano Pacífico, al este con territorio argentino y al sur con la Región de Valparaíso. Presenta una superficie de 40.579,90 km2, equivalente al 5,37% del territorio nacional </w:t>
      </w:r>
      <w:sdt>
        <w:sdtPr>
          <w:rPr>
            <w:rFonts w:ascii="Arial" w:hAnsi="Arial" w:cs="Arial"/>
            <w:color w:val="000000" w:themeColor="text1"/>
          </w:rPr>
          <w:id w:val="406964650"/>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INE071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(INE, 2007)</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Esta organizada políticamente en tres provincias: Elqui, Limarí y Choapa, totalizando ente ellas 15 comunas, siendo La Serena la capital regional. </w:t>
      </w:r>
    </w:p>
    <w:p w:rsidR="00996909" w:rsidRPr="000E0F90" w:rsidRDefault="00996909" w:rsidP="002B538F">
      <w:pPr>
        <w:spacing w:before="240" w:after="0" w:line="360" w:lineRule="auto"/>
        <w:rPr>
          <w:rFonts w:ascii="Arial" w:hAnsi="Arial" w:cs="Arial"/>
          <w:b/>
          <w:color w:val="000000" w:themeColor="text1"/>
          <w:u w:val="single"/>
        </w:rPr>
      </w:pPr>
      <w:r w:rsidRPr="000E0F90">
        <w:rPr>
          <w:rFonts w:ascii="Arial" w:hAnsi="Arial" w:cs="Arial"/>
          <w:b/>
          <w:color w:val="000000" w:themeColor="text1"/>
          <w:u w:val="single"/>
        </w:rPr>
        <w:t>Biogeoestructura</w:t>
      </w:r>
    </w:p>
    <w:p w:rsidR="00312025" w:rsidRPr="000E0F90" w:rsidRDefault="00312025" w:rsidP="002B538F">
      <w:pPr>
        <w:spacing w:line="360" w:lineRule="auto"/>
        <w:rPr>
          <w:rFonts w:ascii="Arial" w:eastAsia="Times New Roman" w:hAnsi="Arial" w:cs="Arial"/>
          <w:color w:val="000000" w:themeColor="text1"/>
          <w:lang w:eastAsia="es-ES"/>
        </w:rPr>
      </w:pPr>
      <w:r w:rsidRPr="000E0F90">
        <w:rPr>
          <w:rFonts w:ascii="Arial" w:eastAsia="Times New Roman" w:hAnsi="Arial" w:cs="Arial"/>
          <w:color w:val="000000" w:themeColor="text1"/>
          <w:lang w:eastAsia="es-ES"/>
        </w:rPr>
        <w:t>La Región de Coquimbo se localiza en una transición entre clima mediterráneo desértico y semi-desértico, variando entre húmedo y nuboso en el litoral, y estepario cálido en el interior</w:t>
      </w:r>
      <w:r w:rsidR="00C0107A" w:rsidRPr="000E0F90">
        <w:rPr>
          <w:rFonts w:ascii="Arial" w:eastAsia="Times New Roman" w:hAnsi="Arial" w:cs="Arial"/>
          <w:color w:val="000000" w:themeColor="text1"/>
          <w:lang w:eastAsia="es-ES"/>
        </w:rPr>
        <w:t xml:space="preserve"> </w:t>
      </w:r>
      <w:sdt>
        <w:sdtPr>
          <w:rPr>
            <w:rFonts w:ascii="Arial" w:eastAsia="Times New Roman" w:hAnsi="Arial" w:cs="Arial"/>
            <w:color w:val="000000" w:themeColor="text1"/>
            <w:lang w:eastAsia="es-ES"/>
          </w:rPr>
          <w:id w:val="2022970466"/>
          <w:citation/>
        </w:sdtPr>
        <w:sdtEndPr/>
        <w:sdtContent>
          <w:r w:rsidR="006D7519" w:rsidRPr="000E0F90">
            <w:rPr>
              <w:rFonts w:ascii="Arial" w:eastAsia="Times New Roman" w:hAnsi="Arial" w:cs="Arial"/>
              <w:color w:val="000000" w:themeColor="text1"/>
              <w:lang w:eastAsia="es-ES"/>
            </w:rPr>
            <w:fldChar w:fldCharType="begin"/>
          </w:r>
          <w:r w:rsidR="006D7519" w:rsidRPr="000E0F90">
            <w:rPr>
              <w:rFonts w:ascii="Arial" w:eastAsia="Times New Roman" w:hAnsi="Arial" w:cs="Arial"/>
              <w:color w:val="000000" w:themeColor="text1"/>
              <w:lang w:eastAsia="es-ES"/>
            </w:rPr>
            <w:instrText xml:space="preserve"> CITATION Nov01 \l 13322 </w:instrText>
          </w:r>
          <w:r w:rsidR="006D7519" w:rsidRPr="000E0F90">
            <w:rPr>
              <w:rFonts w:ascii="Arial" w:eastAsia="Times New Roman" w:hAnsi="Arial" w:cs="Arial"/>
              <w:color w:val="000000" w:themeColor="text1"/>
              <w:lang w:eastAsia="es-ES"/>
            </w:rPr>
            <w:fldChar w:fldCharType="separate"/>
          </w:r>
          <w:r w:rsidR="008D0261" w:rsidRPr="000E0F90">
            <w:rPr>
              <w:rFonts w:ascii="Arial" w:eastAsia="Times New Roman" w:hAnsi="Arial" w:cs="Arial"/>
              <w:noProof/>
              <w:color w:val="000000" w:themeColor="text1"/>
              <w:lang w:eastAsia="es-ES"/>
            </w:rPr>
            <w:t>(Novoa &amp; López, 2001)</w:t>
          </w:r>
          <w:r w:rsidR="006D7519" w:rsidRPr="000E0F90">
            <w:rPr>
              <w:rFonts w:ascii="Arial" w:eastAsia="Times New Roman" w:hAnsi="Arial" w:cs="Arial"/>
              <w:color w:val="000000" w:themeColor="text1"/>
              <w:lang w:eastAsia="es-ES"/>
            </w:rPr>
            <w:fldChar w:fldCharType="end"/>
          </w:r>
        </w:sdtContent>
      </w:sdt>
      <w:r w:rsidR="006D7519" w:rsidRPr="000E0F90">
        <w:rPr>
          <w:rFonts w:ascii="Arial" w:eastAsia="Times New Roman" w:hAnsi="Arial" w:cs="Arial"/>
          <w:color w:val="000000" w:themeColor="text1"/>
          <w:lang w:eastAsia="es-ES"/>
        </w:rPr>
        <w:t>.</w:t>
      </w:r>
      <w:r w:rsidR="00F54DA7" w:rsidRPr="000E0F90">
        <w:rPr>
          <w:rFonts w:ascii="Arial" w:eastAsia="Times New Roman" w:hAnsi="Arial" w:cs="Arial"/>
          <w:color w:val="000000" w:themeColor="text1"/>
          <w:lang w:eastAsia="es-ES"/>
        </w:rPr>
        <w:t xml:space="preserve"> Las precipitaciones se concentran en la estación fría del año, con sequía en los meses cálidos.</w:t>
      </w:r>
      <w:r w:rsidRPr="000E0F90">
        <w:rPr>
          <w:rFonts w:ascii="Arial" w:eastAsia="Times New Roman" w:hAnsi="Arial" w:cs="Arial"/>
          <w:color w:val="000000" w:themeColor="text1"/>
          <w:lang w:eastAsia="es-ES"/>
        </w:rPr>
        <w:t xml:space="preserve"> </w:t>
      </w:r>
      <w:sdt>
        <w:sdtPr>
          <w:rPr>
            <w:rFonts w:ascii="Arial" w:eastAsia="Times New Roman" w:hAnsi="Arial" w:cs="Arial"/>
            <w:color w:val="000000" w:themeColor="text1"/>
            <w:lang w:eastAsia="es-ES"/>
          </w:rPr>
          <w:id w:val="2047025210"/>
          <w:citation/>
        </w:sdtPr>
        <w:sdtEndPr/>
        <w:sdtContent>
          <w:r w:rsidR="00E32884" w:rsidRPr="000E0F90">
            <w:rPr>
              <w:rFonts w:ascii="Arial" w:eastAsia="Times New Roman" w:hAnsi="Arial" w:cs="Arial"/>
              <w:color w:val="000000" w:themeColor="text1"/>
              <w:lang w:eastAsia="es-ES"/>
            </w:rPr>
            <w:fldChar w:fldCharType="begin"/>
          </w:r>
          <w:r w:rsidR="00F54DA7" w:rsidRPr="000E0F90">
            <w:rPr>
              <w:rFonts w:ascii="Arial" w:eastAsia="Times New Roman" w:hAnsi="Arial" w:cs="Arial"/>
              <w:color w:val="000000" w:themeColor="text1"/>
              <w:lang w:eastAsia="es-ES"/>
            </w:rPr>
            <w:instrText xml:space="preserve">CITATION Com171 \l 13322 </w:instrText>
          </w:r>
          <w:r w:rsidR="00E32884" w:rsidRPr="000E0F90">
            <w:rPr>
              <w:rFonts w:ascii="Arial" w:eastAsia="Times New Roman" w:hAnsi="Arial" w:cs="Arial"/>
              <w:color w:val="000000" w:themeColor="text1"/>
              <w:lang w:eastAsia="es-ES"/>
            </w:rPr>
            <w:fldChar w:fldCharType="separate"/>
          </w:r>
          <w:r w:rsidR="008D0261" w:rsidRPr="000E0F90">
            <w:rPr>
              <w:rFonts w:ascii="Arial" w:eastAsia="Times New Roman" w:hAnsi="Arial" w:cs="Arial"/>
              <w:noProof/>
              <w:color w:val="000000" w:themeColor="text1"/>
              <w:lang w:eastAsia="es-ES"/>
            </w:rPr>
            <w:t>(SINIA, 2017)</w:t>
          </w:r>
          <w:r w:rsidR="00E32884" w:rsidRPr="000E0F90">
            <w:rPr>
              <w:rFonts w:ascii="Arial" w:eastAsia="Times New Roman" w:hAnsi="Arial" w:cs="Arial"/>
              <w:color w:val="000000" w:themeColor="text1"/>
              <w:lang w:eastAsia="es-ES"/>
            </w:rPr>
            <w:fldChar w:fldCharType="end"/>
          </w:r>
        </w:sdtContent>
      </w:sdt>
      <w:r w:rsidR="00F54DA7" w:rsidRPr="000E0F90">
        <w:rPr>
          <w:rFonts w:ascii="Arial" w:eastAsia="Times New Roman" w:hAnsi="Arial" w:cs="Arial"/>
          <w:color w:val="000000" w:themeColor="text1"/>
          <w:lang w:eastAsia="es-ES"/>
        </w:rPr>
        <w:t>.</w:t>
      </w:r>
      <w:r w:rsidR="00C0107A" w:rsidRPr="000E0F90">
        <w:rPr>
          <w:rFonts w:ascii="Arial" w:eastAsia="Times New Roman" w:hAnsi="Arial" w:cs="Arial"/>
          <w:color w:val="000000" w:themeColor="text1"/>
          <w:lang w:eastAsia="es-ES"/>
        </w:rPr>
        <w:t xml:space="preserve"> </w:t>
      </w:r>
    </w:p>
    <w:p w:rsidR="00312025" w:rsidRPr="000E0F90" w:rsidRDefault="00974FE5" w:rsidP="00974FE5">
      <w:pPr>
        <w:spacing w:after="0" w:line="360" w:lineRule="auto"/>
        <w:rPr>
          <w:rFonts w:ascii="Arial" w:eastAsia="Times New Roman" w:hAnsi="Arial" w:cs="Arial"/>
          <w:color w:val="000000" w:themeColor="text1"/>
          <w:szCs w:val="20"/>
          <w:lang w:eastAsia="es-ES"/>
        </w:rPr>
      </w:pPr>
      <w:r>
        <w:rPr>
          <w:rFonts w:ascii="Arial" w:hAnsi="Arial" w:cs="Arial"/>
          <w:color w:val="000000" w:themeColor="text1"/>
        </w:rPr>
        <w:t>S</w:t>
      </w:r>
      <w:r w:rsidR="00312025" w:rsidRPr="000E0F90">
        <w:rPr>
          <w:rFonts w:ascii="Arial" w:hAnsi="Arial" w:cs="Arial"/>
          <w:color w:val="000000" w:themeColor="text1"/>
        </w:rPr>
        <w:t xml:space="preserve">e distinguen las siguientes </w:t>
      </w:r>
      <w:r w:rsidR="00312025" w:rsidRPr="000E0F90">
        <w:rPr>
          <w:rFonts w:ascii="Arial" w:eastAsia="Times New Roman" w:hAnsi="Arial" w:cs="Arial"/>
          <w:color w:val="000000" w:themeColor="text1"/>
          <w:szCs w:val="20"/>
          <w:lang w:eastAsia="es-ES"/>
        </w:rPr>
        <w:t>estructuras geomorfológicas</w:t>
      </w:r>
      <w:r w:rsidR="00312025" w:rsidRPr="000E0F90">
        <w:rPr>
          <w:rFonts w:ascii="Arial" w:hAnsi="Arial" w:cs="Arial"/>
          <w:color w:val="000000" w:themeColor="text1"/>
        </w:rPr>
        <w:t>: Cordillera de Los Andes, Cordones Transversales, P</w:t>
      </w:r>
      <w:r w:rsidR="00312025" w:rsidRPr="000E0F90">
        <w:rPr>
          <w:rFonts w:ascii="Arial" w:eastAsia="Times New Roman" w:hAnsi="Arial" w:cs="Arial"/>
          <w:color w:val="000000" w:themeColor="text1"/>
          <w:szCs w:val="20"/>
          <w:lang w:eastAsia="es-ES"/>
        </w:rPr>
        <w:t xml:space="preserve">ampa ondulada o austral, Pampa transicional, </w:t>
      </w:r>
      <w:r w:rsidR="00312025" w:rsidRPr="000E0F90">
        <w:rPr>
          <w:rFonts w:ascii="Arial" w:hAnsi="Arial" w:cs="Arial"/>
          <w:color w:val="000000" w:themeColor="text1"/>
        </w:rPr>
        <w:t>Planicie Litoral</w:t>
      </w:r>
      <w:r w:rsidR="00312025" w:rsidRPr="000E0F90">
        <w:rPr>
          <w:rFonts w:ascii="Arial" w:eastAsia="Times New Roman" w:hAnsi="Arial" w:cs="Arial"/>
          <w:color w:val="000000" w:themeColor="text1"/>
          <w:szCs w:val="20"/>
          <w:lang w:eastAsia="es-ES"/>
        </w:rPr>
        <w:t xml:space="preserve"> o fluviomarina</w:t>
      </w:r>
      <w:r w:rsidR="00312025" w:rsidRPr="000E0F90">
        <w:rPr>
          <w:rFonts w:ascii="Arial" w:hAnsi="Arial" w:cs="Arial"/>
          <w:color w:val="000000" w:themeColor="text1"/>
        </w:rPr>
        <w:t xml:space="preserve">, </w:t>
      </w:r>
      <w:r w:rsidR="00312025" w:rsidRPr="000E0F90">
        <w:rPr>
          <w:rFonts w:ascii="Arial" w:eastAsia="Times New Roman" w:hAnsi="Arial" w:cs="Arial"/>
          <w:color w:val="000000" w:themeColor="text1"/>
          <w:szCs w:val="20"/>
          <w:lang w:eastAsia="es-ES"/>
        </w:rPr>
        <w:t>Farellón costero y</w:t>
      </w:r>
      <w:r w:rsidR="00312025" w:rsidRPr="000E0F90">
        <w:rPr>
          <w:rFonts w:ascii="Arial" w:hAnsi="Arial" w:cs="Arial"/>
          <w:color w:val="000000" w:themeColor="text1"/>
        </w:rPr>
        <w:t xml:space="preserve"> Llanos de sedimentación fluvial</w:t>
      </w:r>
      <w:r w:rsidR="00312025" w:rsidRPr="000E0F90">
        <w:rPr>
          <w:rFonts w:ascii="Arial" w:eastAsia="Times New Roman" w:hAnsi="Arial" w:cs="Arial"/>
          <w:color w:val="000000" w:themeColor="text1"/>
          <w:szCs w:val="20"/>
          <w:lang w:eastAsia="es-ES"/>
        </w:rPr>
        <w:t xml:space="preserve"> o aluvional</w:t>
      </w:r>
      <w:r w:rsidR="00996909" w:rsidRPr="000E0F90">
        <w:rPr>
          <w:rFonts w:ascii="Arial" w:eastAsia="Times New Roman" w:hAnsi="Arial" w:cs="Arial"/>
          <w:color w:val="000000" w:themeColor="text1"/>
          <w:szCs w:val="20"/>
          <w:lang w:eastAsia="es-ES"/>
        </w:rPr>
        <w:t xml:space="preserve"> </w:t>
      </w:r>
      <w:sdt>
        <w:sdtPr>
          <w:rPr>
            <w:rFonts w:ascii="Arial" w:eastAsia="Times New Roman" w:hAnsi="Arial" w:cs="Arial"/>
            <w:color w:val="000000" w:themeColor="text1"/>
            <w:szCs w:val="20"/>
            <w:lang w:eastAsia="es-ES"/>
          </w:rPr>
          <w:id w:val="1704124672"/>
          <w:citation/>
        </w:sdtPr>
        <w:sdtEndPr/>
        <w:sdtContent>
          <w:r w:rsidR="00996909" w:rsidRPr="000E0F90">
            <w:rPr>
              <w:rFonts w:ascii="Arial" w:eastAsia="Times New Roman" w:hAnsi="Arial" w:cs="Arial"/>
              <w:color w:val="000000" w:themeColor="text1"/>
              <w:szCs w:val="20"/>
              <w:lang w:eastAsia="es-ES"/>
            </w:rPr>
            <w:fldChar w:fldCharType="begin"/>
          </w:r>
          <w:r w:rsidR="00996909" w:rsidRPr="000E0F90">
            <w:rPr>
              <w:rFonts w:ascii="Arial" w:eastAsia="Times New Roman" w:hAnsi="Arial" w:cs="Arial"/>
              <w:color w:val="000000" w:themeColor="text1"/>
              <w:szCs w:val="20"/>
              <w:lang w:eastAsia="es-ES"/>
            </w:rPr>
            <w:instrText xml:space="preserve"> CITATION Bör83 \l 13322 </w:instrText>
          </w:r>
          <w:r w:rsidR="00996909" w:rsidRPr="000E0F90">
            <w:rPr>
              <w:rFonts w:ascii="Arial" w:eastAsia="Times New Roman" w:hAnsi="Arial" w:cs="Arial"/>
              <w:color w:val="000000" w:themeColor="text1"/>
              <w:szCs w:val="20"/>
              <w:lang w:eastAsia="es-ES"/>
            </w:rPr>
            <w:fldChar w:fldCharType="separate"/>
          </w:r>
          <w:r w:rsidR="008D0261" w:rsidRPr="000E0F90">
            <w:rPr>
              <w:rFonts w:ascii="Arial" w:eastAsia="Times New Roman" w:hAnsi="Arial" w:cs="Arial"/>
              <w:noProof/>
              <w:color w:val="000000" w:themeColor="text1"/>
              <w:szCs w:val="20"/>
              <w:lang w:eastAsia="es-ES"/>
            </w:rPr>
            <w:t>(Börgel, 1983)</w:t>
          </w:r>
          <w:r w:rsidR="00996909" w:rsidRPr="000E0F90">
            <w:rPr>
              <w:rFonts w:ascii="Arial" w:eastAsia="Times New Roman" w:hAnsi="Arial" w:cs="Arial"/>
              <w:color w:val="000000" w:themeColor="text1"/>
              <w:szCs w:val="20"/>
              <w:lang w:eastAsia="es-ES"/>
            </w:rPr>
            <w:fldChar w:fldCharType="end"/>
          </w:r>
        </w:sdtContent>
      </w:sdt>
      <w:r w:rsidR="00312025" w:rsidRPr="000E0F90">
        <w:rPr>
          <w:rFonts w:ascii="Arial" w:hAnsi="Arial" w:cs="Arial"/>
          <w:color w:val="000000" w:themeColor="text1"/>
        </w:rPr>
        <w:t xml:space="preserve"> </w:t>
      </w:r>
      <w:sdt>
        <w:sdtPr>
          <w:rPr>
            <w:rFonts w:ascii="Arial" w:hAnsi="Arial" w:cs="Arial"/>
            <w:color w:val="000000" w:themeColor="text1"/>
          </w:rPr>
          <w:id w:val="-206483989"/>
          <w:citation/>
        </w:sdtPr>
        <w:sdtEndPr/>
        <w:sdtContent>
          <w:r w:rsidR="00312025" w:rsidRPr="000E0F90">
            <w:rPr>
              <w:rFonts w:ascii="Arial" w:hAnsi="Arial" w:cs="Arial"/>
              <w:color w:val="000000" w:themeColor="text1"/>
            </w:rPr>
            <w:fldChar w:fldCharType="begin"/>
          </w:r>
          <w:r w:rsidR="00312025" w:rsidRPr="000E0F90">
            <w:rPr>
              <w:rFonts w:ascii="Arial" w:hAnsi="Arial" w:cs="Arial"/>
              <w:color w:val="000000" w:themeColor="text1"/>
            </w:rPr>
            <w:instrText xml:space="preserve"> CITATION INE071 \l 13322 </w:instrText>
          </w:r>
          <w:r w:rsidR="00312025" w:rsidRPr="000E0F90">
            <w:rPr>
              <w:rFonts w:ascii="Arial" w:hAnsi="Arial" w:cs="Arial"/>
              <w:color w:val="000000" w:themeColor="text1"/>
            </w:rPr>
            <w:fldChar w:fldCharType="separate"/>
          </w:r>
          <w:r w:rsidR="008D0261" w:rsidRPr="000E0F90">
            <w:rPr>
              <w:rFonts w:ascii="Arial" w:hAnsi="Arial" w:cs="Arial"/>
              <w:noProof/>
              <w:color w:val="000000" w:themeColor="text1"/>
            </w:rPr>
            <w:t>(INE, 2007)</w:t>
          </w:r>
          <w:r w:rsidR="00312025" w:rsidRPr="000E0F90">
            <w:rPr>
              <w:rFonts w:ascii="Arial" w:hAnsi="Arial" w:cs="Arial"/>
              <w:color w:val="000000" w:themeColor="text1"/>
            </w:rPr>
            <w:fldChar w:fldCharType="end"/>
          </w:r>
        </w:sdtContent>
      </w:sdt>
      <w:r w:rsidR="00312025" w:rsidRPr="000E0F90">
        <w:rPr>
          <w:rFonts w:ascii="Arial" w:hAnsi="Arial" w:cs="Arial"/>
          <w:color w:val="000000" w:themeColor="text1"/>
        </w:rPr>
        <w:t>. La Región de Coquimbo, posee  tres  sistemas  hidrográficos  importantes:  Elqui,  Limarí  y  Choapa,  todos  de  régimen  mixto,  con  el  máximo  caudal  en  los  meses  de noviembre y diciembre, producto de los deshielos estivales. También el caudal suele aumentar considerablemente debido a lluvias torrenciales esporádicas</w:t>
      </w:r>
      <w:sdt>
        <w:sdtPr>
          <w:rPr>
            <w:rFonts w:ascii="Arial" w:hAnsi="Arial" w:cs="Arial"/>
            <w:color w:val="000000" w:themeColor="text1"/>
          </w:rPr>
          <w:id w:val="-1778713105"/>
          <w:citation/>
        </w:sdtPr>
        <w:sdtEndPr/>
        <w:sdtContent>
          <w:r w:rsidR="00312025" w:rsidRPr="000E0F90">
            <w:rPr>
              <w:rFonts w:ascii="Arial" w:hAnsi="Arial" w:cs="Arial"/>
              <w:color w:val="000000" w:themeColor="text1"/>
            </w:rPr>
            <w:fldChar w:fldCharType="begin"/>
          </w:r>
          <w:r w:rsidR="00312025" w:rsidRPr="000E0F90">
            <w:rPr>
              <w:rFonts w:ascii="Arial" w:hAnsi="Arial" w:cs="Arial"/>
              <w:color w:val="000000" w:themeColor="text1"/>
            </w:rPr>
            <w:instrText xml:space="preserve"> CITATION INE071 \l 13322 </w:instrText>
          </w:r>
          <w:r w:rsidR="00312025" w:rsidRPr="000E0F90">
            <w:rPr>
              <w:rFonts w:ascii="Arial" w:hAnsi="Arial" w:cs="Arial"/>
              <w:color w:val="000000" w:themeColor="text1"/>
            </w:rPr>
            <w:fldChar w:fldCharType="separate"/>
          </w:r>
          <w:r w:rsidR="008D0261" w:rsidRPr="000E0F90">
            <w:rPr>
              <w:rFonts w:ascii="Arial" w:hAnsi="Arial" w:cs="Arial"/>
              <w:noProof/>
              <w:color w:val="000000" w:themeColor="text1"/>
            </w:rPr>
            <w:t xml:space="preserve"> (INE, 2007)</w:t>
          </w:r>
          <w:r w:rsidR="00312025" w:rsidRPr="000E0F90">
            <w:rPr>
              <w:rFonts w:ascii="Arial" w:hAnsi="Arial" w:cs="Arial"/>
              <w:color w:val="000000" w:themeColor="text1"/>
            </w:rPr>
            <w:fldChar w:fldCharType="end"/>
          </w:r>
        </w:sdtContent>
      </w:sdt>
    </w:p>
    <w:p w:rsidR="005E4118" w:rsidRPr="000E0F90" w:rsidRDefault="005E4118" w:rsidP="002B538F">
      <w:pPr>
        <w:pStyle w:val="OT"/>
        <w:spacing w:before="240" w:line="360" w:lineRule="auto"/>
        <w:rPr>
          <w:rFonts w:ascii="Arial" w:hAnsi="Arial" w:cs="Arial"/>
          <w:color w:val="000000" w:themeColor="text1"/>
          <w:sz w:val="22"/>
        </w:rPr>
      </w:pPr>
      <w:r w:rsidRPr="000E0F90">
        <w:rPr>
          <w:rFonts w:ascii="Arial" w:hAnsi="Arial" w:cs="Arial"/>
          <w:color w:val="000000" w:themeColor="text1"/>
          <w:sz w:val="22"/>
        </w:rPr>
        <w:t xml:space="preserve">En relación a la vegetación de la región, de acuerdo a </w:t>
      </w:r>
      <w:sdt>
        <w:sdtPr>
          <w:rPr>
            <w:rFonts w:ascii="Arial" w:hAnsi="Arial" w:cs="Arial"/>
            <w:color w:val="000000" w:themeColor="text1"/>
            <w:sz w:val="22"/>
          </w:rPr>
          <w:id w:val="-384793669"/>
          <w:citation/>
        </w:sdtPr>
        <w:sdtEndPr/>
        <w:sdtContent>
          <w:r w:rsidRPr="000E0F90">
            <w:rPr>
              <w:rFonts w:ascii="Arial" w:hAnsi="Arial" w:cs="Arial"/>
              <w:color w:val="000000" w:themeColor="text1"/>
              <w:sz w:val="22"/>
            </w:rPr>
            <w:fldChar w:fldCharType="begin"/>
          </w:r>
          <w:r w:rsidRPr="000E0F90">
            <w:rPr>
              <w:rFonts w:ascii="Arial" w:hAnsi="Arial" w:cs="Arial"/>
              <w:color w:val="000000" w:themeColor="text1"/>
              <w:sz w:val="22"/>
            </w:rPr>
            <w:instrText xml:space="preserve"> CITATION Lue06 \l 13322 </w:instrText>
          </w:r>
          <w:r w:rsidRPr="000E0F90">
            <w:rPr>
              <w:rFonts w:ascii="Arial" w:hAnsi="Arial" w:cs="Arial"/>
              <w:color w:val="000000" w:themeColor="text1"/>
              <w:sz w:val="22"/>
            </w:rPr>
            <w:fldChar w:fldCharType="separate"/>
          </w:r>
          <w:r w:rsidR="008D0261" w:rsidRPr="000E0F90">
            <w:rPr>
              <w:rFonts w:ascii="Arial" w:hAnsi="Arial" w:cs="Arial"/>
              <w:noProof/>
              <w:color w:val="000000" w:themeColor="text1"/>
              <w:sz w:val="22"/>
            </w:rPr>
            <w:t>(Luebert &amp; Pliscoff, 2006)</w:t>
          </w:r>
          <w:r w:rsidRPr="000E0F90">
            <w:rPr>
              <w:rFonts w:ascii="Arial" w:hAnsi="Arial" w:cs="Arial"/>
              <w:color w:val="000000" w:themeColor="text1"/>
              <w:sz w:val="22"/>
            </w:rPr>
            <w:fldChar w:fldCharType="end"/>
          </w:r>
        </w:sdtContent>
      </w:sdt>
      <w:r w:rsidRPr="000E0F90">
        <w:rPr>
          <w:rFonts w:ascii="Arial" w:hAnsi="Arial" w:cs="Arial"/>
          <w:color w:val="000000" w:themeColor="text1"/>
          <w:sz w:val="22"/>
        </w:rPr>
        <w:t xml:space="preserve"> se caracteriza por presentar vegetación de tipo matorral, con presencia de cactáceas en la zona norte, un estrato arborescente hacia el extremo sur, </w:t>
      </w:r>
      <w:r w:rsidR="00974FE5">
        <w:rPr>
          <w:rFonts w:ascii="Arial" w:hAnsi="Arial" w:cs="Arial"/>
          <w:color w:val="000000" w:themeColor="text1"/>
          <w:sz w:val="22"/>
        </w:rPr>
        <w:t>con</w:t>
      </w:r>
      <w:r w:rsidRPr="000E0F90">
        <w:rPr>
          <w:rFonts w:ascii="Arial" w:hAnsi="Arial" w:cs="Arial"/>
          <w:color w:val="000000" w:themeColor="text1"/>
          <w:sz w:val="22"/>
        </w:rPr>
        <w:t xml:space="preserve"> especies e</w:t>
      </w:r>
      <w:r w:rsidR="00974FE5">
        <w:rPr>
          <w:rFonts w:ascii="Arial" w:hAnsi="Arial" w:cs="Arial"/>
          <w:color w:val="000000" w:themeColor="text1"/>
          <w:sz w:val="22"/>
        </w:rPr>
        <w:t xml:space="preserve">sclerófilas, ubicándose </w:t>
      </w:r>
      <w:r w:rsidRPr="000E0F90">
        <w:rPr>
          <w:rFonts w:ascii="Arial" w:hAnsi="Arial" w:cs="Arial"/>
          <w:color w:val="000000" w:themeColor="text1"/>
          <w:sz w:val="22"/>
        </w:rPr>
        <w:t xml:space="preserve">el bosque relicto Fray Jorge. Hacia la zona andina, se evidencia vegetación de tipo herbazal y matorral bajo, que es utilizada para las veranadas de animales.  </w:t>
      </w:r>
    </w:p>
    <w:p w:rsidR="00C314A4" w:rsidRPr="000E0F90" w:rsidRDefault="0029761A" w:rsidP="002B538F">
      <w:pPr>
        <w:spacing w:before="240" w:line="360" w:lineRule="auto"/>
        <w:rPr>
          <w:rFonts w:ascii="Arial" w:hAnsi="Arial" w:cs="Arial"/>
          <w:color w:val="000000" w:themeColor="text1"/>
        </w:rPr>
      </w:pPr>
      <w:r w:rsidRPr="000E0F90">
        <w:rPr>
          <w:rFonts w:ascii="Arial" w:hAnsi="Arial" w:cs="Arial"/>
          <w:color w:val="000000" w:themeColor="text1"/>
        </w:rPr>
        <w:t xml:space="preserve">La región de Coquimbo se ubica dentro de las 25 áreas de mayor diversidad a nivel mundial, presenta un gran endemismo y alta </w:t>
      </w:r>
      <w:r w:rsidR="0049698D" w:rsidRPr="000E0F90">
        <w:rPr>
          <w:rFonts w:ascii="Arial" w:hAnsi="Arial" w:cs="Arial"/>
          <w:color w:val="000000" w:themeColor="text1"/>
        </w:rPr>
        <w:t>vulnerabilidad</w:t>
      </w:r>
      <w:r w:rsidR="00C314A4" w:rsidRPr="000E0F90">
        <w:rPr>
          <w:rFonts w:ascii="Arial" w:hAnsi="Arial" w:cs="Arial"/>
          <w:color w:val="000000" w:themeColor="text1"/>
        </w:rPr>
        <w:t xml:space="preserve">, identificándose 14 sitios prioritarios para la conservación de la biodiversidad. En la región se identifican 119 especies animales, de las cuales 57 se </w:t>
      </w:r>
      <w:r w:rsidR="0049698D" w:rsidRPr="000E0F90">
        <w:rPr>
          <w:rFonts w:ascii="Arial" w:hAnsi="Arial" w:cs="Arial"/>
          <w:color w:val="000000" w:themeColor="text1"/>
        </w:rPr>
        <w:t>encuentran</w:t>
      </w:r>
      <w:r w:rsidR="00C314A4" w:rsidRPr="000E0F90">
        <w:rPr>
          <w:rFonts w:ascii="Arial" w:hAnsi="Arial" w:cs="Arial"/>
          <w:color w:val="000000" w:themeColor="text1"/>
        </w:rPr>
        <w:t xml:space="preserve"> amenazadas (48%) </w:t>
      </w:r>
      <w:sdt>
        <w:sdtPr>
          <w:rPr>
            <w:rFonts w:ascii="Arial" w:hAnsi="Arial" w:cs="Arial"/>
            <w:color w:val="000000" w:themeColor="text1"/>
          </w:rPr>
          <w:id w:val="100311084"/>
          <w:citation/>
        </w:sdtPr>
        <w:sdtEndPr/>
        <w:sdtContent>
          <w:r w:rsidR="00C314A4" w:rsidRPr="000E0F90">
            <w:rPr>
              <w:rFonts w:ascii="Arial" w:hAnsi="Arial" w:cs="Arial"/>
              <w:color w:val="000000" w:themeColor="text1"/>
            </w:rPr>
            <w:fldChar w:fldCharType="begin"/>
          </w:r>
          <w:r w:rsidR="00C314A4" w:rsidRPr="000E0F90">
            <w:rPr>
              <w:rFonts w:ascii="Arial" w:hAnsi="Arial" w:cs="Arial"/>
              <w:color w:val="000000" w:themeColor="text1"/>
            </w:rPr>
            <w:instrText xml:space="preserve"> CITATION Min162 \l 13322 </w:instrText>
          </w:r>
          <w:r w:rsidR="00C314A4" w:rsidRPr="000E0F90">
            <w:rPr>
              <w:rFonts w:ascii="Arial" w:hAnsi="Arial" w:cs="Arial"/>
              <w:color w:val="000000" w:themeColor="text1"/>
            </w:rPr>
            <w:fldChar w:fldCharType="separate"/>
          </w:r>
          <w:r w:rsidR="008D0261" w:rsidRPr="000E0F90">
            <w:rPr>
              <w:rFonts w:ascii="Arial" w:hAnsi="Arial" w:cs="Arial"/>
              <w:noProof/>
              <w:color w:val="000000" w:themeColor="text1"/>
            </w:rPr>
            <w:t>(Ministerio de Medio Ambiente, 2016)</w:t>
          </w:r>
          <w:r w:rsidR="00C314A4" w:rsidRPr="000E0F90">
            <w:rPr>
              <w:rFonts w:ascii="Arial" w:hAnsi="Arial" w:cs="Arial"/>
              <w:color w:val="000000" w:themeColor="text1"/>
            </w:rPr>
            <w:fldChar w:fldCharType="end"/>
          </w:r>
        </w:sdtContent>
      </w:sdt>
      <w:r w:rsidR="00C314A4" w:rsidRPr="000E0F90">
        <w:rPr>
          <w:rFonts w:ascii="Arial" w:hAnsi="Arial" w:cs="Arial"/>
          <w:color w:val="000000" w:themeColor="text1"/>
        </w:rPr>
        <w:t>.</w:t>
      </w:r>
    </w:p>
    <w:p w:rsidR="00312025" w:rsidRPr="000E0F90" w:rsidRDefault="008C68E8" w:rsidP="002B538F">
      <w:pPr>
        <w:spacing w:after="0" w:line="360" w:lineRule="auto"/>
        <w:jc w:val="left"/>
        <w:rPr>
          <w:rFonts w:ascii="Arial" w:eastAsia="Times New Roman" w:hAnsi="Arial" w:cs="Arial"/>
          <w:b/>
          <w:color w:val="000000" w:themeColor="text1"/>
          <w:szCs w:val="20"/>
          <w:u w:val="single"/>
          <w:lang w:eastAsia="es-ES"/>
        </w:rPr>
      </w:pPr>
      <w:r w:rsidRPr="000E0F90">
        <w:rPr>
          <w:rFonts w:ascii="Arial" w:eastAsia="Times New Roman" w:hAnsi="Arial" w:cs="Arial"/>
          <w:b/>
          <w:color w:val="000000" w:themeColor="text1"/>
          <w:szCs w:val="20"/>
          <w:u w:val="single"/>
          <w:lang w:eastAsia="es-ES"/>
        </w:rPr>
        <w:lastRenderedPageBreak/>
        <w:t>Antecedentes socioeconómicos</w:t>
      </w:r>
    </w:p>
    <w:p w:rsidR="0061099D" w:rsidRPr="000E0F90" w:rsidRDefault="003F7077" w:rsidP="002B538F">
      <w:pPr>
        <w:spacing w:line="360" w:lineRule="auto"/>
        <w:rPr>
          <w:rFonts w:ascii="Arial" w:hAnsi="Arial" w:cs="Arial"/>
          <w:color w:val="000000" w:themeColor="text1"/>
        </w:rPr>
      </w:pPr>
      <w:r w:rsidRPr="000E0F90">
        <w:rPr>
          <w:rFonts w:ascii="Arial" w:hAnsi="Arial" w:cs="Arial"/>
          <w:color w:val="000000" w:themeColor="text1"/>
        </w:rPr>
        <w:t xml:space="preserve">La población de la región, identificada en el Censo de 2002, asciende a 603.210 habitantes, representando el 4% de la población nacional, la cual se distribuye siguiendo los valles de los ríos Elqui, Limarí y Choapa. La población urbana y rural de la región corresponde al 78,07% y 21,93%, respectivamente. </w:t>
      </w:r>
      <w:r w:rsidR="0061099D" w:rsidRPr="000E0F90">
        <w:rPr>
          <w:rFonts w:ascii="Arial" w:hAnsi="Arial" w:cs="Arial"/>
          <w:color w:val="000000" w:themeColor="text1"/>
        </w:rPr>
        <w:t>En relación a la población regional perteneciente a etnia indígena, asciende al el 0,86% (5.194 personas), cifra que corresponde a 0,75% de la población étnica nacional (INE, 2002).</w:t>
      </w:r>
    </w:p>
    <w:p w:rsidR="003F7077" w:rsidRPr="000E0F90" w:rsidRDefault="003F7077" w:rsidP="002B538F">
      <w:pPr>
        <w:spacing w:before="240" w:after="0" w:line="360" w:lineRule="auto"/>
        <w:rPr>
          <w:rFonts w:ascii="Arial" w:hAnsi="Arial" w:cs="Arial"/>
          <w:b/>
          <w:color w:val="000000" w:themeColor="text1"/>
        </w:rPr>
      </w:pPr>
      <w:r w:rsidRPr="000E0F90">
        <w:rPr>
          <w:rFonts w:ascii="Arial" w:hAnsi="Arial" w:cs="Arial"/>
          <w:b/>
          <w:color w:val="000000" w:themeColor="text1"/>
        </w:rPr>
        <w:t>Actividades Económicas</w:t>
      </w:r>
    </w:p>
    <w:p w:rsidR="003F7077" w:rsidRPr="000E0F90" w:rsidRDefault="009B4845" w:rsidP="002B538F">
      <w:pPr>
        <w:spacing w:line="360" w:lineRule="auto"/>
        <w:rPr>
          <w:rFonts w:ascii="Arial" w:hAnsi="Arial" w:cs="Arial"/>
          <w:color w:val="000000" w:themeColor="text1"/>
        </w:rPr>
      </w:pPr>
      <w:r>
        <w:rPr>
          <w:rFonts w:ascii="Arial" w:hAnsi="Arial" w:cs="Arial"/>
          <w:color w:val="000000" w:themeColor="text1"/>
        </w:rPr>
        <w:t xml:space="preserve">Las principales actividades </w:t>
      </w:r>
      <w:r w:rsidR="00974FE5">
        <w:rPr>
          <w:rFonts w:ascii="Arial" w:hAnsi="Arial" w:cs="Arial"/>
          <w:color w:val="000000" w:themeColor="text1"/>
        </w:rPr>
        <w:t xml:space="preserve">que contribuyen al PIB regional </w:t>
      </w:r>
      <w:r>
        <w:rPr>
          <w:rFonts w:ascii="Arial" w:hAnsi="Arial" w:cs="Arial"/>
          <w:color w:val="000000" w:themeColor="text1"/>
        </w:rPr>
        <w:t xml:space="preserve">corresponden a minería </w:t>
      </w:r>
      <w:r w:rsidR="003F7077" w:rsidRPr="000E0F90">
        <w:rPr>
          <w:rFonts w:ascii="Arial" w:hAnsi="Arial" w:cs="Arial"/>
          <w:color w:val="000000" w:themeColor="text1"/>
        </w:rPr>
        <w:t>(35%), servicios personales (12,86%), construcción (9,85%) y comercio, restaurantes y hoteles (8,92%)</w:t>
      </w:r>
      <w:r w:rsidR="00974FE5">
        <w:rPr>
          <w:rFonts w:ascii="Arial" w:hAnsi="Arial" w:cs="Arial"/>
          <w:color w:val="000000" w:themeColor="text1"/>
        </w:rPr>
        <w:t xml:space="preserve"> </w:t>
      </w:r>
      <w:sdt>
        <w:sdtPr>
          <w:rPr>
            <w:rFonts w:ascii="Arial" w:hAnsi="Arial" w:cs="Arial"/>
            <w:color w:val="000000" w:themeColor="text1"/>
          </w:rPr>
          <w:id w:val="-1984380120"/>
          <w:citation/>
        </w:sdtPr>
        <w:sdtEndPr/>
        <w:sdtContent>
          <w:r w:rsidR="00974FE5">
            <w:rPr>
              <w:rFonts w:ascii="Arial" w:hAnsi="Arial" w:cs="Arial"/>
              <w:color w:val="000000" w:themeColor="text1"/>
            </w:rPr>
            <w:fldChar w:fldCharType="begin"/>
          </w:r>
          <w:r w:rsidR="00974FE5">
            <w:rPr>
              <w:rFonts w:ascii="Arial" w:hAnsi="Arial" w:cs="Arial"/>
              <w:color w:val="000000" w:themeColor="text1"/>
            </w:rPr>
            <w:instrText xml:space="preserve"> CITATION Ban16 \l 13322 </w:instrText>
          </w:r>
          <w:r w:rsidR="00974FE5">
            <w:rPr>
              <w:rFonts w:ascii="Arial" w:hAnsi="Arial" w:cs="Arial"/>
              <w:color w:val="000000" w:themeColor="text1"/>
            </w:rPr>
            <w:fldChar w:fldCharType="separate"/>
          </w:r>
          <w:r w:rsidR="00974FE5" w:rsidRPr="00974FE5">
            <w:rPr>
              <w:rFonts w:ascii="Arial" w:hAnsi="Arial" w:cs="Arial"/>
              <w:noProof/>
              <w:color w:val="000000" w:themeColor="text1"/>
            </w:rPr>
            <w:t>(Banco Central de Chile, 2016)</w:t>
          </w:r>
          <w:r w:rsidR="00974FE5">
            <w:rPr>
              <w:rFonts w:ascii="Arial" w:hAnsi="Arial" w:cs="Arial"/>
              <w:color w:val="000000" w:themeColor="text1"/>
            </w:rPr>
            <w:fldChar w:fldCharType="end"/>
          </w:r>
        </w:sdtContent>
      </w:sdt>
      <w:r w:rsidR="003F7077" w:rsidRPr="000E0F90">
        <w:rPr>
          <w:rFonts w:ascii="Arial" w:hAnsi="Arial" w:cs="Arial"/>
          <w:color w:val="000000" w:themeColor="text1"/>
        </w:rPr>
        <w:t>. En relación a las exportaciones, la minería parti</w:t>
      </w:r>
      <w:r w:rsidR="00974FE5">
        <w:rPr>
          <w:rFonts w:ascii="Arial" w:hAnsi="Arial" w:cs="Arial"/>
          <w:color w:val="000000" w:themeColor="text1"/>
        </w:rPr>
        <w:t>cipa del 83,95%</w:t>
      </w:r>
      <w:r w:rsidR="003F7077" w:rsidRPr="000E0F90">
        <w:rPr>
          <w:rFonts w:ascii="Arial" w:hAnsi="Arial" w:cs="Arial"/>
          <w:color w:val="000000" w:themeColor="text1"/>
        </w:rPr>
        <w:t xml:space="preserve">, seguido del sector silvoagropecuario </w:t>
      </w:r>
      <w:r w:rsidR="00974FE5">
        <w:rPr>
          <w:rFonts w:ascii="Arial" w:hAnsi="Arial" w:cs="Arial"/>
          <w:color w:val="000000" w:themeColor="text1"/>
        </w:rPr>
        <w:t>(</w:t>
      </w:r>
      <w:r w:rsidR="0061099D" w:rsidRPr="000E0F90">
        <w:rPr>
          <w:rFonts w:ascii="Arial" w:hAnsi="Arial" w:cs="Arial"/>
          <w:color w:val="000000" w:themeColor="text1"/>
        </w:rPr>
        <w:t>11,71%</w:t>
      </w:r>
      <w:r w:rsidR="00974FE5">
        <w:rPr>
          <w:rFonts w:ascii="Arial" w:hAnsi="Arial" w:cs="Arial"/>
          <w:color w:val="000000" w:themeColor="text1"/>
        </w:rPr>
        <w:t>)</w:t>
      </w:r>
      <w:r w:rsidR="0061099D" w:rsidRPr="000E0F90">
        <w:rPr>
          <w:rFonts w:ascii="Arial" w:hAnsi="Arial" w:cs="Arial"/>
          <w:color w:val="000000" w:themeColor="text1"/>
        </w:rPr>
        <w:t>,</w:t>
      </w:r>
      <w:r w:rsidR="003F7077" w:rsidRPr="000E0F90">
        <w:rPr>
          <w:rFonts w:ascii="Arial" w:hAnsi="Arial" w:cs="Arial"/>
          <w:color w:val="000000" w:themeColor="text1"/>
        </w:rPr>
        <w:t xml:space="preserve"> industria</w:t>
      </w:r>
      <w:r w:rsidR="00974FE5">
        <w:rPr>
          <w:rFonts w:ascii="Arial" w:hAnsi="Arial" w:cs="Arial"/>
          <w:color w:val="000000" w:themeColor="text1"/>
        </w:rPr>
        <w:t xml:space="preserve"> (</w:t>
      </w:r>
      <w:r w:rsidR="003F7077" w:rsidRPr="000E0F90">
        <w:rPr>
          <w:rFonts w:ascii="Arial" w:hAnsi="Arial" w:cs="Arial"/>
          <w:color w:val="000000" w:themeColor="text1"/>
        </w:rPr>
        <w:t>3,33%</w:t>
      </w:r>
      <w:r w:rsidR="00974FE5">
        <w:rPr>
          <w:rFonts w:ascii="Arial" w:hAnsi="Arial" w:cs="Arial"/>
          <w:color w:val="000000" w:themeColor="text1"/>
        </w:rPr>
        <w:t>)</w:t>
      </w:r>
      <w:r w:rsidR="003F7077" w:rsidRPr="000E0F90">
        <w:rPr>
          <w:rFonts w:ascii="Arial" w:hAnsi="Arial" w:cs="Arial"/>
          <w:color w:val="000000" w:themeColor="text1"/>
        </w:rPr>
        <w:t xml:space="preserve"> </w:t>
      </w:r>
      <w:r w:rsidR="0061099D" w:rsidRPr="000E0F90">
        <w:rPr>
          <w:rFonts w:ascii="Arial" w:hAnsi="Arial" w:cs="Arial"/>
          <w:color w:val="000000" w:themeColor="text1"/>
        </w:rPr>
        <w:t xml:space="preserve">y </w:t>
      </w:r>
      <w:r w:rsidR="003F7077" w:rsidRPr="000E0F90">
        <w:rPr>
          <w:rFonts w:ascii="Arial" w:hAnsi="Arial" w:cs="Arial"/>
          <w:color w:val="000000" w:themeColor="text1"/>
        </w:rPr>
        <w:t xml:space="preserve">pesca </w:t>
      </w:r>
      <w:r w:rsidR="00974FE5">
        <w:rPr>
          <w:rFonts w:ascii="Arial" w:hAnsi="Arial" w:cs="Arial"/>
          <w:color w:val="000000" w:themeColor="text1"/>
        </w:rPr>
        <w:t>(</w:t>
      </w:r>
      <w:r w:rsidR="003F7077" w:rsidRPr="000E0F90">
        <w:rPr>
          <w:rFonts w:ascii="Arial" w:hAnsi="Arial" w:cs="Arial"/>
          <w:color w:val="000000" w:themeColor="text1"/>
        </w:rPr>
        <w:t>0,68%</w:t>
      </w:r>
      <w:r w:rsidR="00974FE5">
        <w:rPr>
          <w:rFonts w:ascii="Arial" w:hAnsi="Arial" w:cs="Arial"/>
          <w:color w:val="000000" w:themeColor="text1"/>
        </w:rPr>
        <w:t>)</w:t>
      </w:r>
      <w:r w:rsidR="003F7077" w:rsidRPr="000E0F90">
        <w:rPr>
          <w:rFonts w:ascii="Arial" w:hAnsi="Arial" w:cs="Arial"/>
          <w:color w:val="000000" w:themeColor="text1"/>
        </w:rPr>
        <w:t xml:space="preserve"> </w:t>
      </w:r>
      <w:sdt>
        <w:sdtPr>
          <w:rPr>
            <w:rFonts w:ascii="Arial" w:hAnsi="Arial" w:cs="Arial"/>
            <w:color w:val="000000" w:themeColor="text1"/>
          </w:rPr>
          <w:id w:val="-461735480"/>
          <w:citation/>
        </w:sdtPr>
        <w:sdtEndPr/>
        <w:sdtContent>
          <w:r w:rsidR="003F7077" w:rsidRPr="000E0F90">
            <w:rPr>
              <w:rFonts w:ascii="Arial" w:hAnsi="Arial" w:cs="Arial"/>
              <w:color w:val="000000" w:themeColor="text1"/>
            </w:rPr>
            <w:fldChar w:fldCharType="begin"/>
          </w:r>
          <w:r w:rsidR="003F7077" w:rsidRPr="000E0F90">
            <w:rPr>
              <w:rFonts w:ascii="Arial" w:hAnsi="Arial" w:cs="Arial"/>
              <w:color w:val="000000" w:themeColor="text1"/>
            </w:rPr>
            <w:instrText xml:space="preserve">CITATION INE11 \l 13322 </w:instrText>
          </w:r>
          <w:r w:rsidR="003F7077" w:rsidRPr="000E0F90">
            <w:rPr>
              <w:rFonts w:ascii="Arial" w:hAnsi="Arial" w:cs="Arial"/>
              <w:color w:val="000000" w:themeColor="text1"/>
            </w:rPr>
            <w:fldChar w:fldCharType="separate"/>
          </w:r>
          <w:r w:rsidR="008D0261" w:rsidRPr="000E0F90">
            <w:rPr>
              <w:rFonts w:ascii="Arial" w:hAnsi="Arial" w:cs="Arial"/>
              <w:noProof/>
              <w:color w:val="000000" w:themeColor="text1"/>
            </w:rPr>
            <w:t>(INE Coquimbo, 2011)</w:t>
          </w:r>
          <w:r w:rsidR="003F7077" w:rsidRPr="000E0F90">
            <w:rPr>
              <w:rFonts w:ascii="Arial" w:hAnsi="Arial" w:cs="Arial"/>
              <w:color w:val="000000" w:themeColor="text1"/>
            </w:rPr>
            <w:fldChar w:fldCharType="end"/>
          </w:r>
        </w:sdtContent>
      </w:sdt>
      <w:r w:rsidR="007A1EB6" w:rsidRPr="000E0F90">
        <w:rPr>
          <w:rFonts w:ascii="Arial" w:hAnsi="Arial" w:cs="Arial"/>
          <w:color w:val="000000" w:themeColor="text1"/>
        </w:rPr>
        <w:t>.</w:t>
      </w:r>
      <w:r w:rsidR="00974FE5">
        <w:rPr>
          <w:rFonts w:ascii="Arial" w:hAnsi="Arial" w:cs="Arial"/>
          <w:color w:val="000000" w:themeColor="text1"/>
        </w:rPr>
        <w:t xml:space="preserve"> L</w:t>
      </w:r>
      <w:r w:rsidR="003F7077" w:rsidRPr="000E0F90">
        <w:rPr>
          <w:rFonts w:ascii="Arial" w:hAnsi="Arial" w:cs="Arial"/>
          <w:color w:val="000000" w:themeColor="text1"/>
        </w:rPr>
        <w:t xml:space="preserve">a mayor proporción </w:t>
      </w:r>
      <w:r w:rsidR="00974FE5">
        <w:rPr>
          <w:rFonts w:ascii="Arial" w:hAnsi="Arial" w:cs="Arial"/>
          <w:color w:val="000000" w:themeColor="text1"/>
        </w:rPr>
        <w:t xml:space="preserve">de empleo </w:t>
      </w:r>
      <w:r w:rsidR="0061099D" w:rsidRPr="000E0F90">
        <w:rPr>
          <w:rFonts w:ascii="Arial" w:hAnsi="Arial" w:cs="Arial"/>
          <w:color w:val="000000" w:themeColor="text1"/>
        </w:rPr>
        <w:t xml:space="preserve">proviene del </w:t>
      </w:r>
      <w:r w:rsidR="003F7077" w:rsidRPr="000E0F90">
        <w:rPr>
          <w:rFonts w:ascii="Arial" w:hAnsi="Arial" w:cs="Arial"/>
          <w:color w:val="000000" w:themeColor="text1"/>
        </w:rPr>
        <w:t>Comercio (18,94%), Agricultura (12,38%), Enseñanza (9,61%), Minería (9,28%), Construcción (9,26%), Manufactura</w:t>
      </w:r>
      <w:r w:rsidR="00974FE5">
        <w:rPr>
          <w:rFonts w:ascii="Arial" w:hAnsi="Arial" w:cs="Arial"/>
          <w:color w:val="000000" w:themeColor="text1"/>
        </w:rPr>
        <w:t xml:space="preserve"> (6,39%) y Agricultura (5,34%) </w:t>
      </w:r>
      <w:sdt>
        <w:sdtPr>
          <w:rPr>
            <w:rFonts w:ascii="Arial" w:hAnsi="Arial" w:cs="Arial"/>
            <w:color w:val="000000" w:themeColor="text1"/>
          </w:rPr>
          <w:id w:val="-1728448721"/>
          <w:citation/>
        </w:sdtPr>
        <w:sdtEndPr/>
        <w:sdtContent>
          <w:r w:rsidR="0061099D" w:rsidRPr="000E0F90">
            <w:rPr>
              <w:rFonts w:ascii="Arial" w:hAnsi="Arial" w:cs="Arial"/>
              <w:color w:val="000000" w:themeColor="text1"/>
            </w:rPr>
            <w:fldChar w:fldCharType="begin"/>
          </w:r>
          <w:r w:rsidR="0061099D" w:rsidRPr="000E0F90">
            <w:rPr>
              <w:rFonts w:ascii="Arial" w:hAnsi="Arial" w:cs="Arial"/>
              <w:color w:val="000000" w:themeColor="text1"/>
            </w:rPr>
            <w:instrText xml:space="preserve"> CITATION INE14 \l 13322 </w:instrText>
          </w:r>
          <w:r w:rsidR="0061099D" w:rsidRPr="000E0F90">
            <w:rPr>
              <w:rFonts w:ascii="Arial" w:hAnsi="Arial" w:cs="Arial"/>
              <w:color w:val="000000" w:themeColor="text1"/>
            </w:rPr>
            <w:fldChar w:fldCharType="separate"/>
          </w:r>
          <w:r w:rsidR="008D0261" w:rsidRPr="000E0F90">
            <w:rPr>
              <w:rFonts w:ascii="Arial" w:hAnsi="Arial" w:cs="Arial"/>
              <w:noProof/>
              <w:color w:val="000000" w:themeColor="text1"/>
            </w:rPr>
            <w:t>(INE, 2014)</w:t>
          </w:r>
          <w:r w:rsidR="0061099D" w:rsidRPr="000E0F90">
            <w:rPr>
              <w:rFonts w:ascii="Arial" w:hAnsi="Arial" w:cs="Arial"/>
              <w:color w:val="000000" w:themeColor="text1"/>
            </w:rPr>
            <w:fldChar w:fldCharType="end"/>
          </w:r>
        </w:sdtContent>
      </w:sdt>
      <w:r w:rsidR="0061099D" w:rsidRPr="000E0F90">
        <w:rPr>
          <w:rFonts w:ascii="Arial" w:hAnsi="Arial" w:cs="Arial"/>
          <w:color w:val="000000" w:themeColor="text1"/>
        </w:rPr>
        <w:t>.</w:t>
      </w:r>
      <w:r w:rsidR="003F7077" w:rsidRPr="000E0F90">
        <w:rPr>
          <w:rFonts w:ascii="Arial" w:hAnsi="Arial" w:cs="Arial"/>
          <w:color w:val="000000" w:themeColor="text1"/>
        </w:rPr>
        <w:t xml:space="preserve"> </w:t>
      </w:r>
    </w:p>
    <w:p w:rsidR="003F7077" w:rsidRPr="000E0F90" w:rsidRDefault="00E52F8C" w:rsidP="002B538F">
      <w:pPr>
        <w:spacing w:after="0" w:line="360" w:lineRule="auto"/>
        <w:jc w:val="left"/>
        <w:rPr>
          <w:rFonts w:ascii="Arial" w:hAnsi="Arial" w:cs="Arial"/>
          <w:b/>
          <w:color w:val="000000" w:themeColor="text1"/>
        </w:rPr>
      </w:pPr>
      <w:r w:rsidRPr="000E0F90">
        <w:rPr>
          <w:rFonts w:ascii="Arial" w:hAnsi="Arial" w:cs="Arial"/>
          <w:b/>
          <w:color w:val="000000" w:themeColor="text1"/>
        </w:rPr>
        <w:t xml:space="preserve">Actividad </w:t>
      </w:r>
      <w:r w:rsidR="003F7077" w:rsidRPr="000E0F90">
        <w:rPr>
          <w:rFonts w:ascii="Arial" w:hAnsi="Arial" w:cs="Arial"/>
          <w:b/>
          <w:color w:val="000000" w:themeColor="text1"/>
        </w:rPr>
        <w:t xml:space="preserve">Minera: </w:t>
      </w:r>
    </w:p>
    <w:p w:rsidR="003F7077" w:rsidRPr="000E0F90" w:rsidRDefault="003F7077" w:rsidP="00800AFA">
      <w:pPr>
        <w:spacing w:line="360" w:lineRule="auto"/>
        <w:rPr>
          <w:rFonts w:ascii="Arial" w:hAnsi="Arial" w:cs="Arial"/>
          <w:color w:val="000000" w:themeColor="text1"/>
        </w:rPr>
      </w:pPr>
      <w:r w:rsidRPr="000E0F90">
        <w:rPr>
          <w:rFonts w:ascii="Arial" w:hAnsi="Arial" w:cs="Arial"/>
          <w:color w:val="000000" w:themeColor="text1"/>
        </w:rPr>
        <w:t>Dentro de los minerales extraídos en la región, se encuentra el cobre, molibdeno,</w:t>
      </w:r>
      <w:r w:rsidR="009B4845">
        <w:rPr>
          <w:rFonts w:ascii="Arial" w:hAnsi="Arial" w:cs="Arial"/>
          <w:color w:val="000000" w:themeColor="text1"/>
        </w:rPr>
        <w:t xml:space="preserve"> oro, plata, hierro, manganeso </w:t>
      </w:r>
      <w:sdt>
        <w:sdtPr>
          <w:rPr>
            <w:rFonts w:ascii="Arial" w:hAnsi="Arial" w:cs="Arial"/>
            <w:color w:val="000000" w:themeColor="text1"/>
          </w:rPr>
          <w:id w:val="-155382147"/>
          <w:citation/>
        </w:sdtPr>
        <w:sdtEndPr/>
        <w:sdtContent>
          <w:r w:rsidR="004D1D96" w:rsidRPr="000E0F90">
            <w:rPr>
              <w:rFonts w:ascii="Arial" w:hAnsi="Arial" w:cs="Arial"/>
              <w:color w:val="000000" w:themeColor="text1"/>
            </w:rPr>
            <w:fldChar w:fldCharType="begin"/>
          </w:r>
          <w:r w:rsidR="004D1D96" w:rsidRPr="000E0F90">
            <w:rPr>
              <w:rFonts w:ascii="Arial" w:hAnsi="Arial" w:cs="Arial"/>
              <w:color w:val="000000" w:themeColor="text1"/>
            </w:rPr>
            <w:instrText xml:space="preserve"> CITATION SER14 \l 13322 </w:instrText>
          </w:r>
          <w:r w:rsidR="004D1D96" w:rsidRPr="000E0F90">
            <w:rPr>
              <w:rFonts w:ascii="Arial" w:hAnsi="Arial" w:cs="Arial"/>
              <w:color w:val="000000" w:themeColor="text1"/>
            </w:rPr>
            <w:fldChar w:fldCharType="separate"/>
          </w:r>
          <w:r w:rsidR="008D0261" w:rsidRPr="000E0F90">
            <w:rPr>
              <w:rFonts w:ascii="Arial" w:hAnsi="Arial" w:cs="Arial"/>
              <w:noProof/>
              <w:color w:val="000000" w:themeColor="text1"/>
            </w:rPr>
            <w:t>(SERNAGEOMIN, 2014)</w:t>
          </w:r>
          <w:r w:rsidR="004D1D96" w:rsidRPr="000E0F90">
            <w:rPr>
              <w:rFonts w:ascii="Arial" w:hAnsi="Arial" w:cs="Arial"/>
              <w:color w:val="000000" w:themeColor="text1"/>
            </w:rPr>
            <w:fldChar w:fldCharType="end"/>
          </w:r>
        </w:sdtContent>
      </w:sdt>
      <w:r w:rsidRPr="000E0F90">
        <w:rPr>
          <w:rFonts w:ascii="Arial" w:eastAsia="Times New Roman" w:hAnsi="Arial" w:cs="Arial"/>
          <w:color w:val="000000" w:themeColor="text1"/>
          <w:lang w:eastAsia="es-CL"/>
        </w:rPr>
        <w:t xml:space="preserve">. </w:t>
      </w:r>
      <w:r w:rsidR="0061099D" w:rsidRPr="000E0F90">
        <w:rPr>
          <w:rFonts w:ascii="Arial" w:hAnsi="Arial" w:cs="Arial"/>
          <w:color w:val="000000" w:themeColor="text1"/>
        </w:rPr>
        <w:t xml:space="preserve">En la región </w:t>
      </w:r>
      <w:r w:rsidRPr="000E0F90">
        <w:rPr>
          <w:rFonts w:ascii="Arial" w:hAnsi="Arial" w:cs="Arial"/>
          <w:color w:val="000000" w:themeColor="text1"/>
        </w:rPr>
        <w:t>existen 1401 faenas mineras en variados estados de funcionamiento</w:t>
      </w:r>
      <w:r w:rsidR="00800AFA">
        <w:rPr>
          <w:rFonts w:ascii="Arial" w:hAnsi="Arial" w:cs="Arial"/>
          <w:color w:val="000000" w:themeColor="text1"/>
        </w:rPr>
        <w:t xml:space="preserve"> (</w:t>
      </w:r>
      <w:r w:rsidRPr="000E0F90">
        <w:rPr>
          <w:rFonts w:ascii="Arial" w:hAnsi="Arial" w:cs="Arial"/>
          <w:color w:val="000000" w:themeColor="text1"/>
        </w:rPr>
        <w:t>22,2%</w:t>
      </w:r>
      <w:r w:rsidR="00800AFA">
        <w:rPr>
          <w:rFonts w:ascii="Arial" w:hAnsi="Arial" w:cs="Arial"/>
          <w:color w:val="000000" w:themeColor="text1"/>
        </w:rPr>
        <w:t xml:space="preserve"> del país), de las cuales corresponden mayormente a</w:t>
      </w:r>
      <w:r w:rsidRPr="000E0F90">
        <w:rPr>
          <w:rFonts w:ascii="Arial" w:hAnsi="Arial" w:cs="Arial"/>
          <w:color w:val="000000" w:themeColor="text1"/>
        </w:rPr>
        <w:t xml:space="preserve"> faenas </w:t>
      </w:r>
      <w:r w:rsidR="00800AFA">
        <w:rPr>
          <w:rFonts w:ascii="Arial" w:hAnsi="Arial" w:cs="Arial"/>
          <w:color w:val="000000" w:themeColor="text1"/>
        </w:rPr>
        <w:t xml:space="preserve">pequeñas </w:t>
      </w:r>
      <w:r w:rsidRPr="000E0F90">
        <w:rPr>
          <w:rFonts w:ascii="Arial" w:hAnsi="Arial" w:cs="Arial"/>
          <w:color w:val="000000" w:themeColor="text1"/>
        </w:rPr>
        <w:t>categoría D (79,44%)</w:t>
      </w:r>
      <w:r w:rsidR="0061099D" w:rsidRPr="000E0F90">
        <w:rPr>
          <w:rFonts w:ascii="Arial" w:hAnsi="Arial" w:cs="Arial"/>
          <w:color w:val="000000" w:themeColor="text1"/>
        </w:rPr>
        <w:t xml:space="preserve"> </w:t>
      </w:r>
      <w:sdt>
        <w:sdtPr>
          <w:rPr>
            <w:rFonts w:ascii="Arial" w:hAnsi="Arial" w:cs="Arial"/>
            <w:color w:val="000000" w:themeColor="text1"/>
          </w:rPr>
          <w:id w:val="-2144329858"/>
          <w:citation/>
        </w:sdtPr>
        <w:sdtEndPr/>
        <w:sdtContent>
          <w:r w:rsidR="0061099D" w:rsidRPr="000E0F90">
            <w:rPr>
              <w:rFonts w:ascii="Arial" w:hAnsi="Arial" w:cs="Arial"/>
              <w:color w:val="000000" w:themeColor="text1"/>
            </w:rPr>
            <w:fldChar w:fldCharType="begin"/>
          </w:r>
          <w:r w:rsidR="0061099D" w:rsidRPr="000E0F90">
            <w:rPr>
              <w:rFonts w:ascii="Arial" w:hAnsi="Arial" w:cs="Arial"/>
              <w:color w:val="000000" w:themeColor="text1"/>
            </w:rPr>
            <w:instrText xml:space="preserve"> CITATION SER13 \l 13322 </w:instrText>
          </w:r>
          <w:r w:rsidR="0061099D" w:rsidRPr="000E0F90">
            <w:rPr>
              <w:rFonts w:ascii="Arial" w:hAnsi="Arial" w:cs="Arial"/>
              <w:color w:val="000000" w:themeColor="text1"/>
            </w:rPr>
            <w:fldChar w:fldCharType="separate"/>
          </w:r>
          <w:r w:rsidR="008D0261" w:rsidRPr="000E0F90">
            <w:rPr>
              <w:rFonts w:ascii="Arial" w:hAnsi="Arial" w:cs="Arial"/>
              <w:noProof/>
              <w:color w:val="000000" w:themeColor="text1"/>
            </w:rPr>
            <w:t>(SERNAGEOMIN, 2013)</w:t>
          </w:r>
          <w:r w:rsidR="0061099D" w:rsidRPr="000E0F90">
            <w:rPr>
              <w:rFonts w:ascii="Arial" w:hAnsi="Arial" w:cs="Arial"/>
              <w:color w:val="000000" w:themeColor="text1"/>
            </w:rPr>
            <w:fldChar w:fldCharType="end"/>
          </w:r>
        </w:sdtContent>
      </w:sdt>
      <w:r w:rsidR="0061099D" w:rsidRPr="000E0F90">
        <w:rPr>
          <w:rFonts w:ascii="Arial" w:hAnsi="Arial" w:cs="Arial"/>
          <w:color w:val="000000" w:themeColor="text1"/>
        </w:rPr>
        <w:t xml:space="preserve">. </w:t>
      </w:r>
      <w:r w:rsidR="00974FE5">
        <w:rPr>
          <w:rFonts w:ascii="Arial" w:hAnsi="Arial" w:cs="Arial"/>
          <w:color w:val="000000" w:themeColor="text1"/>
        </w:rPr>
        <w:t>S</w:t>
      </w:r>
      <w:r w:rsidRPr="000E0F90">
        <w:rPr>
          <w:rFonts w:ascii="Arial" w:hAnsi="Arial" w:cs="Arial"/>
          <w:color w:val="000000" w:themeColor="text1"/>
        </w:rPr>
        <w:t>e evidencian 71 pasivos</w:t>
      </w:r>
      <w:r w:rsidR="00974FE5" w:rsidRPr="000E0F90">
        <w:rPr>
          <w:rFonts w:ascii="Arial" w:hAnsi="Arial" w:cs="Arial"/>
          <w:color w:val="000000" w:themeColor="text1"/>
        </w:rPr>
        <w:t xml:space="preserve"> ambientales mineros </w:t>
      </w:r>
      <w:r w:rsidRPr="000E0F90">
        <w:rPr>
          <w:rFonts w:ascii="Arial" w:hAnsi="Arial" w:cs="Arial"/>
          <w:color w:val="000000" w:themeColor="text1"/>
        </w:rPr>
        <w:t>(17,3%</w:t>
      </w:r>
      <w:r w:rsidR="00800AFA">
        <w:rPr>
          <w:rFonts w:ascii="Arial" w:hAnsi="Arial" w:cs="Arial"/>
          <w:color w:val="000000" w:themeColor="text1"/>
        </w:rPr>
        <w:t xml:space="preserve"> del país</w:t>
      </w:r>
      <w:r w:rsidRPr="000E0F90">
        <w:rPr>
          <w:rFonts w:ascii="Arial" w:hAnsi="Arial" w:cs="Arial"/>
          <w:color w:val="000000" w:themeColor="text1"/>
        </w:rPr>
        <w:t>)</w:t>
      </w:r>
      <w:r w:rsidR="00800AFA">
        <w:rPr>
          <w:rFonts w:ascii="Arial" w:hAnsi="Arial" w:cs="Arial"/>
          <w:color w:val="000000" w:themeColor="text1"/>
        </w:rPr>
        <w:t xml:space="preserve">, </w:t>
      </w:r>
      <w:r w:rsidR="00800AFA" w:rsidRPr="000E0F90">
        <w:rPr>
          <w:rFonts w:ascii="Arial" w:hAnsi="Arial" w:cs="Arial"/>
          <w:color w:val="000000" w:themeColor="text1"/>
        </w:rPr>
        <w:t xml:space="preserve">355 relaves </w:t>
      </w:r>
      <w:r w:rsidR="00800AFA">
        <w:rPr>
          <w:rFonts w:ascii="Arial" w:hAnsi="Arial" w:cs="Arial"/>
          <w:color w:val="000000" w:themeColor="text1"/>
        </w:rPr>
        <w:t>(</w:t>
      </w:r>
      <w:r w:rsidR="00800AFA" w:rsidRPr="000E0F90">
        <w:rPr>
          <w:rFonts w:ascii="Arial" w:hAnsi="Arial" w:cs="Arial"/>
          <w:color w:val="000000" w:themeColor="text1"/>
        </w:rPr>
        <w:t xml:space="preserve">49,44% </w:t>
      </w:r>
      <w:r w:rsidR="00800AFA">
        <w:rPr>
          <w:rFonts w:ascii="Arial" w:hAnsi="Arial" w:cs="Arial"/>
          <w:color w:val="000000" w:themeColor="text1"/>
        </w:rPr>
        <w:t xml:space="preserve">del país), de los cuales </w:t>
      </w:r>
      <w:r w:rsidR="00E52F8C" w:rsidRPr="000E0F90">
        <w:rPr>
          <w:rFonts w:ascii="Arial" w:hAnsi="Arial" w:cs="Arial"/>
          <w:color w:val="000000" w:themeColor="text1"/>
        </w:rPr>
        <w:t xml:space="preserve"> </w:t>
      </w:r>
      <w:r w:rsidR="00800AFA" w:rsidRPr="000E0F90">
        <w:rPr>
          <w:rFonts w:ascii="Arial" w:hAnsi="Arial" w:cs="Arial"/>
          <w:color w:val="000000" w:themeColor="text1"/>
        </w:rPr>
        <w:t>sólo 34 relaves</w:t>
      </w:r>
      <w:r w:rsidR="00800AFA">
        <w:rPr>
          <w:rFonts w:ascii="Arial" w:hAnsi="Arial" w:cs="Arial"/>
          <w:color w:val="000000" w:themeColor="text1"/>
        </w:rPr>
        <w:t xml:space="preserve"> presentan </w:t>
      </w:r>
      <w:r w:rsidR="00800AFA" w:rsidRPr="000E0F90">
        <w:rPr>
          <w:rFonts w:ascii="Arial" w:hAnsi="Arial" w:cs="Arial"/>
          <w:color w:val="000000" w:themeColor="text1"/>
        </w:rPr>
        <w:t>resolución de Plan de Cierre</w:t>
      </w:r>
      <w:r w:rsidR="00800AFA">
        <w:rPr>
          <w:rFonts w:ascii="Arial" w:hAnsi="Arial" w:cs="Arial"/>
          <w:color w:val="000000" w:themeColor="text1"/>
        </w:rPr>
        <w:t xml:space="preserve"> </w:t>
      </w:r>
      <w:sdt>
        <w:sdtPr>
          <w:rPr>
            <w:rFonts w:ascii="Arial" w:hAnsi="Arial" w:cs="Arial"/>
            <w:color w:val="000000" w:themeColor="text1"/>
          </w:rPr>
          <w:id w:val="1825548909"/>
          <w:citation/>
        </w:sdtPr>
        <w:sdtEndPr/>
        <w:sdtContent>
          <w:r w:rsidR="00E52F8C" w:rsidRPr="000E0F90">
            <w:rPr>
              <w:rFonts w:ascii="Arial" w:hAnsi="Arial" w:cs="Arial"/>
              <w:color w:val="000000" w:themeColor="text1"/>
            </w:rPr>
            <w:fldChar w:fldCharType="begin"/>
          </w:r>
          <w:r w:rsidR="00954120" w:rsidRPr="000E0F90">
            <w:rPr>
              <w:rFonts w:ascii="Arial" w:hAnsi="Arial" w:cs="Arial"/>
              <w:color w:val="000000" w:themeColor="text1"/>
            </w:rPr>
            <w:instrText xml:space="preserve">CITATION SER16 \l 13322 </w:instrText>
          </w:r>
          <w:r w:rsidR="00E52F8C" w:rsidRPr="000E0F90">
            <w:rPr>
              <w:rFonts w:ascii="Arial" w:hAnsi="Arial" w:cs="Arial"/>
              <w:color w:val="000000" w:themeColor="text1"/>
            </w:rPr>
            <w:fldChar w:fldCharType="separate"/>
          </w:r>
          <w:r w:rsidR="008D0261" w:rsidRPr="000E0F90">
            <w:rPr>
              <w:rFonts w:ascii="Arial" w:hAnsi="Arial" w:cs="Arial"/>
              <w:noProof/>
              <w:color w:val="000000" w:themeColor="text1"/>
            </w:rPr>
            <w:t>(SERNAGEOMIN, 2010)</w:t>
          </w:r>
          <w:r w:rsidR="00E52F8C" w:rsidRPr="000E0F90">
            <w:rPr>
              <w:rFonts w:ascii="Arial" w:hAnsi="Arial" w:cs="Arial"/>
              <w:color w:val="000000" w:themeColor="text1"/>
            </w:rPr>
            <w:fldChar w:fldCharType="end"/>
          </w:r>
        </w:sdtContent>
      </w:sdt>
      <w:r w:rsidR="00800AFA" w:rsidRPr="00800AFA">
        <w:rPr>
          <w:rFonts w:ascii="Arial" w:hAnsi="Arial" w:cs="Arial"/>
          <w:color w:val="000000" w:themeColor="text1"/>
        </w:rPr>
        <w:t xml:space="preserve"> </w:t>
      </w:r>
      <w:sdt>
        <w:sdtPr>
          <w:rPr>
            <w:rFonts w:ascii="Arial" w:hAnsi="Arial" w:cs="Arial"/>
            <w:color w:val="000000" w:themeColor="text1"/>
          </w:rPr>
          <w:id w:val="-1835367262"/>
          <w:citation/>
        </w:sdtPr>
        <w:sdtEndPr/>
        <w:sdtContent>
          <w:r w:rsidR="00800AFA" w:rsidRPr="000E0F90">
            <w:rPr>
              <w:rFonts w:ascii="Arial" w:hAnsi="Arial" w:cs="Arial"/>
              <w:color w:val="000000" w:themeColor="text1"/>
            </w:rPr>
            <w:fldChar w:fldCharType="begin"/>
          </w:r>
          <w:r w:rsidR="00800AFA" w:rsidRPr="000E0F90">
            <w:rPr>
              <w:rFonts w:ascii="Arial" w:hAnsi="Arial" w:cs="Arial"/>
              <w:color w:val="000000" w:themeColor="text1"/>
            </w:rPr>
            <w:instrText xml:space="preserve"> CITATION Ser16 \l 13322 </w:instrText>
          </w:r>
          <w:r w:rsidR="00800AFA" w:rsidRPr="000E0F90">
            <w:rPr>
              <w:rFonts w:ascii="Arial" w:hAnsi="Arial" w:cs="Arial"/>
              <w:color w:val="000000" w:themeColor="text1"/>
            </w:rPr>
            <w:fldChar w:fldCharType="separate"/>
          </w:r>
          <w:r w:rsidR="00800AFA" w:rsidRPr="000E0F90">
            <w:rPr>
              <w:rFonts w:ascii="Arial" w:hAnsi="Arial" w:cs="Arial"/>
              <w:noProof/>
              <w:color w:val="000000" w:themeColor="text1"/>
            </w:rPr>
            <w:t>(Sernageomin, 2016)</w:t>
          </w:r>
          <w:r w:rsidR="00800AFA" w:rsidRPr="000E0F90">
            <w:rPr>
              <w:rFonts w:ascii="Arial" w:hAnsi="Arial" w:cs="Arial"/>
              <w:color w:val="000000" w:themeColor="text1"/>
            </w:rPr>
            <w:fldChar w:fldCharType="end"/>
          </w:r>
        </w:sdtContent>
      </w:sdt>
      <w:r w:rsidR="00800AFA" w:rsidRPr="000E0F90">
        <w:rPr>
          <w:rFonts w:ascii="Arial" w:hAnsi="Arial" w:cs="Arial"/>
          <w:color w:val="000000" w:themeColor="text1"/>
        </w:rPr>
        <w:t xml:space="preserve">.    </w:t>
      </w:r>
    </w:p>
    <w:p w:rsidR="003F7077" w:rsidRPr="000E0F90" w:rsidRDefault="003F7077" w:rsidP="002B538F">
      <w:pPr>
        <w:spacing w:before="240" w:after="0" w:line="360" w:lineRule="auto"/>
        <w:rPr>
          <w:rFonts w:ascii="Arial" w:hAnsi="Arial" w:cs="Arial"/>
          <w:b/>
          <w:color w:val="000000" w:themeColor="text1"/>
        </w:rPr>
      </w:pPr>
      <w:r w:rsidRPr="000E0F90">
        <w:rPr>
          <w:rFonts w:ascii="Arial" w:hAnsi="Arial" w:cs="Arial"/>
          <w:b/>
          <w:color w:val="000000" w:themeColor="text1"/>
        </w:rPr>
        <w:t>Agricultura</w:t>
      </w:r>
    </w:p>
    <w:p w:rsidR="003F7077" w:rsidRPr="000E0F90" w:rsidRDefault="003F7077" w:rsidP="004152EE">
      <w:pPr>
        <w:spacing w:line="360" w:lineRule="auto"/>
        <w:rPr>
          <w:rFonts w:ascii="Arial" w:hAnsi="Arial" w:cs="Arial"/>
          <w:color w:val="000000" w:themeColor="text1"/>
        </w:rPr>
      </w:pPr>
      <w:r w:rsidRPr="000E0F90">
        <w:rPr>
          <w:rFonts w:ascii="Arial" w:hAnsi="Arial" w:cs="Arial"/>
          <w:color w:val="000000" w:themeColor="text1"/>
        </w:rPr>
        <w:t>En la Región de Coquimbo</w:t>
      </w:r>
      <w:r w:rsidR="004152EE">
        <w:rPr>
          <w:rFonts w:ascii="Arial" w:hAnsi="Arial" w:cs="Arial"/>
          <w:color w:val="000000" w:themeColor="text1"/>
        </w:rPr>
        <w:t>, la</w:t>
      </w:r>
      <w:r w:rsidRPr="000E0F90">
        <w:rPr>
          <w:rFonts w:ascii="Arial" w:hAnsi="Arial" w:cs="Arial"/>
          <w:color w:val="000000" w:themeColor="text1"/>
        </w:rPr>
        <w:t xml:space="preserve">s principales actividades agrícolas </w:t>
      </w:r>
      <w:r w:rsidR="004152EE">
        <w:rPr>
          <w:rFonts w:ascii="Arial" w:hAnsi="Arial" w:cs="Arial"/>
          <w:color w:val="000000" w:themeColor="text1"/>
        </w:rPr>
        <w:t>según superficie</w:t>
      </w:r>
      <w:r w:rsidRPr="000E0F90">
        <w:rPr>
          <w:rFonts w:ascii="Arial" w:hAnsi="Arial" w:cs="Arial"/>
          <w:color w:val="000000" w:themeColor="text1"/>
        </w:rPr>
        <w:t>, corresponden al cultivo de plantas forrajeras</w:t>
      </w:r>
      <w:r w:rsidR="004152EE">
        <w:rPr>
          <w:rFonts w:ascii="Arial" w:hAnsi="Arial" w:cs="Arial"/>
          <w:color w:val="000000" w:themeColor="text1"/>
        </w:rPr>
        <w:t xml:space="preserve"> (</w:t>
      </w:r>
      <w:r w:rsidRPr="000E0F90">
        <w:rPr>
          <w:rFonts w:ascii="Arial" w:hAnsi="Arial" w:cs="Arial"/>
          <w:color w:val="000000" w:themeColor="text1"/>
        </w:rPr>
        <w:t>54,5%</w:t>
      </w:r>
      <w:r w:rsidR="004152EE">
        <w:rPr>
          <w:rFonts w:ascii="Arial" w:hAnsi="Arial" w:cs="Arial"/>
          <w:color w:val="000000" w:themeColor="text1"/>
        </w:rPr>
        <w:t>)</w:t>
      </w:r>
      <w:r w:rsidRPr="000E0F90">
        <w:rPr>
          <w:rFonts w:ascii="Arial" w:hAnsi="Arial" w:cs="Arial"/>
          <w:color w:val="000000" w:themeColor="text1"/>
        </w:rPr>
        <w:t>, frutales (20,3%), viñas y parron</w:t>
      </w:r>
      <w:r w:rsidR="00272196" w:rsidRPr="000E0F90">
        <w:rPr>
          <w:rFonts w:ascii="Arial" w:hAnsi="Arial" w:cs="Arial"/>
          <w:color w:val="000000" w:themeColor="text1"/>
        </w:rPr>
        <w:t>ales (8%), y hortalizas (7,5%)</w:t>
      </w:r>
      <w:r w:rsidR="004152EE">
        <w:rPr>
          <w:rFonts w:ascii="Arial" w:hAnsi="Arial" w:cs="Arial"/>
          <w:color w:val="000000" w:themeColor="text1"/>
        </w:rPr>
        <w:t>;</w:t>
      </w:r>
      <w:r w:rsidR="00272196" w:rsidRPr="000E0F90">
        <w:rPr>
          <w:rFonts w:ascii="Arial" w:hAnsi="Arial" w:cs="Arial"/>
          <w:color w:val="000000" w:themeColor="text1"/>
        </w:rPr>
        <w:t xml:space="preserve"> </w:t>
      </w:r>
      <w:r w:rsidR="004152EE">
        <w:rPr>
          <w:rFonts w:ascii="Arial" w:hAnsi="Arial" w:cs="Arial"/>
          <w:color w:val="000000" w:themeColor="text1"/>
        </w:rPr>
        <w:t xml:space="preserve">predominan explotaciones agrícolas de tamaño pequeño </w:t>
      </w:r>
      <w:r w:rsidR="004152EE" w:rsidRPr="000E0F90">
        <w:rPr>
          <w:rFonts w:ascii="Arial" w:hAnsi="Arial" w:cs="Arial"/>
          <w:color w:val="000000" w:themeColor="text1"/>
        </w:rPr>
        <w:t>(82,2%)</w:t>
      </w:r>
      <w:r w:rsidR="004152EE">
        <w:rPr>
          <w:rFonts w:ascii="Arial" w:hAnsi="Arial" w:cs="Arial"/>
          <w:color w:val="000000" w:themeColor="text1"/>
        </w:rPr>
        <w:t xml:space="preserve">, </w:t>
      </w:r>
      <w:r w:rsidR="004152EE" w:rsidRPr="000E0F90">
        <w:rPr>
          <w:rFonts w:ascii="Arial" w:hAnsi="Arial" w:cs="Arial"/>
          <w:color w:val="000000" w:themeColor="text1"/>
        </w:rPr>
        <w:t xml:space="preserve">inferior a 20 ha. </w:t>
      </w:r>
      <w:r w:rsidRPr="000E0F90">
        <w:rPr>
          <w:rFonts w:ascii="Arial" w:hAnsi="Arial" w:cs="Arial"/>
          <w:color w:val="000000" w:themeColor="text1"/>
        </w:rPr>
        <w:t>(ODEPA-INE, 2016). En cuanto a la ganadería regional, la especie ganadera con mayor relevancia corresponde a los caprinos</w:t>
      </w:r>
      <w:r w:rsidR="00167508">
        <w:rPr>
          <w:rFonts w:ascii="Arial" w:hAnsi="Arial" w:cs="Arial"/>
          <w:color w:val="000000" w:themeColor="text1"/>
        </w:rPr>
        <w:t xml:space="preserve"> </w:t>
      </w:r>
      <w:r w:rsidR="004152EE">
        <w:rPr>
          <w:rFonts w:ascii="Arial" w:hAnsi="Arial" w:cs="Arial"/>
          <w:color w:val="000000" w:themeColor="text1"/>
        </w:rPr>
        <w:t>s</w:t>
      </w:r>
      <w:r w:rsidRPr="000E0F90">
        <w:rPr>
          <w:rFonts w:ascii="Arial" w:hAnsi="Arial" w:cs="Arial"/>
          <w:color w:val="000000" w:themeColor="text1"/>
        </w:rPr>
        <w:t>eguido de los ovinos y bovinos</w:t>
      </w:r>
      <w:r w:rsidR="004152EE">
        <w:rPr>
          <w:rFonts w:ascii="Arial" w:hAnsi="Arial" w:cs="Arial"/>
          <w:color w:val="000000" w:themeColor="text1"/>
        </w:rPr>
        <w:t xml:space="preserve"> </w:t>
      </w:r>
      <w:sdt>
        <w:sdtPr>
          <w:rPr>
            <w:rFonts w:ascii="Arial" w:hAnsi="Arial" w:cs="Arial"/>
            <w:color w:val="000000" w:themeColor="text1"/>
          </w:rPr>
          <w:id w:val="1581484540"/>
          <w:citation/>
        </w:sdtPr>
        <w:sdtEndPr/>
        <w:sdtContent>
          <w:r w:rsidR="004152EE" w:rsidRPr="000E0F90">
            <w:rPr>
              <w:rFonts w:ascii="Arial" w:hAnsi="Arial" w:cs="Arial"/>
              <w:color w:val="000000" w:themeColor="text1"/>
            </w:rPr>
            <w:fldChar w:fldCharType="begin"/>
          </w:r>
          <w:r w:rsidR="004152EE" w:rsidRPr="000E0F90">
            <w:rPr>
              <w:rFonts w:ascii="Arial" w:hAnsi="Arial" w:cs="Arial"/>
              <w:color w:val="000000" w:themeColor="text1"/>
            </w:rPr>
            <w:instrText xml:space="preserve">CITATION Cen07 \l 13322 </w:instrText>
          </w:r>
          <w:r w:rsidR="004152EE" w:rsidRPr="000E0F90">
            <w:rPr>
              <w:rFonts w:ascii="Arial" w:hAnsi="Arial" w:cs="Arial"/>
              <w:color w:val="000000" w:themeColor="text1"/>
            </w:rPr>
            <w:fldChar w:fldCharType="separate"/>
          </w:r>
          <w:r w:rsidR="004152EE" w:rsidRPr="000E0F90">
            <w:rPr>
              <w:rFonts w:ascii="Arial" w:hAnsi="Arial" w:cs="Arial"/>
              <w:noProof/>
              <w:color w:val="000000" w:themeColor="text1"/>
            </w:rPr>
            <w:t>(Censo Agropecuario, 2007)</w:t>
          </w:r>
          <w:r w:rsidR="004152EE" w:rsidRPr="000E0F90">
            <w:rPr>
              <w:rFonts w:ascii="Arial" w:hAnsi="Arial" w:cs="Arial"/>
              <w:color w:val="000000" w:themeColor="text1"/>
            </w:rPr>
            <w:fldChar w:fldCharType="end"/>
          </w:r>
        </w:sdtContent>
      </w:sdt>
      <w:r w:rsidR="004152EE" w:rsidRPr="000E0F90">
        <w:rPr>
          <w:rFonts w:ascii="Arial" w:hAnsi="Arial" w:cs="Arial"/>
          <w:color w:val="000000" w:themeColor="text1"/>
        </w:rPr>
        <w:t xml:space="preserve">.  </w:t>
      </w:r>
    </w:p>
    <w:p w:rsidR="002B538F" w:rsidRDefault="002B538F">
      <w:pPr>
        <w:jc w:val="left"/>
        <w:rPr>
          <w:rFonts w:ascii="Arial" w:eastAsiaTheme="majorEastAsia" w:hAnsi="Arial" w:cs="Arial"/>
          <w:b/>
          <w:bCs/>
          <w:color w:val="000000" w:themeColor="text1"/>
          <w:sz w:val="28"/>
          <w:szCs w:val="28"/>
        </w:rPr>
      </w:pPr>
      <w:bookmarkStart w:id="19" w:name="_Toc488774913"/>
      <w:r>
        <w:rPr>
          <w:rFonts w:cs="Arial"/>
          <w:color w:val="000000" w:themeColor="text1"/>
        </w:rPr>
        <w:br w:type="page"/>
      </w:r>
    </w:p>
    <w:p w:rsidR="007D540D" w:rsidRPr="000E0F90" w:rsidRDefault="007D540D" w:rsidP="002B538F">
      <w:pPr>
        <w:pStyle w:val="Ttulo1"/>
        <w:spacing w:line="360" w:lineRule="auto"/>
        <w:rPr>
          <w:rFonts w:cs="Arial"/>
          <w:color w:val="000000" w:themeColor="text1"/>
        </w:rPr>
      </w:pPr>
      <w:r w:rsidRPr="000E0F90">
        <w:rPr>
          <w:rFonts w:cs="Arial"/>
          <w:color w:val="000000" w:themeColor="text1"/>
        </w:rPr>
        <w:lastRenderedPageBreak/>
        <w:t>RESULTADOS</w:t>
      </w:r>
      <w:bookmarkEnd w:id="19"/>
      <w:r w:rsidR="00BA329C" w:rsidRPr="000E0F90">
        <w:rPr>
          <w:rFonts w:cs="Arial"/>
          <w:color w:val="000000" w:themeColor="text1"/>
        </w:rPr>
        <w:t xml:space="preserve"> </w:t>
      </w:r>
    </w:p>
    <w:p w:rsidR="00A95C11" w:rsidRPr="000E0F90" w:rsidRDefault="001D7F51" w:rsidP="002B538F">
      <w:pPr>
        <w:pStyle w:val="Ttulo2"/>
        <w:spacing w:line="360" w:lineRule="auto"/>
        <w:rPr>
          <w:rFonts w:cs="Arial"/>
        </w:rPr>
      </w:pPr>
      <w:bookmarkStart w:id="20" w:name="_Toc488774914"/>
      <w:r w:rsidRPr="000E0F90">
        <w:rPr>
          <w:rFonts w:cs="Arial"/>
        </w:rPr>
        <w:t xml:space="preserve">Desarrollo de </w:t>
      </w:r>
      <w:r w:rsidR="008513E0" w:rsidRPr="000E0F90">
        <w:rPr>
          <w:rFonts w:cs="Arial"/>
        </w:rPr>
        <w:t>M</w:t>
      </w:r>
      <w:r w:rsidR="005D1F00" w:rsidRPr="000E0F90">
        <w:rPr>
          <w:rFonts w:cs="Arial"/>
        </w:rPr>
        <w:t>arco conceptual de principios de sostenibilidad</w:t>
      </w:r>
      <w:bookmarkEnd w:id="20"/>
      <w:r w:rsidR="005D1F00" w:rsidRPr="000E0F90">
        <w:rPr>
          <w:rFonts w:cs="Arial"/>
        </w:rPr>
        <w:t xml:space="preserve"> </w:t>
      </w:r>
      <w:r w:rsidR="00245048" w:rsidRPr="000E0F90">
        <w:rPr>
          <w:rFonts w:cs="Arial"/>
        </w:rPr>
        <w:t xml:space="preserve"> </w:t>
      </w:r>
    </w:p>
    <w:p w:rsidR="0097332F" w:rsidRPr="000E0F90" w:rsidRDefault="00E0505F" w:rsidP="002B538F">
      <w:pPr>
        <w:pStyle w:val="Ttulo4"/>
        <w:spacing w:line="360" w:lineRule="auto"/>
        <w:rPr>
          <w:rFonts w:ascii="Arial" w:hAnsi="Arial" w:cs="Arial"/>
          <w:color w:val="000000" w:themeColor="text1"/>
        </w:rPr>
      </w:pPr>
      <w:r>
        <w:rPr>
          <w:rFonts w:ascii="Arial" w:hAnsi="Arial" w:cs="Arial"/>
          <w:color w:val="000000" w:themeColor="text1"/>
        </w:rPr>
        <w:t xml:space="preserve">Criterios para </w:t>
      </w:r>
      <w:r w:rsidR="0097332F" w:rsidRPr="000E0F90">
        <w:rPr>
          <w:rFonts w:ascii="Arial" w:hAnsi="Arial" w:cs="Arial"/>
          <w:color w:val="000000" w:themeColor="text1"/>
        </w:rPr>
        <w:t>e</w:t>
      </w:r>
      <w:r>
        <w:rPr>
          <w:rFonts w:ascii="Arial" w:hAnsi="Arial" w:cs="Arial"/>
          <w:color w:val="000000" w:themeColor="text1"/>
        </w:rPr>
        <w:t>l</w:t>
      </w:r>
      <w:r w:rsidR="0097332F" w:rsidRPr="000E0F90">
        <w:rPr>
          <w:rFonts w:ascii="Arial" w:hAnsi="Arial" w:cs="Arial"/>
          <w:color w:val="000000" w:themeColor="text1"/>
        </w:rPr>
        <w:t xml:space="preserve"> principio Integridad Socio Ecológica</w:t>
      </w:r>
      <w:r w:rsidR="00550297" w:rsidRPr="000E0F90">
        <w:rPr>
          <w:rFonts w:ascii="Arial" w:hAnsi="Arial" w:cs="Arial"/>
          <w:color w:val="000000" w:themeColor="text1"/>
        </w:rPr>
        <w:t xml:space="preserve"> para territorios mineros</w:t>
      </w:r>
    </w:p>
    <w:p w:rsidR="0097332F" w:rsidRPr="000E0F90" w:rsidRDefault="0097332F" w:rsidP="002B538F">
      <w:pPr>
        <w:spacing w:line="360" w:lineRule="auto"/>
        <w:rPr>
          <w:rFonts w:ascii="Arial" w:hAnsi="Arial" w:cs="Arial"/>
          <w:color w:val="000000" w:themeColor="text1"/>
        </w:rPr>
      </w:pPr>
      <w:r w:rsidRPr="000E0F90">
        <w:rPr>
          <w:rFonts w:ascii="Arial" w:hAnsi="Arial" w:cs="Arial"/>
          <w:color w:val="000000" w:themeColor="text1"/>
        </w:rPr>
        <w:t>De acuerdo a la revisión de la literatura, en relación la integridad de los sistemas socio</w:t>
      </w:r>
      <w:r w:rsidR="0049698D" w:rsidRPr="000E0F90">
        <w:rPr>
          <w:rFonts w:ascii="Arial" w:hAnsi="Arial" w:cs="Arial"/>
          <w:color w:val="000000" w:themeColor="text1"/>
        </w:rPr>
        <w:t xml:space="preserve"> </w:t>
      </w:r>
      <w:r w:rsidRPr="000E0F90">
        <w:rPr>
          <w:rFonts w:ascii="Arial" w:hAnsi="Arial" w:cs="Arial"/>
          <w:color w:val="000000" w:themeColor="text1"/>
        </w:rPr>
        <w:t xml:space="preserve">ecológicos, se identificaron los siguientes </w:t>
      </w:r>
      <w:r w:rsidR="00E0505F">
        <w:rPr>
          <w:rFonts w:ascii="Arial" w:hAnsi="Arial" w:cs="Arial"/>
          <w:color w:val="000000" w:themeColor="text1"/>
        </w:rPr>
        <w:t>criterios</w:t>
      </w:r>
      <w:r w:rsidRPr="000E0F90">
        <w:rPr>
          <w:rFonts w:ascii="Arial" w:hAnsi="Arial" w:cs="Arial"/>
          <w:color w:val="000000" w:themeColor="text1"/>
        </w:rPr>
        <w:t xml:space="preserve"> que pueden ser aplicados en el ámbito territorial</w:t>
      </w:r>
      <w:r w:rsidR="007D3B55" w:rsidRPr="000E0F90">
        <w:rPr>
          <w:rFonts w:ascii="Arial" w:hAnsi="Arial" w:cs="Arial"/>
          <w:color w:val="000000" w:themeColor="text1"/>
        </w:rPr>
        <w:t xml:space="preserve"> </w:t>
      </w:r>
      <w:r w:rsidR="00207086" w:rsidRPr="000E0F90">
        <w:rPr>
          <w:rFonts w:ascii="Arial" w:hAnsi="Arial" w:cs="Arial"/>
          <w:color w:val="000000" w:themeColor="text1"/>
        </w:rPr>
        <w:t xml:space="preserve">minero </w:t>
      </w:r>
      <w:r w:rsidR="00C512EC" w:rsidRPr="000E0F90">
        <w:rPr>
          <w:rFonts w:ascii="Arial" w:hAnsi="Arial" w:cs="Arial"/>
          <w:color w:val="000000" w:themeColor="text1"/>
        </w:rPr>
        <w:t>(Cuadro</w:t>
      </w:r>
      <w:r w:rsidR="007D3B55" w:rsidRPr="000E0F90">
        <w:rPr>
          <w:rFonts w:ascii="Arial" w:hAnsi="Arial" w:cs="Arial"/>
          <w:color w:val="000000" w:themeColor="text1"/>
        </w:rPr>
        <w:t xml:space="preserve"> </w:t>
      </w:r>
      <w:r w:rsidR="002576A6" w:rsidRPr="000E0F90">
        <w:rPr>
          <w:rFonts w:ascii="Arial" w:hAnsi="Arial" w:cs="Arial"/>
          <w:color w:val="000000" w:themeColor="text1"/>
        </w:rPr>
        <w:t>4</w:t>
      </w:r>
      <w:r w:rsidR="007D3B55" w:rsidRPr="000E0F90">
        <w:rPr>
          <w:rFonts w:ascii="Arial" w:hAnsi="Arial" w:cs="Arial"/>
          <w:color w:val="000000" w:themeColor="text1"/>
        </w:rPr>
        <w:t>)</w:t>
      </w:r>
      <w:r w:rsidRPr="000E0F90">
        <w:rPr>
          <w:rFonts w:ascii="Arial" w:hAnsi="Arial" w:cs="Arial"/>
          <w:color w:val="000000" w:themeColor="text1"/>
        </w:rPr>
        <w:t>.</w:t>
      </w:r>
    </w:p>
    <w:p w:rsidR="007D3B55" w:rsidRPr="000E0F90" w:rsidRDefault="006B15AA" w:rsidP="008D6193">
      <w:pPr>
        <w:pStyle w:val="Epgrafe"/>
        <w:spacing w:after="0" w:line="360" w:lineRule="auto"/>
        <w:rPr>
          <w:rFonts w:ascii="Arial" w:hAnsi="Arial" w:cs="Arial"/>
          <w:b w:val="0"/>
          <w:color w:val="000000" w:themeColor="text1"/>
          <w:sz w:val="22"/>
        </w:rPr>
      </w:pPr>
      <w:r w:rsidRPr="000E0F90">
        <w:rPr>
          <w:rFonts w:ascii="Arial" w:hAnsi="Arial" w:cs="Arial"/>
          <w:b w:val="0"/>
          <w:color w:val="000000" w:themeColor="text1"/>
          <w:sz w:val="22"/>
        </w:rPr>
        <w:t xml:space="preserve">Cuadro </w:t>
      </w:r>
      <w:r w:rsidRPr="000E0F90">
        <w:rPr>
          <w:rFonts w:ascii="Arial" w:hAnsi="Arial" w:cs="Arial"/>
          <w:b w:val="0"/>
          <w:color w:val="000000" w:themeColor="text1"/>
          <w:sz w:val="22"/>
        </w:rPr>
        <w:fldChar w:fldCharType="begin"/>
      </w:r>
      <w:r w:rsidRPr="000E0F90">
        <w:rPr>
          <w:rFonts w:ascii="Arial" w:hAnsi="Arial" w:cs="Arial"/>
          <w:b w:val="0"/>
          <w:color w:val="000000" w:themeColor="text1"/>
          <w:sz w:val="22"/>
        </w:rPr>
        <w:instrText xml:space="preserve"> SEQ Cuadro \* ARABIC </w:instrText>
      </w:r>
      <w:r w:rsidRPr="000E0F90">
        <w:rPr>
          <w:rFonts w:ascii="Arial" w:hAnsi="Arial" w:cs="Arial"/>
          <w:b w:val="0"/>
          <w:color w:val="000000" w:themeColor="text1"/>
          <w:sz w:val="22"/>
        </w:rPr>
        <w:fldChar w:fldCharType="separate"/>
      </w:r>
      <w:r w:rsidR="00225844">
        <w:rPr>
          <w:rFonts w:ascii="Arial" w:hAnsi="Arial" w:cs="Arial"/>
          <w:b w:val="0"/>
          <w:noProof/>
          <w:color w:val="000000" w:themeColor="text1"/>
          <w:sz w:val="22"/>
        </w:rPr>
        <w:t>4</w:t>
      </w:r>
      <w:r w:rsidRPr="000E0F90">
        <w:rPr>
          <w:rFonts w:ascii="Arial" w:hAnsi="Arial" w:cs="Arial"/>
          <w:b w:val="0"/>
          <w:color w:val="000000" w:themeColor="text1"/>
          <w:sz w:val="22"/>
        </w:rPr>
        <w:fldChar w:fldCharType="end"/>
      </w:r>
      <w:r w:rsidR="007D3B55" w:rsidRPr="000E0F90">
        <w:rPr>
          <w:rFonts w:ascii="Arial" w:hAnsi="Arial" w:cs="Arial"/>
          <w:b w:val="0"/>
          <w:color w:val="000000" w:themeColor="text1"/>
          <w:sz w:val="22"/>
        </w:rPr>
        <w:t xml:space="preserve">: </w:t>
      </w:r>
      <w:r w:rsidR="00E0505F">
        <w:rPr>
          <w:rFonts w:ascii="Arial" w:hAnsi="Arial" w:cs="Arial"/>
          <w:b w:val="0"/>
          <w:color w:val="000000" w:themeColor="text1"/>
          <w:sz w:val="22"/>
        </w:rPr>
        <w:t>Criterio</w:t>
      </w:r>
      <w:r w:rsidR="00697617" w:rsidRPr="000E0F90">
        <w:rPr>
          <w:rFonts w:ascii="Arial" w:hAnsi="Arial" w:cs="Arial"/>
          <w:b w:val="0"/>
          <w:color w:val="000000" w:themeColor="text1"/>
          <w:sz w:val="22"/>
        </w:rPr>
        <w:t>s identificados</w:t>
      </w:r>
      <w:r w:rsidR="007D3B55" w:rsidRPr="000E0F90">
        <w:rPr>
          <w:rFonts w:ascii="Arial" w:hAnsi="Arial" w:cs="Arial"/>
          <w:b w:val="0"/>
          <w:color w:val="000000" w:themeColor="text1"/>
          <w:sz w:val="22"/>
        </w:rPr>
        <w:t xml:space="preserve"> para </w:t>
      </w:r>
      <w:r w:rsidR="009D5ADA" w:rsidRPr="000E0F90">
        <w:rPr>
          <w:rFonts w:ascii="Arial" w:hAnsi="Arial" w:cs="Arial"/>
          <w:b w:val="0"/>
          <w:color w:val="000000" w:themeColor="text1"/>
          <w:sz w:val="22"/>
        </w:rPr>
        <w:t>estructurar</w:t>
      </w:r>
      <w:r w:rsidR="007D3B55" w:rsidRPr="000E0F90">
        <w:rPr>
          <w:rFonts w:ascii="Arial" w:hAnsi="Arial" w:cs="Arial"/>
          <w:b w:val="0"/>
          <w:color w:val="000000" w:themeColor="text1"/>
          <w:sz w:val="22"/>
        </w:rPr>
        <w:t xml:space="preserve"> el princ</w:t>
      </w:r>
      <w:r w:rsidRPr="000E0F90">
        <w:rPr>
          <w:rFonts w:ascii="Arial" w:hAnsi="Arial" w:cs="Arial"/>
          <w:b w:val="0"/>
          <w:color w:val="000000" w:themeColor="text1"/>
          <w:sz w:val="22"/>
        </w:rPr>
        <w:t>ipio de Integridad de Sistemas s</w:t>
      </w:r>
      <w:r w:rsidR="007D3B55" w:rsidRPr="000E0F90">
        <w:rPr>
          <w:rFonts w:ascii="Arial" w:hAnsi="Arial" w:cs="Arial"/>
          <w:b w:val="0"/>
          <w:color w:val="000000" w:themeColor="text1"/>
          <w:sz w:val="22"/>
        </w:rPr>
        <w:t>ocio</w:t>
      </w:r>
      <w:r w:rsidR="002576A6" w:rsidRPr="000E0F90">
        <w:rPr>
          <w:rFonts w:ascii="Arial" w:hAnsi="Arial" w:cs="Arial"/>
          <w:b w:val="0"/>
          <w:color w:val="000000" w:themeColor="text1"/>
          <w:sz w:val="22"/>
        </w:rPr>
        <w:t>-</w:t>
      </w:r>
      <w:r w:rsidR="007D3B55" w:rsidRPr="000E0F90">
        <w:rPr>
          <w:rFonts w:ascii="Arial" w:hAnsi="Arial" w:cs="Arial"/>
          <w:b w:val="0"/>
          <w:color w:val="000000" w:themeColor="text1"/>
          <w:sz w:val="22"/>
        </w:rPr>
        <w:t>ecológicos</w:t>
      </w:r>
      <w:r w:rsidR="00550297" w:rsidRPr="000E0F90">
        <w:rPr>
          <w:rFonts w:ascii="Arial" w:hAnsi="Arial" w:cs="Arial"/>
          <w:b w:val="0"/>
          <w:color w:val="000000" w:themeColor="text1"/>
          <w:sz w:val="22"/>
        </w:rPr>
        <w:t xml:space="preserve"> a territorios mineros</w:t>
      </w:r>
    </w:p>
    <w:tbl>
      <w:tblPr>
        <w:tblW w:w="0" w:type="auto"/>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3570"/>
        <w:gridCol w:w="5200"/>
      </w:tblGrid>
      <w:tr w:rsidR="0097332F" w:rsidRPr="000E0F90" w:rsidTr="002A21E4">
        <w:tc>
          <w:tcPr>
            <w:tcW w:w="0" w:type="auto"/>
            <w:gridSpan w:val="2"/>
            <w:shd w:val="clear" w:color="auto" w:fill="D9D9D9" w:themeFill="background1" w:themeFillShade="D9"/>
          </w:tcPr>
          <w:p w:rsidR="0097332F" w:rsidRPr="000E0F90" w:rsidRDefault="0097332F" w:rsidP="00267D36">
            <w:pPr>
              <w:spacing w:after="0" w:line="240" w:lineRule="auto"/>
              <w:rPr>
                <w:rFonts w:ascii="Arial" w:hAnsi="Arial" w:cs="Arial"/>
                <w:b/>
                <w:color w:val="000000" w:themeColor="text1"/>
                <w:sz w:val="20"/>
                <w:szCs w:val="20"/>
              </w:rPr>
            </w:pPr>
            <w:r w:rsidRPr="000E0F90">
              <w:rPr>
                <w:rFonts w:ascii="Arial" w:hAnsi="Arial" w:cs="Arial"/>
                <w:b/>
                <w:color w:val="000000" w:themeColor="text1"/>
                <w:sz w:val="20"/>
                <w:szCs w:val="20"/>
              </w:rPr>
              <w:t xml:space="preserve">Integridad Sistemas Socio-ecológicos </w:t>
            </w:r>
          </w:p>
        </w:tc>
      </w:tr>
      <w:tr w:rsidR="0097332F" w:rsidRPr="000E0F90" w:rsidTr="002A21E4">
        <w:trPr>
          <w:trHeight w:val="80"/>
        </w:trPr>
        <w:tc>
          <w:tcPr>
            <w:tcW w:w="0" w:type="auto"/>
            <w:gridSpan w:val="2"/>
            <w:tcBorders>
              <w:bottom w:val="single" w:sz="4" w:space="0" w:color="auto"/>
            </w:tcBorders>
            <w:shd w:val="clear" w:color="auto" w:fill="auto"/>
          </w:tcPr>
          <w:p w:rsidR="0097332F" w:rsidRPr="000E0F90" w:rsidRDefault="0097332F" w:rsidP="00267D36">
            <w:pPr>
              <w:spacing w:after="0" w:line="240" w:lineRule="auto"/>
              <w:rPr>
                <w:rFonts w:ascii="Arial" w:hAnsi="Arial" w:cs="Arial"/>
                <w:b/>
                <w:i/>
                <w:color w:val="000000" w:themeColor="text1"/>
                <w:sz w:val="20"/>
                <w:szCs w:val="20"/>
              </w:rPr>
            </w:pPr>
            <w:r w:rsidRPr="000E0F90">
              <w:rPr>
                <w:rFonts w:ascii="Arial" w:hAnsi="Arial" w:cs="Arial"/>
                <w:i/>
                <w:color w:val="000000" w:themeColor="text1"/>
                <w:sz w:val="20"/>
                <w:szCs w:val="20"/>
              </w:rPr>
              <w:t>Construir relaciones humanas-ecológicas que permitan mantener la integridad a largo plazo de sistemas socio-biofísicos, protegiendo las funciones irremplazables que soportan la vida, de las cuales dependen, tanto el bienestar humano como el ecológico</w:t>
            </w:r>
            <w:r w:rsidR="00383210" w:rsidRPr="000E0F90">
              <w:rPr>
                <w:rFonts w:ascii="Arial" w:hAnsi="Arial" w:cs="Arial"/>
                <w:i/>
                <w:color w:val="000000" w:themeColor="text1"/>
                <w:sz w:val="20"/>
                <w:szCs w:val="20"/>
              </w:rPr>
              <w:t xml:space="preserve"> </w:t>
            </w:r>
            <w:r w:rsidR="00383210" w:rsidRPr="000E0F90">
              <w:rPr>
                <w:rFonts w:ascii="Arial" w:hAnsi="Arial" w:cs="Arial"/>
                <w:color w:val="000000" w:themeColor="text1"/>
                <w:sz w:val="20"/>
                <w:szCs w:val="20"/>
              </w:rPr>
              <w:t>(Gibson, 2006)</w:t>
            </w:r>
          </w:p>
        </w:tc>
      </w:tr>
      <w:tr w:rsidR="00FE27AA" w:rsidRPr="000E0F90" w:rsidTr="002A21E4">
        <w:tc>
          <w:tcPr>
            <w:tcW w:w="0" w:type="auto"/>
            <w:tcBorders>
              <w:bottom w:val="single" w:sz="4" w:space="0" w:color="auto"/>
              <w:right w:val="nil"/>
            </w:tcBorders>
            <w:shd w:val="clear" w:color="auto" w:fill="D9D9D9" w:themeFill="background1" w:themeFillShade="D9"/>
          </w:tcPr>
          <w:p w:rsidR="0097332F" w:rsidRPr="000E0F90" w:rsidRDefault="0097332F" w:rsidP="00267D36">
            <w:pPr>
              <w:spacing w:after="0" w:line="240" w:lineRule="auto"/>
              <w:rPr>
                <w:rFonts w:ascii="Arial" w:hAnsi="Arial" w:cs="Arial"/>
                <w:b/>
                <w:color w:val="000000" w:themeColor="text1"/>
                <w:sz w:val="20"/>
                <w:szCs w:val="20"/>
              </w:rPr>
            </w:pPr>
            <w:r w:rsidRPr="000E0F90">
              <w:rPr>
                <w:rFonts w:ascii="Arial" w:hAnsi="Arial" w:cs="Arial"/>
                <w:b/>
                <w:color w:val="000000" w:themeColor="text1"/>
                <w:sz w:val="20"/>
                <w:szCs w:val="20"/>
              </w:rPr>
              <w:t xml:space="preserve">Criterio </w:t>
            </w:r>
          </w:p>
        </w:tc>
        <w:tc>
          <w:tcPr>
            <w:tcW w:w="0" w:type="auto"/>
            <w:tcBorders>
              <w:left w:val="nil"/>
              <w:bottom w:val="single" w:sz="4" w:space="0" w:color="auto"/>
            </w:tcBorders>
            <w:shd w:val="clear" w:color="auto" w:fill="D9D9D9" w:themeFill="background1" w:themeFillShade="D9"/>
          </w:tcPr>
          <w:p w:rsidR="0097332F" w:rsidRPr="000E0F90" w:rsidRDefault="0097332F" w:rsidP="00267D36">
            <w:pPr>
              <w:spacing w:after="0" w:line="240" w:lineRule="auto"/>
              <w:rPr>
                <w:rFonts w:ascii="Arial" w:hAnsi="Arial" w:cs="Arial"/>
                <w:b/>
                <w:color w:val="000000" w:themeColor="text1"/>
                <w:sz w:val="20"/>
                <w:szCs w:val="20"/>
              </w:rPr>
            </w:pPr>
            <w:r w:rsidRPr="000E0F90">
              <w:rPr>
                <w:rFonts w:ascii="Arial" w:hAnsi="Arial" w:cs="Arial"/>
                <w:b/>
                <w:color w:val="000000" w:themeColor="text1"/>
                <w:sz w:val="20"/>
                <w:szCs w:val="20"/>
              </w:rPr>
              <w:t>Acción</w:t>
            </w:r>
          </w:p>
        </w:tc>
      </w:tr>
      <w:tr w:rsidR="00DF0A23" w:rsidRPr="000E0F90" w:rsidTr="002A21E4">
        <w:trPr>
          <w:trHeight w:val="723"/>
        </w:trPr>
        <w:tc>
          <w:tcPr>
            <w:tcW w:w="0" w:type="auto"/>
            <w:vMerge w:val="restart"/>
            <w:tcBorders>
              <w:bottom w:val="nil"/>
              <w:right w:val="nil"/>
            </w:tcBorders>
            <w:shd w:val="clear" w:color="auto" w:fill="auto"/>
          </w:tcPr>
          <w:p w:rsidR="00DF0A23" w:rsidRPr="000E0F90" w:rsidRDefault="00DF0A23" w:rsidP="00DF0A23">
            <w:pPr>
              <w:spacing w:after="0" w:line="240" w:lineRule="auto"/>
              <w:rPr>
                <w:rFonts w:ascii="Arial" w:hAnsi="Arial" w:cs="Arial"/>
                <w:b/>
                <w:color w:val="000000" w:themeColor="text1"/>
                <w:sz w:val="20"/>
                <w:szCs w:val="20"/>
              </w:rPr>
            </w:pPr>
            <w:r w:rsidRPr="000E0F90">
              <w:rPr>
                <w:rFonts w:ascii="Arial" w:hAnsi="Arial" w:cs="Arial"/>
                <w:color w:val="000000" w:themeColor="text1"/>
                <w:sz w:val="20"/>
                <w:szCs w:val="20"/>
              </w:rPr>
              <w:t xml:space="preserve">Mantener la capacidad de los ecosistemas locales de </w:t>
            </w:r>
            <w:r w:rsidRPr="000E0F90">
              <w:rPr>
                <w:rFonts w:ascii="Arial" w:hAnsi="Arial" w:cs="Arial"/>
                <w:b/>
                <w:color w:val="000000" w:themeColor="text1"/>
                <w:sz w:val="20"/>
                <w:szCs w:val="20"/>
              </w:rPr>
              <w:t>entregar servicios ecosistémicos en el presente, y futuro</w:t>
            </w:r>
            <w:r w:rsidRPr="000E0F90">
              <w:rPr>
                <w:rFonts w:ascii="Arial" w:hAnsi="Arial" w:cs="Arial"/>
                <w:color w:val="000000" w:themeColor="text1"/>
                <w:sz w:val="20"/>
                <w:szCs w:val="20"/>
              </w:rPr>
              <w:t xml:space="preserve">, y fomentar la capacidad de resiliencia los ecosistemas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"DOI" : "10.3152/146155110X12772982841122", "ISSN" : "1461-5517", "abstract" : "Assessments today need to help reverse trends towards deeper unsustainability and address the unavoidable interconnections, feedbacks and uncertainties that typify complex socio-ecological systems at all scales. To illustrate one promising approach, this paper describes a modest effort to integrate understandings from Gibson et al\u2019s approach to sustainability assessment with the Resilience Alliance\u2019s applications of complex systems thinking into a suite of systems and sustainability based criteria. The integrated sustainability\u2013resilience criteria were used to assess an existing small-scale biodiesel operation on Barbados that involves waste management, public health, transportation, energy security and community involvement considerations. The assessment revealed that the main benefit of this biodiesel project is in social learning rather than enhancing energy security and waste management, and the best ways of enhancing the project lie in larger scale policy initiatives. The findings suggest that the use of a sustainability\u2013resilience approach can contribute insights unlikely to emerge from more narrowly focused assessments.", "author" : [ { "dropping-particle" : "", "family" : "Gaudreau", "given" : "Kyrke", "non-dropping-particle" : "", "parse-names" : false, "suffix" : "" }, { "dropping-particle" : "", "family" : "Gibson", "given" : "Robert B.", "non-dropping-particle" : "", "parse-names" : false, "suffix" : "" } ], "container-title" : "Impact Assessment and Project Appraisal", "id" : "ITEM-1", "issue" : "December", "issued" : { "date-parts" : [ [ "2010" ] ] }, "page" : "233-243", "title" : "Illustrating integrated sustainability and resilience based assessments: a small-scale biodiesel project in Barbados", "type" : "article-journal", "volume" : "28" }, "uris" : [ "http://www.mendeley.com/documents/?uuid=fee76635-1433-4c27-9c85-bbbf459c7e59" ] } ], "mendeley" : { "formattedCitation" : "(Gaudreau &amp; Gibson, 2010)", "plainTextFormattedCitation" : "(Gaudreau &amp; Gibson, 2010)", "previouslyFormattedCitation" : "(Gaudreau &amp; Gibson, 2010)"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(Gaudreau &amp; Gibson, 2010)</w:t>
            </w:r>
            <w:r w:rsidRPr="000E0F90">
              <w:rPr>
                <w:rFonts w:ascii="Arial" w:hAnsi="Arial" w:cs="Arial"/>
                <w:color w:val="000000" w:themeColor="text1"/>
                <w:sz w:val="20"/>
                <w:szCs w:val="20"/>
              </w:rPr>
              <w:fldChar w:fldCharType="end"/>
            </w:r>
            <w:r w:rsidRPr="000E0F90">
              <w:rPr>
                <w:rFonts w:ascii="Arial" w:hAnsi="Arial" w:cs="Arial"/>
                <w:color w:val="000000" w:themeColor="text1"/>
                <w:sz w:val="20"/>
                <w:szCs w:val="20"/>
              </w:rPr>
              <w:t xml:space="preserve">  </w:t>
            </w:r>
          </w:p>
        </w:tc>
        <w:tc>
          <w:tcPr>
            <w:tcW w:w="0" w:type="auto"/>
            <w:tcBorders>
              <w:left w:val="nil"/>
              <w:bottom w:val="nil"/>
            </w:tcBorders>
            <w:shd w:val="clear" w:color="auto" w:fill="auto"/>
          </w:tcPr>
          <w:p w:rsidR="00DF0A23" w:rsidRPr="000E0F90" w:rsidRDefault="00DF0A23" w:rsidP="00267D36">
            <w:pPr>
              <w:spacing w:after="0" w:line="240" w:lineRule="auto"/>
              <w:rPr>
                <w:rFonts w:ascii="Arial" w:hAnsi="Arial" w:cs="Arial"/>
                <w:color w:val="000000" w:themeColor="text1"/>
                <w:sz w:val="20"/>
                <w:szCs w:val="20"/>
              </w:rPr>
            </w:pPr>
            <w:r w:rsidRPr="000E0F90">
              <w:rPr>
                <w:rFonts w:ascii="Arial" w:hAnsi="Arial" w:cs="Arial"/>
                <w:color w:val="000000" w:themeColor="text1"/>
                <w:sz w:val="20"/>
                <w:szCs w:val="20"/>
              </w:rPr>
              <w:t xml:space="preserve">Preservar procesos esenciales como el ciclo y transformación de energía, ciclos hidrológicos,  preservación de estructuras bióticas y abióticas (Müller and Burkhard, 2007)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"DOI" : "10.1080/01944360008976081", "ISBN" : "0194-4363", "ISSN" : "01944363", "PMID" : "2989497", "abstract" : "A set of six principles are set forth that define and operationalize the concept of sustainable development. Using these six principles, a sample of 30 comprehensive plans was evaluated to determine how well their policies support sustainable development. Findings indicate no significant differences in how extensively sustainability principles are supported between the plans that state an intention to integrate sustainable development and those that do not. In addition, these plans do not provide balanced support of all six sustainability principles, as they support some principles significantly more than others.", "author" : [ { "dropping-particle" : "", "family" : "Berke", "given" : "Philip R", "non-dropping-particle" : "", "parse-names" : false, "suffix" : "" }, { "dropping-particle" : "", "family" : "Conroy", "given" : "Maria Manta", "non-dropping-particle" : "", "parse-names" : false, "suffix" : "" } ], "container-title" : "American Planning Association.Journal of the American Planning Association", "id" : "ITEM-1", "issue" : "September", "issued" : { "date-parts" : [ [ "2000" ] ] }, "page" : "21", "title" : "Are we planning for sustainable development?", "type" : "article-journal", "volume" : "66" }, "uris" : [ "http://www.mendeley.com/documents/?uuid=9c8f081f-71c5-4194-83b6-25e26c52bc06" ] } ], "mendeley" : { "formattedCitation" : "(Berke &amp; Conroy, 2000)", "plainTextFormattedCitation" : "(Berke &amp; Conroy, 2000)", "previouslyFormattedCitation" : "(Berke &amp; Conroy, 2000)"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(Berke &amp; Conroy, 2000)</w:t>
            </w:r>
            <w:r w:rsidRPr="000E0F90">
              <w:rPr>
                <w:rFonts w:ascii="Arial" w:hAnsi="Arial" w:cs="Arial"/>
                <w:color w:val="000000" w:themeColor="text1"/>
                <w:sz w:val="20"/>
                <w:szCs w:val="20"/>
              </w:rPr>
              <w:fldChar w:fldCharType="end"/>
            </w:r>
            <w:r w:rsidRPr="000E0F90">
              <w:rPr>
                <w:rFonts w:ascii="Arial" w:hAnsi="Arial" w:cs="Arial"/>
                <w:color w:val="000000" w:themeColor="text1"/>
                <w:sz w:val="20"/>
                <w:szCs w:val="20"/>
              </w:rPr>
              <w:t>.</w:t>
            </w:r>
          </w:p>
        </w:tc>
      </w:tr>
      <w:tr w:rsidR="00DF0A23" w:rsidRPr="000E0F90" w:rsidTr="002A21E4">
        <w:trPr>
          <w:trHeight w:val="70"/>
        </w:trPr>
        <w:tc>
          <w:tcPr>
            <w:tcW w:w="0" w:type="auto"/>
            <w:vMerge/>
            <w:tcBorders>
              <w:top w:val="nil"/>
              <w:bottom w:val="nil"/>
              <w:right w:val="nil"/>
            </w:tcBorders>
            <w:shd w:val="clear" w:color="auto" w:fill="auto"/>
          </w:tcPr>
          <w:p w:rsidR="00DF0A23" w:rsidRPr="000E0F90" w:rsidRDefault="00DF0A23" w:rsidP="00267D36">
            <w:pPr>
              <w:spacing w:after="0" w:line="240" w:lineRule="auto"/>
              <w:rPr>
                <w:rFonts w:ascii="Arial" w:hAnsi="Arial" w:cs="Arial"/>
                <w:color w:val="000000" w:themeColor="text1"/>
                <w:sz w:val="20"/>
                <w:szCs w:val="20"/>
              </w:rPr>
            </w:pPr>
          </w:p>
        </w:tc>
        <w:tc>
          <w:tcPr>
            <w:tcW w:w="0" w:type="auto"/>
            <w:tcBorders>
              <w:top w:val="nil"/>
              <w:left w:val="nil"/>
              <w:bottom w:val="nil"/>
            </w:tcBorders>
            <w:shd w:val="clear" w:color="auto" w:fill="auto"/>
          </w:tcPr>
          <w:p w:rsidR="00DF0A23" w:rsidRPr="000E0F90" w:rsidRDefault="00DF0A23" w:rsidP="00002876">
            <w:pPr>
              <w:spacing w:after="0" w:line="240" w:lineRule="auto"/>
              <w:rPr>
                <w:rFonts w:ascii="Arial" w:hAnsi="Arial" w:cs="Arial"/>
                <w:color w:val="000000" w:themeColor="text1"/>
                <w:sz w:val="20"/>
                <w:szCs w:val="20"/>
              </w:rPr>
            </w:pPr>
            <w:r w:rsidRPr="000E0F90">
              <w:rPr>
                <w:rFonts w:ascii="Arial" w:hAnsi="Arial" w:cs="Arial"/>
                <w:color w:val="000000" w:themeColor="text1"/>
                <w:sz w:val="20"/>
                <w:szCs w:val="20"/>
              </w:rPr>
              <w:t xml:space="preserve">Proteger y restaurar servicios de ecosistema esenciales que mantienen la calidad y disponibilidad de recursos, mejorando el desarrollo sostenible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"DOI" : "10.1080/01944360008976081", "ISBN" : "0194-4363", "ISSN" : "01944363", "PMID" : "2989497", "abstract" : "A set of six principles are set forth that define and operationalize the concept of sustainable development. Using these six principles, a sample of 30 comprehensive plans was evaluated to determine how well their policies support sustainable development. Findings indicate no significant differences in how extensively sustainability principles are supported between the plans that state an intention to integrate sustainable development and those that do not. In addition, these plans do not provide balanced support of all six sustainability principles, as they support some principles significantly more than others.", "author" : [ { "dropping-particle" : "", "family" : "Berke", "given" : "Philip R", "non-dropping-particle" : "", "parse-names" : false, "suffix" : "" }, { "dropping-particle" : "", "family" : "Conroy", "given" : "Maria Manta", "non-dropping-particle" : "", "parse-names" : false, "suffix" : "" } ], "container-title" : "American Planning Association.Journal of the American Planning Association", "id" : "ITEM-1", "issue" : "September", "issued" : { "date-parts" : [ [ "2000" ] ] }, "page" : "21", "title" : "Are we planning for sustainable development?", "type" : "article-journal", "volume" : "66" }, "uris" : [ "http://www.mendeley.com/documents/?uuid=9c8f081f-71c5-4194-83b6-25e26c52bc06" ] } ], "mendeley" : { "formattedCitation" : "(Berke &amp; Conroy, 2000)", "plainTextFormattedCitation" : "(Berke &amp; Conroy, 2000)", "previouslyFormattedCitation" : "(Berke &amp; Conroy, 2000)"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(Berke &amp; Conroy, 2000)</w:t>
            </w:r>
            <w:r w:rsidRPr="000E0F90">
              <w:rPr>
                <w:rFonts w:ascii="Arial" w:hAnsi="Arial" w:cs="Arial"/>
                <w:color w:val="000000" w:themeColor="text1"/>
                <w:sz w:val="20"/>
                <w:szCs w:val="20"/>
              </w:rPr>
              <w:fldChar w:fldCharType="end"/>
            </w:r>
            <w:r w:rsidRPr="000E0F90">
              <w:rPr>
                <w:rFonts w:ascii="Arial" w:hAnsi="Arial" w:cs="Arial"/>
                <w:color w:val="000000" w:themeColor="text1"/>
                <w:sz w:val="20"/>
                <w:szCs w:val="20"/>
              </w:rPr>
              <w:t xml:space="preserve">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"ISSN" : "1993-3800", "abstract" : "New Urbanism New Urbanism is an urban design movement, which arose in the USA in the early 1980s, promoting walkable, mixed-use neighbourhoods and transit-oriented development, seeking to end suburban sprawl and promote community. Characteristics include narrow streets, wide sidewalks and higher densities, qualities which we can all find in the European cities. Green Urbanism Green Urbanism is a conceptual model for zero-emission and zero-waste urban design, which arose in the 1990s, promoting compact energy-efficient urban development, seeking to transform and re-engineer existing city districts and regenerate the post-industrial city centre. It promotes the development of socially and environmentally sustainable city districts. This paper will first look at the timeline of important publications that have been published on sustainable design and have emerged from different schools of thought, to exemplify how gradually the notion of Green Urbanism evolved. It then identifies the intertwined principles for achieving Green Urbanism.", "author" : [ { "dropping-particle" : "", "family" : "Lehmann", "given" : "Steffen", "non-dropping-particle" : "", "parse-names" : false, "suffix" : "" } ], "container-title" : "Survey And Perspectives Integrating Environment &amp; Society", "id" : "ITEM-1", "issue" : "October", "issued" : { "date-parts" : [ [ "2010" ] ] }, "page" : "Art. 6", "title" : "Green Urbanism: Formulating a Series of Holistic Principles.", "type" : "article-journal", "volume" : "3" }, "uris" : [ "http://www.mendeley.com/documents/?uuid=7b43f80a-d8ec-4748-a9dc-ee203f8b89d7" ] } ], "mendeley" : { "formattedCitation" : "(Lehmann, 2010)", "plainTextFormattedCitation" : "(Lehmann, 2010)", "previouslyFormattedCitation" : "(Lehmann, 2010)"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(Lehmann, 2010)</w:t>
            </w:r>
            <w:r w:rsidRPr="000E0F90">
              <w:rPr>
                <w:rFonts w:ascii="Arial" w:hAnsi="Arial" w:cs="Arial"/>
                <w:color w:val="000000" w:themeColor="text1"/>
                <w:sz w:val="20"/>
                <w:szCs w:val="20"/>
              </w:rPr>
              <w:fldChar w:fldCharType="end"/>
            </w:r>
          </w:p>
        </w:tc>
      </w:tr>
      <w:tr w:rsidR="0048252D" w:rsidRPr="000E0F90" w:rsidTr="002A21E4">
        <w:trPr>
          <w:trHeight w:val="352"/>
        </w:trPr>
        <w:tc>
          <w:tcPr>
            <w:tcW w:w="0" w:type="auto"/>
            <w:vMerge w:val="restart"/>
            <w:tcBorders>
              <w:top w:val="nil"/>
              <w:bottom w:val="nil"/>
              <w:right w:val="nil"/>
            </w:tcBorders>
          </w:tcPr>
          <w:p w:rsidR="0048252D" w:rsidRPr="000E0F90" w:rsidRDefault="0048252D" w:rsidP="00267D36">
            <w:pPr>
              <w:spacing w:after="0" w:line="240" w:lineRule="auto"/>
              <w:rPr>
                <w:rFonts w:ascii="Arial" w:hAnsi="Arial" w:cs="Arial"/>
                <w:color w:val="000000" w:themeColor="text1"/>
                <w:sz w:val="20"/>
                <w:szCs w:val="20"/>
              </w:rPr>
            </w:pPr>
            <w:r w:rsidRPr="000E0F90">
              <w:rPr>
                <w:rFonts w:ascii="Arial" w:hAnsi="Arial" w:cs="Arial"/>
                <w:b/>
                <w:color w:val="000000" w:themeColor="text1"/>
                <w:sz w:val="20"/>
                <w:szCs w:val="20"/>
              </w:rPr>
              <w:t xml:space="preserve">Proteger la diversidad biológica </w:t>
            </w:r>
            <w:r w:rsidRPr="000E0F90">
              <w:rPr>
                <w:rFonts w:ascii="Arial" w:hAnsi="Arial" w:cs="Arial"/>
                <w:b/>
                <w:color w:val="000000" w:themeColor="text1"/>
                <w:sz w:val="20"/>
                <w:szCs w:val="20"/>
              </w:rPr>
              <w:fldChar w:fldCharType="begin" w:fldLock="1"/>
            </w:r>
            <w:r w:rsidRPr="000E0F90">
              <w:rPr>
                <w:rFonts w:ascii="Arial" w:hAnsi="Arial" w:cs="Arial"/>
                <w:b/>
                <w:color w:val="000000" w:themeColor="text1"/>
                <w:sz w:val="20"/>
                <w:szCs w:val="20"/>
              </w:rPr>
              <w:instrText>ADDIN CSL_CITATION { "citationItems" : [ { "id" : "ITEM-1", "itemData" : { "author" : [ { "dropping-particle" : "", "family" : "Morrison-saunders", "given" : "Angus", "non-dropping-particle" : "", "parse-names" : false, "suffix" : "" }, { "dropping-particle" : "", "family" : "Hodgson", "given" : "Nicole", "non-dropping-particle" : "", "parse-names" : false, "suffix" : "" } ], "container-title" : "Assessment", "id" : "ITEM-1", "issue" : "September", "issued" : { "date-parts" : [ [ "2009" ] ] }, "page" : "1-6", "title" : "Applying Sustainability Principles in Practice : Guidance for Assessing Individual Proposals", "type" : "article-journal" }, "uris" : [ "http://www.mendeley.com/documents/?uuid=8eac9b1a-a579-4134-9969-a97b9c129d7b" ] } ], "mendeley" : { "formattedCitation" : "(Morrison-saunders &amp; Hodgson, 2009)", "plainTextFormattedCitation" : "(Morrison-saunders &amp; Hodgson, 2009)", "previouslyFormattedCitation" : "(Morrison-saunders &amp; Hodgson, 2009)" }, "properties" : { "noteIndex" : 0 }, "schema" : "https://github.com/citation-style-language/schema/raw/master/csl-citation.json" }</w:instrText>
            </w:r>
            <w:r w:rsidRPr="000E0F90">
              <w:rPr>
                <w:rFonts w:ascii="Arial" w:hAnsi="Arial" w:cs="Arial"/>
                <w:b/>
                <w:color w:val="000000" w:themeColor="text1"/>
                <w:sz w:val="20"/>
                <w:szCs w:val="20"/>
              </w:rPr>
              <w:fldChar w:fldCharType="separate"/>
            </w:r>
            <w:r w:rsidRPr="000E0F90">
              <w:rPr>
                <w:rFonts w:ascii="Arial" w:hAnsi="Arial" w:cs="Arial"/>
                <w:noProof/>
                <w:color w:val="000000" w:themeColor="text1"/>
                <w:sz w:val="20"/>
                <w:szCs w:val="20"/>
              </w:rPr>
              <w:t>(Morrison-saunders &amp; Hodgson, 2009)</w:t>
            </w:r>
            <w:r w:rsidRPr="000E0F90">
              <w:rPr>
                <w:rFonts w:ascii="Arial" w:hAnsi="Arial" w:cs="Arial"/>
                <w:b/>
                <w:color w:val="000000" w:themeColor="text1"/>
                <w:sz w:val="20"/>
                <w:szCs w:val="20"/>
              </w:rPr>
              <w:fldChar w:fldCharType="end"/>
            </w:r>
            <w:r w:rsidRPr="000E0F90">
              <w:rPr>
                <w:rFonts w:ascii="Arial" w:hAnsi="Arial" w:cs="Arial"/>
                <w:b/>
                <w:color w:val="000000" w:themeColor="text1"/>
                <w:sz w:val="20"/>
                <w:szCs w:val="20"/>
              </w:rPr>
              <w:t>:</w:t>
            </w:r>
            <w:r w:rsidRPr="000E0F90">
              <w:rPr>
                <w:rFonts w:ascii="Arial" w:hAnsi="Arial" w:cs="Arial"/>
                <w:color w:val="000000" w:themeColor="text1"/>
                <w:sz w:val="20"/>
                <w:szCs w:val="20"/>
              </w:rPr>
              <w:t xml:space="preserve"> Ecosistemas críticos y procesos ecológicos deben ser absolutamente protegidos para mantener la biodiversidad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"DOI" : "10.1016/S0921-8009(02)00272-0", "ISBN" : "0921-8009", "ISSN" : "09218009", "PMID" : "23", "abstract" : "This paper develops a methodology for identifying that natural capital - called critical natural capital (CNC) - the maintenance of which is essential for environmental sustainability. By consideration of the characteristics of natural capital, of the environmental functions that these characteristics enable natural capital to perform and of the importance of these functions to humans and the biosphere, it shows how sustainability standards in respect of these environmental functions may be derived. The difference between the current situation and these standards is termed the sustainability gap. The methodology that emerges from bringing these ideas together into a single analytical framework enables policy makers to identify the extent of current unsustainability, the principal causes of it, the elements and processes of natural capital (the CNC) which need to be maintained or restored to close the sustainability gap and the costs of so doing. The framework should therefore be of use in identifying priorities and policies for moving towards environmental sustainability. ?? 2002 Published by Elsevier Science B.V.", "author" : [ { "dropping-particle" : "", "family" : "Ekins", "given" : "Paul", "non-dropping-particle" : "", "parse-names" : false, "suffix" : "" }, { "dropping-particle" : "", "family" : "Simon", "given" : "Sandrine", "non-dropping-particle" : "", "parse-names" : false, "suffix" : "" }, { "dropping-particle" : "", "family" : "Deutsch", "given" : "Lisa", "non-dropping-particle" : "", "parse-names" : false, "suffix" : "" }, { "dropping-particle" : "", "family" : "Folke", "given" : "Carl", "non-dropping-particle" : "", "parse-names" : false, "suffix" : "" }, { "dropping-particle" : "", "family" : "Groot", "given" : "Rudolf", "non-dropping-particle" : "De", "parse-names" : false, "suffix" : "" } ], "container-title" : "Ecological Economics", "id" : "ITEM-1", "issued" : { "date-parts" : [ [ "2003" ] ] }, "page" : "165-185", "title" : "A framework for the practical application of the concepts of critical natural capital and strong sustainability", "type" : "article-journal", "volume" : "44" }, "uris" : [ "http://www.mendeley.com/documents/?uuid=5ab0dee7-4e2a-402b-a4ce-62606789c9e2" ] } ], "mendeley" : { "formattedCitation" : "(Ekins et al., 2003)", "plainTextFormattedCitation" : "(Ekins et al., 2003)", "previouslyFormattedCitation" : "(Ekins et al., 2003)"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(Ekins et al., 2003)</w:t>
            </w:r>
            <w:r w:rsidRPr="000E0F90">
              <w:rPr>
                <w:rFonts w:ascii="Arial" w:hAnsi="Arial" w:cs="Arial"/>
                <w:color w:val="000000" w:themeColor="text1"/>
                <w:sz w:val="20"/>
                <w:szCs w:val="20"/>
              </w:rPr>
              <w:fldChar w:fldCharType="end"/>
            </w:r>
          </w:p>
        </w:tc>
        <w:tc>
          <w:tcPr>
            <w:tcW w:w="0" w:type="auto"/>
            <w:tcBorders>
              <w:top w:val="nil"/>
              <w:left w:val="nil"/>
              <w:bottom w:val="nil"/>
            </w:tcBorders>
          </w:tcPr>
          <w:p w:rsidR="0048252D" w:rsidRPr="000E0F90" w:rsidRDefault="0048252D" w:rsidP="00267D36">
            <w:pPr>
              <w:spacing w:after="0" w:line="240" w:lineRule="auto"/>
              <w:rPr>
                <w:rFonts w:ascii="Arial" w:hAnsi="Arial" w:cs="Arial"/>
                <w:color w:val="000000" w:themeColor="text1"/>
                <w:sz w:val="20"/>
                <w:szCs w:val="20"/>
              </w:rPr>
            </w:pPr>
            <w:r w:rsidRPr="000E0F90">
              <w:rPr>
                <w:rFonts w:ascii="Arial" w:hAnsi="Arial" w:cs="Arial"/>
                <w:color w:val="000000" w:themeColor="text1"/>
                <w:sz w:val="20"/>
                <w:szCs w:val="20"/>
              </w:rPr>
              <w:t xml:space="preserve">Mejora las condiciones a las especies amenazadas y evita la destrucción de hábitats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"DOI" : "10.1016/j.landurbplan.2013.06.002", "ISBN" : "0169-2046", "ISSN" : "01692046", "abstract" : "The proportion of urban population is increasing globally. Climate change, biodiversity loss, and environmental pollution are leading to the urgent need to increase sustainable development of and through cities and their components. Encouraging and enabling sustainable lifestyles of urban inhabitants can be fostered by developing sustainable urban neighborhoods as the nuclei of cities. Numerous approaches exist that define principles for guiding sustainable development processes of urban neighborhoods. However, it remains unclear if these approaches really consider the core objectives that should be achieved and key actions that are involved to move toward sustainability. This study represents the first quantitative review that evaluates the principles for sustainable urban neighborhood development based on the available literature. We thus (i) identify promising approaches that present principles close to core criteria for sustainability and (ii) provide starting points for developing a more robust set of principles by bringing together the examined literature. Furthermore (iii), sustainability aspects that are insufficiently covered are highlighted. Based on the findings (iv) a road map is outlined to encourage further research on the elaboration of a sufficient set of principles for sustainable urban neighborhood development. \u00a9 2013 Elsevier B.V.", "author" : [ { "dropping-particle" : "", "family" : "Luederitz", "given" : "Christopher", "non-dropping-particle" : "", "parse-names" : false, "suffix" : "" }, { "dropping-particle" : "", "family" : "Lang", "given" : "Daniel J.", "non-dropping-particle" : "", "parse-names" : false, "suffix" : "" }, { "dropping-particle" : "", "family" : "Wehrden", "given" : "Henrik", "non-dropping-particle" : "Von", "parse-names" : false, "suffix" : "" } ], "container-title" : "Landscape and Urban Planning", "id" : "ITEM-1", "issued" : { "date-parts" : [ [ "2013" ] ] }, "page" : "40-52", "publisher" : "Elsevier B.V.", "title" : "A systematic review of guiding principles for sustainable urban neighborhood development", "type" : "article-journal", "volume" : "118" }, "uris" : [ "http://www.mendeley.com/documents/?uuid=6bcfcece-dda2-466f-b77d-29fdaec204ad" ] } ], "mendeley" : { "formattedCitation" : "(Luederitz et al., 2013)", "plainTextFormattedCitation" : "(Luederitz et al., 2013)", "previouslyFormattedCitation" : "(Luederitz et al., 2013)"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(Luederitz et al., 2013)</w:t>
            </w:r>
            <w:r w:rsidRPr="000E0F90">
              <w:rPr>
                <w:rFonts w:ascii="Arial" w:hAnsi="Arial" w:cs="Arial"/>
                <w:color w:val="000000" w:themeColor="text1"/>
                <w:sz w:val="20"/>
                <w:szCs w:val="20"/>
              </w:rPr>
              <w:fldChar w:fldCharType="end"/>
            </w:r>
            <w:r w:rsidRPr="000E0F90">
              <w:rPr>
                <w:rFonts w:ascii="Arial" w:hAnsi="Arial" w:cs="Arial"/>
                <w:color w:val="000000" w:themeColor="text1"/>
                <w:sz w:val="20"/>
                <w:szCs w:val="20"/>
              </w:rPr>
              <w:t xml:space="preserve">. Se promueve la regeneración y rehabilitación de hábitats (entorno urbano y natural)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"ISBN" : "8483201437", "author" : [ { "dropping-particle" : "", "family" : "Cemat", "given" : "Conferencia Europea de Ministros responsables de ordenaci\u00f3n del Territorio", "non-dropping-particle" : "", "parse-names" : false, "suffix" : "" } ], "container-title" : "Conferencia Europea de Ministros responsables de ordenaci\u00f3n del territorio", "id" : "ITEM-1", "issued" : { "date-parts" : [ [ "2000" ] ] }, "title" : "Principios Directores para el Desarrollo Territorial Sostenible del Continente Europeo", "type" : "book" }, "uris" : [ "http://www.mendeley.com/documents/?uuid=01924405-bee1-4e7a-a357-b7f836b2e137" ] } ], "mendeley" : { "formattedCitation" : "(Cemat, 2000)", "plainTextFormattedCitation" : "(Cemat, 2000)", "previouslyFormattedCitation" : "(Cemat, 2000)"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(Cemat, 2000)</w:t>
            </w:r>
            <w:r w:rsidRPr="000E0F90">
              <w:rPr>
                <w:rFonts w:ascii="Arial" w:hAnsi="Arial" w:cs="Arial"/>
                <w:color w:val="000000" w:themeColor="text1"/>
                <w:sz w:val="20"/>
                <w:szCs w:val="20"/>
              </w:rPr>
              <w:fldChar w:fldCharType="end"/>
            </w:r>
          </w:p>
        </w:tc>
      </w:tr>
      <w:tr w:rsidR="0048252D" w:rsidRPr="000E0F90" w:rsidTr="002A21E4">
        <w:trPr>
          <w:trHeight w:val="352"/>
        </w:trPr>
        <w:tc>
          <w:tcPr>
            <w:tcW w:w="0" w:type="auto"/>
            <w:vMerge/>
            <w:tcBorders>
              <w:top w:val="nil"/>
              <w:bottom w:val="nil"/>
              <w:right w:val="nil"/>
            </w:tcBorders>
          </w:tcPr>
          <w:p w:rsidR="0048252D" w:rsidRPr="000E0F90" w:rsidRDefault="0048252D" w:rsidP="0085297A">
            <w:pPr>
              <w:spacing w:after="0" w:line="240" w:lineRule="auto"/>
              <w:rPr>
                <w:rFonts w:ascii="Arial" w:hAnsi="Arial" w:cs="Arial"/>
                <w:b/>
                <w:color w:val="000000" w:themeColor="text1"/>
                <w:sz w:val="20"/>
                <w:szCs w:val="20"/>
              </w:rPr>
            </w:pPr>
          </w:p>
        </w:tc>
        <w:tc>
          <w:tcPr>
            <w:tcW w:w="0" w:type="auto"/>
            <w:tcBorders>
              <w:top w:val="nil"/>
              <w:left w:val="nil"/>
              <w:bottom w:val="nil"/>
            </w:tcBorders>
          </w:tcPr>
          <w:p w:rsidR="0048252D" w:rsidRPr="000E0F90" w:rsidRDefault="0048252D" w:rsidP="0048252D">
            <w:pPr>
              <w:spacing w:after="0" w:line="240" w:lineRule="auto"/>
              <w:rPr>
                <w:rFonts w:ascii="Arial" w:hAnsi="Arial" w:cs="Arial"/>
                <w:color w:val="000000" w:themeColor="text1"/>
                <w:sz w:val="20"/>
                <w:szCs w:val="20"/>
              </w:rPr>
            </w:pPr>
            <w:r w:rsidRPr="000E0F90">
              <w:rPr>
                <w:rFonts w:ascii="Arial" w:hAnsi="Arial" w:cs="Arial"/>
                <w:color w:val="000000" w:themeColor="text1"/>
                <w:sz w:val="20"/>
                <w:szCs w:val="20"/>
              </w:rPr>
              <w:t xml:space="preserve">Abordar los impactos de la actividad minera en la destrucción y/o perturbación de hábitats y pérdida de biodiversidad, mediante la rehabilitación de ecosistemas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"DOI" : "10.1016/S0959-6526(03)00075-1", "ISBN" : "4414836891", "ISSN" : "09596526", "author" : [ { "dropping-particle" : "", "family" : "Azapagic", "given" : "Adisa", "non-dropping-particle" : "", "parse-names" : false, "suffix" : "" } ], "container-title" : "Journal of Cleaner Production", "id" : "ITEM-1", "issue" : "6", "issued" : { "date-parts" : [ [ "2004", "8" ] ] }, "page" : "639-662", "title" : "Developing a framework for sustainable development indicators for the mining and minerals industry", "type" : "article-journal", "volume" : "12" }, "uris" : [ "http://www.mendeley.com/documents/?uuid=a36976cf-2e0f-4c41-bd50-7ef9e97ed91f" ] } ], "mendeley" : { "formattedCitation" : "(Azapagic, 2004)", "plainTextFormattedCitation" : "(Azapagic, 2004)", "previouslyFormattedCitation" : "(Azapagic, 2004)"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(Azapagic, 2004)</w:t>
            </w:r>
            <w:r w:rsidRPr="000E0F90">
              <w:rPr>
                <w:rFonts w:ascii="Arial" w:hAnsi="Arial" w:cs="Arial"/>
                <w:color w:val="000000" w:themeColor="text1"/>
                <w:sz w:val="20"/>
                <w:szCs w:val="20"/>
              </w:rPr>
              <w:fldChar w:fldCharType="end"/>
            </w:r>
            <w:r w:rsidRPr="000E0F90">
              <w:rPr>
                <w:rFonts w:ascii="Arial" w:hAnsi="Arial" w:cs="Arial"/>
                <w:color w:val="000000" w:themeColor="text1"/>
                <w:sz w:val="20"/>
                <w:szCs w:val="20"/>
              </w:rPr>
              <w:t xml:space="preserve">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"DOI" : "10.1016/j.jclepro.2017.03.047", "ISBN" : "9789289347945", "ISSN" : "09596526", "abstract" : "The mining industry has a major impact on society - from an economic, environmental and social perspective and due to a vast number of criteria. Which criteria should be given priority depends on where the mining operations take place. This paper's focus on the Nordic mining industry is partly due to the positive economic trend that the industry is currently experiencing and partly because very little research has been conducted on how the European mining industry addresses sustainability. The purpose of this study is therefore to examine the Nordic mining industry's sustainability practices and to develop guidelines for such efforts. The research methods used in the study include a literature review, a content analysis of sustainability reports, a review of existing sustainability initiatives, guidelines and tools, a stakeholder survey and interviews with mining company officials. Based on the findings, sustainability criteria guidelines for the Nordic mining industry are suggested in the areas of corporate governance, fair operating practices, economic aspects, human rights, labour practices, society and the environment. The content of the guidelines is discussed in the light of the sustainability practices performed by the studied mining companies.", "author" : [ { "dropping-particle" : "", "family" : "Ran\u00e4ngen", "given" : "Helena", "non-dropping-particle" : "", "parse-names" : false, "suffix" : "" }, { "dropping-particle" : "", "family" : "Lindman", "given" : "\u00c5sa", "non-dropping-particle" : "", "parse-names" : false, "suffix" : "" } ], "container-title" : "Journal of Cleaner Production", "id" : "ITEM-1", "issued" : { "date-parts" : [ [ "2017" ] ] }, "page" : "43-52", "title" : "A path towards sustainability for the Nordic mining industry", "type" : "article-journal", "volume" : "151" }, "uris" : [ "http://www.mendeley.com/documents/?uuid=6c35c3e3-ee0c-4b28-8acc-e8d00b36d33a" ] } ], "mendeley" : { "formattedCitation" : "(Ran\u00e4ngen &amp; Lindman, 2017)", "plainTextFormattedCitation" : "(Ran\u00e4ngen &amp; Lindman, 2017)", "previouslyFormattedCitation" : "(Ran\u00e4ngen &amp; Lindman, 2017)"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(Ranängen &amp; Lindman, 2017)</w:t>
            </w:r>
            <w:r w:rsidRPr="000E0F90">
              <w:rPr>
                <w:rFonts w:ascii="Arial" w:hAnsi="Arial" w:cs="Arial"/>
                <w:color w:val="000000" w:themeColor="text1"/>
                <w:sz w:val="20"/>
                <w:szCs w:val="20"/>
              </w:rPr>
              <w:fldChar w:fldCharType="end"/>
            </w:r>
            <w:r w:rsidRPr="000E0F90">
              <w:rPr>
                <w:rFonts w:ascii="Arial" w:hAnsi="Arial" w:cs="Arial"/>
                <w:color w:val="000000" w:themeColor="text1"/>
                <w:sz w:val="20"/>
                <w:szCs w:val="20"/>
              </w:rPr>
              <w:t xml:space="preserve">. </w:t>
            </w:r>
          </w:p>
        </w:tc>
      </w:tr>
      <w:tr w:rsidR="0048252D" w:rsidRPr="000E0F90" w:rsidTr="002A21E4">
        <w:trPr>
          <w:trHeight w:val="352"/>
        </w:trPr>
        <w:tc>
          <w:tcPr>
            <w:tcW w:w="0" w:type="auto"/>
            <w:vMerge/>
            <w:tcBorders>
              <w:top w:val="nil"/>
              <w:bottom w:val="nil"/>
              <w:right w:val="nil"/>
            </w:tcBorders>
          </w:tcPr>
          <w:p w:rsidR="0048252D" w:rsidRPr="000E0F90" w:rsidRDefault="0048252D" w:rsidP="00267D36">
            <w:pPr>
              <w:spacing w:after="0" w:line="240" w:lineRule="auto"/>
              <w:rPr>
                <w:rFonts w:ascii="Arial" w:hAnsi="Arial" w:cs="Arial"/>
                <w:b/>
                <w:color w:val="000000" w:themeColor="text1"/>
                <w:sz w:val="20"/>
                <w:szCs w:val="20"/>
              </w:rPr>
            </w:pPr>
          </w:p>
        </w:tc>
        <w:tc>
          <w:tcPr>
            <w:tcW w:w="0" w:type="auto"/>
            <w:tcBorders>
              <w:top w:val="nil"/>
              <w:left w:val="nil"/>
              <w:bottom w:val="nil"/>
            </w:tcBorders>
          </w:tcPr>
          <w:p w:rsidR="0048252D" w:rsidRPr="000E0F90" w:rsidRDefault="0048252D" w:rsidP="00267D36">
            <w:pPr>
              <w:spacing w:after="0" w:line="240" w:lineRule="auto"/>
              <w:rPr>
                <w:rFonts w:ascii="Arial" w:hAnsi="Arial" w:cs="Arial"/>
                <w:color w:val="000000" w:themeColor="text1"/>
                <w:sz w:val="20"/>
                <w:szCs w:val="20"/>
              </w:rPr>
            </w:pPr>
            <w:r w:rsidRPr="000E0F90">
              <w:rPr>
                <w:rFonts w:ascii="Arial" w:hAnsi="Arial" w:cs="Arial"/>
                <w:color w:val="000000" w:themeColor="text1"/>
                <w:sz w:val="20"/>
                <w:szCs w:val="20"/>
              </w:rPr>
              <w:t xml:space="preserve">Implementar compensaciones de biodiversidad donde los impactos residuales en especies o ecosistemas permanezcan, seguido de implementación de otras formas de mitigación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"author" : [ { "dropping-particle" : "", "family" : "Morrison-saunders", "given" : "Angus", "non-dropping-particle" : "", "parse-names" : false, "suffix" : "" }, { "dropping-particle" : "", "family" : "Hodgson", "given" : "Nicole", "non-dropping-particle" : "", "parse-names" : false, "suffix" : "" } ], "container-title" : "Assessment", "id" : "ITEM-1", "issue" : "September", "issued" : { "date-parts" : [ [ "2009" ] ] }, "page" : "1-6", "title" : "Applying Sustainability Principles in Practice : Guidance for Assessing Individual Proposals", "type" : "article-journal" }, "uris" : [ "http://www.mendeley.com/documents/?uuid=8eac9b1a-a579-4134-9969-a97b9c129d7b" ] } ], "mendeley" : { "formattedCitation" : "(Morrison-saunders &amp; Hodgson, 2009)", "plainTextFormattedCitation" : "(Morrison-saunders &amp; Hodgson, 2009)", "previouslyFormattedCitation" : "(Morrison-saunders &amp; Hodgson, 2009)"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(Morrison-saunders &amp; Hodgson, 2009)</w:t>
            </w:r>
            <w:r w:rsidRPr="000E0F90">
              <w:rPr>
                <w:rFonts w:ascii="Arial" w:hAnsi="Arial" w:cs="Arial"/>
                <w:color w:val="000000" w:themeColor="text1"/>
                <w:sz w:val="20"/>
                <w:szCs w:val="20"/>
              </w:rPr>
              <w:fldChar w:fldCharType="end"/>
            </w:r>
          </w:p>
        </w:tc>
      </w:tr>
      <w:tr w:rsidR="0048252D" w:rsidRPr="000E0F90" w:rsidTr="002A21E4">
        <w:trPr>
          <w:trHeight w:val="352"/>
        </w:trPr>
        <w:tc>
          <w:tcPr>
            <w:tcW w:w="0" w:type="auto"/>
            <w:vMerge w:val="restart"/>
            <w:tcBorders>
              <w:top w:val="nil"/>
              <w:bottom w:val="nil"/>
              <w:right w:val="nil"/>
            </w:tcBorders>
          </w:tcPr>
          <w:p w:rsidR="0048252D" w:rsidRPr="000E0F90" w:rsidRDefault="0048252D" w:rsidP="00267D36">
            <w:pPr>
              <w:spacing w:after="0" w:line="240" w:lineRule="auto"/>
              <w:rPr>
                <w:rFonts w:ascii="Arial" w:hAnsi="Arial" w:cs="Arial"/>
                <w:b/>
                <w:color w:val="000000" w:themeColor="text1"/>
                <w:sz w:val="20"/>
                <w:szCs w:val="20"/>
              </w:rPr>
            </w:pPr>
            <w:r w:rsidRPr="000E0F90">
              <w:rPr>
                <w:rFonts w:ascii="Arial" w:hAnsi="Arial" w:cs="Arial"/>
                <w:b/>
                <w:color w:val="000000" w:themeColor="text1"/>
                <w:sz w:val="20"/>
                <w:szCs w:val="20"/>
              </w:rPr>
              <w:t>Reducir las amenazas antropogénicas</w:t>
            </w:r>
            <w:r w:rsidRPr="000E0F90">
              <w:rPr>
                <w:rFonts w:ascii="Arial" w:hAnsi="Arial" w:cs="Arial"/>
                <w:color w:val="000000" w:themeColor="text1"/>
                <w:sz w:val="20"/>
                <w:szCs w:val="20"/>
              </w:rPr>
              <w:t xml:space="preserve"> a la integridad del sistema y capacidad de soporte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"DOI" : "10.1016/S0921-8009(02)00272-0", "ISBN" : "0921-8009", "ISSN" : "09218009", "PMID" : "23", "abstract" : "This paper develops a methodology for identifying that natural capital - called critical natural capital (CNC) - the maintenance of which is essential for environmental sustainability. By consideration of the characteristics of natural capital, of the environmental functions that these characteristics enable natural capital to perform and of the importance of these functions to humans and the biosphere, it shows how sustainability standards in respect of these environmental functions may be derived. The difference between the current situation and these standards is termed the sustainability gap. The methodology that emerges from bringing these ideas together into a single analytical framework enables policy makers to identify the extent of current unsustainability, the principal causes of it, the elements and processes of natural capital (the CNC) which need to be maintained or restored to close the sustainability gap and the costs of so doing. The framework should therefore be of use in identifying priorities and policies for moving towards environmental sustainability. ?? 2002 Published by Elsevier Science B.V.", "author" : [ { "dropping-particle" : "", "family" : "Ekins", "given" : "Paul", "non-dropping-particle" : "", "parse-names" : false, "suffix" : "" }, { "dropping-particle" : "", "family" : "Simon", "given" : "Sandrine", "non-dropping-particle" : "", "parse-names" : false, "suffix" : "" }, { "dropping-particle" : "", "family" : "Deutsch", "given" : "Lisa", "non-dropping-particle" : "", "parse-names" : false, "suffix" : "" }, { "dropping-particle" : "", "family" : "Folke", "given" : "Carl", "non-dropping-particle" : "", "parse-names" : false, "suffix" : "" }, { "dropping-particle" : "", "family" : "Groot", "given" : "Rudolf", "non-dropping-particle" : "De", "parse-names" : false, "suffix" : "" } ], "container-title" : "Ecological Economics", "id" : "ITEM-1", "issued" : { "date-parts" : [ [ "2003" ] ] }, "page" : "165-185", "title" : "A framework for the practical application of the concepts of critical natural capital and strong sustainability", "type" : "article-journal", "volume" : "44" }, "uris" : [ "http://www.mendeley.com/documents/?uuid=5ab0dee7-4e2a-402b-a4ce-62606789c9e2" ] } ], "mendeley" : { "formattedCitation" : "(Ekins et al., 2003)", "plainTextFormattedCitation" : "(Ekins et al., 2003)", "previouslyFormattedCitation" : "(Ekins et al., 2003)"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(Ekins et al., 2003)</w:t>
            </w:r>
            <w:r w:rsidRPr="000E0F90">
              <w:rPr>
                <w:rFonts w:ascii="Arial" w:hAnsi="Arial" w:cs="Arial"/>
                <w:color w:val="000000" w:themeColor="text1"/>
                <w:sz w:val="20"/>
                <w:szCs w:val="20"/>
              </w:rPr>
              <w:fldChar w:fldCharType="end"/>
            </w:r>
            <w:r w:rsidRPr="000E0F90">
              <w:rPr>
                <w:rFonts w:ascii="Arial" w:hAnsi="Arial" w:cs="Arial"/>
                <w:color w:val="000000" w:themeColor="text1"/>
                <w:sz w:val="20"/>
                <w:szCs w:val="20"/>
              </w:rPr>
              <w:t xml:space="preserve">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"ISBN" : "8483201437", "author" : [ { "dropping-particle" : "", "family" : "Cemat", "given" : "Conferencia Europea de Ministros responsables de ordenaci\u00f3n del Territorio", "non-dropping-particle" : "", "parse-names" : false, "suffix" : "" } ], "container-title" : "Conferencia Europea de Ministros responsables de ordenaci\u00f3n del territorio", "id" : "ITEM-1", "issued" : { "date-parts" : [ [ "2000" ] ] }, "title" : "Principios Directores para el Desarrollo Territorial Sostenible del Continente Europeo", "type" : "book" }, "uris" : [ "http://www.mendeley.com/documents/?uuid=01924405-bee1-4e7a-a357-b7f836b2e137" ] } ], "mendeley" : { "formattedCitation" : "(Cemat, 2000)", "plainTextFormattedCitation" : "(Cemat, 2000)", "previouslyFormattedCitation" : "(Cemat, 2000)"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(Cemat, 2000)</w:t>
            </w:r>
            <w:r w:rsidRPr="000E0F90">
              <w:rPr>
                <w:rFonts w:ascii="Arial" w:hAnsi="Arial" w:cs="Arial"/>
                <w:color w:val="000000" w:themeColor="text1"/>
                <w:sz w:val="20"/>
                <w:szCs w:val="20"/>
              </w:rPr>
              <w:fldChar w:fldCharType="end"/>
            </w:r>
          </w:p>
        </w:tc>
        <w:tc>
          <w:tcPr>
            <w:tcW w:w="0" w:type="auto"/>
            <w:tcBorders>
              <w:top w:val="nil"/>
              <w:left w:val="nil"/>
              <w:bottom w:val="nil"/>
            </w:tcBorders>
          </w:tcPr>
          <w:p w:rsidR="0048252D" w:rsidRPr="000E0F90" w:rsidRDefault="0048252D" w:rsidP="00AA2647">
            <w:pPr>
              <w:spacing w:after="0" w:line="240" w:lineRule="auto"/>
              <w:rPr>
                <w:rFonts w:ascii="Arial" w:hAnsi="Arial" w:cs="Arial"/>
                <w:color w:val="000000" w:themeColor="text1"/>
                <w:sz w:val="20"/>
                <w:szCs w:val="20"/>
              </w:rPr>
            </w:pPr>
            <w:r w:rsidRPr="000E0F90">
              <w:rPr>
                <w:rFonts w:ascii="Arial" w:hAnsi="Arial" w:cs="Arial"/>
                <w:color w:val="000000" w:themeColor="text1"/>
                <w:sz w:val="20"/>
                <w:szCs w:val="20"/>
              </w:rPr>
              <w:t xml:space="preserve">No sobrepasar la </w:t>
            </w:r>
            <w:r w:rsidRPr="00CC033B">
              <w:rPr>
                <w:rFonts w:ascii="Arial" w:hAnsi="Arial" w:cs="Arial"/>
                <w:color w:val="000000" w:themeColor="text1"/>
                <w:sz w:val="20"/>
                <w:szCs w:val="20"/>
              </w:rPr>
              <w:t>capacidad de carga</w:t>
            </w:r>
            <w:r w:rsidRPr="000E0F90">
              <w:rPr>
                <w:rFonts w:ascii="Arial" w:hAnsi="Arial" w:cs="Arial"/>
                <w:color w:val="000000" w:themeColor="text1"/>
                <w:sz w:val="20"/>
                <w:szCs w:val="20"/>
              </w:rPr>
              <w:t xml:space="preserve"> del medio de dispersar, absorber, neutralizar, y reciclar, sin alterar otras funciones o conlleve a concentraciones de toxinas que dañen la vida, se </w:t>
            </w:r>
            <w:r w:rsidR="0049698D" w:rsidRPr="000E0F90">
              <w:rPr>
                <w:rFonts w:ascii="Arial" w:hAnsi="Arial" w:cs="Arial"/>
                <w:color w:val="000000" w:themeColor="text1"/>
                <w:sz w:val="20"/>
                <w:szCs w:val="20"/>
              </w:rPr>
              <w:t>requiere</w:t>
            </w:r>
            <w:r w:rsidRPr="000E0F90">
              <w:rPr>
                <w:rFonts w:ascii="Arial" w:hAnsi="Arial" w:cs="Arial"/>
                <w:color w:val="000000" w:themeColor="text1"/>
                <w:sz w:val="20"/>
                <w:szCs w:val="20"/>
              </w:rPr>
              <w:t xml:space="preserve"> cambio en los hábitos de consumo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"DOI" : "10.1016/S0921-8009(02)00272-0", "ISBN" : "0921-8009", "ISSN" : "09218009", "PMID" : "23", "abstract" : "This paper develops a methodology for identifying that natural capital - called critical natural capital (CNC) - the maintenance of which is essential for environmental sustainability. By consideration of the characteristics of natural capital, of the environmental functions that these characteristics enable natural capital to perform and of the importance of these functions to humans and the biosphere, it shows how sustainability standards in respect of these environmental functions may be derived. The difference between the current situation and these standards is termed the sustainability gap. The methodology that emerges from bringing these ideas together into a single analytical framework enables policy makers to identify the extent of current unsustainability, the principal causes of it, the elements and processes of natural capital (the CNC) which need to be maintained or restored to close the sustainability gap and the costs of so doing. The framework should therefore be of use in identifying priorities and policies</w:instrText>
            </w:r>
            <w:r w:rsidRPr="002613F4">
              <w:rPr>
                <w:rFonts w:ascii="Arial" w:hAnsi="Arial" w:cs="Arial"/>
                <w:color w:val="000000" w:themeColor="text1"/>
                <w:sz w:val="20"/>
                <w:szCs w:val="20"/>
              </w:rPr>
              <w:instrText xml:space="preserve"> for moving towards environmental sustainability. ?? 2002 Published by Elsevier Science B.V.", "author" : [ { "dropping-particle" : "", "family" : "Ekins", "given" : "Paul", "non-dropping-particle" : "", "parse-names" : false, "suffix" : "" }, { "dropping-particle" : "", "family" : "Simon", "given" : "Sandrine", "non-dropping-particle" : "", "parse-names" : false, "suffix" : "" }, { "dropping-particle" : "", "family" : "Deutsch", "given" : "Lisa", "non-dropping-particle" : "", "parse-names" : false, "suffix" : "" }, { "dropping-particle" : "", "family" : "Folke", "given" : "Carl", "non-dropping-particle" : "", "parse-names" : false, "suffix" : "" }, { "dropping-particle" : "", "family" : "Groot", "given" : "Rudolf", "non-dropping-particle" : "De", "parse-names" : false, "suffix" : "" } ], "container-title" : "Ecological Economics", "id" : "ITEM-1", "issued" : { "date-parts" : [ [ "2003" ] ] }, "page" : "165-185", "title" : "A framework for the practical application of the concepts of critical natural capital and strong sustainability", "type" : "article-journal", "volume" : "44" }, "uris" : [ "http://www.mendeley.com/documents/?uuid=5ab0dee7-4e2a-402b-a4ce-62606789c9e2" ] } ], "mendeley" : { "formattedCitation" : "(Ekins et al., 2003)", "plainTextFormattedCitation" : "(Ekins et al., 2003)", "previouslyFormattedCitation" : "(Ekins et al., 2003)"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2613F4">
              <w:rPr>
                <w:rFonts w:ascii="Arial" w:hAnsi="Arial" w:cs="Arial"/>
                <w:noProof/>
                <w:color w:val="000000" w:themeColor="text1"/>
                <w:sz w:val="20"/>
                <w:szCs w:val="20"/>
              </w:rPr>
              <w:t>(Ekins et al., 2003)</w:t>
            </w:r>
            <w:r w:rsidRPr="000E0F90">
              <w:rPr>
                <w:rFonts w:ascii="Arial" w:hAnsi="Arial" w:cs="Arial"/>
                <w:color w:val="000000" w:themeColor="text1"/>
                <w:sz w:val="20"/>
                <w:szCs w:val="20"/>
              </w:rPr>
              <w:fldChar w:fldCharType="end"/>
            </w:r>
            <w:r w:rsidRPr="002613F4">
              <w:rPr>
                <w:rFonts w:ascii="Arial" w:hAnsi="Arial" w:cs="Arial"/>
                <w:color w:val="000000" w:themeColor="text1"/>
                <w:sz w:val="20"/>
                <w:szCs w:val="20"/>
              </w:rPr>
              <w:t xml:space="preserve"> </w:t>
            </w:r>
            <w:r w:rsidRPr="009F22EB">
              <w:rPr>
                <w:rFonts w:ascii="Arial" w:hAnsi="Arial" w:cs="Arial"/>
                <w:color w:val="000000" w:themeColor="text1"/>
                <w:sz w:val="20"/>
                <w:szCs w:val="20"/>
              </w:rPr>
              <w:fldChar w:fldCharType="begin" w:fldLock="1"/>
            </w:r>
            <w:r w:rsidRPr="002613F4">
              <w:rPr>
                <w:rFonts w:ascii="Arial" w:hAnsi="Arial" w:cs="Arial"/>
                <w:color w:val="000000" w:themeColor="text1"/>
                <w:sz w:val="20"/>
                <w:szCs w:val="20"/>
              </w:rPr>
              <w:instrText>ADDIN CSL_CITATION { "</w:instrText>
            </w:r>
            <w:r w:rsidRPr="002613F4">
              <w:rPr>
                <w:rFonts w:ascii="Arial" w:hAnsi="Arial" w:cs="Arial"/>
                <w:color w:val="000000" w:themeColor="text1"/>
                <w:sz w:val="20"/>
                <w:szCs w:val="20"/>
                <w:lang w:val="en-US"/>
              </w:rPr>
              <w:instrText>citationItems" : [ { "id" : "ITEM-1", "itemData" : { "ISSN" : "1993-3800", "abstract" : "New Urbanism New Urbanism is an urban design movement, which arose in the USA in the early 1980s, promoting walkable, mixed-use neighbourhoods and transit-oriented development, seeking to end suburban sprawl and promote community. Characteristics include narrow streets, wide sidewalks and higher densities, qualities which we can all find in the European cities. Green Urbanism Green Urbanism is a conceptual model for zero-emission and zero-waste urban design, which arose in the 1990s, promoting compact energy-efficient urban development, seeking to transform and re-engineer existing city districts and regenerate the post-industrial city centre. It promotes the development of socially and environmentally sustainable city districts. This paper will first look at the timeline of important publications that have been published on sustainable design and have emerged from different schools of thought, to exemplify how gradually the notion of Green Urbanism evolved. It then identifies the intertwined principles for achieving Green Urbanism.", "author" : [ { "dropping-particle" : "", "family" : "Lehmann", "given" : "Steffen", "non-dropping-particle" : "", "parse-names" : false, "suffix" : "" } ], "container-title" : "Survey And Perspectives Integrating Environment &amp; Society", "id" : "ITEM-1", "issue" : "October", "issued" : { "date-parts" : [ [ "2010" ] ] }, "page" : "Art. 6", "title" : "Green Urbanism: Formulating a Series of Holistic Principles.", "type" : "article-journal", "volume" : "3" }, "uris" : [ "http://www.mendeley.com/documents/?uuid=7b43f80a-d8ec-4748-a9dc-ee203f8b89d7" ] } ], "mendeley" : { "formattedCitation" : "(Lehmann, 2010)", "plainTextFormattedCitation" : "(Lehmann, 2010)", "previouslyFormattedCitation" : "(Lehmann, 2010)" }, "properties" : { "noteIndex" : 0 }, "schema" : "https://github.com/citation-style-language/schema/raw/master/csl-citation.json" }</w:instrText>
            </w:r>
            <w:r w:rsidRPr="009F22EB">
              <w:rPr>
                <w:rFonts w:ascii="Arial" w:hAnsi="Arial" w:cs="Arial"/>
                <w:color w:val="000000" w:themeColor="text1"/>
                <w:sz w:val="20"/>
                <w:szCs w:val="20"/>
              </w:rPr>
              <w:fldChar w:fldCharType="separate"/>
            </w:r>
            <w:r w:rsidRPr="002613F4">
              <w:rPr>
                <w:rFonts w:ascii="Arial" w:hAnsi="Arial" w:cs="Arial"/>
                <w:noProof/>
                <w:color w:val="000000" w:themeColor="text1"/>
                <w:sz w:val="20"/>
                <w:szCs w:val="20"/>
                <w:lang w:val="en-US"/>
              </w:rPr>
              <w:t>(Lehmann, 2010)</w:t>
            </w:r>
            <w:r w:rsidRPr="009F22EB">
              <w:rPr>
                <w:rFonts w:ascii="Arial" w:hAnsi="Arial" w:cs="Arial"/>
                <w:color w:val="000000" w:themeColor="text1"/>
                <w:sz w:val="20"/>
                <w:szCs w:val="20"/>
              </w:rPr>
              <w:fldChar w:fldCharType="end"/>
            </w:r>
            <w:r w:rsidRPr="002613F4">
              <w:rPr>
                <w:rFonts w:ascii="Arial" w:hAnsi="Arial" w:cs="Arial"/>
                <w:color w:val="000000" w:themeColor="text1"/>
                <w:sz w:val="20"/>
                <w:szCs w:val="20"/>
                <w:lang w:val="en-US"/>
              </w:rPr>
              <w:t xml:space="preserve">. </w:t>
            </w:r>
            <w:r w:rsidRPr="002613F4">
              <w:rPr>
                <w:rFonts w:ascii="Arial" w:hAnsi="Arial" w:cs="Arial"/>
                <w:color w:val="000000" w:themeColor="text1"/>
                <w:sz w:val="20"/>
                <w:szCs w:val="20"/>
              </w:rPr>
              <w:t xml:space="preserve">Las emisiones al aire, agua y suelo no deben exceder los límites críticos </w:t>
            </w:r>
            <w:r w:rsidRPr="000E0F90">
              <w:rPr>
                <w:rFonts w:ascii="Arial" w:hAnsi="Arial" w:cs="Arial"/>
                <w:color w:val="000000" w:themeColor="text1"/>
                <w:sz w:val="20"/>
                <w:szCs w:val="20"/>
              </w:rPr>
              <w:fldChar w:fldCharType="begin" w:fldLock="1"/>
            </w:r>
            <w:r w:rsidRPr="002613F4">
              <w:rPr>
                <w:rFonts w:ascii="Arial" w:hAnsi="Arial" w:cs="Arial"/>
                <w:color w:val="000000" w:themeColor="text1"/>
                <w:sz w:val="20"/>
                <w:szCs w:val="20"/>
              </w:rPr>
              <w:instrText xml:space="preserve">ADDIN CSL_CITATION { "citationItems" : [ { "id" : "ITEM-1", "itemData" : { "DOI" : "10.1016/S0921-8009(02)00272-0", "ISBN" : "0921-8009", "ISSN" : "09218009", "PMID" : "23", "abstract" : "This paper develops a methodology for identifying that natural capital - called critical natural capital (CNC) - the maintenance of which is essential for environmental sustainability. By consideration of the characteristics of natural capital, of the environmental functions that these characteristics enable natural capital to perform and of the importance of these functions to humans and the biosphere, it shows how sustainability standards in respect of these environmental functions may be derived. The difference between the current situation and these standards is termed the sustainability gap. The methodology that emerges from bringing these ideas together into a single analytical framework enables policy makers to identify the extent of current unsustainability, the principal causes of it, the elements and processes of natural capital (the CNC) which need to be maintained or restored to close the sustainability gap and the costs of so doing. The framework should therefore be of use in identifying priorities and policies for moving towards environmental sustainability. ?? 2002 Published by Elsevier Science B.V.", "author" : [ { "dropping-particle" : "", "family" : "Ekins", "given" : "Paul", "non-dropping-particle" </w:instrText>
            </w:r>
            <w:r w:rsidRPr="000E0F90">
              <w:rPr>
                <w:rFonts w:ascii="Arial" w:hAnsi="Arial" w:cs="Arial"/>
                <w:color w:val="000000" w:themeColor="text1"/>
                <w:sz w:val="20"/>
                <w:szCs w:val="20"/>
              </w:rPr>
              <w:instrText>: "", "parse-names" : false, "suffix" : "" }, { "dropping-particle" : "", "family" : "Simon", "given" : "Sandrine", "non-dropping-particle" : "", "parse-names" : false, "suffix" : "" }, { "dropping-particle" : "", "family" : "Deutsch", "given" : "Lisa", "non-dropping-particle" : "", "parse-names" : false, "suffix" : "" }, { "dropping-particle" : "", "family" : "Folke", "given" : "Carl", "non-dropping-particle" : "", "parse-names" : false, "suffix" : "" }, { "dropping-particle" : "", "family" : "Groot", "given" : "Rudolf", "non-dropping-particle" : "De", "parse-names" : false, "suffix" : "" } ], "container-title" : "Ecological Economics", "id" : "ITEM-1", "issued" : { "date-parts" : [ [ "2003" ] ] }, "page" : "165-185", "title" : "A framework for the practical application of the concepts of critical natural capital and strong sustainability", "type" : "article-journal", "volume" : "44" }, "uris" : [ "http://www.mendeley.com/documents/?uuid=5ab0dee7-4e2a-402b-a4ce-62606789c9e2" ] } ], "mendeley" : { "formattedCitation" : "(Ekins et al., 2003)", "plainTextFormattedCitation" : "(Ekins et al., 2003)", "previouslyFormattedCitation" : "(Ekins et al., 2003)"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(Ekins et al., 2003)</w:t>
            </w:r>
            <w:r w:rsidRPr="000E0F90">
              <w:rPr>
                <w:rFonts w:ascii="Arial" w:hAnsi="Arial" w:cs="Arial"/>
                <w:color w:val="000000" w:themeColor="text1"/>
                <w:sz w:val="20"/>
                <w:szCs w:val="20"/>
              </w:rPr>
              <w:fldChar w:fldCharType="end"/>
            </w:r>
          </w:p>
        </w:tc>
      </w:tr>
      <w:tr w:rsidR="0048252D" w:rsidRPr="000E0F90" w:rsidTr="002A21E4">
        <w:tc>
          <w:tcPr>
            <w:tcW w:w="0" w:type="auto"/>
            <w:vMerge/>
            <w:tcBorders>
              <w:top w:val="nil"/>
              <w:bottom w:val="nil"/>
              <w:right w:val="nil"/>
            </w:tcBorders>
          </w:tcPr>
          <w:p w:rsidR="0048252D" w:rsidRPr="000E0F90" w:rsidRDefault="0048252D" w:rsidP="00267D36">
            <w:pPr>
              <w:spacing w:after="0" w:line="240" w:lineRule="auto"/>
              <w:rPr>
                <w:rFonts w:ascii="Arial" w:hAnsi="Arial" w:cs="Arial"/>
                <w:b/>
                <w:color w:val="000000" w:themeColor="text1"/>
                <w:sz w:val="20"/>
                <w:szCs w:val="20"/>
              </w:rPr>
            </w:pPr>
          </w:p>
        </w:tc>
        <w:tc>
          <w:tcPr>
            <w:tcW w:w="0" w:type="auto"/>
            <w:tcBorders>
              <w:top w:val="nil"/>
              <w:left w:val="nil"/>
              <w:bottom w:val="nil"/>
            </w:tcBorders>
          </w:tcPr>
          <w:p w:rsidR="0048252D" w:rsidRPr="000E0F90" w:rsidRDefault="0048252D" w:rsidP="00267D36">
            <w:pPr>
              <w:spacing w:after="0" w:line="240" w:lineRule="auto"/>
              <w:rPr>
                <w:rFonts w:ascii="Arial" w:hAnsi="Arial" w:cs="Arial"/>
                <w:color w:val="000000" w:themeColor="text1"/>
                <w:sz w:val="20"/>
                <w:szCs w:val="20"/>
              </w:rPr>
            </w:pPr>
            <w:r w:rsidRPr="000E0F90">
              <w:rPr>
                <w:rFonts w:ascii="Arial" w:hAnsi="Arial" w:cs="Arial"/>
                <w:color w:val="000000" w:themeColor="text1"/>
                <w:sz w:val="20"/>
                <w:szCs w:val="20"/>
              </w:rPr>
              <w:t xml:space="preserve">Actores que generen contaminación e impactos adversos a las comunidad deben asumir los costos de contaminación y daños asociados, en consideración al interés público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"DOI" : "10.1080/01944360008976081", "ISBN" : "0194-4363", "ISSN" : "01944363", "PMID" : "2989497", "abstract" : "A set of six principles are set forth that define and operationalize the concept of sustainable development. Using these six principles, a sample of 30 comprehensive plans was evaluated to determine how well their policies support sustainable development. Findings indicate no significant differences in how extensively sustainability principles are supported between the plans that state an intention to integrate sustainable development and those that do not. In addition, these plans do not provide balanced support of all six sustainability principles, as they support some principles significantly more than others.", "author" : [ { "dropping-particle" : "", "family" : "Berke", "given" : "Philip R", "non-dropping-particle" : "", "parse-names" : false, "suffix" : "" }, { "dropping-particle" : "", "family" : "Conroy", "given" : "Maria Manta", "non-dropping-particle" : "", "parse-names" : false, "suffix" : "" } ], "container-title" : "American Planning Association.Journal of the American Planning Association", "id" : "ITEM-1", "issue" : "September", "issued" : { "date-parts" : [ [ "2000" ] ] }, "page" : "21", "title" : "Are we planning for sustainable development?", "type" : "article-journal", "volume" : "66" }, "uris" : [ "http://www.mendeley.com/documents/?uuid=9c8f081f-71c5-4194-83b6-25e26c52bc06" ] } ], "mendeley" : { "formattedCitation" : "(Berke &amp; Conroy, 2000)", "plainTextFormattedCitation" : "(Berke &amp; Conroy, 2000)", "previouslyFormattedCitation" : "(Berke &amp; Conroy, 2000)"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(Berke &amp; Conroy, 2000)</w:t>
            </w:r>
            <w:r w:rsidRPr="000E0F90">
              <w:rPr>
                <w:rFonts w:ascii="Arial" w:hAnsi="Arial" w:cs="Arial"/>
                <w:color w:val="000000" w:themeColor="text1"/>
                <w:sz w:val="20"/>
                <w:szCs w:val="20"/>
              </w:rPr>
              <w:fldChar w:fldCharType="end"/>
            </w:r>
          </w:p>
        </w:tc>
      </w:tr>
      <w:tr w:rsidR="0048252D" w:rsidRPr="000E0F90" w:rsidTr="002A21E4">
        <w:tc>
          <w:tcPr>
            <w:tcW w:w="0" w:type="auto"/>
            <w:vMerge/>
            <w:tcBorders>
              <w:top w:val="nil"/>
              <w:bottom w:val="nil"/>
              <w:right w:val="nil"/>
            </w:tcBorders>
          </w:tcPr>
          <w:p w:rsidR="0048252D" w:rsidRPr="000E0F90" w:rsidRDefault="0048252D" w:rsidP="00267D36">
            <w:pPr>
              <w:spacing w:after="0" w:line="240" w:lineRule="auto"/>
              <w:rPr>
                <w:rFonts w:ascii="Arial" w:hAnsi="Arial" w:cs="Arial"/>
                <w:color w:val="000000" w:themeColor="text1"/>
                <w:sz w:val="20"/>
                <w:szCs w:val="20"/>
              </w:rPr>
            </w:pPr>
          </w:p>
        </w:tc>
        <w:tc>
          <w:tcPr>
            <w:tcW w:w="0" w:type="auto"/>
            <w:tcBorders>
              <w:top w:val="nil"/>
              <w:left w:val="nil"/>
              <w:bottom w:val="nil"/>
            </w:tcBorders>
          </w:tcPr>
          <w:p w:rsidR="0048252D" w:rsidRPr="000E0F90" w:rsidRDefault="0048252D" w:rsidP="0048252D">
            <w:pPr>
              <w:spacing w:after="0" w:line="240" w:lineRule="auto"/>
              <w:rPr>
                <w:rFonts w:ascii="Arial" w:hAnsi="Arial" w:cs="Arial"/>
                <w:color w:val="000000" w:themeColor="text1"/>
                <w:sz w:val="20"/>
                <w:szCs w:val="20"/>
              </w:rPr>
            </w:pPr>
            <w:r w:rsidRPr="000E0F90">
              <w:rPr>
                <w:rFonts w:ascii="Arial" w:hAnsi="Arial" w:cs="Arial"/>
                <w:color w:val="000000" w:themeColor="text1"/>
                <w:sz w:val="20"/>
                <w:szCs w:val="20"/>
              </w:rPr>
              <w:t xml:space="preserve">Impactos generados durante todo el ciclo productivo de la mina, desde la exploración al cierre deben ser abordados por la operación minera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"DOI" : "10.1016/j.jclepro.2017.03.047", "ISBN" : "9789289347945", "ISSN" : "09596526", "abstract" : "The mining industry has a major impact on society - from an economic, environmental and social perspective and due to a vast number of criteria. Which criteria should be given priority depends on where the mining operations take place. This paper's focus on the Nordic mining industry is partly due to the positive economic trend that the industry is currently experiencing and partly because very little research has been conducted on how the European mining industry addresses sustainability. The purpose of this study is therefore to examine the Nordic mining industry's sustainability practices and to develop guidelines for such efforts. The research methods used in the study include a literature review, a content analysis of sustainability reports, a review of existing sustainability initiatives, guidelines and tools, a stakeholder survey and interviews with mining company officials. Based on the findings, sustainability criteria guidelines for the Nordic mining industry are suggested in the areas of corporate governance, fair operating practices, economic aspects, human rights, labour practices, society and the environment. The content of the guidelines is discussed in the light of the sustainability practices performed by the studied mining companies.", "author" : [ { "dropping-particle" : "", "family" : "Ran\u00e4ngen", "given" : "Helena", "non-dropping-particle" : "", "parse-names" : false, "suffix" : "" }, { "dropping-particle" : "", "family" : "Lindman", "given" : "\u00c5sa", "non-dropping-particle" : "", "parse-names" : false, "suffix" : "" } ], "container-title" : "Journal of Cleaner Production", "id" : "ITEM-1", "issued" : { "date-parts" : [ [ "2017" ] ] }, "page" : "43-52", "title" : "A path towards sustainability for the Nordic mining industry", "type" : "article-journal", "volume" : "151" }, "uris" : [ "http://www.mendeley.com/documents/?uuid=6c35c3e3-ee0c-4b28-8acc-e8d00b36d33a" ] } ], "mendeley" : { "formattedCitation" : "(Ran\u00e4ngen &amp; Lindman, 2017)", "plainTextFormattedCitation" : "(Ran\u00e4ngen &amp; Lindman, 2017)", "previouslyFormattedCitation" : "(Ran\u00e4ngen &amp; Lindman, 2017)"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(Ranängen &amp; Lindman, 2017)</w:t>
            </w:r>
            <w:r w:rsidRPr="000E0F90">
              <w:rPr>
                <w:rFonts w:ascii="Arial" w:hAnsi="Arial" w:cs="Arial"/>
                <w:color w:val="000000" w:themeColor="text1"/>
                <w:sz w:val="20"/>
                <w:szCs w:val="20"/>
              </w:rPr>
              <w:fldChar w:fldCharType="end"/>
            </w:r>
            <w:r w:rsidRPr="000E0F90">
              <w:rPr>
                <w:rFonts w:ascii="Arial" w:hAnsi="Arial" w:cs="Arial"/>
                <w:color w:val="000000" w:themeColor="text1"/>
                <w:sz w:val="20"/>
                <w:szCs w:val="20"/>
              </w:rPr>
              <w:t>.</w:t>
            </w:r>
          </w:p>
        </w:tc>
      </w:tr>
      <w:tr w:rsidR="0048252D" w:rsidRPr="000E0F90" w:rsidTr="002A21E4">
        <w:trPr>
          <w:trHeight w:val="803"/>
        </w:trPr>
        <w:tc>
          <w:tcPr>
            <w:tcW w:w="0" w:type="auto"/>
            <w:vMerge/>
            <w:tcBorders>
              <w:top w:val="nil"/>
              <w:bottom w:val="nil"/>
              <w:right w:val="nil"/>
            </w:tcBorders>
          </w:tcPr>
          <w:p w:rsidR="0048252D" w:rsidRPr="000E0F90" w:rsidRDefault="0048252D" w:rsidP="00267D36">
            <w:pPr>
              <w:spacing w:after="0" w:line="240" w:lineRule="auto"/>
              <w:rPr>
                <w:rFonts w:ascii="Arial" w:hAnsi="Arial" w:cs="Arial"/>
                <w:b/>
                <w:color w:val="000000" w:themeColor="text1"/>
                <w:sz w:val="20"/>
                <w:szCs w:val="20"/>
              </w:rPr>
            </w:pPr>
          </w:p>
        </w:tc>
        <w:tc>
          <w:tcPr>
            <w:tcW w:w="0" w:type="auto"/>
            <w:tcBorders>
              <w:top w:val="nil"/>
              <w:left w:val="nil"/>
              <w:bottom w:val="nil"/>
            </w:tcBorders>
          </w:tcPr>
          <w:p w:rsidR="0048252D" w:rsidRPr="00CC033B" w:rsidRDefault="0048252D" w:rsidP="000A0238">
            <w:pPr>
              <w:spacing w:after="0" w:line="240" w:lineRule="auto"/>
              <w:rPr>
                <w:rFonts w:ascii="Arial" w:hAnsi="Arial" w:cs="Arial"/>
                <w:color w:val="000000" w:themeColor="text1"/>
                <w:sz w:val="20"/>
                <w:szCs w:val="20"/>
              </w:rPr>
            </w:pPr>
            <w:r w:rsidRPr="00CC033B">
              <w:rPr>
                <w:rFonts w:ascii="Arial" w:hAnsi="Arial" w:cs="Arial"/>
                <w:color w:val="000000" w:themeColor="text1"/>
                <w:sz w:val="20"/>
                <w:szCs w:val="20"/>
              </w:rPr>
              <w:t xml:space="preserve">Priorizar la protección medioambiental e integridad ecológica, de forma que cualquier cambio en el </w:t>
            </w:r>
            <w:r w:rsidRPr="00CC033B">
              <w:rPr>
                <w:rFonts w:ascii="Arial" w:hAnsi="Arial" w:cs="Arial"/>
                <w:i/>
                <w:color w:val="000000" w:themeColor="text1"/>
                <w:sz w:val="20"/>
                <w:szCs w:val="20"/>
              </w:rPr>
              <w:t>statu quo</w:t>
            </w:r>
            <w:r w:rsidRPr="00CC033B">
              <w:rPr>
                <w:rFonts w:ascii="Arial" w:hAnsi="Arial" w:cs="Arial"/>
                <w:color w:val="000000" w:themeColor="text1"/>
                <w:sz w:val="20"/>
                <w:szCs w:val="20"/>
              </w:rPr>
              <w:t xml:space="preserve"> resulte en un beneficio medioambiental neto </w:t>
            </w:r>
            <w:r w:rsidRPr="00CC033B">
              <w:rPr>
                <w:rFonts w:ascii="Arial" w:hAnsi="Arial" w:cs="Arial"/>
                <w:color w:val="000000" w:themeColor="text1"/>
                <w:sz w:val="20"/>
                <w:szCs w:val="20"/>
              </w:rPr>
              <w:fldChar w:fldCharType="begin" w:fldLock="1"/>
            </w:r>
            <w:r w:rsidRPr="00CC033B">
              <w:rPr>
                <w:rFonts w:ascii="Arial" w:hAnsi="Arial" w:cs="Arial"/>
                <w:color w:val="000000" w:themeColor="text1"/>
                <w:sz w:val="20"/>
                <w:szCs w:val="20"/>
              </w:rPr>
              <w:instrText>ADDIN CSL_CITATION { "citationItems" : [ { "id" : "ITEM-1", "itemData" : { "author" : [ { "dropping-particle" : "", "family" : "Morrison-saunders", "given" : "Angus", "non-dropping-particle" : "", "parse-names" : false, "suffix" : "" }, { "dropping-particle" : "", "family" : "Hodgson", "given" : "Nicole", "non-dropping-particle" : "", "parse-names" : false, "suffix" : "" } ], "container-title" : "Assessment", "id" : "ITEM-1", "issue" : "September", "issued" : { "date-parts" : [ [ "2009" ] ] }, "page" : "1-6", "title" : "Applying Sustainability Principles in Practice : Guidance for Assessing Individual Proposals", "type" : "article-journal" }, "uris" : [ "http://www.mendeley.com/documents/?uuid=8eac9b1a-a579-4134-9969-a97b9c129d7b" ] } ], "mendeley" : { "formattedCitation" : "(Morrison-saunders &amp; Hodgson, 2009)", "plainTextFormattedCitation" : "(Morrison-saunders &amp; Hodgson, 2009)", "previouslyFormattedCitation" : "(Morrison-saunders &amp; Hodgson, 2009)" }, "properties" : { "noteIndex" : 0 }, "schema" : "https://github.com/citation-style-language/schema/raw/master/csl-citation.json" }</w:instrText>
            </w:r>
            <w:r w:rsidRPr="00CC033B">
              <w:rPr>
                <w:rFonts w:ascii="Arial" w:hAnsi="Arial" w:cs="Arial"/>
                <w:color w:val="000000" w:themeColor="text1"/>
                <w:sz w:val="20"/>
                <w:szCs w:val="20"/>
              </w:rPr>
              <w:fldChar w:fldCharType="separate"/>
            </w:r>
            <w:r w:rsidRPr="00CC033B">
              <w:rPr>
                <w:rFonts w:ascii="Arial" w:hAnsi="Arial" w:cs="Arial"/>
                <w:noProof/>
                <w:color w:val="000000" w:themeColor="text1"/>
                <w:sz w:val="20"/>
                <w:szCs w:val="20"/>
              </w:rPr>
              <w:t>(Morrison-saunders &amp; Hodgson, 2009)</w:t>
            </w:r>
            <w:r w:rsidRPr="00CC033B">
              <w:rPr>
                <w:rFonts w:ascii="Arial" w:hAnsi="Arial" w:cs="Arial"/>
                <w:color w:val="000000" w:themeColor="text1"/>
                <w:sz w:val="20"/>
                <w:szCs w:val="20"/>
              </w:rPr>
              <w:fldChar w:fldCharType="end"/>
            </w:r>
          </w:p>
        </w:tc>
      </w:tr>
      <w:tr w:rsidR="0048252D" w:rsidRPr="000E0F90" w:rsidTr="002A21E4">
        <w:trPr>
          <w:trHeight w:val="803"/>
        </w:trPr>
        <w:tc>
          <w:tcPr>
            <w:tcW w:w="0" w:type="auto"/>
            <w:vMerge/>
            <w:tcBorders>
              <w:top w:val="nil"/>
              <w:bottom w:val="nil"/>
              <w:right w:val="nil"/>
            </w:tcBorders>
          </w:tcPr>
          <w:p w:rsidR="0048252D" w:rsidRPr="000E0F90" w:rsidRDefault="0048252D" w:rsidP="00267D36">
            <w:pPr>
              <w:spacing w:after="0" w:line="240" w:lineRule="auto"/>
              <w:rPr>
                <w:rFonts w:ascii="Arial" w:hAnsi="Arial" w:cs="Arial"/>
                <w:b/>
                <w:color w:val="000000" w:themeColor="text1"/>
                <w:sz w:val="20"/>
                <w:szCs w:val="20"/>
              </w:rPr>
            </w:pPr>
          </w:p>
        </w:tc>
        <w:tc>
          <w:tcPr>
            <w:tcW w:w="0" w:type="auto"/>
            <w:tcBorders>
              <w:top w:val="nil"/>
              <w:left w:val="nil"/>
              <w:bottom w:val="nil"/>
            </w:tcBorders>
          </w:tcPr>
          <w:p w:rsidR="0048252D" w:rsidRPr="00CC033B" w:rsidRDefault="0048252D" w:rsidP="00267D36">
            <w:pPr>
              <w:spacing w:after="0" w:line="240" w:lineRule="auto"/>
              <w:rPr>
                <w:rFonts w:ascii="Arial" w:hAnsi="Arial" w:cs="Arial"/>
                <w:color w:val="000000" w:themeColor="text1"/>
                <w:sz w:val="20"/>
                <w:szCs w:val="20"/>
              </w:rPr>
            </w:pPr>
            <w:r w:rsidRPr="00CC033B">
              <w:rPr>
                <w:rFonts w:ascii="Arial" w:hAnsi="Arial" w:cs="Arial"/>
                <w:color w:val="000000" w:themeColor="text1"/>
                <w:sz w:val="20"/>
                <w:szCs w:val="20"/>
              </w:rPr>
              <w:t xml:space="preserve">Dar cumplimiento íntegro a las normativas locales respecto a los impactos medioambientales, reducir al mínimo los desastres medioambientales, es decir que se realice un manejo medioambiental estratégico, lo cual refleja el compromiso de la actividad minera y otras actividades en el territorio </w:t>
            </w:r>
            <w:r w:rsidRPr="00CC033B">
              <w:rPr>
                <w:rFonts w:ascii="Arial" w:hAnsi="Arial" w:cs="Arial"/>
                <w:color w:val="000000" w:themeColor="text1"/>
                <w:sz w:val="20"/>
                <w:szCs w:val="20"/>
              </w:rPr>
              <w:fldChar w:fldCharType="begin" w:fldLock="1"/>
            </w:r>
            <w:r w:rsidRPr="00CC033B">
              <w:rPr>
                <w:rFonts w:ascii="Arial" w:hAnsi="Arial" w:cs="Arial"/>
                <w:color w:val="000000" w:themeColor="text1"/>
                <w:sz w:val="20"/>
                <w:szCs w:val="20"/>
              </w:rPr>
              <w:instrText>ADDIN CSL_CITATION { "citationItems" : [ { "id" : "ITEM-1", "itemData" : { "DOI" : "10.1016/S0959-6526(03)00075-1", "ISBN" : "4414836891", "ISSN" : "09596526", "author" : [ { "dropping-particle" : "", "family" : "Azapagic", "given" : "Adisa", "non-dropping-particle" : "", "parse-names" : false, "suffix" : "" } ], "container-title" : "Journal of Cleaner Production", "id" : "ITEM-1", "issue" : "6", "issued" : { "date-parts" : [ [ "2004", "8" ] ] }, "page" : "639-662", "title" : "Developing a framework for sustainable development indicators for the mining and minerals industry", "type" : "article-journal", "volume" : "12" }, "uris" : [ "http://www.mendeley.com/documents/?uuid=a36976cf-2e0f-4c41-bd50-7ef9e97ed91f" ] } ], "mendeley" : { "formattedCitation" : "(Azapagic, 2004)", "plainTextFormattedCitation" : "(Azapagic, 2004)", "previouslyFormattedCitation" : "(Azapagic, 2004)" }, "properties" : { "noteIndex" : 0 }, "schema" : "https://github.com/citation-style-language/schema/raw/master/csl-citation.json" }</w:instrText>
            </w:r>
            <w:r w:rsidRPr="00CC033B">
              <w:rPr>
                <w:rFonts w:ascii="Arial" w:hAnsi="Arial" w:cs="Arial"/>
                <w:color w:val="000000" w:themeColor="text1"/>
                <w:sz w:val="20"/>
                <w:szCs w:val="20"/>
              </w:rPr>
              <w:fldChar w:fldCharType="separate"/>
            </w:r>
            <w:r w:rsidRPr="00CC033B">
              <w:rPr>
                <w:rFonts w:ascii="Arial" w:hAnsi="Arial" w:cs="Arial"/>
                <w:noProof/>
                <w:color w:val="000000" w:themeColor="text1"/>
                <w:sz w:val="20"/>
                <w:szCs w:val="20"/>
              </w:rPr>
              <w:t>(Azapagic, 2004)</w:t>
            </w:r>
            <w:r w:rsidRPr="00CC033B">
              <w:rPr>
                <w:rFonts w:ascii="Arial" w:hAnsi="Arial" w:cs="Arial"/>
                <w:color w:val="000000" w:themeColor="text1"/>
                <w:sz w:val="20"/>
                <w:szCs w:val="20"/>
              </w:rPr>
              <w:fldChar w:fldCharType="end"/>
            </w:r>
            <w:r w:rsidRPr="00CC033B">
              <w:rPr>
                <w:rFonts w:ascii="Arial" w:hAnsi="Arial" w:cs="Arial"/>
                <w:color w:val="000000" w:themeColor="text1"/>
                <w:sz w:val="20"/>
                <w:szCs w:val="20"/>
              </w:rPr>
              <w:t>.</w:t>
            </w:r>
          </w:p>
        </w:tc>
      </w:tr>
      <w:tr w:rsidR="0048252D" w:rsidRPr="000E0F90" w:rsidTr="002A21E4">
        <w:trPr>
          <w:trHeight w:val="803"/>
        </w:trPr>
        <w:tc>
          <w:tcPr>
            <w:tcW w:w="0" w:type="auto"/>
            <w:vMerge w:val="restart"/>
            <w:tcBorders>
              <w:top w:val="nil"/>
              <w:bottom w:val="nil"/>
              <w:right w:val="nil"/>
            </w:tcBorders>
          </w:tcPr>
          <w:p w:rsidR="0048252D" w:rsidRPr="000E0F90" w:rsidRDefault="0048252D" w:rsidP="00267D36">
            <w:pPr>
              <w:spacing w:after="0" w:line="240" w:lineRule="auto"/>
              <w:rPr>
                <w:rFonts w:ascii="Arial" w:hAnsi="Arial" w:cs="Arial"/>
                <w:color w:val="000000" w:themeColor="text1"/>
                <w:sz w:val="20"/>
                <w:szCs w:val="20"/>
              </w:rPr>
            </w:pPr>
            <w:r w:rsidRPr="000E0F90">
              <w:rPr>
                <w:rFonts w:ascii="Arial" w:hAnsi="Arial" w:cs="Arial"/>
                <w:b/>
                <w:color w:val="000000" w:themeColor="text1"/>
                <w:sz w:val="20"/>
                <w:szCs w:val="20"/>
              </w:rPr>
              <w:t>Desarrollar el territorio de acuerdo a limitantes y oportunidades</w:t>
            </w:r>
            <w:r w:rsidRPr="000E0F90">
              <w:rPr>
                <w:rFonts w:ascii="Arial" w:hAnsi="Arial" w:cs="Arial"/>
                <w:color w:val="000000" w:themeColor="text1"/>
                <w:sz w:val="20"/>
                <w:szCs w:val="20"/>
              </w:rPr>
              <w:t xml:space="preserve"> del medioambiente local. Sostenibilidad dentro del espíritu del lugar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"ISSN" : "1993-3800", "abstract" : "New Urbanism New Urbanism is an urban design movement, which arose in the USA in the early 1980s, promoting walkable, mixed-use neighbourhoods and transit-oriented development, seeking to end suburban sprawl and promote community. Characteristics include narrow streets, wide sidewalks and higher densities, qualities which we can all find in the European cities. Green Urbanism Green Urbanism is a conceptual model for zero-emission and zero-waste urban design, which arose in the 1990s, promoting compact energy-efficient urban development, seeking to transform and re-engineer existing city districts and regenerate the post-industrial city centre. It promotes the development of socially and environmentally sustainable city districts. This paper will first look at the timeline of important publications that have been published on sustainable design and have emerged from different schools of thought, to exemplify how gradually the notion of Green Urbanism evolved. It then identifies the intertwined principles for achieving Green Urbanism.", "author" : [ { "dropping-particle" : "", "family" : "Lehmann", "given" : "Steffen", "non-dropping-particle" : "", "parse-names" : false, "suffix" : "" } ], "container-title" : "Survey And Perspectives Integrating Environment &amp; Society", "id" : "ITEM-1", "issue" : "October", "issued" : { "date-parts" : [ [ "2010" ] ] }, "page" : "Art. 6", "title" : "Green Urbanism: Formulating a Series of Holistic Principles.", "type" : "article-journal", "volume" : "3" }, "uris" : [ "http://www.mendeley.com/documents/?uuid=7b43f80a-d8ec-4748-a9dc-ee203f8b89d7" ] } ], "mendeley" : { "formattedCitation" : "(Lehmann, 2010)", "plainTextFormattedCitation" : "(Lehmann, 2010)", "previouslyFormattedCitation" : "(Lehmann, 2010)"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(Lehmann, 2010)</w:t>
            </w:r>
            <w:r w:rsidRPr="000E0F90">
              <w:rPr>
                <w:rFonts w:ascii="Arial" w:hAnsi="Arial" w:cs="Arial"/>
                <w:color w:val="000000" w:themeColor="text1"/>
                <w:sz w:val="20"/>
                <w:szCs w:val="20"/>
              </w:rPr>
              <w:fldChar w:fldCharType="end"/>
            </w:r>
            <w:r w:rsidRPr="000E0F90">
              <w:rPr>
                <w:rFonts w:ascii="Arial" w:hAnsi="Arial" w:cs="Arial"/>
                <w:color w:val="000000" w:themeColor="text1"/>
                <w:sz w:val="20"/>
                <w:szCs w:val="20"/>
              </w:rPr>
              <w:t xml:space="preserve"> (Armonía con la naturaleza)</w:t>
            </w:r>
          </w:p>
        </w:tc>
        <w:tc>
          <w:tcPr>
            <w:tcW w:w="0" w:type="auto"/>
            <w:tcBorders>
              <w:top w:val="nil"/>
              <w:left w:val="nil"/>
              <w:bottom w:val="nil"/>
            </w:tcBorders>
          </w:tcPr>
          <w:p w:rsidR="0048252D" w:rsidRPr="000E0F90" w:rsidRDefault="0048252D" w:rsidP="00267D36">
            <w:pPr>
              <w:spacing w:after="0" w:line="240" w:lineRule="auto"/>
              <w:rPr>
                <w:rFonts w:ascii="Arial" w:hAnsi="Arial" w:cs="Arial"/>
                <w:color w:val="000000" w:themeColor="text1"/>
                <w:sz w:val="20"/>
                <w:szCs w:val="20"/>
              </w:rPr>
            </w:pPr>
            <w:r w:rsidRPr="000E0F90">
              <w:rPr>
                <w:rFonts w:ascii="Arial" w:hAnsi="Arial" w:cs="Arial"/>
                <w:color w:val="000000" w:themeColor="text1"/>
                <w:sz w:val="20"/>
                <w:szCs w:val="20"/>
              </w:rPr>
              <w:t xml:space="preserve">Desarrollar actividades humanas de acuerdo a las condiciones, biofísicas, culturales, históricas, económicas y políticas locales (armonía)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"DOI" : "10.1016/j.landurbplan.2013.06.002", "ISBN" : "0169-2046", "ISSN" : "01692046", "abstract" : "The proportion of urban population is increasing globally. Climate change, biodiversity loss, and environmental pollution are leading to the urgent need to increase sustainable development of and through cities and their components. Encouraging and enabling sustainable lifestyles of urban inhabitants can be fostered by developing sustainable urban neighborhoods as the nuclei of cities. Numerous approaches exist that define principles for guiding sustainable development processes of urban neighborhoods. However, it remains unclear if these approaches really consider the core objectives that should be achieved and key actions that are involved to move toward sustainability. This study represents the first quantitative review that evaluates the principles for sustainable urban neighborhood development based on the available literature. We thus (i) identify promising approaches that present principles close to core criteria for sustainability and (ii) provide starting points for developing a more robust set of principles by bringing together the examined literature. Furthermore (iii), sustainability aspects that are insufficiently covered are highlighted. Based on the findings (iv) a road map is outlined to encourage further research on the elaboration of a sufficient set of principles for sustainable urban neighborhood development. \u00a9 2013 Elsevier B.V.", "author" : [ { "dropping-particle" : "", "family" : "Luederitz", "given" : "Christopher", "non-dropping-particle" : "", "parse-names" : false, "suffix" : "" }, { "dropping-particle" : "", "family" : "Lang", "given" : "Daniel J.", "non-dropping-particle" : "", "parse-names" : false, "suffix" : "" }, { "dropping-particle" : "", "family" : "Wehrden", "given" : "Henrik", "non-dropping-particle" : "Von", "parse-names" : false, "suffix" : "" } ], "container-title" : "Landscape and Urban Planning", "id" : "ITEM-1", "issued" : { "date-parts" : [ [ "2013" ] ] }, "page" : "40-52", "publisher" : "Elsevier B.V.", "title" : "A systematic review of guiding principles for sustainable urban neighborhood development", "type" : "article-journal", "volume" : "118" }, "uris" : [ "http://www.mendeley.com/documents/?uuid=6bcfcece-dda2-466f-b77d-29fdaec204ad" ] } ], "mendeley" : { "formattedCitation" : "(Luederitz et al., 2013)", "plainTextFormattedCitation" : "(Luederitz et al., 2013)", "previouslyFormattedCitation" : "(Luederitz et al., 2013)"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(Luederitz et al., 2013)</w:t>
            </w:r>
            <w:r w:rsidRPr="000E0F90">
              <w:rPr>
                <w:rFonts w:ascii="Arial" w:hAnsi="Arial" w:cs="Arial"/>
                <w:color w:val="000000" w:themeColor="text1"/>
                <w:sz w:val="20"/>
                <w:szCs w:val="20"/>
              </w:rPr>
              <w:fldChar w:fldCharType="end"/>
            </w:r>
            <w:r w:rsidRPr="000E0F90">
              <w:rPr>
                <w:rFonts w:ascii="Arial" w:hAnsi="Arial" w:cs="Arial"/>
                <w:color w:val="000000" w:themeColor="text1"/>
                <w:sz w:val="20"/>
                <w:szCs w:val="20"/>
              </w:rPr>
              <w:t xml:space="preserve">; Gestión y uso de suelo compatibles con el potencial natural de la zona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"DOI" : "10.1890/0012-9623(2000)081[0272:EPCOE]2.0.CO;2", "ISBN" : "1051-0761", "ISSN" : "0012-9623", "PMID" : "2641032", "abstract" : "The many ways that people have used and managed land throughout history has emerged as a primary cause of land-cover change around the world. Thus, land use and land management increasingly represent a fundamental source of change in the global environment. Despite their global importance, however, many decisions about the management and use of land are made with scant attention to ecological impacts. Thus, ecologists\u2019 knowledge of the functioning of Earth\u2019s ecosystems is needed to broaden the scientific basis of decisions on land use and management. In response to this need, the Ecological Society of America established a committee to examine the ways that land-use decisions are made and the ways that ecologists could help inform those decisions. This paper reports the scientific findings of that committee. Five principles of ecological science have particular implications for land use and can assure that fundamental processes of Earth\u2019s ecosystems are sustained. These ecological principles deal with time, species, place, dis- turbance, and the landscape. The recognition that ecological processes occur within a temporal setting and change over time is fundamental to analyzing the effects of land use. In addition, individual species and networks of interacting species have strong and far-reaching effects on ecological processes. Furthermore, each site or region has a unique set of organisms and abiotic conditions influencing and constraining ecological processes. Distur- bances are important and ubiquitous ecological events whose effects may strongly influence population, com- munity, and ecosystem dynamics. Finally, the size, shape, and spatial relationships of habitat patches on the landscape affect the structure and function of ecosystems. The responses of the land to changes in use and management by people depend on expressions of these fundamental principles in nature. These principles dictate several guidelines for land use. The guidelines give practical rules of thumb for incorporating ecological principles into land-use decision making. These guidelines suggest that land managers should: (1) examine impacts of local decisions in a regional context, (2) plan for long-termchange and unexpected events, (3) preserve rare landscape elements and associated species, (4) avoid land uses that deplete natural resources, (5) retain large contiguous or connected areas that contain critical habitats, (6) minimize the intro- duction and spread of nonnative sp\u2026", "author" : [ { "dropping-particle" : "", "family" : "Dale", "given" : "Vh", "non-dropping-particle" : "", "parse-names" : false, "suffix" : "" }, { "dropping-particle" : "", "family" : "Brown", "given" : "S", "non-dropping-particle" : "", "parse-names" : false, "suffix" : "" }, { "dropping-particle" : "", "family" : "Haeuber", "given" : "Ra", "non-dropping-particle" : "", "parse-names" : false, "suffix" : "" } ], "container-title" : "Ecological Applications", "id" : "ITEM-1", "issue" : "3", "issued" : { "date-parts" : [ [ "2000" ] ] }, "page" : "639-670", "title" : "Ecological Principles and Guidelines for Managing the use of Land", "type" : "article-journal", "volume" : "10" }, "uris" : [ "http://www.mendeley.com/documents/?uuid=bc0e4508-68ba-43f1-b8ad-4ce0d03c2491" ] } ], "mendeley" : { "formattedCitation" : "(Dale et al., 2000)", "plainTextFormattedCitation" : "(Dale et al., 2000)", "previouslyFormattedCitation" : "(Dale et al., 2000)"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(Dale et al., 2000)</w:t>
            </w:r>
            <w:r w:rsidRPr="000E0F90">
              <w:rPr>
                <w:rFonts w:ascii="Arial" w:hAnsi="Arial" w:cs="Arial"/>
                <w:color w:val="000000" w:themeColor="text1"/>
                <w:sz w:val="20"/>
                <w:szCs w:val="20"/>
              </w:rPr>
              <w:fldChar w:fldCharType="end"/>
            </w:r>
          </w:p>
        </w:tc>
      </w:tr>
      <w:tr w:rsidR="0048252D" w:rsidRPr="000E0F90" w:rsidTr="002A21E4">
        <w:tc>
          <w:tcPr>
            <w:tcW w:w="0" w:type="auto"/>
            <w:vMerge/>
            <w:tcBorders>
              <w:top w:val="nil"/>
              <w:bottom w:val="nil"/>
              <w:right w:val="nil"/>
            </w:tcBorders>
          </w:tcPr>
          <w:p w:rsidR="0048252D" w:rsidRPr="000E0F90" w:rsidRDefault="0048252D" w:rsidP="00267D36">
            <w:pPr>
              <w:spacing w:after="0" w:line="240" w:lineRule="auto"/>
              <w:rPr>
                <w:rFonts w:ascii="Arial" w:hAnsi="Arial" w:cs="Arial"/>
                <w:color w:val="000000" w:themeColor="text1"/>
                <w:sz w:val="20"/>
                <w:szCs w:val="20"/>
              </w:rPr>
            </w:pPr>
          </w:p>
        </w:tc>
        <w:tc>
          <w:tcPr>
            <w:tcW w:w="0" w:type="auto"/>
            <w:tcBorders>
              <w:top w:val="nil"/>
              <w:left w:val="nil"/>
              <w:bottom w:val="nil"/>
            </w:tcBorders>
          </w:tcPr>
          <w:p w:rsidR="0048252D" w:rsidRPr="000E0F90" w:rsidRDefault="0048252D" w:rsidP="00267D36">
            <w:pPr>
              <w:spacing w:after="0" w:line="240" w:lineRule="auto"/>
              <w:rPr>
                <w:rFonts w:ascii="Arial" w:hAnsi="Arial" w:cs="Arial"/>
                <w:color w:val="000000" w:themeColor="text1"/>
                <w:sz w:val="20"/>
                <w:szCs w:val="20"/>
              </w:rPr>
            </w:pPr>
            <w:r w:rsidRPr="000E0F90">
              <w:rPr>
                <w:rFonts w:ascii="Arial" w:hAnsi="Arial" w:cs="Arial"/>
                <w:color w:val="000000" w:themeColor="text1"/>
                <w:sz w:val="20"/>
                <w:szCs w:val="20"/>
              </w:rPr>
              <w:t xml:space="preserve">Actividades de desarrollo y uso de suelo deben adaptarse a los procesos ecosistémicos, en lugar de modificarlos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"DOI" : "10.1080/01944360008976081", "ISBN" : "0194-4363", "ISSN" : "01944363", "PMID" : "2989497", "abstract" : "A set of six principles are set forth that define and operationalize the concept of sustainable development. Using these six principles, a sample of 30 comprehensive plans was evaluated to determine how well their policies support sustainable development. Findings indicate no significant differences in how extensively sustainability principles are supported between the plans that state an intention to integrate sustainable development and those that do not. In addition, these plans do not provide balanced support of all six sustainability principles, as they support some principles significantly more than others.", "author" : [ { "dropping-particle" : "", "family" : "Berke", "given" : "Philip R", "non-dropping-particle" : "", "parse-names" : false, "suffix" : "" }, { "dropping-particle" : "", "family" : "Conroy", "given" : "Maria Manta", "non-dropping-particle" : "", "parse-names" : false, "suffix" : "" } ], "container-title" : "American Planning Association.Journal of the American Planning Association", "id" : "ITEM-1", "issue" : "September", "issued" : { "date-parts" : [ [ "2000" ] ] }, "page" : "21", "title" : "Are we planning for sustainable development?", "type" : "article-journal", "volume" : "66" }, "uris" : [ "http://www.mendeley.com/documents/?uuid=9c8f081f-71c5-4194-83b6-25e26c52bc06" ] } ], "mendeley" : { "formattedCitation" : "(Berke &amp; Conroy, 2000)", "plainTextFormattedCitation" : "(Berke &amp; Conroy, 2000)", "previouslyFormattedCitation" : "(Berke &amp; Conroy, 2000)"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(Berke &amp; Conroy, 2000)</w:t>
            </w:r>
            <w:r w:rsidRPr="000E0F90">
              <w:rPr>
                <w:rFonts w:ascii="Arial" w:hAnsi="Arial" w:cs="Arial"/>
                <w:color w:val="000000" w:themeColor="text1"/>
                <w:sz w:val="20"/>
                <w:szCs w:val="20"/>
              </w:rPr>
              <w:fldChar w:fldCharType="end"/>
            </w:r>
          </w:p>
        </w:tc>
      </w:tr>
      <w:tr w:rsidR="0048252D" w:rsidRPr="000E0F90" w:rsidTr="002A21E4">
        <w:tc>
          <w:tcPr>
            <w:tcW w:w="0" w:type="auto"/>
            <w:vMerge w:val="restart"/>
            <w:tcBorders>
              <w:top w:val="nil"/>
              <w:bottom w:val="nil"/>
              <w:right w:val="nil"/>
            </w:tcBorders>
          </w:tcPr>
          <w:p w:rsidR="0048252D" w:rsidRPr="000E0F90" w:rsidRDefault="0048252D" w:rsidP="0085297A">
            <w:pPr>
              <w:spacing w:after="0" w:line="240" w:lineRule="auto"/>
              <w:rPr>
                <w:rFonts w:ascii="Arial" w:hAnsi="Arial" w:cs="Arial"/>
                <w:color w:val="000000" w:themeColor="text1"/>
                <w:sz w:val="20"/>
                <w:szCs w:val="20"/>
              </w:rPr>
            </w:pPr>
            <w:r w:rsidRPr="000E0F90">
              <w:rPr>
                <w:rFonts w:ascii="Arial" w:hAnsi="Arial" w:cs="Arial"/>
                <w:color w:val="000000" w:themeColor="text1"/>
                <w:sz w:val="20"/>
                <w:szCs w:val="20"/>
              </w:rPr>
              <w:t>Reducir los impactos negativos directos e indirectos</w:t>
            </w:r>
            <w:r w:rsidRPr="000E0F90">
              <w:rPr>
                <w:rFonts w:ascii="Arial" w:hAnsi="Arial" w:cs="Arial"/>
                <w:b/>
                <w:bCs/>
                <w:color w:val="000000" w:themeColor="text1"/>
                <w:sz w:val="20"/>
                <w:szCs w:val="20"/>
              </w:rPr>
              <w:t xml:space="preserve"> en el medioambiente contiguo.</w:t>
            </w:r>
            <w:r w:rsidRPr="000E0F90">
              <w:rPr>
                <w:rFonts w:ascii="Arial" w:hAnsi="Arial" w:cs="Arial"/>
                <w:color w:val="000000" w:themeColor="text1"/>
                <w:sz w:val="20"/>
                <w:szCs w:val="20"/>
              </w:rPr>
              <w:t xml:space="preserve"> Identificar </w:t>
            </w:r>
            <w:r w:rsidRPr="000E0F90">
              <w:rPr>
                <w:rFonts w:ascii="Arial" w:hAnsi="Arial" w:cs="Arial"/>
                <w:b/>
                <w:color w:val="000000" w:themeColor="text1"/>
                <w:sz w:val="20"/>
                <w:szCs w:val="20"/>
              </w:rPr>
              <w:t>el área circundante que es afectada</w:t>
            </w:r>
            <w:r w:rsidRPr="000E0F90">
              <w:rPr>
                <w:rFonts w:ascii="Arial" w:hAnsi="Arial" w:cs="Arial"/>
                <w:color w:val="000000" w:themeColor="text1"/>
                <w:sz w:val="20"/>
                <w:szCs w:val="20"/>
              </w:rPr>
              <w:t xml:space="preserve">,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"DOI" : "10.1890/0012-9623(2000)081[0272:EPCOE]2.0.CO;2", "ISBN" : "1051-0761", "ISSN" : "0012-9623", "PMID" : "2641032", "abstract" : "The many ways that people have used and managed land throughout history has emerged as a primary cause of land-cover change around the world. Thus, land use and land management increasingly represent a fundamental source of change in the global environment. Despite their global importance, however, many decisions about the management and use of land are made with scant attention to ecological impacts. Thus, ecologists\u2019 knowledge of the functioning of Earth\u2019s ecosystems is needed to broaden the scientific basis of decisions on land use and management. In response to this need, the Ecological Society of America established a committee to examine the ways that land-use decisions are made and the ways that ecologists could help inform those decisions. This paper reports the scientific findings of that committee. Five principles of ecological science have particular implications for land use and can assure that fundamental processes of Earth\u2019s ecosystems are sustained. These ecological principles deal with time, species, place, dis- turbance, and the landscape. The recognition that ecological processes occur within a temporal setting and change over time is fundamental to analyzing the effects of land use. In addition, individual species and networks of interacting species have strong and far-reaching effects on ecological processes. Furthermore, each site or region has a unique set of organisms and abiotic conditions influencing and constraining ecological processes. Distur- bances are important and ubiquitous ecological events whose effects may strongly influence population, com- munity, and ecosystem dynamics. Finally, the size, shape, and spatial relationships of habitat patches on the landscape affect the structure and function of ecosystems. The responses of the land to changes in use and management by people depend on expressions of these fundamental principles in nature. These principles dictate several guidelines for land use. The guidelines give practical rules of thumb for incorporating ecological principles into land-use decision making. These guidelines suggest that land managers should: (1) examine impacts of local decisions in a regional context, (2) plan for long-termchange and unexpected events, (3) preserve rare landscape elements and associated species, (4) avoid land uses that deplete natural resources, (5) retain large contiguous or connected areas that contain critical habitats, (6) minimize the intro- duction and spread of nonnative sp\u2026", "author" : [ { "dropping-particle" : "", "family" : "Dale", "given" : "Vh", "non-dropping-particle" : "", "parse-names" : false, "suffix" : "" }, { "dropping-particle" : "", "family" : "Brown", "given" : "S", "non-dropping-particle" : "", "parse-names" : false, "suffix" : "" }, { "dropping-particle" : "", "family" : "Haeuber", "given" : "Ra", "non-dropping-particle" : "", "parse-names" : false, "suffix" : "" } ], "container-title" : "Ecological Applications", "id" : "ITEM-1", "issue" : "3", "issued" : { "date-parts" : [ [ "2000" ] ] }, "page" : "639-670", "title" : "Ecological Principles and Guidelines for Managing the use of Land", "type" : "article-journal", "volume" : "10" }, "uris" : [ "http://www.mendeley.com/documents/?uuid=bc0e4508-68ba-43f1-b8ad-4ce0d03c2491" ] }, { "id" : "ITEM-2", "itemData" : { "DOI" : "10.1016/j.landurbplan.2013.06.002", "ISBN" : "0169-2046", "ISSN" : "01692046", "abstract" : "The proportion of urban population is increasing globally. Climate change, biodiversity loss, and environmental pollution are leading to the urgent need to increase sustainable development of and through cities and their components. Encouraging and enabling sustainable lifestyles of urban inhabitants can be fostered by developing sustainable urban neighborhoods as the nuclei of cities. Numerous approaches exist that define principles for guiding sustainable development processes of urban neighborhoods. However, it remains unclear if these approaches really consider the core objectives that should be achieved and key actions that are involved to move toward sustainability. This study represents the first quantitative review that evaluates the principles for sustainable urban neighborhood development based on the available literature. We thus (i) identify promising approaches that present principles close to core criteria for sustainability and (ii) provide starting points for developing a more robust set of principles by bringing together the examined literature. Furthermore (iii), sustainability aspects that are insufficiently covered are highlighted. Based on the findings (iv) a road map is outlined to encourage further research on the elaboration of a sufficient set of principles for sustainable urban neighborhood development. \u00a9 2013 Elsevier B.V.", "author" : [ { "dropping-particle" : "", "family" : "Luederitz", "given" : "Christopher", "non-dropping-particle" : "", "parse-names" : false, "suffix" : "" }, { "dropping-particle" : "", "family" : "Lang", "given" : "Daniel J.", "non-dropping-particle" : "", "parse-names" : false, "suffix" : "" }, { "dropping-particle" : "", "family" : "Wehrden", "given" : "Henrik", "non-dropping-particle" : "Von", "parse-names" : false, "suffix" : "" } ], "container-title" : "Landscape and Urban Planning", "id" : "ITEM-2", "issued" : { "date-parts" : [ [ "2013" ] ] }, "page" : "40-52", "publisher" : "Elsevier B.V.", "title" : "A systematic review of guiding principles for sustainable urban neighborhood development", "type" : "article-journal", "volume" : "118" }, "uris" : [ "http://www.mendeley.com/documents/?uuid=6bcfcece-dda2-466f-b77d-29fdaec204ad" ] }, { "id" : "ITEM-3", "itemData" : { "DOI" : "10.1016/j.eiar.2011.03.004", "ISSN" : "01959255", "author" : [ { "dropping-particle" : "", "family" : "P\u00e9ti", "given" : "M\u00e1rton", "non-dropping-particle" : "", "parse-names" : false, "suffix" : "" } ], "container-title" : "Environmental Impact Assessment Review", "id" : "ITEM-3", "issue" : "1", "issued" : { "date-parts" : [ [ "2012", "1" ] ] }, "page" : "61-73", "publisher" : "Elsevier Inc.", "title" : "A territorial understanding of sustainability in public development", "type" : "article-journal", "volume" : "32" }, "uris" : [ "http://www.mendeley.com/documents/?uuid=2c50d869-67be-4755-b16b-fcbc56b8af44" ] } ], "mendeley" : { "formattedCitation" : "(Dale et al., 2000; Luederitz et al., 2013; P\u00e9ti, 2012)", "plainTextFormattedCitation" : "(Dale et al., 2000; Luederitz et al., 2013; P\u00e9ti, 2012)", "previouslyFormattedCitation" : "(Dale et al., 2000; Luederitz et al., 2013; P\u00e9ti, 2012)"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(Dale et al., 2000; Luederitz et al., 2013; Péti, 2012)</w:t>
            </w:r>
            <w:r w:rsidRPr="000E0F90">
              <w:rPr>
                <w:rFonts w:ascii="Arial" w:hAnsi="Arial" w:cs="Arial"/>
                <w:color w:val="000000" w:themeColor="text1"/>
                <w:sz w:val="20"/>
                <w:szCs w:val="20"/>
              </w:rPr>
              <w:fldChar w:fldCharType="end"/>
            </w:r>
            <w:r w:rsidRPr="000E0F90">
              <w:rPr>
                <w:rFonts w:ascii="Arial" w:hAnsi="Arial" w:cs="Arial"/>
                <w:color w:val="000000" w:themeColor="text1"/>
                <w:sz w:val="20"/>
                <w:szCs w:val="20"/>
              </w:rPr>
              <w:t xml:space="preserve"> </w:t>
            </w:r>
          </w:p>
        </w:tc>
        <w:tc>
          <w:tcPr>
            <w:tcW w:w="0" w:type="auto"/>
            <w:tcBorders>
              <w:top w:val="nil"/>
              <w:left w:val="nil"/>
              <w:bottom w:val="nil"/>
            </w:tcBorders>
          </w:tcPr>
          <w:p w:rsidR="0048252D" w:rsidRPr="00CC033B" w:rsidRDefault="0048252D" w:rsidP="00267D36">
            <w:pPr>
              <w:spacing w:after="0" w:line="240" w:lineRule="auto"/>
              <w:rPr>
                <w:rFonts w:ascii="Arial" w:hAnsi="Arial" w:cs="Arial"/>
                <w:color w:val="000000" w:themeColor="text1"/>
                <w:sz w:val="20"/>
                <w:szCs w:val="20"/>
              </w:rPr>
            </w:pPr>
            <w:r w:rsidRPr="00CC033B">
              <w:rPr>
                <w:rFonts w:ascii="Arial" w:hAnsi="Arial" w:cs="Arial"/>
                <w:color w:val="000000" w:themeColor="text1"/>
                <w:sz w:val="20"/>
                <w:szCs w:val="20"/>
              </w:rPr>
              <w:t>Regionalismo responsable.</w:t>
            </w:r>
            <w:r w:rsidR="0049698D" w:rsidRPr="00CC033B">
              <w:rPr>
                <w:rFonts w:ascii="Arial" w:hAnsi="Arial" w:cs="Arial"/>
                <w:color w:val="000000" w:themeColor="text1"/>
                <w:sz w:val="20"/>
                <w:szCs w:val="20"/>
              </w:rPr>
              <w:t xml:space="preserve"> </w:t>
            </w:r>
            <w:r w:rsidRPr="00CC033B">
              <w:rPr>
                <w:rFonts w:ascii="Arial" w:hAnsi="Arial" w:cs="Arial"/>
                <w:color w:val="000000" w:themeColor="text1"/>
                <w:sz w:val="20"/>
                <w:szCs w:val="20"/>
              </w:rPr>
              <w:t xml:space="preserve">Las comunidades no deben actuar en pos de sus propios intereses si eso conlleva el detrimento de otras comunidades, deben ser responsables de las consecuencias de sus acciones. Una jurisdicción local tiene la obligación de minimizar el daño impuesto a otra jurisdicción en la consecución de sus objetivos  </w:t>
            </w:r>
            <w:r w:rsidRPr="00CC033B">
              <w:rPr>
                <w:rFonts w:ascii="Arial" w:hAnsi="Arial" w:cs="Arial"/>
                <w:color w:val="000000" w:themeColor="text1"/>
                <w:sz w:val="20"/>
                <w:szCs w:val="20"/>
              </w:rPr>
              <w:fldChar w:fldCharType="begin" w:fldLock="1"/>
            </w:r>
            <w:r w:rsidRPr="00CC033B">
              <w:rPr>
                <w:rFonts w:ascii="Arial" w:hAnsi="Arial" w:cs="Arial"/>
                <w:color w:val="000000" w:themeColor="text1"/>
                <w:sz w:val="20"/>
                <w:szCs w:val="20"/>
              </w:rPr>
              <w:instrText>ADDIN CSL_CITATION { "citationItems" : [ { "id" : "ITEM-1", "itemData" : { "DOI" : "10.1080/01944360008976081", "ISBN" : "0194-4363", "ISSN" : "01944363", "PMID" : "2989497", "abstract" : "A set of six principles are set forth that define and operationalize the concept of sustainable development. Using these six principles, a sample of 30 comprehensive plans was evaluated to determine how well their policies support sustainable development. Findings indicate no significant differences in how extensively sustainability principles are supported between the plans that state an intention to integrate sustainable development and those that do not. In addition, these plans do not provide balanced support of all six sustainability principles, as they support some principles significantly more than others.", "author" : [ { "dropping-particle" : "", "family" : "Berke", "given" : "Philip R", "non-dropping-particle" : "", "parse-names" : false, "suffix" : "" }, { "dropping-particle" : "", "family" : "Conroy", "given" : "Maria Manta", "non-dropping-particle" : "", "parse-names" : false, "suffix" : "" } ], "container-title" : "American Planning Association.Journal of the American Planning Association", "id" : "ITEM-1", "issue" : "September", "issued" : { "date-parts" : [ [ "2000" ] ] }, "page" : "21", "title" : "Are we planning for sustainable development?", "type" : "article-journal", "volume" : "66" }, "uris" : [ "http://www.mendeley.com/documents/?uuid=9c8f081f-71c5-4194-83b6-25e26c52bc06" ] } ], "mendeley" : { "formattedCitation" : "(Berke &amp; Conroy, 2000)", "plainTextFormattedCitation" : "(Berke &amp; Conroy, 2000)", "previouslyFormattedCitation" : "(Berke &amp; Conroy, 2000)" }, "properties" : { "noteIndex" : 0 }, "schema" : "https://github.com/citation-style-language/schema/raw/master/csl-citation.json" }</w:instrText>
            </w:r>
            <w:r w:rsidRPr="00CC033B">
              <w:rPr>
                <w:rFonts w:ascii="Arial" w:hAnsi="Arial" w:cs="Arial"/>
                <w:color w:val="000000" w:themeColor="text1"/>
                <w:sz w:val="20"/>
                <w:szCs w:val="20"/>
              </w:rPr>
              <w:fldChar w:fldCharType="separate"/>
            </w:r>
            <w:r w:rsidRPr="00CC033B">
              <w:rPr>
                <w:rFonts w:ascii="Arial" w:hAnsi="Arial" w:cs="Arial"/>
                <w:noProof/>
                <w:color w:val="000000" w:themeColor="text1"/>
                <w:sz w:val="20"/>
                <w:szCs w:val="20"/>
              </w:rPr>
              <w:t>(Berke &amp; Conroy, 2000)</w:t>
            </w:r>
            <w:r w:rsidRPr="00CC033B">
              <w:rPr>
                <w:rFonts w:ascii="Arial" w:hAnsi="Arial" w:cs="Arial"/>
                <w:color w:val="000000" w:themeColor="text1"/>
                <w:sz w:val="20"/>
                <w:szCs w:val="20"/>
              </w:rPr>
              <w:fldChar w:fldCharType="end"/>
            </w:r>
          </w:p>
        </w:tc>
      </w:tr>
      <w:tr w:rsidR="0048252D" w:rsidRPr="000E0F90" w:rsidTr="002A21E4">
        <w:tc>
          <w:tcPr>
            <w:tcW w:w="0" w:type="auto"/>
            <w:vMerge/>
            <w:tcBorders>
              <w:top w:val="nil"/>
              <w:bottom w:val="nil"/>
              <w:right w:val="nil"/>
            </w:tcBorders>
          </w:tcPr>
          <w:p w:rsidR="0048252D" w:rsidRPr="000E0F90" w:rsidRDefault="0048252D" w:rsidP="0085297A">
            <w:pPr>
              <w:spacing w:after="0" w:line="240" w:lineRule="auto"/>
              <w:rPr>
                <w:rFonts w:ascii="Arial" w:hAnsi="Arial" w:cs="Arial"/>
                <w:color w:val="000000" w:themeColor="text1"/>
                <w:sz w:val="20"/>
                <w:szCs w:val="20"/>
              </w:rPr>
            </w:pPr>
          </w:p>
        </w:tc>
        <w:tc>
          <w:tcPr>
            <w:tcW w:w="0" w:type="auto"/>
            <w:tcBorders>
              <w:top w:val="nil"/>
              <w:left w:val="nil"/>
              <w:bottom w:val="nil"/>
            </w:tcBorders>
          </w:tcPr>
          <w:p w:rsidR="0048252D" w:rsidRPr="000E0F90" w:rsidRDefault="0048252D" w:rsidP="00FE27AA">
            <w:pPr>
              <w:spacing w:after="0" w:line="240" w:lineRule="auto"/>
              <w:rPr>
                <w:rFonts w:ascii="Arial" w:hAnsi="Arial" w:cs="Arial"/>
                <w:color w:val="000000" w:themeColor="text1"/>
                <w:sz w:val="20"/>
                <w:szCs w:val="20"/>
              </w:rPr>
            </w:pPr>
            <w:r w:rsidRPr="000E0F90">
              <w:rPr>
                <w:rFonts w:ascii="Arial" w:hAnsi="Arial" w:cs="Arial"/>
                <w:color w:val="000000" w:themeColor="text1"/>
                <w:sz w:val="20"/>
                <w:szCs w:val="20"/>
              </w:rPr>
              <w:t xml:space="preserve">Impactos asociados al ruido, suciedad, olores, vibraciones, hundimiento de terrenos, contaminación de polvo por movimiento de vehículos y traslado de partículas, impacto visual, entre otras, de la actividad minera deben ser evitados y atendidos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"DOI" : "10.1016/S0959-6526(03)00075-1", "ISBN" : "4414836891", "ISSN" : "09596526", "author" : [ { "dropping-particle" : "", "family" : "Azapagic", "given" : "Adisa", "non-dropping-particle" : "", "parse-names" : false, "suffix" : "" } ], "container-title" : "Journal of Cleaner Production", "id" : "ITEM-1", "issue" : "6", "issued" : { "date-parts" : [ [ "2004", "8" ] ] }, "page" : "639-662", "title" : "Developing a framework for sustainable development indicators for the mining and minerals industry", "type" : "article-journal", "volume" : "12" }, "uris" : [ "http://www.mendeley.com/documents/?uuid=a36976cf-2e0f-4c41-bd50-7ef9e97ed91f" ] } ], "mendeley" : { "formattedCitation" : "(Azapagic, 2004)", "plainTextFormattedCitation" : "(Azapagic, 2004)", "previouslyFormattedCitation" : "(Azapagic, 2004)"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(Azapagic, 2004)</w:t>
            </w:r>
            <w:r w:rsidRPr="000E0F90">
              <w:rPr>
                <w:rFonts w:ascii="Arial" w:hAnsi="Arial" w:cs="Arial"/>
                <w:color w:val="000000" w:themeColor="text1"/>
                <w:sz w:val="20"/>
                <w:szCs w:val="20"/>
              </w:rPr>
              <w:fldChar w:fldCharType="end"/>
            </w:r>
            <w:r w:rsidRPr="000E0F90">
              <w:rPr>
                <w:rFonts w:ascii="Arial" w:hAnsi="Arial" w:cs="Arial"/>
                <w:color w:val="000000" w:themeColor="text1"/>
                <w:sz w:val="20"/>
                <w:szCs w:val="20"/>
              </w:rPr>
              <w:t xml:space="preserve">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"DOI" : "10.1016/j.jclepro.2017.03.047", "ISBN" : "9789289347945", "ISSN" : "09596526", "abstract" : "The mining industry has a major impact on society - from an economic, environmental and social perspective and due to a vast number of criteria. Which criteria should be given priority depends on where the mining operations take place. This paper's focus on the Nordic mining industry is partly due to the positive economic trend that the industry is currently experiencing and partly because very little research has been conducted on how the European mining industry addresses sustainability. The purpose of this study is therefore to examine the Nordic mining industry's sustainability practices and to develop guidelines for such efforts. The research methods used in the study include a literature review, a content analysis of sustainability reports, a review of existing sustainability initiatives, guidelines and tools, a stakeholder survey and interviews with mining company officials. Based on the findings, sustainability criteria guidelines for the Nordic mining industry are suggested in the areas of corporate governance, fair operating practices, economic aspects, human rights, labour practices, society and the environment. The content of the guidelines is discussed in the light of the sustainability practices performed by the studied mining companies.", "author" : [ { "dropping-particle" : "", "family" : "Ran\u00e4ngen", "given" : "Helena", "non-dropping-particle" : "", "parse-names" : false, "suffix" : "" }, { "dropping-particle" : "", "family" : "Lindman", "given" : "\u00c5sa", "non-dropping-particle" : "", "parse-names" : false, "suffix" : "" } ], "container-title" : "Journal of Cleaner Production", "id" : "ITEM-1", "issued" : { "date-parts" : [ [ "2017" ] ] }, "page" : "43-52", "title" : "A path towards sustainability for the Nordic mining industry", "type" : "article-journal", "volume" : "151" }, "uris" : [ "http://www.mendeley.com/documents/?uuid=6c35c3e3-ee0c-4b28-8acc-e8d00b36d33a" ] } ], "mendeley" : { "formattedCitation" : "(Ran\u00e4ngen &amp; Lindman, 2017)", "plainTextFormattedCitation" : "(Ran\u00e4ngen &amp; Lindman, 2017)", "previouslyFormattedCitation" : "(Ran\u00e4ngen &amp; Lindman, 2017)"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(Ranängen &amp; Lindman, 2017)</w:t>
            </w:r>
            <w:r w:rsidRPr="000E0F90">
              <w:rPr>
                <w:rFonts w:ascii="Arial" w:hAnsi="Arial" w:cs="Arial"/>
                <w:color w:val="000000" w:themeColor="text1"/>
                <w:sz w:val="20"/>
                <w:szCs w:val="20"/>
              </w:rPr>
              <w:fldChar w:fldCharType="end"/>
            </w:r>
            <w:r w:rsidRPr="000E0F90">
              <w:rPr>
                <w:rFonts w:ascii="Arial" w:hAnsi="Arial" w:cs="Arial"/>
                <w:color w:val="000000" w:themeColor="text1"/>
                <w:sz w:val="20"/>
                <w:szCs w:val="20"/>
              </w:rPr>
              <w:t xml:space="preserve">. </w:t>
            </w:r>
          </w:p>
        </w:tc>
      </w:tr>
      <w:tr w:rsidR="002576A6" w:rsidRPr="000E0F90" w:rsidTr="002A21E4">
        <w:tc>
          <w:tcPr>
            <w:tcW w:w="0" w:type="auto"/>
            <w:vMerge w:val="restart"/>
            <w:tcBorders>
              <w:top w:val="nil"/>
              <w:bottom w:val="nil"/>
              <w:right w:val="nil"/>
            </w:tcBorders>
          </w:tcPr>
          <w:p w:rsidR="002576A6" w:rsidRPr="000E0F90" w:rsidRDefault="002576A6" w:rsidP="0085297A">
            <w:pPr>
              <w:spacing w:after="0" w:line="240" w:lineRule="auto"/>
              <w:rPr>
                <w:rFonts w:ascii="Arial" w:hAnsi="Arial" w:cs="Arial"/>
                <w:color w:val="000000" w:themeColor="text1"/>
                <w:sz w:val="20"/>
                <w:szCs w:val="20"/>
              </w:rPr>
            </w:pPr>
            <w:r w:rsidRPr="000E0F90">
              <w:rPr>
                <w:rFonts w:ascii="Arial" w:hAnsi="Arial" w:cs="Arial"/>
                <w:color w:val="000000" w:themeColor="text1"/>
                <w:sz w:val="20"/>
                <w:szCs w:val="20"/>
              </w:rPr>
              <w:t xml:space="preserve">Minimizar </w:t>
            </w:r>
            <w:r w:rsidRPr="000E0F90">
              <w:rPr>
                <w:rFonts w:ascii="Arial" w:hAnsi="Arial" w:cs="Arial"/>
                <w:b/>
                <w:color w:val="000000" w:themeColor="text1"/>
                <w:sz w:val="20"/>
                <w:szCs w:val="20"/>
              </w:rPr>
              <w:t>impactos adversos residuales (temporales)</w:t>
            </w:r>
            <w:r w:rsidRPr="000E0F90">
              <w:rPr>
                <w:rFonts w:ascii="Arial" w:hAnsi="Arial" w:cs="Arial"/>
                <w:color w:val="000000" w:themeColor="text1"/>
                <w:sz w:val="20"/>
                <w:szCs w:val="20"/>
              </w:rPr>
              <w:t xml:space="preserve">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"DOI" : "10.1016/S0959-6526(03)00075-1", "ISBN" : "4414836891", "ISSN" : "09596526", "author" : [ { "dropping-particle" : "", "family" : "Azapagic", "given" : "Adisa", "non-dropping-particle" : "", "parse-names" : false, "suffix" : "" } ], "container-title" : "Journal of Cleaner Production", "id" : "ITEM-1", "issue" : "6", "issued" : { "date-parts" : [ [ "2004", "8" ] ] }, "page" : "639-662", "title" : "Developing a framework for sustainable development indicators for the mining and minerals industry", "type" : "article-journal", "volume" : "12" }, "uris" : [ "http://www.mendeley.com/documents/?uuid=a36976cf-2e0f-4c41-bd50-7ef9e97ed91f" ] } ], "mendeley" : { "formattedCitation" : "(Azapagic, 2004)", "plainTextFormattedCitation" : "(Azapagic, 2004)", "previouslyFormattedCitation" : "(Azapagic, 2004)"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(Azapagic, 2004)</w:t>
            </w:r>
            <w:r w:rsidRPr="000E0F90">
              <w:rPr>
                <w:rFonts w:ascii="Arial" w:hAnsi="Arial" w:cs="Arial"/>
                <w:color w:val="000000" w:themeColor="text1"/>
                <w:sz w:val="20"/>
                <w:szCs w:val="20"/>
              </w:rPr>
              <w:fldChar w:fldCharType="end"/>
            </w:r>
            <w:r w:rsidRPr="000E0F90">
              <w:rPr>
                <w:rFonts w:ascii="Arial" w:hAnsi="Arial" w:cs="Arial"/>
                <w:color w:val="000000" w:themeColor="text1"/>
                <w:sz w:val="20"/>
                <w:szCs w:val="20"/>
              </w:rPr>
              <w:t>.</w:t>
            </w:r>
          </w:p>
        </w:tc>
        <w:tc>
          <w:tcPr>
            <w:tcW w:w="0" w:type="auto"/>
            <w:tcBorders>
              <w:top w:val="nil"/>
              <w:left w:val="nil"/>
              <w:bottom w:val="nil"/>
            </w:tcBorders>
          </w:tcPr>
          <w:p w:rsidR="002576A6" w:rsidRPr="000E0F90" w:rsidRDefault="002576A6" w:rsidP="00FE27AA">
            <w:pPr>
              <w:spacing w:after="0" w:line="240" w:lineRule="auto"/>
              <w:rPr>
                <w:rFonts w:ascii="Arial" w:hAnsi="Arial" w:cs="Arial"/>
                <w:color w:val="000000" w:themeColor="text1"/>
                <w:sz w:val="20"/>
                <w:szCs w:val="20"/>
              </w:rPr>
            </w:pPr>
            <w:r w:rsidRPr="000E0F90">
              <w:rPr>
                <w:rFonts w:ascii="Arial" w:hAnsi="Arial" w:cs="Arial"/>
                <w:color w:val="000000" w:themeColor="text1"/>
                <w:sz w:val="20"/>
                <w:szCs w:val="20"/>
              </w:rPr>
              <w:t xml:space="preserve">Se deben abordar los impactos territoriales que se generan por las actividades mineras, especialmente una vez ocurrido el cierre de faenas mineras, como es la contaminación de agua por drenaje ácido, lixiviación de elementos tóxicos, pérdida de biodiversidad, perdida de suelo e impacto visual; impacto de minas y canteras abandonadas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"DOI" : "10.1016/S0959-6526(03)00075-1", "ISBN" : "4414836891", "ISSN" : "09596526", "author" : [ { "dropping-particle" : "", "family" : "Azapagic", "given" : "Adisa", "non-dropping-particle" : "", "parse-names" : false, "suffix" : "" } ], "container-title" : "Journal of Cleaner Production", "id" : "ITEM-1", "issue" : "6", "issued" : { "date-parts" : [ [ "2004", "8" ] ] }, "page" : "639-662", "title" : "Developing a framework for sustainable development indicators for the mining and minerals industry", "type" : "article-journal", "volume" : "12" }, "uris" : [ "http://www.mendeley.com/documents/?uuid=a36976cf-2e0f-4c41-bd50-7ef9e97ed91f" ] } ], "mendeley" : { "formattedCitation" : "(Azapagic, 2004)", "plainTextFormattedCitation" : "(Azapagic, 2004)", "previouslyFormattedCitation" : "(Azapagic, 2004)"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(Azapagic, 2004)</w:t>
            </w:r>
            <w:r w:rsidRPr="000E0F90">
              <w:rPr>
                <w:rFonts w:ascii="Arial" w:hAnsi="Arial" w:cs="Arial"/>
                <w:color w:val="000000" w:themeColor="text1"/>
                <w:sz w:val="20"/>
                <w:szCs w:val="20"/>
              </w:rPr>
              <w:fldChar w:fldCharType="end"/>
            </w:r>
            <w:r w:rsidRPr="000E0F90">
              <w:rPr>
                <w:rFonts w:ascii="Arial" w:hAnsi="Arial" w:cs="Arial"/>
                <w:color w:val="000000" w:themeColor="text1"/>
                <w:sz w:val="20"/>
                <w:szCs w:val="20"/>
              </w:rPr>
              <w:t>.</w:t>
            </w:r>
          </w:p>
        </w:tc>
      </w:tr>
      <w:tr w:rsidR="002576A6" w:rsidRPr="000E0F90" w:rsidTr="002A21E4">
        <w:tc>
          <w:tcPr>
            <w:tcW w:w="0" w:type="auto"/>
            <w:vMerge/>
            <w:tcBorders>
              <w:top w:val="nil"/>
              <w:bottom w:val="nil"/>
              <w:right w:val="nil"/>
            </w:tcBorders>
          </w:tcPr>
          <w:p w:rsidR="002576A6" w:rsidRPr="000E0F90" w:rsidRDefault="002576A6" w:rsidP="0085297A">
            <w:pPr>
              <w:spacing w:after="0" w:line="240" w:lineRule="auto"/>
              <w:rPr>
                <w:rFonts w:ascii="Arial" w:hAnsi="Arial" w:cs="Arial"/>
                <w:color w:val="000000" w:themeColor="text1"/>
                <w:sz w:val="20"/>
                <w:szCs w:val="20"/>
              </w:rPr>
            </w:pPr>
          </w:p>
        </w:tc>
        <w:tc>
          <w:tcPr>
            <w:tcW w:w="0" w:type="auto"/>
            <w:tcBorders>
              <w:top w:val="nil"/>
              <w:left w:val="nil"/>
              <w:bottom w:val="nil"/>
            </w:tcBorders>
          </w:tcPr>
          <w:p w:rsidR="002576A6" w:rsidRPr="000E0F90" w:rsidRDefault="002576A6" w:rsidP="00F10A5D">
            <w:pPr>
              <w:spacing w:after="0" w:line="240" w:lineRule="auto"/>
              <w:rPr>
                <w:rFonts w:ascii="Arial" w:hAnsi="Arial" w:cs="Arial"/>
                <w:color w:val="000000" w:themeColor="text1"/>
                <w:sz w:val="20"/>
                <w:szCs w:val="20"/>
              </w:rPr>
            </w:pPr>
            <w:r w:rsidRPr="000E0F90">
              <w:rPr>
                <w:rFonts w:ascii="Arial" w:hAnsi="Arial" w:cs="Arial"/>
                <w:color w:val="000000" w:themeColor="text1"/>
                <w:sz w:val="20"/>
                <w:szCs w:val="20"/>
              </w:rPr>
              <w:t xml:space="preserve">Rehabilitar suelos perturbados a un estado estable y productivo una vez que ha finalizado la faena minera y que además sea adecuado y aceptado por la comunidad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"DOI" : "10.1080/17480930.2015.1128799", "ISSN" : "1748-0930", "abstract" : "Chile is the principal producer of copper with a total of 5.8\u00a0million tonnes fine copper production in 2013. Chilean mining industry currently faces a projected increase in waste production, depleting water resources in the arid mining regions of the north and a lack of fossil fuel energy sources. In this study, a review of the historical background of environmental practices in Chile is presented, focused between 1970 and 2010. A review of the current state of sustainable development, comprising energy, water, stakeholder participation, environmental impacts and institutional decentralisation in the mining industry is presented.", "author" : [ { "dropping-particle" : "", "family" : "Ghorbani", "given" : "Yousef", "non-dropping-particle" : "", "parse-names" : false, "suffix" : "" }, { "dropping-particle" : "", "family" : "Kuan", "given" : "Seng How", "non-dropping-particle" : "", "parse-names" : false, "suffix" : "" } ], "container-title" : "International Journal of Mining, Reclamation and Environment", "id" : "ITEM-1", "issue" : "February", "issued" : { "date-parts" : [ [ "2016" ] ] }, "note" : "NULL", "page" : "1-29", "publisher" : "Taylor &amp; Francis", "title" : "A review of sustainable development in the Chilean mining sector: past, present and future", "type" : "article-journal", "volume" : "0930" }, "uris" : [ "http://www.mendeley.com/documents/?uuid=ba6630bb-3cdb-4443-b119-f6b6f68bafa7" ] } ], "mendeley" : { "formattedCitation" : "(Ghorbani &amp; Kuan, 2016)", "plainTextFormattedCitation" : "(Ghorbani &amp; Kuan, 2016)", "previouslyFormattedCitation" : "(Ghorbani &amp; Kuan, 2016)"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(Ghorbani &amp; Kuan, 2016)</w:t>
            </w:r>
            <w:r w:rsidRPr="000E0F90">
              <w:rPr>
                <w:rFonts w:ascii="Arial" w:hAnsi="Arial" w:cs="Arial"/>
                <w:color w:val="000000" w:themeColor="text1"/>
                <w:sz w:val="20"/>
                <w:szCs w:val="20"/>
              </w:rPr>
              <w:fldChar w:fldCharType="end"/>
            </w:r>
            <w:r w:rsidRPr="000E0F90">
              <w:rPr>
                <w:rFonts w:ascii="Arial" w:hAnsi="Arial" w:cs="Arial"/>
                <w:color w:val="000000" w:themeColor="text1"/>
                <w:sz w:val="20"/>
                <w:szCs w:val="20"/>
              </w:rPr>
              <w:t>.</w:t>
            </w:r>
          </w:p>
        </w:tc>
      </w:tr>
      <w:tr w:rsidR="002576A6" w:rsidRPr="000E0F90" w:rsidTr="002A21E4">
        <w:tc>
          <w:tcPr>
            <w:tcW w:w="0" w:type="auto"/>
            <w:vMerge/>
            <w:tcBorders>
              <w:top w:val="nil"/>
              <w:bottom w:val="nil"/>
              <w:right w:val="nil"/>
            </w:tcBorders>
          </w:tcPr>
          <w:p w:rsidR="002576A6" w:rsidRPr="000E0F90" w:rsidRDefault="002576A6" w:rsidP="00F10A5D">
            <w:pPr>
              <w:spacing w:after="0" w:line="240" w:lineRule="auto"/>
              <w:rPr>
                <w:rFonts w:ascii="Arial" w:hAnsi="Arial" w:cs="Arial"/>
                <w:color w:val="000000" w:themeColor="text1"/>
                <w:sz w:val="20"/>
                <w:szCs w:val="20"/>
              </w:rPr>
            </w:pPr>
          </w:p>
        </w:tc>
        <w:tc>
          <w:tcPr>
            <w:tcW w:w="0" w:type="auto"/>
            <w:tcBorders>
              <w:top w:val="nil"/>
              <w:left w:val="nil"/>
              <w:bottom w:val="nil"/>
            </w:tcBorders>
          </w:tcPr>
          <w:p w:rsidR="002576A6" w:rsidRPr="000E0F90" w:rsidRDefault="002576A6" w:rsidP="00F10A5D">
            <w:pPr>
              <w:spacing w:after="0" w:line="240" w:lineRule="auto"/>
              <w:rPr>
                <w:rFonts w:ascii="Arial" w:hAnsi="Arial" w:cs="Arial"/>
                <w:color w:val="000000" w:themeColor="text1"/>
                <w:sz w:val="20"/>
                <w:szCs w:val="20"/>
              </w:rPr>
            </w:pPr>
            <w:r w:rsidRPr="000E0F90">
              <w:rPr>
                <w:rFonts w:ascii="Arial" w:hAnsi="Arial" w:cs="Arial"/>
                <w:color w:val="000000" w:themeColor="text1"/>
                <w:sz w:val="20"/>
                <w:szCs w:val="20"/>
              </w:rPr>
              <w:t xml:space="preserve">Abordar el agotamiento de recursos minerales y pérdida de recursos valiosos al final del ciclo productivo.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"DOI" : "10.1016/S0959-6526(03)00075-1", "ISBN" : "4414836891", "ISSN" : "09596526", "author" : [ { "dropping-particle" : "", "family" : "Azapagic", "given" : "Adisa", "non-dropping-particle" : "", "parse-names" : false, "suffix" : "" } ], "container-title" : "Journal of Cleaner Production", "id" : "ITEM-1", "issue" : "6", "issued" : { "date-parts" : [ [ "2004", "8" ] ] }, "page" : "639-662", "title" : "Developing a framework for sustainable development indicators for the mining and minerals industry", "type" : "article-journal", "volume" : "12" }, "uris" : [ "http://www.mendeley.com/documents/?uuid=a36976cf-2e0f-4c41-bd50-7ef9e97ed91f" ] } ], "mendeley" : { "formattedCitation" : "(Azapagic, 2004)", "plainTextFormattedCitation" : "(Azapagic, 2004)", "previouslyFormattedCitation" : "(Azapagic, 2004)"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(Azapagic, 2004)</w:t>
            </w:r>
            <w:r w:rsidRPr="000E0F90">
              <w:rPr>
                <w:rFonts w:ascii="Arial" w:hAnsi="Arial" w:cs="Arial"/>
                <w:color w:val="000000" w:themeColor="text1"/>
                <w:sz w:val="20"/>
                <w:szCs w:val="20"/>
              </w:rPr>
              <w:fldChar w:fldCharType="end"/>
            </w:r>
            <w:r w:rsidRPr="000E0F90">
              <w:rPr>
                <w:rFonts w:ascii="Arial" w:hAnsi="Arial" w:cs="Arial"/>
                <w:color w:val="000000" w:themeColor="text1"/>
                <w:sz w:val="20"/>
                <w:szCs w:val="20"/>
              </w:rPr>
              <w:t>.</w:t>
            </w:r>
          </w:p>
        </w:tc>
      </w:tr>
      <w:tr w:rsidR="002576A6" w:rsidRPr="000E0F90" w:rsidTr="002A21E4">
        <w:tc>
          <w:tcPr>
            <w:tcW w:w="0" w:type="auto"/>
            <w:vMerge/>
            <w:tcBorders>
              <w:top w:val="nil"/>
              <w:right w:val="nil"/>
            </w:tcBorders>
          </w:tcPr>
          <w:p w:rsidR="002576A6" w:rsidRPr="000E0F90" w:rsidRDefault="002576A6" w:rsidP="0085297A">
            <w:pPr>
              <w:spacing w:after="0" w:line="240" w:lineRule="auto"/>
              <w:rPr>
                <w:rFonts w:ascii="Arial" w:hAnsi="Arial" w:cs="Arial"/>
                <w:color w:val="000000" w:themeColor="text1"/>
                <w:sz w:val="20"/>
                <w:szCs w:val="20"/>
              </w:rPr>
            </w:pPr>
          </w:p>
        </w:tc>
        <w:tc>
          <w:tcPr>
            <w:tcW w:w="0" w:type="auto"/>
            <w:tcBorders>
              <w:top w:val="nil"/>
              <w:left w:val="nil"/>
            </w:tcBorders>
          </w:tcPr>
          <w:p w:rsidR="002576A6" w:rsidRPr="000E0F90" w:rsidRDefault="002576A6" w:rsidP="0049698D">
            <w:pPr>
              <w:spacing w:after="0" w:line="240" w:lineRule="auto"/>
              <w:rPr>
                <w:rFonts w:ascii="Arial" w:hAnsi="Arial" w:cs="Arial"/>
                <w:color w:val="000000" w:themeColor="text1"/>
                <w:sz w:val="20"/>
                <w:szCs w:val="20"/>
              </w:rPr>
            </w:pPr>
            <w:r w:rsidRPr="000E0F90">
              <w:rPr>
                <w:rFonts w:ascii="Arial" w:hAnsi="Arial" w:cs="Arial"/>
                <w:color w:val="000000" w:themeColor="text1"/>
                <w:sz w:val="20"/>
                <w:szCs w:val="20"/>
              </w:rPr>
              <w:t xml:space="preserve">Rehabilitación socioeconómica de la comunidad, entendida como la sostenibilidad de los beneficios del proyecto minero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"DOI" : "10.1080/17480930.2015.1128799", "ISSN" : "1748-0930", "abstract" : "Chile is the principal producer of copper with a total of 5.8\u00a0million tonnes fine copper production in 2013. Chilean mining industry currently faces a projected increase in waste production, depleting water resources in the arid mining regions of the north and a lack of fossil fuel energy sources. In this study, a review of the historical background of environmental practices in Chile is presented, focused between 1970 and 2010. A review of the current state of sustainable development, comprising energy, water, stakeholder participation, environmental impacts and institutional decentralisation in the mining industry is presented.", "author" : [ { "dropping-particle" : "", "family" : "Ghorbani", "given" : "Yousef", "non-dropping-particle" : "", "parse-names" : false, "suffix" : "" }, { "dropping-particle" : "", "family" : "Kuan", "given" : "Seng How", "non-dropping-particle" : "", "parse-names" : false, "suffix" : "" } ], "container-title" : "International Journal of Mining, Reclamation and Environment", "id" : "ITEM-1", "issue" : "February", "issued" : { "date-parts" : [ [ "2016" ] ] }, "note" : "NULL", "page" : "1-29", "publisher" : "Taylor &amp; Francis", "title" : "A review of sustainable development in the Chilean mining sector: past, present and future", "type" : "article-journal", "volume" : "0930" }, "uris" : [ "http://www.mendeley.com/documents/?uuid=ba6630bb-3cdb-4443-b119-f6b6f68bafa7" ] } ], "mendeley" : { "formattedCitation" : "(Ghorbani &amp; Kuan, 2016)", "plainTextFormattedCitation" : "(Ghorbani &amp; Kuan, 2016)", "previouslyFormattedCitation" : "(Ghorbani &amp; Kuan, 2016)"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(Ghorbani &amp; Kuan, 2016)</w:t>
            </w:r>
            <w:r w:rsidRPr="000E0F90">
              <w:rPr>
                <w:rFonts w:ascii="Arial" w:hAnsi="Arial" w:cs="Arial"/>
                <w:color w:val="000000" w:themeColor="text1"/>
                <w:sz w:val="20"/>
                <w:szCs w:val="20"/>
              </w:rPr>
              <w:fldChar w:fldCharType="end"/>
            </w:r>
          </w:p>
        </w:tc>
      </w:tr>
    </w:tbl>
    <w:p w:rsidR="002576A6" w:rsidRPr="000E0F90" w:rsidRDefault="002576A6" w:rsidP="005466AE">
      <w:pPr>
        <w:spacing w:before="240"/>
        <w:rPr>
          <w:rFonts w:ascii="Arial" w:hAnsi="Arial" w:cs="Arial"/>
          <w:color w:val="000000" w:themeColor="text1"/>
        </w:rPr>
      </w:pPr>
    </w:p>
    <w:p w:rsidR="001C1F79" w:rsidRPr="000E0F90" w:rsidRDefault="00E0505F" w:rsidP="002B538F">
      <w:pPr>
        <w:pStyle w:val="Ttulo4"/>
        <w:spacing w:line="360" w:lineRule="auto"/>
        <w:rPr>
          <w:rFonts w:ascii="Arial" w:hAnsi="Arial" w:cs="Arial"/>
          <w:color w:val="000000" w:themeColor="text1"/>
        </w:rPr>
      </w:pPr>
      <w:bookmarkStart w:id="21" w:name="_Toc474855673"/>
      <w:r>
        <w:rPr>
          <w:rFonts w:ascii="Arial" w:hAnsi="Arial" w:cs="Arial"/>
          <w:color w:val="000000" w:themeColor="text1"/>
        </w:rPr>
        <w:lastRenderedPageBreak/>
        <w:t>Criterios para el</w:t>
      </w:r>
      <w:r w:rsidR="00B5389E" w:rsidRPr="000E0F90">
        <w:rPr>
          <w:rFonts w:ascii="Arial" w:hAnsi="Arial" w:cs="Arial"/>
          <w:color w:val="000000" w:themeColor="text1"/>
        </w:rPr>
        <w:t xml:space="preserve"> principio de </w:t>
      </w:r>
      <w:r w:rsidR="001C1F79" w:rsidRPr="000E0F90">
        <w:rPr>
          <w:rFonts w:ascii="Arial" w:hAnsi="Arial" w:cs="Arial"/>
          <w:color w:val="000000" w:themeColor="text1"/>
        </w:rPr>
        <w:t>Calidad de Vida y Equidad</w:t>
      </w:r>
      <w:bookmarkEnd w:id="21"/>
    </w:p>
    <w:p w:rsidR="00466338" w:rsidRPr="000E0F90" w:rsidRDefault="00466338" w:rsidP="002B538F">
      <w:pPr>
        <w:spacing w:line="360" w:lineRule="auto"/>
        <w:rPr>
          <w:rFonts w:ascii="Arial" w:hAnsi="Arial" w:cs="Arial"/>
          <w:color w:val="000000" w:themeColor="text1"/>
        </w:rPr>
      </w:pPr>
      <w:r w:rsidRPr="000E0F90">
        <w:rPr>
          <w:rFonts w:ascii="Arial" w:hAnsi="Arial" w:cs="Arial"/>
          <w:color w:val="000000" w:themeColor="text1"/>
        </w:rPr>
        <w:t xml:space="preserve">De acuerdo a la revisión de la literatura, en relación la calidad de vida y equidad, se identificaron y seleccionaron los siguientes </w:t>
      </w:r>
      <w:r w:rsidR="00E0505F">
        <w:rPr>
          <w:rFonts w:ascii="Arial" w:hAnsi="Arial" w:cs="Arial"/>
          <w:color w:val="000000" w:themeColor="text1"/>
        </w:rPr>
        <w:t>criterios</w:t>
      </w:r>
      <w:r w:rsidRPr="000E0F90">
        <w:rPr>
          <w:rFonts w:ascii="Arial" w:hAnsi="Arial" w:cs="Arial"/>
          <w:color w:val="000000" w:themeColor="text1"/>
        </w:rPr>
        <w:t xml:space="preserve"> que pueden ser aplicados en el ámbito territorial minero</w:t>
      </w:r>
      <w:r w:rsidR="00FE27AA" w:rsidRPr="000E0F90">
        <w:rPr>
          <w:rFonts w:ascii="Arial" w:hAnsi="Arial" w:cs="Arial"/>
          <w:color w:val="000000" w:themeColor="text1"/>
        </w:rPr>
        <w:t xml:space="preserve"> (Cuadro</w:t>
      </w:r>
      <w:r w:rsidRPr="000E0F90">
        <w:rPr>
          <w:rFonts w:ascii="Arial" w:hAnsi="Arial" w:cs="Arial"/>
          <w:color w:val="000000" w:themeColor="text1"/>
        </w:rPr>
        <w:t xml:space="preserve"> </w:t>
      </w:r>
      <w:r w:rsidR="006B15AA" w:rsidRPr="000E0F90">
        <w:rPr>
          <w:rFonts w:ascii="Arial" w:hAnsi="Arial" w:cs="Arial"/>
          <w:color w:val="000000" w:themeColor="text1"/>
        </w:rPr>
        <w:t>5</w:t>
      </w:r>
      <w:r w:rsidRPr="000E0F90">
        <w:rPr>
          <w:rFonts w:ascii="Arial" w:hAnsi="Arial" w:cs="Arial"/>
          <w:color w:val="000000" w:themeColor="text1"/>
        </w:rPr>
        <w:t>).</w:t>
      </w:r>
    </w:p>
    <w:p w:rsidR="00550297" w:rsidRPr="000E0F90" w:rsidRDefault="006B15AA" w:rsidP="008D6193">
      <w:pPr>
        <w:pStyle w:val="Epgrafe"/>
        <w:spacing w:after="0" w:line="360" w:lineRule="auto"/>
        <w:rPr>
          <w:rFonts w:ascii="Arial" w:hAnsi="Arial" w:cs="Arial"/>
          <w:b w:val="0"/>
          <w:color w:val="000000" w:themeColor="text1"/>
          <w:sz w:val="22"/>
          <w:shd w:val="clear" w:color="auto" w:fill="FFFFFF"/>
        </w:rPr>
      </w:pPr>
      <w:r w:rsidRPr="000E0F90">
        <w:rPr>
          <w:rFonts w:ascii="Arial" w:hAnsi="Arial" w:cs="Arial"/>
          <w:b w:val="0"/>
          <w:color w:val="000000" w:themeColor="text1"/>
          <w:sz w:val="22"/>
        </w:rPr>
        <w:t xml:space="preserve">Cuadro </w:t>
      </w:r>
      <w:r w:rsidRPr="000E0F90">
        <w:rPr>
          <w:rFonts w:ascii="Arial" w:hAnsi="Arial" w:cs="Arial"/>
          <w:b w:val="0"/>
          <w:color w:val="000000" w:themeColor="text1"/>
          <w:sz w:val="22"/>
        </w:rPr>
        <w:fldChar w:fldCharType="begin"/>
      </w:r>
      <w:r w:rsidRPr="000E0F90">
        <w:rPr>
          <w:rFonts w:ascii="Arial" w:hAnsi="Arial" w:cs="Arial"/>
          <w:b w:val="0"/>
          <w:color w:val="000000" w:themeColor="text1"/>
          <w:sz w:val="22"/>
        </w:rPr>
        <w:instrText xml:space="preserve"> SEQ Cuadro \* ARABIC </w:instrText>
      </w:r>
      <w:r w:rsidRPr="000E0F90">
        <w:rPr>
          <w:rFonts w:ascii="Arial" w:hAnsi="Arial" w:cs="Arial"/>
          <w:b w:val="0"/>
          <w:color w:val="000000" w:themeColor="text1"/>
          <w:sz w:val="22"/>
        </w:rPr>
        <w:fldChar w:fldCharType="separate"/>
      </w:r>
      <w:r w:rsidR="00225844">
        <w:rPr>
          <w:rFonts w:ascii="Arial" w:hAnsi="Arial" w:cs="Arial"/>
          <w:b w:val="0"/>
          <w:noProof/>
          <w:color w:val="000000" w:themeColor="text1"/>
          <w:sz w:val="22"/>
        </w:rPr>
        <w:t>5</w:t>
      </w:r>
      <w:r w:rsidRPr="000E0F90">
        <w:rPr>
          <w:rFonts w:ascii="Arial" w:hAnsi="Arial" w:cs="Arial"/>
          <w:b w:val="0"/>
          <w:color w:val="000000" w:themeColor="text1"/>
          <w:sz w:val="22"/>
        </w:rPr>
        <w:fldChar w:fldCharType="end"/>
      </w:r>
      <w:r w:rsidR="00550297" w:rsidRPr="000E0F90">
        <w:rPr>
          <w:rFonts w:ascii="Arial" w:hAnsi="Arial" w:cs="Arial"/>
          <w:b w:val="0"/>
          <w:color w:val="000000" w:themeColor="text1"/>
          <w:sz w:val="22"/>
        </w:rPr>
        <w:t xml:space="preserve">: </w:t>
      </w:r>
      <w:r w:rsidR="00E0505F">
        <w:rPr>
          <w:rFonts w:ascii="Arial" w:hAnsi="Arial" w:cs="Arial"/>
          <w:b w:val="0"/>
          <w:color w:val="000000" w:themeColor="text1"/>
          <w:sz w:val="22"/>
        </w:rPr>
        <w:t>Criterios</w:t>
      </w:r>
      <w:r w:rsidR="00550297" w:rsidRPr="000E0F90">
        <w:rPr>
          <w:rFonts w:ascii="Arial" w:hAnsi="Arial" w:cs="Arial"/>
          <w:b w:val="0"/>
          <w:color w:val="000000" w:themeColor="text1"/>
          <w:sz w:val="22"/>
        </w:rPr>
        <w:t xml:space="preserve"> </w:t>
      </w:r>
      <w:r w:rsidR="007F3260" w:rsidRPr="000E0F90">
        <w:rPr>
          <w:rFonts w:ascii="Arial" w:hAnsi="Arial" w:cs="Arial"/>
          <w:b w:val="0"/>
          <w:color w:val="000000" w:themeColor="text1"/>
          <w:sz w:val="22"/>
        </w:rPr>
        <w:t xml:space="preserve">identificados para </w:t>
      </w:r>
      <w:r w:rsidR="009D5ADA" w:rsidRPr="000E0F90">
        <w:rPr>
          <w:rFonts w:ascii="Arial" w:hAnsi="Arial" w:cs="Arial"/>
          <w:b w:val="0"/>
          <w:color w:val="000000" w:themeColor="text1"/>
          <w:sz w:val="22"/>
        </w:rPr>
        <w:t>estructurar</w:t>
      </w:r>
      <w:r w:rsidR="007F3260" w:rsidRPr="000E0F90">
        <w:rPr>
          <w:rFonts w:ascii="Arial" w:hAnsi="Arial" w:cs="Arial"/>
          <w:b w:val="0"/>
          <w:color w:val="000000" w:themeColor="text1"/>
          <w:sz w:val="22"/>
        </w:rPr>
        <w:t xml:space="preserve"> el</w:t>
      </w:r>
      <w:r w:rsidR="00550297" w:rsidRPr="000E0F90">
        <w:rPr>
          <w:rFonts w:ascii="Arial" w:hAnsi="Arial" w:cs="Arial"/>
          <w:b w:val="0"/>
          <w:color w:val="000000" w:themeColor="text1"/>
          <w:sz w:val="22"/>
        </w:rPr>
        <w:t xml:space="preserve"> principio Calidad de Vida y Equidad</w:t>
      </w:r>
      <w:r w:rsidR="00466338" w:rsidRPr="000E0F90">
        <w:rPr>
          <w:rFonts w:ascii="Arial" w:hAnsi="Arial" w:cs="Arial"/>
          <w:b w:val="0"/>
          <w:color w:val="000000" w:themeColor="text1"/>
          <w:sz w:val="22"/>
        </w:rPr>
        <w:t xml:space="preserve"> para territorios mineros</w:t>
      </w:r>
    </w:p>
    <w:tbl>
      <w:tblPr>
        <w:tblW w:w="0" w:type="auto"/>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3280"/>
        <w:gridCol w:w="5490"/>
      </w:tblGrid>
      <w:tr w:rsidR="00550297" w:rsidRPr="000E0F90" w:rsidTr="002A21E4">
        <w:tc>
          <w:tcPr>
            <w:tcW w:w="8770" w:type="dxa"/>
            <w:gridSpan w:val="2"/>
            <w:shd w:val="clear" w:color="auto" w:fill="D9D9D9" w:themeFill="background1" w:themeFillShade="D9"/>
          </w:tcPr>
          <w:p w:rsidR="00550297" w:rsidRPr="000E0F90" w:rsidRDefault="00550297" w:rsidP="001A5FA2">
            <w:pPr>
              <w:spacing w:after="0" w:line="240" w:lineRule="auto"/>
              <w:rPr>
                <w:rFonts w:ascii="Arial" w:hAnsi="Arial" w:cs="Arial"/>
                <w:b/>
                <w:color w:val="000000" w:themeColor="text1"/>
                <w:sz w:val="20"/>
                <w:szCs w:val="20"/>
              </w:rPr>
            </w:pPr>
            <w:r w:rsidRPr="000E0F90">
              <w:rPr>
                <w:rFonts w:ascii="Arial" w:hAnsi="Arial" w:cs="Arial"/>
                <w:b/>
                <w:color w:val="000000" w:themeColor="text1"/>
                <w:sz w:val="20"/>
                <w:szCs w:val="20"/>
              </w:rPr>
              <w:t>Calidad de Vida y Equidad</w:t>
            </w:r>
          </w:p>
        </w:tc>
      </w:tr>
      <w:tr w:rsidR="00550297" w:rsidRPr="000E0F90" w:rsidTr="002A21E4">
        <w:tc>
          <w:tcPr>
            <w:tcW w:w="8770" w:type="dxa"/>
            <w:gridSpan w:val="2"/>
            <w:tcBorders>
              <w:bottom w:val="single" w:sz="4" w:space="0" w:color="auto"/>
            </w:tcBorders>
          </w:tcPr>
          <w:p w:rsidR="00550297" w:rsidRPr="000E0F90" w:rsidRDefault="00550297" w:rsidP="00466338">
            <w:pPr>
              <w:spacing w:after="0" w:line="240" w:lineRule="auto"/>
              <w:rPr>
                <w:rFonts w:ascii="Arial" w:hAnsi="Arial" w:cs="Arial"/>
                <w:i/>
                <w:color w:val="000000" w:themeColor="text1"/>
              </w:rPr>
            </w:pPr>
            <w:r w:rsidRPr="000E0F90">
              <w:rPr>
                <w:rFonts w:ascii="Arial" w:hAnsi="Arial" w:cs="Arial"/>
                <w:i/>
                <w:color w:val="000000" w:themeColor="text1"/>
                <w:sz w:val="20"/>
                <w:szCs w:val="20"/>
              </w:rPr>
              <w:t xml:space="preserve">Asegurar </w:t>
            </w:r>
            <w:r w:rsidR="00466338" w:rsidRPr="000E0F90">
              <w:rPr>
                <w:rFonts w:ascii="Arial" w:hAnsi="Arial" w:cs="Arial"/>
                <w:i/>
                <w:color w:val="000000" w:themeColor="text1"/>
                <w:sz w:val="20"/>
                <w:szCs w:val="20"/>
              </w:rPr>
              <w:t xml:space="preserve">que cada individuo y comunidad </w:t>
            </w:r>
            <w:r w:rsidRPr="000E0F90">
              <w:rPr>
                <w:rFonts w:ascii="Arial" w:hAnsi="Arial" w:cs="Arial"/>
                <w:i/>
                <w:color w:val="000000" w:themeColor="text1"/>
                <w:sz w:val="20"/>
                <w:szCs w:val="20"/>
              </w:rPr>
              <w:t>tienen igualdad de oportunidades de</w:t>
            </w:r>
            <w:r w:rsidR="00466338" w:rsidRPr="000E0F90">
              <w:rPr>
                <w:rFonts w:ascii="Arial" w:hAnsi="Arial" w:cs="Arial"/>
                <w:i/>
                <w:color w:val="000000" w:themeColor="text1"/>
                <w:sz w:val="20"/>
                <w:szCs w:val="20"/>
              </w:rPr>
              <w:t xml:space="preserve"> </w:t>
            </w:r>
            <w:r w:rsidRPr="000E0F90">
              <w:rPr>
                <w:rFonts w:ascii="Arial" w:hAnsi="Arial" w:cs="Arial"/>
                <w:i/>
                <w:color w:val="000000" w:themeColor="text1"/>
                <w:sz w:val="20"/>
                <w:szCs w:val="20"/>
              </w:rPr>
              <w:t xml:space="preserve">satisfacer sus necesidades y optar a una mejor calidad de vida, </w:t>
            </w:r>
            <w:r w:rsidR="00466338" w:rsidRPr="000E0F90">
              <w:rPr>
                <w:rFonts w:ascii="Arial" w:hAnsi="Arial" w:cs="Arial"/>
                <w:i/>
                <w:color w:val="000000" w:themeColor="text1"/>
                <w:sz w:val="20"/>
                <w:szCs w:val="20"/>
              </w:rPr>
              <w:t>sin comprometer las posibilidades de los más desaventajados y de las generaciones futuras. R</w:t>
            </w:r>
            <w:r w:rsidRPr="000E0F90">
              <w:rPr>
                <w:rFonts w:ascii="Arial" w:hAnsi="Arial" w:cs="Arial"/>
                <w:i/>
                <w:color w:val="000000" w:themeColor="text1"/>
                <w:sz w:val="20"/>
                <w:szCs w:val="20"/>
              </w:rPr>
              <w:t xml:space="preserve">educiendo la brecha de </w:t>
            </w:r>
            <w:r w:rsidR="00466338" w:rsidRPr="000E0F90">
              <w:rPr>
                <w:rFonts w:ascii="Arial" w:hAnsi="Arial" w:cs="Arial"/>
                <w:i/>
                <w:color w:val="000000" w:themeColor="text1"/>
                <w:sz w:val="20"/>
                <w:szCs w:val="20"/>
              </w:rPr>
              <w:t>desigualdad dentro de las limitantes biof</w:t>
            </w:r>
            <w:r w:rsidR="00383210" w:rsidRPr="000E0F90">
              <w:rPr>
                <w:rFonts w:ascii="Arial" w:hAnsi="Arial" w:cs="Arial"/>
                <w:i/>
                <w:color w:val="000000" w:themeColor="text1"/>
                <w:sz w:val="20"/>
                <w:szCs w:val="20"/>
              </w:rPr>
              <w:t>ísica</w:t>
            </w:r>
            <w:r w:rsidR="00466338" w:rsidRPr="000E0F90">
              <w:rPr>
                <w:rFonts w:ascii="Arial" w:hAnsi="Arial" w:cs="Arial"/>
                <w:i/>
                <w:color w:val="000000" w:themeColor="text1"/>
                <w:sz w:val="20"/>
                <w:szCs w:val="20"/>
              </w:rPr>
              <w:t>s</w:t>
            </w:r>
            <w:r w:rsidRPr="000E0F90">
              <w:rPr>
                <w:rFonts w:ascii="Arial" w:hAnsi="Arial" w:cs="Arial"/>
                <w:i/>
                <w:color w:val="000000" w:themeColor="text1"/>
                <w:sz w:val="20"/>
                <w:szCs w:val="20"/>
              </w:rPr>
              <w:t xml:space="preserve"> </w:t>
            </w:r>
            <w:r w:rsidRPr="000E0F90">
              <w:rPr>
                <w:rFonts w:ascii="Arial" w:hAnsi="Arial" w:cs="Arial"/>
                <w:i/>
                <w:color w:val="000000" w:themeColor="text1"/>
                <w:sz w:val="20"/>
                <w:szCs w:val="20"/>
              </w:rPr>
              <w:fldChar w:fldCharType="begin" w:fldLock="1"/>
            </w:r>
            <w:r w:rsidRPr="000E0F90">
              <w:rPr>
                <w:rFonts w:ascii="Arial" w:hAnsi="Arial" w:cs="Arial"/>
                <w:i/>
                <w:color w:val="000000" w:themeColor="text1"/>
                <w:sz w:val="20"/>
                <w:szCs w:val="20"/>
              </w:rPr>
              <w:instrText>ADDIN CSL_CITATION { "citationItems" : [ { "id" : "ITEM-1", "itemData" : { "ISBN" : "9781844070503", "author" : [ { "dropping-particle" : "", "family" : "Gibson", "given" : "Robert B.", "non-dropping-particle" : "", "parse-names" : false, "suffix" : "" } ], "id" : "ITEM-1", "issued" : { "date-parts" : [ [ "2005" ] ] }, "page" : "269", "publisher" : "Earthscan", "title" : "Sustainability Assessment. Criteria, Processes and Applications", "type" : "book" }, "uris" : [ "http://www.mendeley.com/documents/?uuid=566b52ab-35b0-4a0c-b91f-1bf25d523ac7" ] }, { "id" : "ITEM-2", "itemData" : { "author" : [ { "dropping-particle" : "", "family" : "Morrison-saunders", "given" : "Angus", "non-dropping-particle" : "", "parse-names" : false, "suffix" : "" }, { "dropping-particle" : "", "family" : "Hodgson", "given" : "Nicole", "non-dropping-particle" : "", "parse-names" : false, "suffix" : "" } ], "container-title" : "Assessment", "id" : "ITEM-2", "issue" : "September", "issued" : { "date-parts" : [ [ "2009" ] ] }, "page" : "1-6", "title" : "Applying Sustainability Principles in Practice : Guidance for Assessing Individual Proposals", "type" : "article-journal" }, "uris" : [ "http://www.mendeley.com/documents/?uuid=8eac9b1a-a579-4134-9969-a97b9c129d7b" ] } ], "mendeley" : { "formattedCitation" : "(Gibson, 2005; Morrison-saunders &amp; Hodgson, 2009)", "plainTextFormattedCitation" : "(Gibson, 2005; Morrison-saunders &amp; Hodgson, 2009)", "previouslyFormattedCitation" : "(Gibson, 2005; Morrison-saunders &amp; Hodgson, 2009)" }, "properties" : { "noteIndex" : 0 }, "schema" : "https://github.com/citation-style-language/schema/raw/master/csl-citation.json" }</w:instrText>
            </w:r>
            <w:r w:rsidRPr="000E0F90">
              <w:rPr>
                <w:rFonts w:ascii="Arial" w:hAnsi="Arial" w:cs="Arial"/>
                <w:i/>
                <w:color w:val="000000" w:themeColor="text1"/>
                <w:sz w:val="20"/>
                <w:szCs w:val="20"/>
              </w:rPr>
              <w:fldChar w:fldCharType="separate"/>
            </w:r>
            <w:r w:rsidRPr="000E0F90">
              <w:rPr>
                <w:rFonts w:ascii="Arial" w:hAnsi="Arial" w:cs="Arial"/>
                <w:i/>
                <w:noProof/>
                <w:color w:val="000000" w:themeColor="text1"/>
                <w:sz w:val="20"/>
                <w:szCs w:val="20"/>
              </w:rPr>
              <w:t>(Gibson, 2005; Morrison-saunders &amp; Hodgson, 2009)</w:t>
            </w:r>
            <w:r w:rsidRPr="000E0F90">
              <w:rPr>
                <w:rFonts w:ascii="Arial" w:hAnsi="Arial" w:cs="Arial"/>
                <w:i/>
                <w:color w:val="000000" w:themeColor="text1"/>
                <w:sz w:val="20"/>
                <w:szCs w:val="20"/>
              </w:rPr>
              <w:fldChar w:fldCharType="end"/>
            </w:r>
          </w:p>
        </w:tc>
      </w:tr>
      <w:tr w:rsidR="00550297" w:rsidRPr="000E0F90" w:rsidTr="002A21E4">
        <w:tc>
          <w:tcPr>
            <w:tcW w:w="3280" w:type="dxa"/>
            <w:tcBorders>
              <w:bottom w:val="single" w:sz="4" w:space="0" w:color="auto"/>
              <w:right w:val="nil"/>
            </w:tcBorders>
            <w:shd w:val="clear" w:color="auto" w:fill="D9D9D9" w:themeFill="background1" w:themeFillShade="D9"/>
          </w:tcPr>
          <w:p w:rsidR="00550297" w:rsidRPr="000E0F90" w:rsidRDefault="00383210" w:rsidP="001A5FA2">
            <w:pPr>
              <w:spacing w:after="0" w:line="240" w:lineRule="auto"/>
              <w:rPr>
                <w:rFonts w:ascii="Arial" w:hAnsi="Arial" w:cs="Arial"/>
                <w:b/>
                <w:color w:val="000000" w:themeColor="text1"/>
                <w:sz w:val="20"/>
                <w:szCs w:val="20"/>
              </w:rPr>
            </w:pPr>
            <w:r w:rsidRPr="000E0F90">
              <w:rPr>
                <w:rFonts w:ascii="Arial" w:hAnsi="Arial" w:cs="Arial"/>
                <w:b/>
                <w:color w:val="000000" w:themeColor="text1"/>
                <w:sz w:val="20"/>
                <w:szCs w:val="20"/>
              </w:rPr>
              <w:t>Criterio</w:t>
            </w:r>
          </w:p>
        </w:tc>
        <w:tc>
          <w:tcPr>
            <w:tcW w:w="5490" w:type="dxa"/>
            <w:tcBorders>
              <w:left w:val="nil"/>
              <w:bottom w:val="single" w:sz="4" w:space="0" w:color="auto"/>
            </w:tcBorders>
            <w:shd w:val="clear" w:color="auto" w:fill="D9D9D9" w:themeFill="background1" w:themeFillShade="D9"/>
          </w:tcPr>
          <w:p w:rsidR="00550297" w:rsidRPr="000E0F90" w:rsidRDefault="00383210" w:rsidP="001A5FA2">
            <w:pPr>
              <w:spacing w:after="0" w:line="240" w:lineRule="auto"/>
              <w:rPr>
                <w:rFonts w:ascii="Arial" w:hAnsi="Arial" w:cs="Arial"/>
                <w:b/>
                <w:color w:val="000000" w:themeColor="text1"/>
                <w:sz w:val="20"/>
                <w:szCs w:val="20"/>
              </w:rPr>
            </w:pPr>
            <w:r w:rsidRPr="000E0F90">
              <w:rPr>
                <w:rFonts w:ascii="Arial" w:hAnsi="Arial" w:cs="Arial"/>
                <w:b/>
                <w:color w:val="000000" w:themeColor="text1"/>
                <w:sz w:val="20"/>
                <w:szCs w:val="20"/>
              </w:rPr>
              <w:t>Acción</w:t>
            </w:r>
          </w:p>
        </w:tc>
      </w:tr>
      <w:tr w:rsidR="00383210" w:rsidRPr="000E0F90" w:rsidTr="002A21E4">
        <w:tc>
          <w:tcPr>
            <w:tcW w:w="3280" w:type="dxa"/>
            <w:vMerge w:val="restart"/>
            <w:tcBorders>
              <w:bottom w:val="nil"/>
              <w:right w:val="nil"/>
            </w:tcBorders>
          </w:tcPr>
          <w:p w:rsidR="00383210" w:rsidRPr="000E0F90" w:rsidRDefault="00383210" w:rsidP="008A7F2C">
            <w:pPr>
              <w:spacing w:after="0" w:line="240" w:lineRule="auto"/>
              <w:rPr>
                <w:rFonts w:ascii="Arial" w:hAnsi="Arial" w:cs="Arial"/>
                <w:b/>
                <w:color w:val="000000" w:themeColor="text1"/>
                <w:sz w:val="20"/>
                <w:szCs w:val="20"/>
              </w:rPr>
            </w:pPr>
            <w:r w:rsidRPr="000E0F90">
              <w:rPr>
                <w:rFonts w:ascii="Arial" w:hAnsi="Arial" w:cs="Arial"/>
                <w:b/>
                <w:color w:val="000000" w:themeColor="text1"/>
                <w:sz w:val="20"/>
                <w:szCs w:val="20"/>
              </w:rPr>
              <w:t xml:space="preserve">Asegurar acceso a recursos básicos y servicios esenciales que permitan alcanzar calidad de vida y estándar de vida aceptable  </w:t>
            </w:r>
            <w:r w:rsidRPr="000E0F90">
              <w:rPr>
                <w:rFonts w:ascii="Arial" w:hAnsi="Arial" w:cs="Arial"/>
                <w:b/>
                <w:color w:val="000000" w:themeColor="text1"/>
                <w:sz w:val="20"/>
                <w:szCs w:val="20"/>
              </w:rPr>
              <w:fldChar w:fldCharType="begin" w:fldLock="1"/>
            </w:r>
            <w:r w:rsidRPr="000E0F90">
              <w:rPr>
                <w:rFonts w:ascii="Arial" w:hAnsi="Arial" w:cs="Arial"/>
                <w:b/>
                <w:color w:val="000000" w:themeColor="text1"/>
                <w:sz w:val="20"/>
                <w:szCs w:val="20"/>
              </w:rPr>
              <w:instrText>ADDIN CSL_CITATION { "citationItems" : [ { "id" : "ITEM-1", "itemData" : { "ISBN" : "9781844070503", "author" : [ { "dropping-particle" : "", "family" : "Gibson", "given" : "Robert B.", "non-dropping-particle" : "", "parse-names" : false, "suffix" : "" } ], "id" : "ITEM-1", "issued" : { "date-parts" : [ [ "2005" ] ] }, "page" : "269", "publisher" : "Earthscan", "title" : "Sustainability Assessment. Criteria, Processes and Applications", "type" : "book" }, "uris" : [ "http://www.mendeley.com/documents/?uuid=566b52ab-35b0-4a0c-b91f-1bf25d523ac7" ] } ], "mendeley" : { "formattedCitation" : "(Gibson, 2005)", "plainTextFormattedCitation" : "(Gibson, 2005)", "previouslyFormattedCitation" : "(Gibson, 2005)" }, "properties" : { "noteIndex" : 0 }, "schema" : "https://github.com/citation-style-language/schema/raw/master/csl-citation.json" }</w:instrText>
            </w:r>
            <w:r w:rsidRPr="000E0F90">
              <w:rPr>
                <w:rFonts w:ascii="Arial" w:hAnsi="Arial" w:cs="Arial"/>
                <w:b/>
                <w:color w:val="000000" w:themeColor="text1"/>
                <w:sz w:val="20"/>
                <w:szCs w:val="20"/>
              </w:rPr>
              <w:fldChar w:fldCharType="separate"/>
            </w:r>
            <w:r w:rsidRPr="000E0F90">
              <w:rPr>
                <w:rFonts w:ascii="Arial" w:hAnsi="Arial" w:cs="Arial"/>
                <w:b/>
                <w:noProof/>
                <w:color w:val="000000" w:themeColor="text1"/>
                <w:sz w:val="20"/>
                <w:szCs w:val="20"/>
              </w:rPr>
              <w:t>(Gibson, 2005)</w:t>
            </w:r>
            <w:r w:rsidRPr="000E0F90">
              <w:rPr>
                <w:rFonts w:ascii="Arial" w:hAnsi="Arial" w:cs="Arial"/>
                <w:b/>
                <w:color w:val="000000" w:themeColor="text1"/>
                <w:sz w:val="20"/>
                <w:szCs w:val="20"/>
              </w:rPr>
              <w:fldChar w:fldCharType="end"/>
            </w:r>
            <w:r w:rsidRPr="000E0F90">
              <w:rPr>
                <w:rFonts w:ascii="Arial" w:hAnsi="Arial" w:cs="Arial"/>
                <w:b/>
                <w:color w:val="000000" w:themeColor="text1"/>
                <w:sz w:val="20"/>
                <w:szCs w:val="20"/>
              </w:rPr>
              <w:t xml:space="preserve"> </w:t>
            </w:r>
            <w:r w:rsidRPr="000E0F90">
              <w:rPr>
                <w:rFonts w:ascii="Arial" w:hAnsi="Arial" w:cs="Arial"/>
                <w:b/>
                <w:color w:val="000000" w:themeColor="text1"/>
                <w:sz w:val="20"/>
                <w:szCs w:val="20"/>
              </w:rPr>
              <w:fldChar w:fldCharType="begin" w:fldLock="1"/>
            </w:r>
            <w:r w:rsidRPr="000E0F90">
              <w:rPr>
                <w:rFonts w:ascii="Arial" w:hAnsi="Arial" w:cs="Arial"/>
                <w:b/>
                <w:color w:val="000000" w:themeColor="text1"/>
                <w:sz w:val="20"/>
                <w:szCs w:val="20"/>
              </w:rPr>
              <w:instrText>ADDIN CSL_CITATION { "citationItems" : [ { "id" : "ITEM-1", "itemData" : { "DOI" : "10.1016/j.landurbplan.2013.06.002", "ISBN" : "0169-2046", "ISSN" : "01692046", "abstract" : "The proportion of urban population is increasing globally. Climate change, biodiversity loss, and environmental pollution are leading to the urgent need to increase sustainable development of and through cities and their components. Encouraging and enabling sustainable lifestyles of urban inhabitants can be fostered by developing sustainable urban neighborhoods as the nuclei of cities. Numerous approaches exist that define principles for guiding sustainable development processes of urban neighborhoods. However, it remains unclear if these approaches really consider the core objectives that should be achieved and key actions that are involved to move toward sustainability. This study represents the first quantitative review that evaluates the principles for sustainable urban neighborhood development based on the available literature. We thus (i) identify promising approaches that present principles close to core criteria for sustainability and (ii) provide starting points for developing a more robust set of principles by bringing together the examined literature. Furthermore (iii), sustainability aspects that are insufficiently covered are highlighted. Based on the findings (iv) a road map is outlined to encourage further research on the elaboration of a sufficient set of principles for sustainable urban neighborhood development. \u00a9 2013 Elsevier B.V.", "author" : [ { "dropping-particle" : "", "family" : "Luederitz", "given" : "Christopher", "non-dropping-particle" : "", "parse-names" : false, "suffix" : "" }, { "dropping-particle" : "", "family" : "Lang", "given" : "Daniel J.", "non-dropping-particle" : "", "parse-names" : false, "suffix" : "" }, { "dropping-particle" : "", "family" : "Wehrden", "given" : "Henrik", "non-dropping-particle" : "Von", "parse-names" : false, "suffix" : "" } ], "container-title" : "Landscape and Urban Planning", "id" : "ITEM-1", "issued" : { "date-parts" : [ [ "2013" ] ] }, "page" : "40-52", "publisher" : "Elsevier B.V.", "title" : "A systematic review of guiding principles for sustainable urban neighborhood development", "type" : "article-journal", "volume" : "118" }, "uris" : [ "http://www.mendeley.com/documents/?uuid=6bcfcece-dda2-466f-b77d-29fdaec204ad" ] } ], "mendeley" : { "formattedCitation" : "(Luederitz et al., 2013)", "plainTextFormattedCitation" : "(Luederitz et al., 2013)", "previouslyFormattedCitation" : "(Luederitz et al., 2013)" }, "properties" : { "noteIndex" : 0 }, "schema" : "https://github.com/citation-style-language/schema/raw/master/csl-citation.json" }</w:instrText>
            </w:r>
            <w:r w:rsidRPr="000E0F90">
              <w:rPr>
                <w:rFonts w:ascii="Arial" w:hAnsi="Arial" w:cs="Arial"/>
                <w:b/>
                <w:color w:val="000000" w:themeColor="text1"/>
                <w:sz w:val="20"/>
                <w:szCs w:val="20"/>
              </w:rPr>
              <w:fldChar w:fldCharType="separate"/>
            </w:r>
            <w:r w:rsidRPr="000E0F90">
              <w:rPr>
                <w:rFonts w:ascii="Arial" w:hAnsi="Arial" w:cs="Arial"/>
                <w:b/>
                <w:noProof/>
                <w:color w:val="000000" w:themeColor="text1"/>
                <w:sz w:val="20"/>
                <w:szCs w:val="20"/>
              </w:rPr>
              <w:t>(Luederitz et al., 2013)</w:t>
            </w:r>
            <w:r w:rsidRPr="000E0F90">
              <w:rPr>
                <w:rFonts w:ascii="Arial" w:hAnsi="Arial" w:cs="Arial"/>
                <w:b/>
                <w:color w:val="000000" w:themeColor="text1"/>
                <w:sz w:val="20"/>
                <w:szCs w:val="20"/>
              </w:rPr>
              <w:fldChar w:fldCharType="end"/>
            </w:r>
            <w:r w:rsidRPr="000E0F90">
              <w:rPr>
                <w:rFonts w:ascii="Arial" w:hAnsi="Arial" w:cs="Arial"/>
                <w:b/>
                <w:color w:val="000000" w:themeColor="text1"/>
                <w:sz w:val="20"/>
                <w:szCs w:val="20"/>
              </w:rPr>
              <w:t xml:space="preserve"> </w:t>
            </w:r>
            <w:r w:rsidRPr="000E0F90">
              <w:rPr>
                <w:rFonts w:ascii="Arial" w:hAnsi="Arial" w:cs="Arial"/>
                <w:b/>
                <w:color w:val="000000" w:themeColor="text1"/>
                <w:sz w:val="20"/>
                <w:szCs w:val="20"/>
              </w:rPr>
              <w:fldChar w:fldCharType="begin" w:fldLock="1"/>
            </w:r>
            <w:r w:rsidRPr="000E0F90">
              <w:rPr>
                <w:rFonts w:ascii="Arial" w:hAnsi="Arial" w:cs="Arial"/>
                <w:b/>
                <w:color w:val="000000" w:themeColor="text1"/>
                <w:sz w:val="20"/>
                <w:szCs w:val="20"/>
              </w:rPr>
              <w:instrText>ADDIN CSL_CITATION { "citationItems" : [ { "id" : "ITEM-1", "itemData" : { "author" : [ { "dropping-particle" : "", "family" : "Beder", "given" : "Sharon", "non-dropping-particle" : "", "parse-names" : false, "suffix" : "" } ], "container-title" : "New Zealand Journal of Environmental Law", "id" : "ITEM-1", "issued" : { "date-parts" : [ [ "2000" ] ] }, "page" : "227-243", "title" : "Costing the Earth: Equity, Sustainable Development and Environmental Economics", "type" : "article-journal", "volume" : "4" }, "uris" : [ "http://www.mendeley.com/documents/?uuid=55796272-eb2c-4f3d-b888-f19f34d31d33" ] } ], "mendeley" : { "formattedCitation" : "(Beder, 2000)", "plainTextFormattedCitation" : "(Beder, 2000)", "previouslyFormattedCitation" : "(Beder, 2000)" }, "properties" : { "noteIndex" : 0 }, "schema" : "https://github.com/citation-style-language/schema/raw/master/csl-citation.json" }</w:instrText>
            </w:r>
            <w:r w:rsidRPr="000E0F90">
              <w:rPr>
                <w:rFonts w:ascii="Arial" w:hAnsi="Arial" w:cs="Arial"/>
                <w:b/>
                <w:color w:val="000000" w:themeColor="text1"/>
                <w:sz w:val="20"/>
                <w:szCs w:val="20"/>
              </w:rPr>
              <w:fldChar w:fldCharType="separate"/>
            </w:r>
            <w:r w:rsidRPr="000E0F90">
              <w:rPr>
                <w:rFonts w:ascii="Arial" w:hAnsi="Arial" w:cs="Arial"/>
                <w:b/>
                <w:noProof/>
                <w:color w:val="000000" w:themeColor="text1"/>
                <w:sz w:val="20"/>
                <w:szCs w:val="20"/>
              </w:rPr>
              <w:t>(Beder, 2000)</w:t>
            </w:r>
            <w:r w:rsidRPr="000E0F90">
              <w:rPr>
                <w:rFonts w:ascii="Arial" w:hAnsi="Arial" w:cs="Arial"/>
                <w:b/>
                <w:color w:val="000000" w:themeColor="text1"/>
                <w:sz w:val="20"/>
                <w:szCs w:val="20"/>
              </w:rPr>
              <w:fldChar w:fldCharType="end"/>
            </w:r>
            <w:r w:rsidR="002576A6" w:rsidRPr="000E0F90">
              <w:rPr>
                <w:rFonts w:ascii="Arial" w:hAnsi="Arial" w:cs="Arial"/>
                <w:b/>
                <w:color w:val="000000" w:themeColor="text1"/>
                <w:sz w:val="20"/>
                <w:szCs w:val="20"/>
              </w:rPr>
              <w:t>.</w:t>
            </w:r>
          </w:p>
        </w:tc>
        <w:tc>
          <w:tcPr>
            <w:tcW w:w="5490" w:type="dxa"/>
            <w:tcBorders>
              <w:left w:val="nil"/>
              <w:bottom w:val="nil"/>
            </w:tcBorders>
            <w:vAlign w:val="bottom"/>
          </w:tcPr>
          <w:p w:rsidR="00383210" w:rsidRPr="00741671" w:rsidRDefault="00383210" w:rsidP="008A7F2C">
            <w:pPr>
              <w:spacing w:after="0" w:line="240" w:lineRule="auto"/>
              <w:rPr>
                <w:rFonts w:ascii="Arial" w:hAnsi="Arial" w:cs="Arial"/>
                <w:color w:val="000000" w:themeColor="text1"/>
                <w:sz w:val="20"/>
                <w:szCs w:val="20"/>
              </w:rPr>
            </w:pPr>
            <w:r w:rsidRPr="00741671">
              <w:rPr>
                <w:rFonts w:ascii="Arial" w:hAnsi="Arial" w:cs="Arial"/>
                <w:color w:val="000000" w:themeColor="text1"/>
                <w:sz w:val="20"/>
                <w:szCs w:val="20"/>
              </w:rPr>
              <w:t xml:space="preserve">Satisfacer las necesidades físicas básicas, las necesidades de seguridad y relaciones sociales </w:t>
            </w:r>
            <w:r w:rsidRPr="00741671">
              <w:rPr>
                <w:rFonts w:ascii="Arial" w:hAnsi="Arial" w:cs="Arial"/>
                <w:color w:val="000000" w:themeColor="text1"/>
                <w:sz w:val="20"/>
                <w:szCs w:val="20"/>
              </w:rPr>
              <w:fldChar w:fldCharType="begin" w:fldLock="1"/>
            </w:r>
            <w:r w:rsidRPr="00741671">
              <w:rPr>
                <w:rFonts w:ascii="Arial" w:hAnsi="Arial" w:cs="Arial"/>
                <w:color w:val="000000" w:themeColor="text1"/>
                <w:sz w:val="20"/>
                <w:szCs w:val="20"/>
              </w:rPr>
              <w:instrText>ADDIN CSL_CITATION { "citationItems" : [ { "id" : "ITEM-1", "itemData" : { "DOI" : "10.1016/j.landurbplan.2013.06.002", "ISBN" : "0169-2046", "ISSN" : "01692046", "abstract" : "The proportion of urban population is increasing globally. Climate change, biodiversity loss, and environmental pollution are leading to the urgent need to increase sustainable development of and through cities and their components. Encouraging and enabling sustainable lifestyles of urban inhabitants can be fostered by developing sustainable urban neighborhoods as the nuclei of cities. Numerous approaches exist that define principles for guiding sustainable development processes of urban neighborhoods. However, it remains unclear if these approaches really consider the core objectives that should be achieved and key actions that are involved to move toward sustainability. This study represents the first quantitative review that evaluates the principles for sustainable urban neighborhood development based on the available literature. We thus (i) identify promising approaches that present principles close to core criteria for sustainability and (ii) provide starting points for developing a more robust set of principles by bringing together the examined literature. Furthermore (iii), sustainability aspects that are insufficiently covered are highlighted. Based on the findings (iv) a road map is outlined to encourage further research on the elaboration of a sufficient set of principles for sustainable urban neighborhood development. \u00a9 2013 Elsevier B.V.", "author" : [ { "dropping-particle" : "", "family" : "Luederitz", "given" : "Christopher", "non-dropping-particle" : "", "parse-names" : false, "suffix" : "" }, { "dropping-particle" : "", "family" : "Lang", "given" : "Daniel J.", "non-dropping-particle" : "", "parse-names" : false, "suffix" : "" }, { "dropping-particle" : "", "family" : "Wehrden", "given" : "Henrik", "non-dropping-particle" : "Von", "parse-names" : false, "suffix" : "" } ], "container-title" : "Landscape and Urban Planning", "id" : "ITEM-1", "issued" : { "date-parts" : [ [ "2013" ] ] }, "page" : "40-52", "publisher" : "Elsevier B.V.", "title" : "A systematic review of guiding principles for sustainable urban neighborhood development", "type" : "article-journal", "volume" : "118" }, "uris" : [ "http://www.mendeley.com/documents/?uuid=6bcfcece-dda2-466f-b77d-29fdaec204ad" ] } ], "mendeley" : { "formattedCitation" : "(Luederitz et al., 2013)", "plainTextFormattedCitation" : "(Luederitz et al., 2013)", "previouslyFormattedCitation" : "(Luederitz et al., 2013)" }, "properties" : { "noteIndex" : 0 }, "schema" : "https://github.com/citation-style-language/schema/raw/master/csl-citation.json" }</w:instrText>
            </w:r>
            <w:r w:rsidRPr="00741671">
              <w:rPr>
                <w:rFonts w:ascii="Arial" w:hAnsi="Arial" w:cs="Arial"/>
                <w:color w:val="000000" w:themeColor="text1"/>
                <w:sz w:val="20"/>
                <w:szCs w:val="20"/>
              </w:rPr>
              <w:fldChar w:fldCharType="separate"/>
            </w:r>
            <w:r w:rsidRPr="00741671">
              <w:rPr>
                <w:rFonts w:ascii="Arial" w:hAnsi="Arial" w:cs="Arial"/>
                <w:noProof/>
                <w:color w:val="000000" w:themeColor="text1"/>
                <w:sz w:val="20"/>
                <w:szCs w:val="20"/>
              </w:rPr>
              <w:t>(Luederitz et al., 2013)</w:t>
            </w:r>
            <w:r w:rsidRPr="00741671">
              <w:rPr>
                <w:rFonts w:ascii="Arial" w:hAnsi="Arial" w:cs="Arial"/>
                <w:color w:val="000000" w:themeColor="text1"/>
                <w:sz w:val="20"/>
                <w:szCs w:val="20"/>
              </w:rPr>
              <w:fldChar w:fldCharType="end"/>
            </w:r>
            <w:r w:rsidRPr="00741671">
              <w:rPr>
                <w:rFonts w:ascii="Arial" w:hAnsi="Arial" w:cs="Arial"/>
                <w:color w:val="000000" w:themeColor="text1"/>
                <w:sz w:val="20"/>
                <w:szCs w:val="20"/>
              </w:rPr>
              <w:t xml:space="preserve"> </w:t>
            </w:r>
          </w:p>
        </w:tc>
      </w:tr>
      <w:tr w:rsidR="00383210" w:rsidRPr="000E0F90" w:rsidTr="002A21E4">
        <w:tc>
          <w:tcPr>
            <w:tcW w:w="3280" w:type="dxa"/>
            <w:vMerge/>
            <w:tcBorders>
              <w:top w:val="nil"/>
              <w:bottom w:val="nil"/>
              <w:right w:val="nil"/>
            </w:tcBorders>
            <w:vAlign w:val="bottom"/>
          </w:tcPr>
          <w:p w:rsidR="00383210" w:rsidRPr="000E0F90" w:rsidRDefault="00383210" w:rsidP="00383210">
            <w:pPr>
              <w:spacing w:after="0" w:line="240" w:lineRule="auto"/>
              <w:rPr>
                <w:rFonts w:ascii="Arial" w:hAnsi="Arial" w:cs="Arial"/>
                <w:color w:val="000000" w:themeColor="text1"/>
                <w:sz w:val="20"/>
                <w:szCs w:val="20"/>
              </w:rPr>
            </w:pPr>
          </w:p>
        </w:tc>
        <w:tc>
          <w:tcPr>
            <w:tcW w:w="5490" w:type="dxa"/>
            <w:tcBorders>
              <w:top w:val="nil"/>
              <w:left w:val="nil"/>
              <w:bottom w:val="nil"/>
            </w:tcBorders>
            <w:vAlign w:val="bottom"/>
          </w:tcPr>
          <w:p w:rsidR="00383210" w:rsidRPr="00741671" w:rsidRDefault="00383210" w:rsidP="008A7F2C">
            <w:pPr>
              <w:spacing w:after="0" w:line="240" w:lineRule="auto"/>
              <w:rPr>
                <w:rFonts w:ascii="Arial" w:hAnsi="Arial" w:cs="Arial"/>
                <w:color w:val="000000" w:themeColor="text1"/>
                <w:sz w:val="20"/>
                <w:szCs w:val="20"/>
              </w:rPr>
            </w:pPr>
            <w:r w:rsidRPr="00741671">
              <w:rPr>
                <w:rFonts w:ascii="Arial" w:hAnsi="Arial" w:cs="Arial"/>
                <w:color w:val="000000" w:themeColor="text1"/>
                <w:sz w:val="20"/>
                <w:szCs w:val="20"/>
              </w:rPr>
              <w:t>Proteger la salud humana</w:t>
            </w:r>
            <w:r w:rsidR="00FE27AA" w:rsidRPr="00741671">
              <w:rPr>
                <w:rFonts w:ascii="Arial" w:hAnsi="Arial" w:cs="Arial"/>
                <w:color w:val="000000" w:themeColor="text1"/>
                <w:sz w:val="20"/>
                <w:szCs w:val="20"/>
              </w:rPr>
              <w:t xml:space="preserve"> de las comunidades y trabajadores </w:t>
            </w:r>
            <w:r w:rsidR="008A7F2C" w:rsidRPr="00741671">
              <w:rPr>
                <w:rFonts w:ascii="Arial" w:hAnsi="Arial" w:cs="Arial"/>
                <w:color w:val="000000" w:themeColor="text1"/>
                <w:sz w:val="20"/>
                <w:szCs w:val="20"/>
              </w:rPr>
              <w:t xml:space="preserve">locales, </w:t>
            </w:r>
            <w:r w:rsidRPr="00741671">
              <w:rPr>
                <w:rFonts w:ascii="Arial" w:hAnsi="Arial" w:cs="Arial"/>
                <w:color w:val="000000" w:themeColor="text1"/>
                <w:sz w:val="20"/>
                <w:szCs w:val="20"/>
              </w:rPr>
              <w:t xml:space="preserve">incluyendo exposición a sustancias tóxicas, aspectos sanitarios y vulnerabilidad a enfermedades </w:t>
            </w:r>
            <w:r w:rsidRPr="00741671">
              <w:rPr>
                <w:rFonts w:ascii="Arial" w:hAnsi="Arial" w:cs="Arial"/>
                <w:color w:val="000000" w:themeColor="text1"/>
                <w:sz w:val="20"/>
                <w:szCs w:val="20"/>
              </w:rPr>
              <w:fldChar w:fldCharType="begin" w:fldLock="1"/>
            </w:r>
            <w:r w:rsidRPr="00741671">
              <w:rPr>
                <w:rFonts w:ascii="Arial" w:hAnsi="Arial" w:cs="Arial"/>
                <w:color w:val="000000" w:themeColor="text1"/>
                <w:sz w:val="20"/>
                <w:szCs w:val="20"/>
              </w:rPr>
              <w:instrText xml:space="preserve">ADDIN CSL_CITATION { "citationItems" : [ { "id" : "ITEM-1", "itemData" : { "DOI" : "10.3152/146155110X12772982841122", "ISSN" : "1461-5517", "abstract" : "Assessments today need to help reverse trends towards deeper unsustainability and address the unavoidable interconnections, feedbacks and uncertainties that typify complex socio-ecological systems at all scales. To illustrate one promising approach, this paper describes a modest effort to integrate understandings from Gibson et al\u2019s approach to sustainability assessment with the Resilience Alliance\u2019s applications of complex systems thinking into a suite of systems and sustainability based criteria. The integrated sustainability\u2013resilience criteria were used to assess an existing small-scale biodiesel operation on Barbados that involves waste management, public health, transportation, energy security and community involvement considerations. The assessment revealed that the main benefit of this biodiesel project is in social learning rather than enhancing energy security and waste management, and the best ways of enhancing the project lie in larger scale policy initiatives. The findings suggest that the use of a sustainability\u2013resilience approach can contribute insights unlikely to emerge from more narrowly focused assessments.", "author" : [ { "dropping-particle" : "", "family" : "Gaudreau", "given" : "Kyrke", "non-dropping-particle" : "", "parse-names" : false, "suffix" : "" }, { "dropping-particle" : "", "family" : "Gibson", "given" : "Robert B.", "non-dropping-particle" : "", "parse-names" : false, "suffix" : "" } ], "container-title" : "Impact Assessment and Project Appraisal", "id" : "ITEM-1", "issue" : "December", "issued" : { "date-parts" : [ </w:instrText>
            </w:r>
            <w:r w:rsidRPr="002613F4">
              <w:rPr>
                <w:rFonts w:ascii="Arial" w:hAnsi="Arial" w:cs="Arial"/>
                <w:color w:val="000000" w:themeColor="text1"/>
                <w:sz w:val="20"/>
                <w:szCs w:val="20"/>
              </w:rPr>
              <w:instrText>[ "2010" ] ] }, "page" : "233-243", "title" : "Illustrating integrated sustainability and resilience based assessments: a small-scale biodiesel project in Barbados", "type" : "article-journal", "volume" : "28" }, "uris" : [ "http://www.mendeley.com/documents/?uuid=fee76635-1433-4c27-9c85-bbbf459c7e59" ] } ], "mendeley" : { "formattedCitation" : "(Gaudreau &amp; Gibson, 2010)", "plainTextFormattedCitation" : "(Gaudreau &amp; Gibson, 2010)", "previouslyFormattedCitation" : "(Gaudreau &amp; Gibson, 2010)" }, "properties" : { "noteIndex" : 0 }, "schema" : "https://github.com/citation-style-language/schema/raw/master/csl-citation.json" }</w:instrText>
            </w:r>
            <w:r w:rsidRPr="00741671">
              <w:rPr>
                <w:rFonts w:ascii="Arial" w:hAnsi="Arial" w:cs="Arial"/>
                <w:color w:val="000000" w:themeColor="text1"/>
                <w:sz w:val="20"/>
                <w:szCs w:val="20"/>
              </w:rPr>
              <w:fldChar w:fldCharType="separate"/>
            </w:r>
            <w:r w:rsidRPr="002613F4">
              <w:rPr>
                <w:rFonts w:ascii="Arial" w:hAnsi="Arial" w:cs="Arial"/>
                <w:noProof/>
                <w:color w:val="000000" w:themeColor="text1"/>
                <w:sz w:val="20"/>
                <w:szCs w:val="20"/>
              </w:rPr>
              <w:t>(Gaudreau &amp; Gibson, 2010)</w:t>
            </w:r>
            <w:r w:rsidRPr="00741671">
              <w:rPr>
                <w:rFonts w:ascii="Arial" w:hAnsi="Arial" w:cs="Arial"/>
                <w:color w:val="000000" w:themeColor="text1"/>
                <w:sz w:val="20"/>
                <w:szCs w:val="20"/>
              </w:rPr>
              <w:fldChar w:fldCharType="end"/>
            </w:r>
            <w:r w:rsidRPr="002613F4">
              <w:rPr>
                <w:rFonts w:ascii="Arial" w:hAnsi="Arial" w:cs="Arial"/>
                <w:color w:val="000000" w:themeColor="text1"/>
                <w:sz w:val="20"/>
                <w:szCs w:val="20"/>
              </w:rPr>
              <w:t xml:space="preserve"> </w:t>
            </w:r>
            <w:r w:rsidRPr="00741671">
              <w:rPr>
                <w:rFonts w:ascii="Arial" w:hAnsi="Arial" w:cs="Arial"/>
                <w:color w:val="000000" w:themeColor="text1"/>
                <w:sz w:val="20"/>
                <w:szCs w:val="20"/>
              </w:rPr>
              <w:fldChar w:fldCharType="begin" w:fldLock="1"/>
            </w:r>
            <w:r w:rsidRPr="002613F4">
              <w:rPr>
                <w:rFonts w:ascii="Arial" w:hAnsi="Arial" w:cs="Arial"/>
                <w:color w:val="000000" w:themeColor="text1"/>
                <w:sz w:val="20"/>
                <w:szCs w:val="20"/>
              </w:rPr>
              <w:instrText>ADDIN CSL_CITATION { "citationItems" : [ { "id" : "ITEM-1", "itemData" : { "ISBN" : "9781844070503", "author" : [ { "dropping-particle" : "", "family" : "Gibson", "given" : "Robert B.", "non-dropping-particle" : "", "parse-names" : false, "suffix" : "" } ], "id" : "ITEM-1", "issued" : { "date-parts" : [ [ "2005" ] ] }, "page" : "269", "publisher" : "Earthscan", "title" : "Sustainability Assessment. Criteria, Processes and A</w:instrText>
            </w:r>
            <w:r w:rsidRPr="00741671">
              <w:rPr>
                <w:rFonts w:ascii="Arial" w:hAnsi="Arial" w:cs="Arial"/>
                <w:color w:val="000000" w:themeColor="text1"/>
                <w:sz w:val="20"/>
                <w:szCs w:val="20"/>
                <w:lang w:val="en-US"/>
              </w:rPr>
              <w:instrText>pplications", "type" : "book" }, "uris" : [ "http://www.mendeley.com/documents/?uuid=566b52ab-35b0-4a0c-b91f-1bf25d523ac7" ] } ], "mendeley" : { "formattedCitation" : "(Gibson, 2005)", "plainTextFormattedCitation" : "(Gibson, 2005)", "previouslyFormattedCitation" : "(Gibson, 2005)" }, "properties" : { "noteIndex" : 0 }, "schema" : "https://github.com/citation-style-language/schema/raw/master/csl-citation.json" }</w:instrText>
            </w:r>
            <w:r w:rsidRPr="00741671">
              <w:rPr>
                <w:rFonts w:ascii="Arial" w:hAnsi="Arial" w:cs="Arial"/>
                <w:color w:val="000000" w:themeColor="text1"/>
                <w:sz w:val="20"/>
                <w:szCs w:val="20"/>
              </w:rPr>
              <w:fldChar w:fldCharType="separate"/>
            </w:r>
            <w:r w:rsidRPr="00741671">
              <w:rPr>
                <w:rFonts w:ascii="Arial" w:hAnsi="Arial" w:cs="Arial"/>
                <w:noProof/>
                <w:color w:val="000000" w:themeColor="text1"/>
                <w:sz w:val="20"/>
                <w:szCs w:val="20"/>
                <w:lang w:val="en-US"/>
              </w:rPr>
              <w:t>(Gibson, 2005)</w:t>
            </w:r>
            <w:r w:rsidRPr="00741671">
              <w:rPr>
                <w:rFonts w:ascii="Arial" w:hAnsi="Arial" w:cs="Arial"/>
                <w:color w:val="000000" w:themeColor="text1"/>
                <w:sz w:val="20"/>
                <w:szCs w:val="20"/>
              </w:rPr>
              <w:fldChar w:fldCharType="end"/>
            </w:r>
            <w:r w:rsidRPr="00741671">
              <w:rPr>
                <w:rFonts w:ascii="Arial" w:hAnsi="Arial" w:cs="Arial"/>
                <w:color w:val="000000" w:themeColor="text1"/>
                <w:sz w:val="20"/>
                <w:szCs w:val="20"/>
                <w:lang w:val="en-US"/>
              </w:rPr>
              <w:t xml:space="preserve"> </w:t>
            </w:r>
            <w:r w:rsidRPr="00741671">
              <w:rPr>
                <w:rFonts w:ascii="Arial" w:hAnsi="Arial" w:cs="Arial"/>
                <w:color w:val="000000" w:themeColor="text1"/>
                <w:sz w:val="20"/>
                <w:szCs w:val="20"/>
              </w:rPr>
              <w:fldChar w:fldCharType="begin" w:fldLock="1"/>
            </w:r>
            <w:r w:rsidRPr="00741671">
              <w:rPr>
                <w:rFonts w:ascii="Arial" w:hAnsi="Arial" w:cs="Arial"/>
                <w:color w:val="000000" w:themeColor="text1"/>
                <w:sz w:val="20"/>
                <w:szCs w:val="20"/>
                <w:lang w:val="en-US"/>
              </w:rPr>
              <w:instrText>ADDIN CSL_CITATION { "citationItems" : [ { "id" : "ITEM-1", "itemData" : { "DOI" : "10.1016/j.landurbplan.2013.06.002", "ISBN" : "0169-2046", "ISSN" : "01692046", "abstract" : "The proportion of urban population is increasing globally. Climate change, biodiversity loss, and environmental pollution are leading to the urgent need to increase sustainable development of and through cities and their components. Encouraging and enabling sustainable lifestyles of urban inhabitants can be fostered by developing sustainable urban neighborhoods as the nuclei of cities. Numerous approaches exist that define principles for guiding sustainable development processes of urban neighborhoods. However, it remains unclear if these approaches really consider the core objectives that should be achieved and key actions that are involved to move toward sustainability. This study represents the first quantitative review that evaluates the principles for sustainable urban neighborhood development based on the available literature. We thus (i) identify promising approaches that present principles close to core criteria for sustainability and (ii) provide starting points for developing a more robust set of principles by bringing together the examined literature. Furthermore (iii), sustainability aspects that are insufficiently covered are highlighted. Based on the findings (iv) a road map is outlined to encourage further research on the elaboration of a sufficient set of principles for sustainable urban neighborhood development. \u00a9 2013 Elsevier B.V.", "author" : [ { "dropping-particle" : "", "family" : "Luederitz", "given" : "Christopher", "non-dropping-particle" : "", "parse-names" : false, "suffix" : "" }, { "dropping-particle" : "", "family" : "Lang", "given" : "Daniel J.", "non-dropping-particle" : "", "parse-names" : false, "suffix" : "" }, { "dropping-particle" : "", "family" : "Wehrden", "given" : "Henrik", "non-dropping-particle" : "Von", "parse-names" : false, "suffix" : "" } ], "container-title" : "Landscape and Urban Planning", "id" : "ITEM-1", "issued" : { "date-parts" : [ [ "2013" ] ] }, "page" : "40-52", "publisher" : "Elsevier B.V.", "title" : "A systematic review of guiding principles for sustainable urban neighborhood development", "type" : "article-journal", "volume" : "118" }, "uris" : [ "http://www.mendeley.com/documents/?uuid=6bcfcece-dda2-466f-b77d-29fdaec204ad" ] } ], "mendeley" : { "formattedCitation" : "(Luederitz et al., 2013)", "plainTextFormattedCitation" : "(Luederitz et al., 2013)", "previouslyFormattedCitation" : "(Luederitz et al., 2013)" }, "properties" : { "noteIndex" : 0 }, "schema" : "https://github.com/citation-style-language/schema/raw/master/csl-citation.json" }</w:instrText>
            </w:r>
            <w:r w:rsidRPr="00741671">
              <w:rPr>
                <w:rFonts w:ascii="Arial" w:hAnsi="Arial" w:cs="Arial"/>
                <w:color w:val="000000" w:themeColor="text1"/>
                <w:sz w:val="20"/>
                <w:szCs w:val="20"/>
              </w:rPr>
              <w:fldChar w:fldCharType="separate"/>
            </w:r>
            <w:r w:rsidRPr="00741671">
              <w:rPr>
                <w:rFonts w:ascii="Arial" w:hAnsi="Arial" w:cs="Arial"/>
                <w:noProof/>
                <w:color w:val="000000" w:themeColor="text1"/>
                <w:sz w:val="20"/>
                <w:szCs w:val="20"/>
                <w:lang w:val="en-US"/>
              </w:rPr>
              <w:t>(Luederitz et al., 2013)</w:t>
            </w:r>
            <w:r w:rsidRPr="00741671">
              <w:rPr>
                <w:rFonts w:ascii="Arial" w:hAnsi="Arial" w:cs="Arial"/>
                <w:color w:val="000000" w:themeColor="text1"/>
                <w:sz w:val="20"/>
                <w:szCs w:val="20"/>
              </w:rPr>
              <w:fldChar w:fldCharType="end"/>
            </w:r>
            <w:r w:rsidR="00FE27AA" w:rsidRPr="00741671">
              <w:rPr>
                <w:rFonts w:ascii="Arial" w:hAnsi="Arial" w:cs="Arial"/>
                <w:color w:val="000000" w:themeColor="text1"/>
                <w:sz w:val="20"/>
                <w:szCs w:val="20"/>
                <w:lang w:val="en-US"/>
              </w:rPr>
              <w:t xml:space="preserve">. </w:t>
            </w:r>
            <w:r w:rsidR="00FE27AA" w:rsidRPr="002613F4">
              <w:rPr>
                <w:rFonts w:ascii="Arial" w:hAnsi="Arial" w:cs="Arial"/>
                <w:color w:val="000000" w:themeColor="text1"/>
                <w:sz w:val="20"/>
                <w:szCs w:val="20"/>
              </w:rPr>
              <w:t xml:space="preserve">Así como aspectos de salud mental y social, y equilibrio entre vida y trabajo </w:t>
            </w:r>
            <w:r w:rsidR="00FE27AA" w:rsidRPr="00741671">
              <w:rPr>
                <w:rFonts w:ascii="Arial" w:hAnsi="Arial" w:cs="Arial"/>
                <w:color w:val="000000" w:themeColor="text1"/>
                <w:sz w:val="20"/>
                <w:szCs w:val="20"/>
              </w:rPr>
              <w:fldChar w:fldCharType="begin" w:fldLock="1"/>
            </w:r>
            <w:r w:rsidR="00FE27AA" w:rsidRPr="002613F4">
              <w:rPr>
                <w:rFonts w:ascii="Arial" w:hAnsi="Arial" w:cs="Arial"/>
                <w:color w:val="000000" w:themeColor="text1"/>
                <w:sz w:val="20"/>
                <w:szCs w:val="20"/>
              </w:rPr>
              <w:instrText>ADDIN CSL_CITATION { "citationItems" : [ { "id" : "ITEM-1", "itemData" : { "DOI" : "10.1016/j.jclepro.2017.03.047", "ISBN" : "9789289347945", "ISSN" : "09596526", "abstract" : "The mining industry has a major impact on society - from an economic, environmental and social perspective and due to a vast number of criteria. Which criteria should be given priority depends on where the mining operations take place. This paper's focus on the Nordic mining industry is partly due to the positive economic trend that the industry is currently experiencing and partly because very little research has been conducted on how the European mining industry addresses sustainability. The purpose of this study is therefore to examine the Nordic mining industry's sustainability practices and to develop guidelines for such efforts. The research methods used in the study include a literature review, a content analysis of sustainability reports, a review of existing sustainability initiatives, guidelines and tools, a stakeholder survey and interviews with mining company officials. Based on the findings, sustainability criteria guidelines for the Nordic mining industry are suggested in the areas of corporate governance, fair operating practices, economic aspects, human rights, labour practices, society and the environment. The content of the guidelines is discussed in the light of the sustainability practices performed by th</w:instrText>
            </w:r>
            <w:r w:rsidR="00FE27AA" w:rsidRPr="00741671">
              <w:rPr>
                <w:rFonts w:ascii="Arial" w:hAnsi="Arial" w:cs="Arial"/>
                <w:color w:val="000000" w:themeColor="text1"/>
                <w:sz w:val="20"/>
                <w:szCs w:val="20"/>
              </w:rPr>
              <w:instrText>e studied mining companies.", "author" : [ { "dropping-particle" : "", "family" : "Ran\u00e4ngen", "given" : "Helena", "non-dropping-particle" : "", "parse-names" : false, "suffix" : "" }, { "dropping-particle" : "", "family" : "Lindman", "given" : "\u00c5sa", "non-dropping-particle" : "", "parse-names" : false, "suffix" : "" } ], "container-title" : "Journal of Cleaner Production", "id" : "ITEM-1", "issued" : { "date-parts" : [ [ "2017" ] ] }, "page" : "43-52", "title" : "A path towards sustainability for the Nordic mining industry", "type" : "article-journal", "volume" : "151" }, "uris" : [ "http://www.mendeley.com/documents/?uuid=6c35c3e3-ee0c-4b28-8acc-e8d00b36d33a" ] } ], "mendeley" : { "formattedCitation" : "(Ran\u00e4ngen &amp; Lindman, 2017)", "plainTextFormattedCitation" : "(Ran\u00e4ngen &amp; Lindman, 2017)", "previouslyFormattedCitation" : "(Ran\u00e4ngen &amp; Lindman, 2017)" }, "properties" : { "noteIndex" : 0 }, "schema" : "https://github.com/citation-style-language/schema/raw/master/csl-citation.json" }</w:instrText>
            </w:r>
            <w:r w:rsidR="00FE27AA" w:rsidRPr="00741671">
              <w:rPr>
                <w:rFonts w:ascii="Arial" w:hAnsi="Arial" w:cs="Arial"/>
                <w:color w:val="000000" w:themeColor="text1"/>
                <w:sz w:val="20"/>
                <w:szCs w:val="20"/>
              </w:rPr>
              <w:fldChar w:fldCharType="separate"/>
            </w:r>
            <w:r w:rsidR="00FE27AA" w:rsidRPr="00741671">
              <w:rPr>
                <w:rFonts w:ascii="Arial" w:hAnsi="Arial" w:cs="Arial"/>
                <w:noProof/>
                <w:color w:val="000000" w:themeColor="text1"/>
                <w:sz w:val="20"/>
                <w:szCs w:val="20"/>
              </w:rPr>
              <w:t>(Ranängen &amp; Lindman, 2017)</w:t>
            </w:r>
            <w:r w:rsidR="00FE27AA" w:rsidRPr="00741671">
              <w:rPr>
                <w:rFonts w:ascii="Arial" w:hAnsi="Arial" w:cs="Arial"/>
                <w:color w:val="000000" w:themeColor="text1"/>
                <w:sz w:val="20"/>
                <w:szCs w:val="20"/>
              </w:rPr>
              <w:fldChar w:fldCharType="end"/>
            </w:r>
            <w:r w:rsidR="00FE27AA" w:rsidRPr="00741671">
              <w:rPr>
                <w:rFonts w:ascii="Arial" w:hAnsi="Arial" w:cs="Arial"/>
                <w:color w:val="000000" w:themeColor="text1"/>
                <w:sz w:val="20"/>
                <w:szCs w:val="20"/>
              </w:rPr>
              <w:t>.</w:t>
            </w:r>
          </w:p>
        </w:tc>
      </w:tr>
      <w:tr w:rsidR="00383210" w:rsidRPr="000E0F90" w:rsidTr="002A21E4">
        <w:tc>
          <w:tcPr>
            <w:tcW w:w="3280" w:type="dxa"/>
            <w:vMerge/>
            <w:tcBorders>
              <w:top w:val="nil"/>
              <w:bottom w:val="nil"/>
              <w:right w:val="nil"/>
            </w:tcBorders>
            <w:vAlign w:val="bottom"/>
          </w:tcPr>
          <w:p w:rsidR="00383210" w:rsidRPr="000E0F90" w:rsidRDefault="00383210" w:rsidP="001A5FA2">
            <w:pPr>
              <w:spacing w:after="0" w:line="240" w:lineRule="auto"/>
              <w:rPr>
                <w:rFonts w:ascii="Arial" w:hAnsi="Arial" w:cs="Arial"/>
                <w:color w:val="000000" w:themeColor="text1"/>
                <w:sz w:val="20"/>
                <w:szCs w:val="20"/>
              </w:rPr>
            </w:pPr>
          </w:p>
        </w:tc>
        <w:tc>
          <w:tcPr>
            <w:tcW w:w="5490" w:type="dxa"/>
            <w:tcBorders>
              <w:top w:val="nil"/>
              <w:left w:val="nil"/>
              <w:bottom w:val="nil"/>
            </w:tcBorders>
            <w:vAlign w:val="bottom"/>
          </w:tcPr>
          <w:p w:rsidR="00383210" w:rsidRPr="00741671" w:rsidRDefault="00383210" w:rsidP="008A7F2C">
            <w:pPr>
              <w:spacing w:after="0" w:line="240" w:lineRule="auto"/>
              <w:rPr>
                <w:rFonts w:ascii="Arial" w:hAnsi="Arial" w:cs="Arial"/>
                <w:color w:val="000000" w:themeColor="text1"/>
                <w:sz w:val="20"/>
                <w:szCs w:val="20"/>
              </w:rPr>
            </w:pPr>
            <w:r w:rsidRPr="00741671">
              <w:rPr>
                <w:rFonts w:ascii="Arial" w:hAnsi="Arial" w:cs="Arial"/>
                <w:color w:val="000000" w:themeColor="text1"/>
                <w:sz w:val="20"/>
                <w:szCs w:val="20"/>
              </w:rPr>
              <w:t xml:space="preserve">Proveer de oportunidades de empleos satisfactorios y </w:t>
            </w:r>
            <w:r w:rsidR="00566A07" w:rsidRPr="00741671">
              <w:rPr>
                <w:rFonts w:ascii="Arial" w:hAnsi="Arial" w:cs="Arial"/>
                <w:color w:val="000000" w:themeColor="text1"/>
                <w:sz w:val="20"/>
                <w:szCs w:val="20"/>
              </w:rPr>
              <w:t>estables</w:t>
            </w:r>
            <w:r w:rsidRPr="00741671">
              <w:rPr>
                <w:rFonts w:ascii="Arial" w:hAnsi="Arial" w:cs="Arial"/>
                <w:color w:val="000000" w:themeColor="text1"/>
                <w:sz w:val="20"/>
                <w:szCs w:val="20"/>
              </w:rPr>
              <w:t xml:space="preserve">, que permitan </w:t>
            </w:r>
            <w:r w:rsidR="00FE27AA" w:rsidRPr="00741671">
              <w:rPr>
                <w:rFonts w:ascii="Arial" w:hAnsi="Arial" w:cs="Arial"/>
                <w:color w:val="000000" w:themeColor="text1"/>
                <w:sz w:val="20"/>
                <w:szCs w:val="20"/>
              </w:rPr>
              <w:t>sustento y desarrollo</w:t>
            </w:r>
            <w:r w:rsidR="00566A07" w:rsidRPr="00741671">
              <w:rPr>
                <w:rFonts w:ascii="Arial" w:hAnsi="Arial" w:cs="Arial"/>
                <w:color w:val="000000" w:themeColor="text1"/>
                <w:sz w:val="20"/>
                <w:szCs w:val="20"/>
              </w:rPr>
              <w:t xml:space="preserve">, preferentemente a las </w:t>
            </w:r>
            <w:r w:rsidR="008A7F2C" w:rsidRPr="00741671">
              <w:rPr>
                <w:rFonts w:ascii="Arial" w:hAnsi="Arial" w:cs="Arial"/>
                <w:color w:val="000000" w:themeColor="text1"/>
                <w:sz w:val="20"/>
                <w:szCs w:val="20"/>
              </w:rPr>
              <w:t>trabajadores</w:t>
            </w:r>
            <w:r w:rsidR="00566A07" w:rsidRPr="00741671">
              <w:rPr>
                <w:rFonts w:ascii="Arial" w:hAnsi="Arial" w:cs="Arial"/>
                <w:color w:val="000000" w:themeColor="text1"/>
                <w:sz w:val="20"/>
                <w:szCs w:val="20"/>
              </w:rPr>
              <w:t xml:space="preserve"> locales</w:t>
            </w:r>
            <w:r w:rsidR="00FE27AA" w:rsidRPr="00741671">
              <w:rPr>
                <w:rFonts w:ascii="Arial" w:hAnsi="Arial" w:cs="Arial"/>
                <w:color w:val="000000" w:themeColor="text1"/>
                <w:sz w:val="20"/>
                <w:szCs w:val="20"/>
              </w:rPr>
              <w:t>, minimizando la contratación foránea</w:t>
            </w:r>
            <w:r w:rsidRPr="00741671">
              <w:rPr>
                <w:rFonts w:ascii="Arial" w:hAnsi="Arial" w:cs="Arial"/>
                <w:color w:val="000000" w:themeColor="text1"/>
                <w:sz w:val="20"/>
                <w:szCs w:val="20"/>
              </w:rPr>
              <w:t xml:space="preserve"> </w:t>
            </w:r>
            <w:r w:rsidRPr="00741671">
              <w:rPr>
                <w:rFonts w:ascii="Arial" w:hAnsi="Arial" w:cs="Arial"/>
                <w:color w:val="000000" w:themeColor="text1"/>
                <w:sz w:val="20"/>
                <w:szCs w:val="20"/>
              </w:rPr>
              <w:fldChar w:fldCharType="begin" w:fldLock="1"/>
            </w:r>
            <w:r w:rsidRPr="00741671">
              <w:rPr>
                <w:rFonts w:ascii="Arial" w:hAnsi="Arial" w:cs="Arial"/>
                <w:color w:val="000000" w:themeColor="text1"/>
                <w:sz w:val="20"/>
                <w:szCs w:val="20"/>
              </w:rPr>
              <w:instrText>ADDIN CSL_CITATION { "citationItems" : [ { "id" : "ITEM-1", "itemData" : { "DOI" : "10.3152/146155110X12772982841122", "ISSN" : "1461-5517", "abstract" : "Assessments today need to help reverse trends towards deeper unsustainability and address the unavoidable interconnections, feedbacks and uncertainties that typify complex socio-ecological systems at all scales. To illustrate one promising approach, this paper describes a modest effort to integrate understandings from Gibson et al\u2019s approach to sustainability assessment with the Resilience Alliance\u2019s applications of complex systems thinking into a suite of systems and sustainability based criteria. The integrated sustainability\u2013resilience criteria were used to assess an existing small-scale biodiesel operation on Barbados that involves waste management, public health, transportation, energy security and community involvement considerations. The assessment revealed that the main benefit of this biodiesel project is in social learning rather than enhancing energy security and waste management, and the best ways of enhancing the project lie in larger scale policy initiatives. The findings suggest that the use of a sustainability\u2013resilience approach can contribute insights unlikely to emerge from more narrowly focused assessments.", "author" : [ { "dropping-particle" : "", "family" : "Gaudreau", "given" : "Kyrke", "non-dropping-particle" : "", "parse-names" : false, "suffix" : "" }, { "dropping-particle" : "", "family" : "Gibson", "given" : "Robert B.", "non-dropping-particle" : "", "parse-names" : false, "suffix" : "" } ], "container-title" : "Impact Assessment and Project Appraisal", "id" : "ITEM-1", "issue" : "December", "issued" : { "date-parts" : [ [ "2010" ] ] }, "page" : "233-243", "title" : "Illustrating integrated sustainability and resilience based assessments: a small-scale biodiesel project in Barbados", "type" : "article-journal", "volume" : "28" }, "uris" : [ "http://www.mendeley.com/documents/?uuid=fee76635-1433-4c27-9c85-bbbf459c7e59" ] } ], "mendeley" : { "formattedCitation" : "(Gaudreau &amp; Gibson, 2010)", "plainTextFormattedCitation" : "(Gaudreau &amp; Gibson, 2010)", "previouslyFormattedCitation" : "(Gaudreau &amp; Gibson, 2010)" }, "properties" : { "noteIndex" : 0 }, "schema" : "https://github.com/citation-style-language/schema/raw/master/csl-citation.json" }</w:instrText>
            </w:r>
            <w:r w:rsidRPr="00741671">
              <w:rPr>
                <w:rFonts w:ascii="Arial" w:hAnsi="Arial" w:cs="Arial"/>
                <w:color w:val="000000" w:themeColor="text1"/>
                <w:sz w:val="20"/>
                <w:szCs w:val="20"/>
              </w:rPr>
              <w:fldChar w:fldCharType="separate"/>
            </w:r>
            <w:r w:rsidRPr="00741671">
              <w:rPr>
                <w:rFonts w:ascii="Arial" w:hAnsi="Arial" w:cs="Arial"/>
                <w:noProof/>
                <w:color w:val="000000" w:themeColor="text1"/>
                <w:sz w:val="20"/>
                <w:szCs w:val="20"/>
              </w:rPr>
              <w:t>(Gaudreau &amp; Gibson, 2010)</w:t>
            </w:r>
            <w:r w:rsidRPr="00741671">
              <w:rPr>
                <w:rFonts w:ascii="Arial" w:hAnsi="Arial" w:cs="Arial"/>
                <w:color w:val="000000" w:themeColor="text1"/>
                <w:sz w:val="20"/>
                <w:szCs w:val="20"/>
              </w:rPr>
              <w:fldChar w:fldCharType="end"/>
            </w:r>
            <w:r w:rsidRPr="00741671">
              <w:rPr>
                <w:rFonts w:ascii="Arial" w:hAnsi="Arial" w:cs="Arial"/>
                <w:color w:val="000000" w:themeColor="text1"/>
                <w:sz w:val="20"/>
                <w:szCs w:val="20"/>
              </w:rPr>
              <w:t xml:space="preserve"> </w:t>
            </w:r>
            <w:r w:rsidRPr="00741671">
              <w:rPr>
                <w:rFonts w:ascii="Arial" w:hAnsi="Arial" w:cs="Arial"/>
                <w:color w:val="000000" w:themeColor="text1"/>
                <w:sz w:val="20"/>
                <w:szCs w:val="20"/>
              </w:rPr>
              <w:fldChar w:fldCharType="begin" w:fldLock="1"/>
            </w:r>
            <w:r w:rsidRPr="00741671">
              <w:rPr>
                <w:rFonts w:ascii="Arial" w:hAnsi="Arial" w:cs="Arial"/>
                <w:color w:val="000000" w:themeColor="text1"/>
                <w:sz w:val="20"/>
                <w:szCs w:val="20"/>
              </w:rPr>
              <w:instrText>ADDIN CSL_CITATION { "citationItems" : [ { "id" : "ITEM-1", "itemData" : { "ISBN" : "9781844070503", "author" : [ { "dropping-particle" : "", "family" : "Gibson", "given" : "Robert B.", "non-dropping-particle" : "", "parse-names" : false, "suffix" : "" } ], "id" : "ITEM-1", "issued" : { "date-parts" : [ [ "2005" ] ] }, "page" : "269", "publisher" : "Earthscan", "title" : "Sustainability Assessment. Criteria, Processes and Applications", "type" : "book" }, "uris" : [ "http://www.mendeley.com/documents/?uuid=566b52ab-35b0-4a0c-b91f-1bf25d523ac7" ] } ], "mendeley" : { "formattedCitation" : "(Gibson, 2005)", "plainTextFormattedCitation" : "(Gibson, 2005)", "previouslyFormattedCitation" : "(Gibson, 2005)" }, "properties" : { "noteIndex" : 0 }, "schema" : "https://github.com/citation-style-language/schema/raw/master/csl-citation.json" }</w:instrText>
            </w:r>
            <w:r w:rsidRPr="00741671">
              <w:rPr>
                <w:rFonts w:ascii="Arial" w:hAnsi="Arial" w:cs="Arial"/>
                <w:color w:val="000000" w:themeColor="text1"/>
                <w:sz w:val="20"/>
                <w:szCs w:val="20"/>
              </w:rPr>
              <w:fldChar w:fldCharType="separate"/>
            </w:r>
            <w:r w:rsidRPr="00741671">
              <w:rPr>
                <w:rFonts w:ascii="Arial" w:hAnsi="Arial" w:cs="Arial"/>
                <w:noProof/>
                <w:color w:val="000000" w:themeColor="text1"/>
                <w:sz w:val="20"/>
                <w:szCs w:val="20"/>
              </w:rPr>
              <w:t>(Gibson, 2005)</w:t>
            </w:r>
            <w:r w:rsidRPr="00741671">
              <w:rPr>
                <w:rFonts w:ascii="Arial" w:hAnsi="Arial" w:cs="Arial"/>
                <w:color w:val="000000" w:themeColor="text1"/>
                <w:sz w:val="20"/>
                <w:szCs w:val="20"/>
              </w:rPr>
              <w:fldChar w:fldCharType="end"/>
            </w:r>
            <w:r w:rsidR="00566A07" w:rsidRPr="00741671">
              <w:rPr>
                <w:rFonts w:ascii="Arial" w:hAnsi="Arial" w:cs="Arial"/>
                <w:color w:val="000000" w:themeColor="text1"/>
                <w:sz w:val="20"/>
                <w:szCs w:val="20"/>
              </w:rPr>
              <w:t xml:space="preserve"> </w:t>
            </w:r>
            <w:r w:rsidR="00566A07" w:rsidRPr="00741671">
              <w:rPr>
                <w:rFonts w:ascii="Arial" w:hAnsi="Arial" w:cs="Arial"/>
                <w:color w:val="000000" w:themeColor="text1"/>
                <w:sz w:val="20"/>
                <w:szCs w:val="20"/>
              </w:rPr>
              <w:fldChar w:fldCharType="begin" w:fldLock="1"/>
            </w:r>
            <w:r w:rsidR="006E3270" w:rsidRPr="00741671">
              <w:rPr>
                <w:rFonts w:ascii="Arial" w:hAnsi="Arial" w:cs="Arial"/>
                <w:color w:val="000000" w:themeColor="text1"/>
                <w:sz w:val="20"/>
                <w:szCs w:val="20"/>
              </w:rPr>
              <w:instrText>ADDIN CSL_CITATION { "citationItems" : [ { "id" : "ITEM-1", "itemData" : { "DOI" : "10.1016/S0959-6526(03)00075-1", "ISBN" : "4414836891", "ISSN" : "09596526", "author" : [ { "dropping-particle" : "", "family" : "Azapagic", "given" : "Adisa", "non-dropping-particle" : "", "parse-names" : false, "suffix" : "" } ], "container-title" : "Journal of Cleaner Production", "id" : "ITEM-1", "issue" : "6", "issued" : { "date-parts" : [ [ "2004", "8" ] ] }, "page" : "639-662", "title" : "Developing a framework for sustainable development indicators for the mining and minerals industry", "type" : "article-journal", "volume" : "12" }, "uris" : [ "http://www.mendeley.com/documents/?uuid=a36976cf-2e0f-4c41-bd50-7ef9e97ed91f" ] } ], "mendeley" : { "formattedCitation" : "(Azapagic, 2004)", "plainTextFormattedCitation" : "(Azapagic, 2004)", "previouslyFormattedCitation" : "(Azapagic, 2004)" }, "properties" : { "noteIndex" : 0 }, "schema" : "https://github.com/citation-style-language/schema/raw/master/csl-citation.json" }</w:instrText>
            </w:r>
            <w:r w:rsidR="00566A07" w:rsidRPr="00741671">
              <w:rPr>
                <w:rFonts w:ascii="Arial" w:hAnsi="Arial" w:cs="Arial"/>
                <w:color w:val="000000" w:themeColor="text1"/>
                <w:sz w:val="20"/>
                <w:szCs w:val="20"/>
              </w:rPr>
              <w:fldChar w:fldCharType="separate"/>
            </w:r>
            <w:r w:rsidR="00566A07" w:rsidRPr="00741671">
              <w:rPr>
                <w:rFonts w:ascii="Arial" w:hAnsi="Arial" w:cs="Arial"/>
                <w:noProof/>
                <w:color w:val="000000" w:themeColor="text1"/>
                <w:sz w:val="20"/>
                <w:szCs w:val="20"/>
              </w:rPr>
              <w:t>(Azapagic, 2004)</w:t>
            </w:r>
            <w:r w:rsidR="00566A07" w:rsidRPr="00741671">
              <w:rPr>
                <w:rFonts w:ascii="Arial" w:hAnsi="Arial" w:cs="Arial"/>
                <w:color w:val="000000" w:themeColor="text1"/>
                <w:sz w:val="20"/>
                <w:szCs w:val="20"/>
              </w:rPr>
              <w:fldChar w:fldCharType="end"/>
            </w:r>
          </w:p>
        </w:tc>
      </w:tr>
      <w:tr w:rsidR="00383210" w:rsidRPr="000E0F90" w:rsidTr="002A21E4">
        <w:tc>
          <w:tcPr>
            <w:tcW w:w="3280" w:type="dxa"/>
            <w:vMerge/>
            <w:tcBorders>
              <w:top w:val="nil"/>
              <w:bottom w:val="nil"/>
              <w:right w:val="nil"/>
            </w:tcBorders>
            <w:vAlign w:val="bottom"/>
          </w:tcPr>
          <w:p w:rsidR="00383210" w:rsidRPr="000E0F90" w:rsidRDefault="00383210" w:rsidP="001A5FA2">
            <w:pPr>
              <w:spacing w:after="0" w:line="240" w:lineRule="auto"/>
              <w:jc w:val="left"/>
              <w:rPr>
                <w:rFonts w:ascii="Arial" w:eastAsia="Times New Roman" w:hAnsi="Arial" w:cs="Arial"/>
                <w:i/>
                <w:iCs/>
                <w:color w:val="000000" w:themeColor="text1"/>
                <w:sz w:val="20"/>
                <w:szCs w:val="20"/>
                <w:lang w:eastAsia="es-CL"/>
              </w:rPr>
            </w:pPr>
          </w:p>
        </w:tc>
        <w:tc>
          <w:tcPr>
            <w:tcW w:w="5490" w:type="dxa"/>
            <w:tcBorders>
              <w:top w:val="nil"/>
              <w:left w:val="nil"/>
              <w:bottom w:val="nil"/>
            </w:tcBorders>
            <w:vAlign w:val="bottom"/>
          </w:tcPr>
          <w:p w:rsidR="00383210" w:rsidRPr="00741671" w:rsidRDefault="00383210" w:rsidP="006A5CF5">
            <w:pPr>
              <w:spacing w:after="0" w:line="240" w:lineRule="auto"/>
              <w:rPr>
                <w:rFonts w:ascii="Arial" w:eastAsia="Times New Roman" w:hAnsi="Arial" w:cs="Arial"/>
                <w:iCs/>
                <w:color w:val="000000" w:themeColor="text1"/>
                <w:sz w:val="20"/>
                <w:szCs w:val="20"/>
                <w:lang w:eastAsia="es-CL"/>
              </w:rPr>
            </w:pPr>
            <w:r w:rsidRPr="00741671">
              <w:rPr>
                <w:rFonts w:ascii="Arial" w:eastAsia="Times New Roman" w:hAnsi="Arial" w:cs="Arial"/>
                <w:iCs/>
                <w:color w:val="000000" w:themeColor="text1"/>
                <w:sz w:val="20"/>
                <w:szCs w:val="20"/>
                <w:lang w:eastAsia="es-CL"/>
              </w:rPr>
              <w:t xml:space="preserve">Fomentar el </w:t>
            </w:r>
            <w:r w:rsidR="006A5CF5" w:rsidRPr="00741671">
              <w:rPr>
                <w:rFonts w:ascii="Arial" w:eastAsia="Times New Roman" w:hAnsi="Arial" w:cs="Arial"/>
                <w:iCs/>
                <w:color w:val="000000" w:themeColor="text1"/>
                <w:sz w:val="20"/>
                <w:szCs w:val="20"/>
                <w:lang w:eastAsia="es-CL"/>
              </w:rPr>
              <w:t>aprendizaje,</w:t>
            </w:r>
            <w:r w:rsidRPr="00741671">
              <w:rPr>
                <w:rFonts w:ascii="Arial" w:eastAsia="Times New Roman" w:hAnsi="Arial" w:cs="Arial"/>
                <w:iCs/>
                <w:color w:val="000000" w:themeColor="text1"/>
                <w:sz w:val="20"/>
                <w:szCs w:val="20"/>
                <w:lang w:eastAsia="es-CL"/>
              </w:rPr>
              <w:t xml:space="preserve"> educación y capacitación (Gaudreau &amp; Gibson, 2010); Mejorar la capaci</w:t>
            </w:r>
            <w:r w:rsidR="00D662D3" w:rsidRPr="00741671">
              <w:rPr>
                <w:rFonts w:ascii="Arial" w:eastAsia="Times New Roman" w:hAnsi="Arial" w:cs="Arial"/>
                <w:iCs/>
                <w:color w:val="000000" w:themeColor="text1"/>
                <w:sz w:val="20"/>
                <w:szCs w:val="20"/>
                <w:lang w:eastAsia="es-CL"/>
              </w:rPr>
              <w:t>dad técnica local (Cemat, 2000). Especialment</w:t>
            </w:r>
            <w:r w:rsidR="008A7F2C" w:rsidRPr="00741671">
              <w:rPr>
                <w:rFonts w:ascii="Arial" w:eastAsia="Times New Roman" w:hAnsi="Arial" w:cs="Arial"/>
                <w:iCs/>
                <w:color w:val="000000" w:themeColor="text1"/>
                <w:sz w:val="20"/>
                <w:szCs w:val="20"/>
                <w:lang w:eastAsia="es-CL"/>
              </w:rPr>
              <w:t>e</w:t>
            </w:r>
            <w:r w:rsidR="00D662D3" w:rsidRPr="00741671">
              <w:rPr>
                <w:rFonts w:ascii="Arial" w:eastAsia="Times New Roman" w:hAnsi="Arial" w:cs="Arial"/>
                <w:iCs/>
                <w:color w:val="000000" w:themeColor="text1"/>
                <w:sz w:val="20"/>
                <w:szCs w:val="20"/>
                <w:lang w:eastAsia="es-CL"/>
              </w:rPr>
              <w:t xml:space="preserve"> a trabajadores de mina y mano de obra local </w:t>
            </w:r>
            <w:r w:rsidR="00D662D3" w:rsidRPr="00741671">
              <w:rPr>
                <w:rFonts w:ascii="Arial" w:eastAsia="Times New Roman" w:hAnsi="Arial" w:cs="Arial"/>
                <w:iCs/>
                <w:color w:val="000000" w:themeColor="text1"/>
                <w:sz w:val="20"/>
                <w:szCs w:val="20"/>
                <w:lang w:eastAsia="es-CL"/>
              </w:rPr>
              <w:fldChar w:fldCharType="begin" w:fldLock="1"/>
            </w:r>
            <w:r w:rsidR="00D662D3" w:rsidRPr="00741671">
              <w:rPr>
                <w:rFonts w:ascii="Arial" w:eastAsia="Times New Roman" w:hAnsi="Arial" w:cs="Arial"/>
                <w:iCs/>
                <w:color w:val="000000" w:themeColor="text1"/>
                <w:sz w:val="20"/>
                <w:szCs w:val="20"/>
                <w:lang w:eastAsia="es-CL"/>
              </w:rPr>
              <w:instrText>ADDIN CSL_CITATION { "citationItems" : [ { "id" : "ITEM-1", "itemData" : { "DOI" : "10.1016/j.jclepro.2017.03.047", "ISBN" : "9789289347945", "ISSN" : "09596526", "abstract" : "The mining industry has a major impact on society - from an economic, environmental and social perspective and due to a vast number of criteria. Which criteria should be given priority depends on where the mining operations take place. This paper's focus on the Nordic mining industry is partly due to the positive economic trend that the industry is currently experiencing and partly because very little research has been conducted on how the European mining industry addresses sustainability. The purpose of this study is therefore to examine the Nordic mining industry's sustainability practices and to develop guidelines for such efforts. The research methods used in the study include a literature review, a content analysis of sustainability reports, a review of existing sustainability initiatives, guidelines and tools, a stakeholder survey and interviews with mining company officials. Based on the findings, sustainability criteria guidelines for the Nordic mining industry are suggested in the areas of corporate governance, fair operating practices, economic aspects, human rights, labour practices, society and the environment. The content of the guidelines is discussed in the light of the sustainability practices performed by the studied mining companies.", "author" : [ { "dropping-particle" : "", "family" : "Ran\u00e4ngen", "given" : "Helena", "non-dropping-particle" : "", "parse-names" : false, "suffix" : "" }, { "dropping-particle" : "", "family" : "Lindman", "given" : "\u00c5sa", "non-dropping-particle" : "", "parse-names" : false, "suffix" : "" } ], "container-title" : "Journal of Cleaner Production", "id" : "ITEM-1", "issued" : { "date-parts" : [ [ "2017" ] ] }, "page" : "43-52", "title" : "A path towards sustainability for the Nordic mining industry", "type" : "article-journal", "volume" : "151" }, "uris" : [ "http://www.mendeley.com/documents/?uuid=6c35c3e3-ee0c-4b28-8acc-e8d00b36d33a" ] } ], "mendeley" : { "formattedCitation" : "(Ran\u00e4ngen &amp; Lindman, 2017)", "plainTextFormattedCitation" : "(Ran\u00e4ngen &amp; Lindman, 2017)", "previouslyFormattedCitation" : "(Ran\u00e4ngen &amp; Lindman, 2017)" }, "properties" : { "noteIndex" : 0 }, "schema" : "https://github.com/citation-style-language/schema/raw/master/csl-citation.json" }</w:instrText>
            </w:r>
            <w:r w:rsidR="00D662D3" w:rsidRPr="00741671">
              <w:rPr>
                <w:rFonts w:ascii="Arial" w:eastAsia="Times New Roman" w:hAnsi="Arial" w:cs="Arial"/>
                <w:iCs/>
                <w:color w:val="000000" w:themeColor="text1"/>
                <w:sz w:val="20"/>
                <w:szCs w:val="20"/>
                <w:lang w:eastAsia="es-CL"/>
              </w:rPr>
              <w:fldChar w:fldCharType="separate"/>
            </w:r>
            <w:r w:rsidR="00D662D3" w:rsidRPr="00741671">
              <w:rPr>
                <w:rFonts w:ascii="Arial" w:eastAsia="Times New Roman" w:hAnsi="Arial" w:cs="Arial"/>
                <w:iCs/>
                <w:noProof/>
                <w:color w:val="000000" w:themeColor="text1"/>
                <w:sz w:val="20"/>
                <w:szCs w:val="20"/>
                <w:lang w:eastAsia="es-CL"/>
              </w:rPr>
              <w:t>(Ranängen &amp; Lindman, 2017)</w:t>
            </w:r>
            <w:r w:rsidR="00D662D3" w:rsidRPr="00741671">
              <w:rPr>
                <w:rFonts w:ascii="Arial" w:eastAsia="Times New Roman" w:hAnsi="Arial" w:cs="Arial"/>
                <w:iCs/>
                <w:color w:val="000000" w:themeColor="text1"/>
                <w:sz w:val="20"/>
                <w:szCs w:val="20"/>
                <w:lang w:eastAsia="es-CL"/>
              </w:rPr>
              <w:fldChar w:fldCharType="end"/>
            </w:r>
            <w:r w:rsidR="00D662D3" w:rsidRPr="00741671">
              <w:rPr>
                <w:rFonts w:ascii="Arial" w:eastAsia="Times New Roman" w:hAnsi="Arial" w:cs="Arial"/>
                <w:iCs/>
                <w:color w:val="000000" w:themeColor="text1"/>
                <w:sz w:val="20"/>
                <w:szCs w:val="20"/>
                <w:lang w:eastAsia="es-CL"/>
              </w:rPr>
              <w:t xml:space="preserve"> </w:t>
            </w:r>
            <w:r w:rsidR="00D662D3" w:rsidRPr="00741671">
              <w:rPr>
                <w:rFonts w:ascii="Arial" w:eastAsia="Times New Roman" w:hAnsi="Arial" w:cs="Arial"/>
                <w:iCs/>
                <w:color w:val="000000" w:themeColor="text1"/>
                <w:sz w:val="20"/>
                <w:szCs w:val="20"/>
                <w:lang w:val="en-US" w:eastAsia="es-CL"/>
              </w:rPr>
              <w:fldChar w:fldCharType="begin" w:fldLock="1"/>
            </w:r>
            <w:r w:rsidR="00D662D3" w:rsidRPr="00741671">
              <w:rPr>
                <w:rFonts w:ascii="Arial" w:eastAsia="Times New Roman" w:hAnsi="Arial" w:cs="Arial"/>
                <w:iCs/>
                <w:color w:val="000000" w:themeColor="text1"/>
                <w:sz w:val="20"/>
                <w:szCs w:val="20"/>
                <w:lang w:eastAsia="es-CL"/>
              </w:rPr>
              <w:instrText>ADDIN CSL_CITATION { "citationItems" : [ { "id" : "ITEM-1", "itemData" : { "DOI" : "10.1016/S0959-6526(03)00075-1", "ISBN" : "4414836891", "ISSN" : "09596526", "author" : [ { "dropping-particle" : "", "family" : "Azapagic", "given" : "Adisa", "non-dropping-particle" : "", "parse-names" : false, "suffix" : "" } ], "container-title" : "Journal of Cleaner Production", "id" : "ITEM-1", "issue" : "6", "issued" : { "date-parts" : [ [ "2004", "8" ] ] }, "page" : "639-662", "title" : "Developing a framework for sustainable development indicators for the mining and minerals industry", "type" : "article-journal", "volume" : "12" }, "uris" : [ "http://www.mendeley.com/documents/?uuid=a36976cf-2e0f-4c41-bd50-7ef9e97ed91f" ] } ], "mendeley" : { "formattedCitation" : "(Azapagic, 2004)", "plainTextFormattedCitation" : "(Azapagic, 2004)", "previouslyFormattedCitation" : "(Azapagic, 2004)" }, "properties" : { "noteIndex" : 0 }, "schema" : "https://github.com/citation-style-language/schema/raw/master/csl-citation.json" }</w:instrText>
            </w:r>
            <w:r w:rsidR="00D662D3" w:rsidRPr="00741671">
              <w:rPr>
                <w:rFonts w:ascii="Arial" w:eastAsia="Times New Roman" w:hAnsi="Arial" w:cs="Arial"/>
                <w:iCs/>
                <w:color w:val="000000" w:themeColor="text1"/>
                <w:sz w:val="20"/>
                <w:szCs w:val="20"/>
                <w:lang w:val="en-US" w:eastAsia="es-CL"/>
              </w:rPr>
              <w:fldChar w:fldCharType="separate"/>
            </w:r>
            <w:r w:rsidR="00D662D3" w:rsidRPr="00741671">
              <w:rPr>
                <w:rFonts w:ascii="Arial" w:eastAsia="Times New Roman" w:hAnsi="Arial" w:cs="Arial"/>
                <w:iCs/>
                <w:noProof/>
                <w:color w:val="000000" w:themeColor="text1"/>
                <w:sz w:val="20"/>
                <w:szCs w:val="20"/>
                <w:lang w:eastAsia="es-CL"/>
              </w:rPr>
              <w:t>(Azapagic, 2004)</w:t>
            </w:r>
            <w:r w:rsidR="00D662D3" w:rsidRPr="00741671">
              <w:rPr>
                <w:rFonts w:ascii="Arial" w:eastAsia="Times New Roman" w:hAnsi="Arial" w:cs="Arial"/>
                <w:iCs/>
                <w:color w:val="000000" w:themeColor="text1"/>
                <w:sz w:val="20"/>
                <w:szCs w:val="20"/>
                <w:lang w:eastAsia="es-CL"/>
              </w:rPr>
              <w:fldChar w:fldCharType="end"/>
            </w:r>
            <w:r w:rsidR="00D662D3" w:rsidRPr="00741671">
              <w:rPr>
                <w:rFonts w:ascii="Arial" w:eastAsia="Times New Roman" w:hAnsi="Arial" w:cs="Arial"/>
                <w:iCs/>
                <w:color w:val="000000" w:themeColor="text1"/>
                <w:sz w:val="20"/>
                <w:szCs w:val="20"/>
                <w:lang w:eastAsia="es-CL"/>
              </w:rPr>
              <w:t>.</w:t>
            </w:r>
          </w:p>
        </w:tc>
      </w:tr>
      <w:tr w:rsidR="00383210" w:rsidRPr="000E0F90" w:rsidTr="002A21E4">
        <w:trPr>
          <w:trHeight w:val="575"/>
        </w:trPr>
        <w:tc>
          <w:tcPr>
            <w:tcW w:w="3280" w:type="dxa"/>
            <w:vMerge/>
            <w:tcBorders>
              <w:top w:val="nil"/>
              <w:bottom w:val="nil"/>
              <w:right w:val="nil"/>
            </w:tcBorders>
          </w:tcPr>
          <w:p w:rsidR="00383210" w:rsidRPr="000E0F90" w:rsidRDefault="00383210" w:rsidP="001A5FA2">
            <w:pPr>
              <w:spacing w:after="0" w:line="240" w:lineRule="auto"/>
              <w:rPr>
                <w:rFonts w:ascii="Arial" w:hAnsi="Arial" w:cs="Arial"/>
                <w:b/>
                <w:color w:val="000000" w:themeColor="text1"/>
                <w:sz w:val="20"/>
                <w:szCs w:val="20"/>
              </w:rPr>
            </w:pPr>
          </w:p>
        </w:tc>
        <w:tc>
          <w:tcPr>
            <w:tcW w:w="5490" w:type="dxa"/>
            <w:tcBorders>
              <w:top w:val="nil"/>
              <w:left w:val="nil"/>
              <w:bottom w:val="nil"/>
            </w:tcBorders>
            <w:vAlign w:val="bottom"/>
          </w:tcPr>
          <w:p w:rsidR="00383210" w:rsidRPr="00741671" w:rsidRDefault="00383210" w:rsidP="001A5FA2">
            <w:pPr>
              <w:spacing w:after="0" w:line="240" w:lineRule="auto"/>
              <w:rPr>
                <w:rFonts w:ascii="Arial" w:hAnsi="Arial" w:cs="Arial"/>
                <w:color w:val="000000" w:themeColor="text1"/>
                <w:sz w:val="20"/>
                <w:szCs w:val="20"/>
              </w:rPr>
            </w:pPr>
            <w:r w:rsidRPr="00741671">
              <w:rPr>
                <w:rFonts w:ascii="Arial" w:hAnsi="Arial" w:cs="Arial"/>
                <w:color w:val="000000" w:themeColor="text1"/>
                <w:sz w:val="20"/>
                <w:szCs w:val="20"/>
              </w:rPr>
              <w:t xml:space="preserve">Asegurar el acceso a la información y conocimiento en todo el territorio, al igual que fomentar el intercambio de conocimientos a nivel nacional y regional, sin limitarse por condicionantes físicos u otras restricciones </w:t>
            </w:r>
            <w:r w:rsidRPr="00741671">
              <w:rPr>
                <w:rFonts w:ascii="Arial" w:hAnsi="Arial" w:cs="Arial"/>
                <w:color w:val="000000" w:themeColor="text1"/>
                <w:sz w:val="20"/>
                <w:szCs w:val="20"/>
              </w:rPr>
              <w:fldChar w:fldCharType="begin" w:fldLock="1"/>
            </w:r>
            <w:r w:rsidRPr="00741671">
              <w:rPr>
                <w:rFonts w:ascii="Arial" w:hAnsi="Arial" w:cs="Arial"/>
                <w:color w:val="000000" w:themeColor="text1"/>
                <w:sz w:val="20"/>
                <w:szCs w:val="20"/>
              </w:rPr>
              <w:instrText>ADDIN CSL_CITATION { "citationItems" : [ { "id" : "ITEM-1", "itemData" : { "ISBN" : "8483201437", "author" : [ { "dropping-particle" : "", "family" : "Cemat", "given" : "Conferencia Europea de Ministros responsables de ordenaci\u00f3n del Territorio", "non-dropping-particle" : "", "parse-names" : false, "suffix" : "" } ], "container-title" : "Conferencia Europea de Ministros responsables de ordenaci\u00f3n del territorio", "id" : "ITEM-1", "issued" : { "date-parts" : [ [ "2000" ] ] }, "title" : "Principios Directores para el Desarrollo Territorial Sostenible del Continente Europeo", "type" : "book" }, "uris" : [ "http://www.mendeley.com/documents/?uuid=01924405-bee1-4e7a-a357-b7f836b2e137" ] } ], "mendeley" : { "formattedCitation" : "(Cemat, 2000)", "plainTextFormattedCitation" : "(Cemat, 2000)", "previouslyFormattedCitation" : "(Cemat, 2000)" }, "properties" : { "noteIndex" : 0 }, "schema" : "https://github.com/citation-style-language/schema/raw/master/csl-citation.json" }</w:instrText>
            </w:r>
            <w:r w:rsidRPr="00741671">
              <w:rPr>
                <w:rFonts w:ascii="Arial" w:hAnsi="Arial" w:cs="Arial"/>
                <w:color w:val="000000" w:themeColor="text1"/>
                <w:sz w:val="20"/>
                <w:szCs w:val="20"/>
              </w:rPr>
              <w:fldChar w:fldCharType="separate"/>
            </w:r>
            <w:r w:rsidRPr="00741671">
              <w:rPr>
                <w:rFonts w:ascii="Arial" w:hAnsi="Arial" w:cs="Arial"/>
                <w:noProof/>
                <w:color w:val="000000" w:themeColor="text1"/>
                <w:sz w:val="20"/>
                <w:szCs w:val="20"/>
              </w:rPr>
              <w:t>(Cemat, 2000)</w:t>
            </w:r>
            <w:r w:rsidRPr="00741671">
              <w:rPr>
                <w:rFonts w:ascii="Arial" w:hAnsi="Arial" w:cs="Arial"/>
                <w:color w:val="000000" w:themeColor="text1"/>
                <w:sz w:val="20"/>
                <w:szCs w:val="20"/>
              </w:rPr>
              <w:fldChar w:fldCharType="end"/>
            </w:r>
          </w:p>
        </w:tc>
      </w:tr>
      <w:tr w:rsidR="00383210" w:rsidRPr="000E0F90" w:rsidTr="002A21E4">
        <w:tc>
          <w:tcPr>
            <w:tcW w:w="3280" w:type="dxa"/>
            <w:vMerge/>
            <w:tcBorders>
              <w:top w:val="nil"/>
              <w:bottom w:val="nil"/>
              <w:right w:val="nil"/>
            </w:tcBorders>
            <w:vAlign w:val="bottom"/>
          </w:tcPr>
          <w:p w:rsidR="00383210" w:rsidRPr="000E0F90" w:rsidRDefault="00383210" w:rsidP="001A5FA2">
            <w:pPr>
              <w:spacing w:after="0" w:line="240" w:lineRule="auto"/>
              <w:rPr>
                <w:rFonts w:ascii="Arial" w:hAnsi="Arial" w:cs="Arial"/>
                <w:color w:val="000000" w:themeColor="text1"/>
                <w:sz w:val="20"/>
                <w:szCs w:val="20"/>
              </w:rPr>
            </w:pPr>
          </w:p>
        </w:tc>
        <w:tc>
          <w:tcPr>
            <w:tcW w:w="5490" w:type="dxa"/>
            <w:tcBorders>
              <w:top w:val="nil"/>
              <w:left w:val="nil"/>
              <w:bottom w:val="nil"/>
            </w:tcBorders>
            <w:vAlign w:val="bottom"/>
          </w:tcPr>
          <w:p w:rsidR="00383210" w:rsidRPr="00741671" w:rsidRDefault="002A217F" w:rsidP="00FE27AA">
            <w:pPr>
              <w:spacing w:after="0" w:line="240" w:lineRule="auto"/>
              <w:rPr>
                <w:rFonts w:ascii="Arial" w:hAnsi="Arial" w:cs="Arial"/>
                <w:color w:val="000000" w:themeColor="text1"/>
                <w:sz w:val="20"/>
                <w:szCs w:val="20"/>
              </w:rPr>
            </w:pPr>
            <w:r w:rsidRPr="00741671">
              <w:rPr>
                <w:rFonts w:ascii="Arial" w:hAnsi="Arial" w:cs="Arial"/>
                <w:color w:val="000000" w:themeColor="text1"/>
                <w:sz w:val="20"/>
                <w:szCs w:val="20"/>
              </w:rPr>
              <w:t>Proveer amenidades y servicios complementarios para toda la comunidad (Morrison-saunders &amp; Hodgson, 2009). Garantizar acceso al espacio abierto de la naturaleza  (Lamorgese &amp; Geneletti, 2013)</w:t>
            </w:r>
          </w:p>
        </w:tc>
      </w:tr>
      <w:tr w:rsidR="002A217F" w:rsidRPr="000E0F90" w:rsidTr="002A21E4">
        <w:tc>
          <w:tcPr>
            <w:tcW w:w="3280" w:type="dxa"/>
            <w:vMerge/>
            <w:tcBorders>
              <w:top w:val="nil"/>
              <w:bottom w:val="nil"/>
              <w:right w:val="nil"/>
            </w:tcBorders>
            <w:vAlign w:val="bottom"/>
          </w:tcPr>
          <w:p w:rsidR="002A217F" w:rsidRPr="000E0F90" w:rsidRDefault="002A217F" w:rsidP="001A5FA2">
            <w:pPr>
              <w:spacing w:after="0" w:line="240" w:lineRule="auto"/>
              <w:rPr>
                <w:rFonts w:ascii="Arial" w:hAnsi="Arial" w:cs="Arial"/>
                <w:color w:val="000000" w:themeColor="text1"/>
                <w:sz w:val="20"/>
                <w:szCs w:val="20"/>
              </w:rPr>
            </w:pPr>
          </w:p>
        </w:tc>
        <w:tc>
          <w:tcPr>
            <w:tcW w:w="5490" w:type="dxa"/>
            <w:tcBorders>
              <w:top w:val="nil"/>
              <w:left w:val="nil"/>
              <w:bottom w:val="nil"/>
            </w:tcBorders>
          </w:tcPr>
          <w:p w:rsidR="002A217F" w:rsidRDefault="002A217F" w:rsidP="00977365">
            <w:pPr>
              <w:spacing w:after="0" w:line="240" w:lineRule="auto"/>
              <w:rPr>
                <w:rFonts w:ascii="Arial" w:hAnsi="Arial" w:cs="Arial"/>
                <w:color w:val="000000" w:themeColor="text1"/>
                <w:sz w:val="20"/>
              </w:rPr>
            </w:pPr>
            <w:r w:rsidRPr="00741671">
              <w:rPr>
                <w:rFonts w:ascii="Arial" w:hAnsi="Arial" w:cs="Arial"/>
                <w:color w:val="000000" w:themeColor="text1"/>
                <w:sz w:val="20"/>
                <w:szCs w:val="20"/>
              </w:rPr>
              <w:t xml:space="preserve">Garantizar acceso al transporte y servicios, como otras infraestructura  </w:t>
            </w:r>
            <w:r w:rsidRPr="00741671">
              <w:rPr>
                <w:rFonts w:ascii="Arial" w:hAnsi="Arial" w:cs="Arial"/>
                <w:color w:val="000000" w:themeColor="text1"/>
                <w:sz w:val="20"/>
                <w:szCs w:val="20"/>
              </w:rPr>
              <w:fldChar w:fldCharType="begin" w:fldLock="1"/>
            </w:r>
            <w:r w:rsidRPr="00741671">
              <w:rPr>
                <w:rFonts w:ascii="Arial" w:hAnsi="Arial" w:cs="Arial"/>
                <w:color w:val="000000" w:themeColor="text1"/>
                <w:sz w:val="20"/>
                <w:szCs w:val="20"/>
              </w:rPr>
              <w:instrText>ADDIN CSL_CITATION { "citationItems" : [ { "id" : "ITEM-1", "itemData" : { "author" : [ { "dropping-particle" : "", "family" : "Beder", "given" : "Sharon", "non-dropping-particle" : "", "parse-names" : false, "suffix" : "" } ], "container-title" : "New Zealand Journal of Environmental Law", "id" : "ITEM-1", "issued" : { "date-parts" : [ [ "2000" ] ] }, "page" : "227-243", "title" : "Costing the Earth: Equity, Sustainable Development and Environmental Economics", "type" : "article-journal", "volume" : "4" }, "uris" : [ "http://www.mendeley.com/documents/?uuid=55796272-eb2c-4f3d-b888-f19f34d31d33" ] } ], "mendeley" : { "formattedCitation" : "(Beder, 2000)", "plainTextFormattedCitation" : "(Beder, 2000)", "previouslyFormattedCitation" : "(Beder, 2000)" }, "properties" : { "noteIndex" : 0 }, "schema" : "https://github.com/citation-style-language/schema/raw/master/csl-citation.json" }</w:instrText>
            </w:r>
            <w:r w:rsidRPr="00741671">
              <w:rPr>
                <w:rFonts w:ascii="Arial" w:hAnsi="Arial" w:cs="Arial"/>
                <w:color w:val="000000" w:themeColor="text1"/>
                <w:sz w:val="20"/>
                <w:szCs w:val="20"/>
              </w:rPr>
              <w:fldChar w:fldCharType="separate"/>
            </w:r>
            <w:r w:rsidRPr="00741671">
              <w:rPr>
                <w:rFonts w:ascii="Arial" w:hAnsi="Arial" w:cs="Arial"/>
                <w:noProof/>
                <w:color w:val="000000" w:themeColor="text1"/>
                <w:sz w:val="20"/>
                <w:szCs w:val="20"/>
              </w:rPr>
              <w:t>(Beder, 2000)</w:t>
            </w:r>
            <w:r w:rsidRPr="00741671">
              <w:rPr>
                <w:rFonts w:ascii="Arial" w:hAnsi="Arial" w:cs="Arial"/>
                <w:color w:val="000000" w:themeColor="text1"/>
                <w:sz w:val="20"/>
                <w:szCs w:val="20"/>
              </w:rPr>
              <w:fldChar w:fldCharType="end"/>
            </w:r>
            <w:r w:rsidRPr="00741671">
              <w:rPr>
                <w:rFonts w:ascii="Arial" w:hAnsi="Arial" w:cs="Arial"/>
                <w:color w:val="000000" w:themeColor="text1"/>
                <w:sz w:val="20"/>
                <w:szCs w:val="20"/>
              </w:rPr>
              <w:t xml:space="preserve">. </w:t>
            </w:r>
            <w:r w:rsidRPr="00741671">
              <w:rPr>
                <w:rFonts w:ascii="Arial" w:hAnsi="Arial" w:cs="Arial"/>
                <w:color w:val="000000" w:themeColor="text1"/>
                <w:sz w:val="20"/>
              </w:rPr>
              <w:t xml:space="preserve">Proveer transporte público sostenible para todos </w:t>
            </w:r>
            <w:r w:rsidRPr="00741671">
              <w:rPr>
                <w:rFonts w:ascii="Arial" w:hAnsi="Arial" w:cs="Arial"/>
                <w:color w:val="000000" w:themeColor="text1"/>
                <w:sz w:val="20"/>
              </w:rPr>
              <w:fldChar w:fldCharType="begin" w:fldLock="1"/>
            </w:r>
            <w:r w:rsidRPr="00741671">
              <w:rPr>
                <w:rFonts w:ascii="Arial" w:hAnsi="Arial" w:cs="Arial"/>
                <w:color w:val="000000" w:themeColor="text1"/>
                <w:sz w:val="20"/>
              </w:rPr>
              <w:instrText>ADDIN CSL_CITATION { "citationItems" : [ { "id" : "ITEM-1", "itemData" : { "DOI" : "10.1016/j.landurbplan.2013.06.002", "ISBN" : "0169-2046", "ISSN" : "01692046", "abstract" : "The proportion of urban population is increasing globally. Climate change, biodiversity loss, and environmental pollution are leading to the urgent need to increase sustainable development of and through cities and their components. Encouraging and enabling sustainable lifestyles of urban inhabitants can be fostered by developing sustainable urban neighborhoods as the nuclei of cities. Numerous approaches exist that define principles for guiding sustainable development processes of urban neighborhoods. However, it remains unclear if these approaches really consider the core objectives that should be achieved and key actions that are involved to move toward sustainability. This study represents the first quantitative review that evaluates the principles for sustainable urban neighborhood development based on the available literature. We thus (i) identify promising approaches that present principles close to core criteria for sustainability and (ii) provide starting points for developing a more robust set of principles by bringing together the examined literature. Furthermore (iii), sustainability aspects that are insufficiently covered are highlighted. Based on the findings (iv) a road map is outlined to encourage further research on the elaboration of a sufficient set of principles for sustainable urban neighborhood development. \u00a9 2013 Elsevier B.V.", "author" : [ { "dropping-particle" : "", "family" : "Luederitz", "given" : "Christopher", "non-dropping-particle" : "", "parse-names" : false, "suffix" : "" }, { "dropping-particle" : "", "family" : "Lang", "given" : "Daniel J.", "non-dropping-particle" : "", "parse-names" : false, "suffix" : "" }, { "dropping-particle" : "", "family" : "Wehrden", "given" : "Henrik", "non-dropping-particle" : "Von", "parse-names" : false, "suffix" : "" } ], "container-title" : "Landscape and Urban Planning", "id" : "ITEM-1", "issued" : { "date-parts" : [ [ "2013" ] ] }, "page" : "40-52", "publisher" : "Elsevier B.V.", "title" : "A systematic review of guiding principles for sustainable urban neighborhood development", "type" : "article-journal", "volume" : "118" }, "uris" : [ "http://www.mendeley.com/documents/?uuid=6bcfcece-dda2-466f-b77d-29fdaec204ad" ] } ], "mendeley" : { "formattedCitation" : "(Luederitz et al., 2013)", "plainTextFormattedCitation" : "(Luederitz et al., 2013)", "previouslyFormattedCitation" : "(Luederitz et al., 2013)" }, "properties" : { "noteIndex" : 0 }, "schema" : "https://github.com/citation-style-language/schema/raw/master/csl-citation.json" }</w:instrText>
            </w:r>
            <w:r w:rsidRPr="00741671">
              <w:rPr>
                <w:rFonts w:ascii="Arial" w:hAnsi="Arial" w:cs="Arial"/>
                <w:color w:val="000000" w:themeColor="text1"/>
                <w:sz w:val="20"/>
              </w:rPr>
              <w:fldChar w:fldCharType="separate"/>
            </w:r>
            <w:r w:rsidRPr="00741671">
              <w:rPr>
                <w:rFonts w:ascii="Arial" w:hAnsi="Arial" w:cs="Arial"/>
                <w:noProof/>
                <w:color w:val="000000" w:themeColor="text1"/>
                <w:sz w:val="20"/>
              </w:rPr>
              <w:t>(Luederitz et al., 2013)</w:t>
            </w:r>
            <w:r w:rsidRPr="00741671">
              <w:rPr>
                <w:rFonts w:ascii="Arial" w:hAnsi="Arial" w:cs="Arial"/>
                <w:color w:val="000000" w:themeColor="text1"/>
                <w:sz w:val="20"/>
              </w:rPr>
              <w:fldChar w:fldCharType="end"/>
            </w:r>
            <w:r w:rsidRPr="00741671">
              <w:rPr>
                <w:rFonts w:ascii="Arial" w:hAnsi="Arial" w:cs="Arial"/>
                <w:color w:val="000000" w:themeColor="text1"/>
                <w:sz w:val="20"/>
              </w:rPr>
              <w:t xml:space="preserve"> </w:t>
            </w:r>
            <w:r w:rsidRPr="00741671">
              <w:rPr>
                <w:rFonts w:ascii="Arial" w:hAnsi="Arial" w:cs="Arial"/>
                <w:color w:val="000000" w:themeColor="text1"/>
                <w:sz w:val="20"/>
              </w:rPr>
              <w:fldChar w:fldCharType="begin" w:fldLock="1"/>
            </w:r>
            <w:r w:rsidRPr="00741671">
              <w:rPr>
                <w:rFonts w:ascii="Arial" w:hAnsi="Arial" w:cs="Arial"/>
                <w:color w:val="000000" w:themeColor="text1"/>
                <w:sz w:val="20"/>
              </w:rPr>
              <w:instrText>ADDIN CSL_CITATION { "citationItems" : [ { "id" : "ITEM-1", "itemData" : { "ISSN" : "1993-3800", "abstract" : "New Urbanism New Urbanism is an urban design movement, which arose in the USA in the early 1980s, promoting walkable, mixed-use neighbourhoods and transit-oriented development, seeking to end suburban sprawl and promote community. Characteristics include narrow streets, wide sidewalks and higher densities, qualities which we can all find in the European cities. Green Urbanism Green Urbanism is a conceptual model for zero-emission and zero-waste urban design, which arose in the 1990s, promoting compact energy-efficient urban development, seeking to transform and re-engineer existing city districts and regenerate the post-industrial city centre. It promotes the development of socially and environmentally sustainable city districts. This paper will first look at the timeline of important publications that have been published on sustainable design and have emerged from different schools of thought, to exemplify how gradually the notion of Green Urbanism evolved. It then identifies the intertwined principles for achieving Green Urbanism.", "author" : [ { "dropping-particle" : "", "family" : "Lehmann", "given" : "Steffen", "non-dropping-particle" : "", "parse-names" : false, "suffix" : "" } ], "container-title" : "Survey And Perspectives Integrating Environment &amp; Society", "id" : "ITEM-1", "issue" : "October", "issued" : { "date-parts" : [ [ "2010" ] ] }, "page" : "Art. 6", "title" : "Green Urbanism: Formulating a Series of Holistic Principles.", "type" : "article-journal", "volume" : "3" }, "uris" : [ "http://www.mendeley.com/documents/?uuid=7b43f80a-d8ec-4748-a9dc-ee203f8b89d7" ] } ], "mendeley" : { "formattedCitation" : "(Lehmann, 2010)", "plainTextFormattedCitation" : "(Lehmann, 2010)", "previouslyFormattedCitation" : "(Lehmann, 2010)" }, "properties" : { "noteIndex" : 0 }, "schema" : "https://github.com/citation-style-language/schema/raw/master/csl-citation.json" }</w:instrText>
            </w:r>
            <w:r w:rsidRPr="00741671">
              <w:rPr>
                <w:rFonts w:ascii="Arial" w:hAnsi="Arial" w:cs="Arial"/>
                <w:color w:val="000000" w:themeColor="text1"/>
                <w:sz w:val="20"/>
              </w:rPr>
              <w:fldChar w:fldCharType="separate"/>
            </w:r>
            <w:r w:rsidRPr="00741671">
              <w:rPr>
                <w:rFonts w:ascii="Arial" w:hAnsi="Arial" w:cs="Arial"/>
                <w:noProof/>
                <w:color w:val="000000" w:themeColor="text1"/>
                <w:sz w:val="20"/>
              </w:rPr>
              <w:t>(Lehmann, 2010)</w:t>
            </w:r>
            <w:r w:rsidRPr="00741671">
              <w:rPr>
                <w:rFonts w:ascii="Arial" w:hAnsi="Arial" w:cs="Arial"/>
                <w:color w:val="000000" w:themeColor="text1"/>
                <w:sz w:val="20"/>
              </w:rPr>
              <w:fldChar w:fldCharType="end"/>
            </w:r>
            <w:r w:rsidRPr="00741671">
              <w:rPr>
                <w:rFonts w:ascii="Arial" w:hAnsi="Arial" w:cs="Arial"/>
                <w:color w:val="000000" w:themeColor="text1"/>
                <w:sz w:val="20"/>
              </w:rPr>
              <w:t xml:space="preserve">. Diseñar del espacio público y mejorar la conectividad entre distritos </w:t>
            </w:r>
            <w:r w:rsidRPr="00741671">
              <w:rPr>
                <w:rFonts w:ascii="Arial" w:hAnsi="Arial" w:cs="Arial"/>
                <w:color w:val="000000" w:themeColor="text1"/>
                <w:sz w:val="20"/>
              </w:rPr>
              <w:fldChar w:fldCharType="begin" w:fldLock="1"/>
            </w:r>
            <w:r w:rsidRPr="00741671">
              <w:rPr>
                <w:rFonts w:ascii="Arial" w:hAnsi="Arial" w:cs="Arial"/>
                <w:color w:val="000000" w:themeColor="text1"/>
                <w:sz w:val="20"/>
              </w:rPr>
              <w:instrText>ADDIN CSL_CITATION { "citationItems" : [ { "id" : "ITEM-1", "itemData" : { "DOI" : "10.1016/j.landurbplan.2013.06.002", "ISBN" : "0169-2046", "ISSN" : "01692046", "abstract" : "The proportion of urban population is increasing globally. Climate change, biodiversity loss, and environmental pollution are leading to the urgent need to increase sustainable development of and through cities and their components. Encouraging and enabling sustainable lifestyles of urban inhabitants can be fostered by developing sustainable urban neighborhoods as the nuclei of cities. Numerous approaches exist that define principles for guiding sustainable development processes of urban neighborhoods. However, it remains unclear if these approaches really consider the core objectives that should be achieved and key actions that are involved to move toward sustainability. This study represents the first quantitative review that evaluates the principles for sustainable urban neighborhood development based on the available literature. We thus (i) identify promising approaches that present principles close to core criteria for sustainability and (ii) provide starting points for developing a more robust set of principles by bringing together the examined literature. Furthermore (iii), sustainability aspects that are insufficiently covered are highlighted. Based on the findings (iv) a road map is outlined to encourage further research on the elaboration of a sufficient set of principles for sustainable urban neighborhood development. \u00a9 2013 Elsevier B.V.", "author" : [ { "dropping-particle" : "", "family" : "Luederitz", "given" : "Christopher", "non-dropping-particle" : "", "parse-names" : false, "suffix" : "" }, { "dropping-particle" : "", "family" : "Lang", "given" : "Daniel J.", "non-dropping-particle" : "", "parse-names" : false, "suffix" : "" }, { "dropping-particle" : "", "family" : "Wehrden", "given" : "Henrik", "non-dropping-particle" : "Von", "parse-names" : false, "suffix" : "" } ], "container-title" : "Landscape and Urban Planning", "id" : "ITEM-1", "issued" : { "date-parts" : [ [ "2013" ] ] }, "page" : "40-52", "publisher" : "Elsevier B.V.", "title" : "A systematic review of guiding principles for sustainable urban neighborhood development", "type" : "article-journal", "volume" : "118" }, "uris" : [ "http://www.mendeley.com/documents/?uuid=6bcfcece-dda2-466f-b77d-29fdaec204ad" ] } ], "mendeley" : { "formattedCitation" : "(Luederitz et al., 2013)", "plainTextFormattedCitation" : "(Luederitz et al., 2013)", "previouslyFormattedCitation" : "(Luederitz et al., 2013)" }, "properties" : { "noteIndex" : 0 }, "schema" : "https://github.com/citation-style-language/schema/raw/master/csl-citation.json" }</w:instrText>
            </w:r>
            <w:r w:rsidRPr="00741671">
              <w:rPr>
                <w:rFonts w:ascii="Arial" w:hAnsi="Arial" w:cs="Arial"/>
                <w:color w:val="000000" w:themeColor="text1"/>
                <w:sz w:val="20"/>
              </w:rPr>
              <w:fldChar w:fldCharType="separate"/>
            </w:r>
            <w:r w:rsidRPr="00741671">
              <w:rPr>
                <w:rFonts w:ascii="Arial" w:hAnsi="Arial" w:cs="Arial"/>
                <w:noProof/>
                <w:color w:val="000000" w:themeColor="text1"/>
                <w:sz w:val="20"/>
              </w:rPr>
              <w:t>(Luederitz et al., 2013)</w:t>
            </w:r>
            <w:r w:rsidRPr="00741671">
              <w:rPr>
                <w:rFonts w:ascii="Arial" w:hAnsi="Arial" w:cs="Arial"/>
                <w:color w:val="000000" w:themeColor="text1"/>
                <w:sz w:val="20"/>
              </w:rPr>
              <w:fldChar w:fldCharType="end"/>
            </w:r>
            <w:r w:rsidRPr="00741671">
              <w:rPr>
                <w:rFonts w:ascii="Arial" w:hAnsi="Arial" w:cs="Arial"/>
                <w:color w:val="000000" w:themeColor="text1"/>
                <w:sz w:val="20"/>
              </w:rPr>
              <w:t xml:space="preserve"> </w:t>
            </w:r>
            <w:r w:rsidRPr="00741671">
              <w:rPr>
                <w:rFonts w:ascii="Arial" w:hAnsi="Arial" w:cs="Arial"/>
                <w:color w:val="000000" w:themeColor="text1"/>
                <w:sz w:val="20"/>
              </w:rPr>
              <w:fldChar w:fldCharType="begin" w:fldLock="1"/>
            </w:r>
            <w:r w:rsidRPr="00741671">
              <w:rPr>
                <w:rFonts w:ascii="Arial" w:hAnsi="Arial" w:cs="Arial"/>
                <w:color w:val="000000" w:themeColor="text1"/>
                <w:sz w:val="20"/>
              </w:rPr>
              <w:instrText>ADDIN CSL_CITATION { "citationItems" : [ { "id" : "ITEM-1", "itemData" : { "ISSN" : "1993-3800", "abstract" : "New Urbanism New Urbanism is an urban design movement, which arose in the USA in the early 1980s, promoting walkable, mixed-use neighbourhoods and transit-oriented development, seeking to end suburban sprawl and promote community. Characteristics include narrow streets, wide sidewalks and higher densities, qualities which we can all find in the European cities. Green Urbanism Green Urbanism is a conceptual model for zero-emission and zero-waste urban design, which arose in the 1990s, promoting compact energy-efficient urban development, seeking to transform and re-engineer existing city districts and regenerate the post-industrial city centre. It promotes the development of socially and environmentally sustainable city districts. This paper will first look at the timeline of important publications that have been published on sustainable design and have emerged from different schools of thought, to exemplify how gradually the notion of Green Urbanism evolved. It then identifies the intertwined principles for achieving Green Urbanism.", "author" : [ { "dropping-particle" : "", "family" : "Lehmann", "given" : "Steffen", "non-dropping-particle" : "", "parse-names" : false, "suffix" : "" } ], "container-title" : "Survey And Perspectives Integrating Environment &amp; Society", "id" : "ITEM-1", "issue" : "October", "issued" : { "date-parts" : [ [ "2010" ] ] }, "page" : "Art. 6", "title" : "Green Urbanism: Formulating a Series of Holistic Principles.", "type" : "article-journal", "volume" : "3" }, "uris" : [ "http://www.mendeley.com/documents/?uuid=7b43f80a-d8ec-4748-a9dc-ee203f8b89d7" ] } ], "mendeley" : { "formattedCitation" : "(Lehmann, 2010)", "plainTextFormattedCitation" : "(Lehmann, 2010)", "previouslyFormattedCitation" : "(Lehmann, 2010)" }, "properties" : { "noteIndex" : 0 }, "schema" : "https://github.com/citation-style-language/schema/raw/master/csl-citation.json" }</w:instrText>
            </w:r>
            <w:r w:rsidRPr="00741671">
              <w:rPr>
                <w:rFonts w:ascii="Arial" w:hAnsi="Arial" w:cs="Arial"/>
                <w:color w:val="000000" w:themeColor="text1"/>
                <w:sz w:val="20"/>
              </w:rPr>
              <w:fldChar w:fldCharType="separate"/>
            </w:r>
            <w:r w:rsidRPr="00741671">
              <w:rPr>
                <w:rFonts w:ascii="Arial" w:hAnsi="Arial" w:cs="Arial"/>
                <w:noProof/>
                <w:color w:val="000000" w:themeColor="text1"/>
                <w:sz w:val="20"/>
              </w:rPr>
              <w:t>(Lehmann, 2010)</w:t>
            </w:r>
            <w:r w:rsidRPr="00741671">
              <w:rPr>
                <w:rFonts w:ascii="Arial" w:hAnsi="Arial" w:cs="Arial"/>
                <w:color w:val="000000" w:themeColor="text1"/>
                <w:sz w:val="20"/>
              </w:rPr>
              <w:fldChar w:fldCharType="end"/>
            </w:r>
          </w:p>
          <w:p w:rsidR="00741671" w:rsidRDefault="00741671" w:rsidP="00977365">
            <w:pPr>
              <w:spacing w:after="0" w:line="240" w:lineRule="auto"/>
              <w:rPr>
                <w:rFonts w:ascii="Arial" w:hAnsi="Arial" w:cs="Arial"/>
                <w:color w:val="000000" w:themeColor="text1"/>
                <w:sz w:val="20"/>
              </w:rPr>
            </w:pPr>
          </w:p>
          <w:p w:rsidR="00741671" w:rsidRDefault="00741671" w:rsidP="00977365">
            <w:pPr>
              <w:spacing w:after="0" w:line="240" w:lineRule="auto"/>
              <w:rPr>
                <w:rFonts w:ascii="Arial" w:hAnsi="Arial" w:cs="Arial"/>
                <w:color w:val="000000" w:themeColor="text1"/>
                <w:sz w:val="20"/>
              </w:rPr>
            </w:pPr>
          </w:p>
          <w:p w:rsidR="00741671" w:rsidRDefault="00741671" w:rsidP="00977365">
            <w:pPr>
              <w:spacing w:after="0" w:line="240" w:lineRule="auto"/>
              <w:rPr>
                <w:rFonts w:ascii="Arial" w:hAnsi="Arial" w:cs="Arial"/>
                <w:color w:val="000000" w:themeColor="text1"/>
                <w:sz w:val="20"/>
              </w:rPr>
            </w:pPr>
          </w:p>
          <w:p w:rsidR="00741671" w:rsidRPr="00741671" w:rsidRDefault="00741671" w:rsidP="00977365">
            <w:pPr>
              <w:spacing w:after="0" w:line="240" w:lineRule="auto"/>
              <w:rPr>
                <w:rFonts w:ascii="Arial" w:hAnsi="Arial" w:cs="Arial"/>
                <w:color w:val="000000" w:themeColor="text1"/>
                <w:sz w:val="20"/>
                <w:szCs w:val="20"/>
              </w:rPr>
            </w:pPr>
          </w:p>
        </w:tc>
      </w:tr>
      <w:tr w:rsidR="00107707" w:rsidRPr="000E0F90" w:rsidTr="002A21E4">
        <w:tc>
          <w:tcPr>
            <w:tcW w:w="3280" w:type="dxa"/>
            <w:vMerge w:val="restart"/>
            <w:tcBorders>
              <w:top w:val="nil"/>
              <w:bottom w:val="nil"/>
              <w:right w:val="nil"/>
            </w:tcBorders>
          </w:tcPr>
          <w:p w:rsidR="00107707" w:rsidRPr="000E0F90" w:rsidRDefault="00107707" w:rsidP="008D6676">
            <w:pPr>
              <w:spacing w:after="0" w:line="240" w:lineRule="auto"/>
              <w:rPr>
                <w:rFonts w:ascii="Arial" w:hAnsi="Arial" w:cs="Arial"/>
                <w:color w:val="000000" w:themeColor="text1"/>
                <w:sz w:val="20"/>
                <w:szCs w:val="20"/>
              </w:rPr>
            </w:pPr>
            <w:r w:rsidRPr="000E0F90">
              <w:rPr>
                <w:rFonts w:ascii="Arial" w:hAnsi="Arial" w:cs="Arial"/>
                <w:color w:val="000000" w:themeColor="text1"/>
                <w:sz w:val="20"/>
                <w:szCs w:val="20"/>
              </w:rPr>
              <w:lastRenderedPageBreak/>
              <w:t xml:space="preserve">Asegura </w:t>
            </w:r>
            <w:r w:rsidRPr="000E0F90">
              <w:rPr>
                <w:rFonts w:ascii="Arial" w:hAnsi="Arial" w:cs="Arial"/>
                <w:b/>
                <w:color w:val="000000" w:themeColor="text1"/>
                <w:sz w:val="20"/>
                <w:szCs w:val="20"/>
              </w:rPr>
              <w:t>condiciones de vida equivalente a todas las personas</w:t>
            </w:r>
            <w:r w:rsidRPr="000E0F90">
              <w:rPr>
                <w:rFonts w:ascii="Arial" w:hAnsi="Arial" w:cs="Arial"/>
                <w:color w:val="000000" w:themeColor="text1"/>
                <w:sz w:val="20"/>
                <w:szCs w:val="20"/>
              </w:rPr>
              <w:t xml:space="preserve">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"DOI" : "10.1016/j.eiar.2012.12.004", "ISBN" : "0195-9255", "ISSN" : "01959255", "abstract" : "This paper presents a framework for analysing the degree of consideration of sustainability principles in Strategic environmental assessment (SEA), and demonstrates its application to a sample of SEA of Italian urban plans. The framework is based on Gibson's (2006) sustainability principles, which are linked to a number of guidance criteria and eventually to review questions, resulting from an extensive literature review. A total of 71 questions are included in the framework, which gives particular emphasis to key concepts, such as intragenerational and intergenerational equity. The framework was applied to review the Environmental Report of the urban plans of 15 major Italian cities. The results of this review show that, even if sustainability is commonly considered as a pivotal concept, there is still work to be done in order to effectively integrate sustainability principles into SEA. In particular, most of the attention is given to mitigation and compensation measures, rather than to actual attempts to propose more sustainable planning decisions in the first place. Concerning the proposed framework of analysis, further research is required to clarify equity concerns and particularly to identify suitable indicators for operationalizing the concepts of intra/inter-generational equity in decision-making. ?? 2012 Elsevier Inc.", "author" : [ { "dropping-particle" : "", "family" : "Lamorgese", "given" : "Lydia", "non-dropping-particle" : "", "parse-names" : false, "suffix" : "" }, { "dropping-particle" : "", "family" : "Geneletti", "given" : "Davide", "non-dropping-particle" : "", "parse-names" : false, "suffix" : "" } ], "container-title" : "Environmental Impact Assessment Review", "id" : "ITEM-1", "issued" : { "date-parts" : [ [ "2013" ] ] }, "page" : "116-126", "publisher" : "Elsevier Inc.", "title" : "Sustainability principles in strategic environmental assessment: A framework for analysis and examples from Italian urban planning", "type" : "article-journal", "volume" : "42" }, "uris" : [ "http://www.mendeley.com/documents/?uuid=50281d85-3e46-42bb-9a5c-be11d8f3b1d0" ] } ], "mendeley" : { "formattedCitation" : "(Lamorgese &amp; Geneletti, 2013)", "plainTextFormattedCitation" : "(Lamorgese &amp; Geneletti, 2013)", "previouslyFormattedCitation" : "(Lamorgese &amp; Geneletti, 2013)"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(Lamorgese &amp; Geneletti, 2013)</w:t>
            </w:r>
            <w:r w:rsidRPr="000E0F90">
              <w:rPr>
                <w:rFonts w:ascii="Arial" w:hAnsi="Arial" w:cs="Arial"/>
                <w:color w:val="000000" w:themeColor="text1"/>
                <w:sz w:val="20"/>
                <w:szCs w:val="20"/>
              </w:rPr>
              <w:fldChar w:fldCharType="end"/>
            </w:r>
            <w:r w:rsidRPr="000E0F90">
              <w:rPr>
                <w:rFonts w:ascii="Arial" w:hAnsi="Arial" w:cs="Arial"/>
                <w:color w:val="000000" w:themeColor="text1"/>
                <w:sz w:val="20"/>
                <w:szCs w:val="20"/>
              </w:rPr>
              <w:t xml:space="preserve">;  </w:t>
            </w:r>
          </w:p>
        </w:tc>
        <w:tc>
          <w:tcPr>
            <w:tcW w:w="5490" w:type="dxa"/>
            <w:tcBorders>
              <w:top w:val="nil"/>
              <w:left w:val="nil"/>
              <w:bottom w:val="nil"/>
            </w:tcBorders>
          </w:tcPr>
          <w:p w:rsidR="00107707" w:rsidRPr="000E0F90" w:rsidRDefault="00107707" w:rsidP="008D6676">
            <w:pPr>
              <w:spacing w:after="0" w:line="240" w:lineRule="auto"/>
              <w:rPr>
                <w:rFonts w:ascii="Arial" w:hAnsi="Arial" w:cs="Arial"/>
                <w:color w:val="000000" w:themeColor="text1"/>
                <w:sz w:val="20"/>
                <w:szCs w:val="20"/>
              </w:rPr>
            </w:pPr>
            <w:r w:rsidRPr="000E0F90">
              <w:rPr>
                <w:rFonts w:ascii="Arial" w:hAnsi="Arial" w:cs="Arial"/>
                <w:color w:val="000000" w:themeColor="text1"/>
                <w:sz w:val="20"/>
                <w:szCs w:val="20"/>
              </w:rPr>
              <w:t xml:space="preserve">Asegurar la igualdad en el acceso a salud, empleos valiosos, conocimiento y seguridad comunitaria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"DOI" : "10.3152/146155110X12772982841122", "ISSN" : "1461-5517", "abstract" : "Assessments today need to help reverse trends towards deeper unsustainability and address the unavoidable interconnections, feedbacks and uncertainties that typify complex socio-ecological systems at all scales. To illustrate one promising approach, this paper describes a modest effort to integrate understandings from Gibson et al\u2019s approach to sustainability assessment with the Resilience Alliance\u2019s applications of complex systems thinking into a suite of systems and sustainability based criteria. The integrated sustainability\u2013resilience criteria were used to assess an existing small-scale biodiesel operation on Barbados that involves waste management, public health, transportation, energy security and community involvement considerations. The assessment revealed that the main benefit of this biodiesel project is in social learning rather than enhancing energy security and waste management, and the best ways of enhancing the project lie in larger scale policy initiatives. The findings suggest that the use of a sustainability\u2013resilience approach can contribute insights unlikely to emerge from more narrowly focused assessments.", "author" : [ { "dropping-particle" : "", "family" : "Gaudreau", "given" : "Kyrke", "non-dropping-particle" : "", "parse-names" : false, "suffix" : "" }, { "dropping-particle" : "", "family" : "Gibson", "given" : "Robert B.", "non-dropping-particle" : "", "parse-names" : false, "suffix" : "" } ], "container-title" : "Impact Assessment and Project Appraisal", "id" : "ITEM-1", "issue" : "December", "issued" : { "date-parts" : [ [ "2010" ] ] }, "page" : "233-243", "title" : "Illustrating integrated sustainability and resilience based assessments: a small-scale biodiesel project in Barbados", "type" : "article-journal", "volume" : "28" }, "uris" : [ "http://www.mendeley.com/documents/?uuid=fee76635-1433-4c27-9c85-bbbf459c7e59" ] } ], "mendeley" : { "formattedCitation" : "(Gaudreau &amp; Gibson, 2010)", "plainTextFormattedCitation" : "(Gaudreau &amp; Gibson, 2010)", "previouslyFormattedCitation" : "(Gaudreau &amp; Gibson, 2010)"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(Gaudreau &amp; Gibson, 2010)</w:t>
            </w:r>
            <w:r w:rsidRPr="000E0F90">
              <w:rPr>
                <w:rFonts w:ascii="Arial" w:hAnsi="Arial" w:cs="Arial"/>
                <w:color w:val="000000" w:themeColor="text1"/>
                <w:sz w:val="20"/>
                <w:szCs w:val="20"/>
              </w:rPr>
              <w:fldChar w:fldCharType="end"/>
            </w:r>
            <w:r w:rsidRPr="000E0F90">
              <w:rPr>
                <w:rFonts w:ascii="Arial" w:hAnsi="Arial" w:cs="Arial"/>
                <w:color w:val="000000" w:themeColor="text1"/>
                <w:sz w:val="20"/>
                <w:szCs w:val="20"/>
              </w:rPr>
              <w:t xml:space="preserve"> a todos los actores territoriales</w:t>
            </w:r>
          </w:p>
        </w:tc>
      </w:tr>
      <w:tr w:rsidR="00107707" w:rsidRPr="000E0F90" w:rsidTr="002A21E4">
        <w:tc>
          <w:tcPr>
            <w:tcW w:w="3280" w:type="dxa"/>
            <w:vMerge/>
            <w:tcBorders>
              <w:top w:val="nil"/>
              <w:bottom w:val="nil"/>
              <w:right w:val="nil"/>
            </w:tcBorders>
          </w:tcPr>
          <w:p w:rsidR="00107707" w:rsidRPr="000E0F90" w:rsidRDefault="00107707" w:rsidP="008D6676">
            <w:pPr>
              <w:spacing w:after="0" w:line="240" w:lineRule="auto"/>
              <w:rPr>
                <w:rFonts w:ascii="Arial" w:hAnsi="Arial" w:cs="Arial"/>
                <w:color w:val="000000" w:themeColor="text1"/>
                <w:sz w:val="20"/>
                <w:szCs w:val="20"/>
              </w:rPr>
            </w:pPr>
          </w:p>
        </w:tc>
        <w:tc>
          <w:tcPr>
            <w:tcW w:w="5490" w:type="dxa"/>
            <w:tcBorders>
              <w:top w:val="nil"/>
              <w:left w:val="nil"/>
              <w:bottom w:val="nil"/>
            </w:tcBorders>
          </w:tcPr>
          <w:p w:rsidR="00107707" w:rsidRPr="000E0F90" w:rsidRDefault="00107707" w:rsidP="008F1CC4">
            <w:pPr>
              <w:spacing w:after="0" w:line="240" w:lineRule="auto"/>
              <w:rPr>
                <w:rFonts w:ascii="Arial" w:hAnsi="Arial" w:cs="Arial"/>
                <w:color w:val="000000" w:themeColor="text1"/>
                <w:sz w:val="20"/>
                <w:szCs w:val="20"/>
              </w:rPr>
            </w:pPr>
            <w:r w:rsidRPr="000E0F90">
              <w:rPr>
                <w:rFonts w:ascii="Arial" w:hAnsi="Arial" w:cs="Arial"/>
                <w:color w:val="000000" w:themeColor="text1"/>
                <w:sz w:val="20"/>
                <w:szCs w:val="20"/>
              </w:rPr>
              <w:t xml:space="preserve">Asegurar la igualdad e imparcialidad en la distribución de riquezas y acceso a recursos sociales y económicos, así como de las pérdidas (Gaudreau &amp; Gibson, 2010)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"DOI" : "10.1111/j.1477-8947.2006.00167.x", "ISBN" : "0165-0203", "ISSN" : "0165-0203", "abstract" : "At the Earth Summit in Rio de Janeiro in 1992, it was agreed that all countries should develop a national sustainable develop-ment strategy (NSDS) as a key component of implementing the goals of Agenda 21. Progress has been limited. Few countries have established a formal strategy, and many of the strategies that exist have been only partially implemented. This article proposes an approach that addresses the need to improve existing strategic planning mechanisms. The approach is based on a periodic assessment of existing systems, to evaluate the extent to which they incorporate NSDS principles, and identify areas to be strengthened. The article describes an assessment methodology, presents examples of its use, and discusses ways in which current approaches to NSDS may be complemented by continual review and improvement of existing planning processes.", "author" : [ { "dropping-particle" : "", "family" : "George", "given" : "C", "non-dropping-particle" : "", "parse-names" : false, "suffix" : "" }, { "dropping-particle" : "", "family" : "Kirkpatrick", "given" : "C", "non-dropping-particle" : "", "parse-names" : false, "suffix" : "" } ], "container-title" : "Natural Resources Forum", "id" : "ITEM-1", "issued" : { "date-parts" : [ [ "2006" ] ] }, "page" : "146-156", "title" : "Assessing national sustainable development strategies: Strengthening the links to operational policy", "type" : "article-journal", "volume" : "30" }, "uris" : [ "http://www.mendeley.com/documents/?uuid=8016fa55-2b5d-4a2f-bdd9-afebb274063c" ] } ], "mendeley" : { "formattedCitation" : "(George &amp; Kirkpatrick, 2006)", "plainTextFormattedCitation" : "(George &amp; Kirkpatrick, 2006)", "previouslyFormattedCitation" : "(George &amp; Kirkpatrick, 2006)"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(George &amp; Kirkpatrick, 2006)</w:t>
            </w:r>
            <w:r w:rsidRPr="000E0F90">
              <w:rPr>
                <w:rFonts w:ascii="Arial" w:hAnsi="Arial" w:cs="Arial"/>
                <w:color w:val="000000" w:themeColor="text1"/>
                <w:sz w:val="20"/>
                <w:szCs w:val="20"/>
              </w:rPr>
              <w:fldChar w:fldCharType="end"/>
            </w:r>
            <w:r w:rsidRPr="000E0F90">
              <w:rPr>
                <w:rFonts w:ascii="Arial" w:hAnsi="Arial" w:cs="Arial"/>
                <w:color w:val="000000" w:themeColor="text1"/>
                <w:sz w:val="20"/>
                <w:szCs w:val="20"/>
              </w:rPr>
              <w:t xml:space="preserve">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"DOI" : "10.1080/01944360008976081", "ISBN" : "0194-4363", "ISSN" : "01944363", "PMID" : "2989497", "abstract" : "A set of six principles are set forth that define and operationalize the concept of sustainable development. Using these six principles, a sample of 30 comprehensive plans was evaluated to determine how well their policies support sustainable development. Findings indicate no significant differences in how extensively sustainability principles are supported between the plans that state an intention to integrate sustainable development and those that do not. In addition, these plans do not provide balanced support of all six sustainability principles, as they support some principles significantly more than others.", "author" : [ { "dropping-particle" : "", "family" : "Berke", "given" : "Philip R", "non-dropping-particle" : "", "parse-names" : false, "suffix" : "" }, { "dropping-particle" : "", "family" : "Conroy", "given" : "Maria Manta", "non-dropping-particle" : "", "parse-names" : false, "suffix" : "" } ], "container-title" : "American Planning Association.Journal of the American Planning Association", "id" : "ITEM-1", "issue" : "September", "issued" : { "date-parts" : [ [ "2000" ] ] }, "page" : "21", "title" : "Are we planning for sustainable development?", "type" : "article-journal", "volume" : "66" }, "uris" : [ "http://www.mendeley.com/documents/?uuid=9c8f081f-71c5-4194-83b6-25e26c52bc06" ] } ], "mendeley" : { "formattedCitation" : "(Berke &amp; Conroy, 2000)", "plainTextFormattedCitation" : "(Berke &amp; Conroy, 2000)", "previouslyFormattedCitation" : "(Berke &amp; Conroy, 2000)"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(Berke &amp; Conroy, 2000)</w:t>
            </w:r>
            <w:r w:rsidRPr="000E0F90">
              <w:rPr>
                <w:rFonts w:ascii="Arial" w:hAnsi="Arial" w:cs="Arial"/>
                <w:color w:val="000000" w:themeColor="text1"/>
                <w:sz w:val="20"/>
                <w:szCs w:val="20"/>
              </w:rPr>
              <w:fldChar w:fldCharType="end"/>
            </w:r>
            <w:r w:rsidRPr="000E0F90">
              <w:rPr>
                <w:rFonts w:ascii="Arial" w:hAnsi="Arial" w:cs="Arial"/>
                <w:color w:val="000000" w:themeColor="text1"/>
                <w:sz w:val="20"/>
                <w:szCs w:val="20"/>
              </w:rPr>
              <w:t xml:space="preserve">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"author" : [ { "dropping-particle" : "", "family" : "Beder", "given" : "Sharon", "non-dropping-particle" : "", "parse-names" : false, "suffix" : "" } ], "container-title" : "New Zealand Journal of Environmental Law", "id" : "ITEM-1", "issued" : { "date-parts" : [ [ "2000" ] ] }, "page" : "227-243", "title" : "Costing the Earth: Equity, Sustainable Development and Environmental Economics", "type" : "article-journal", "volume" : "4" }, "uris" : [ "http://www.mendeley.com/documents/?uuid=55796272-eb2c-4f3d-b888-f19f34d31d33" ] } ], "mendeley" : { "formattedCitation" : "(Beder, 2000)", "plainTextFormattedCitation" : "(Beder, 2000)", "previouslyFormattedCitation" : "(Beder, 2000)"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(Beder, 2000)</w:t>
            </w:r>
            <w:r w:rsidRPr="000E0F90">
              <w:rPr>
                <w:rFonts w:ascii="Arial" w:hAnsi="Arial" w:cs="Arial"/>
                <w:color w:val="000000" w:themeColor="text1"/>
                <w:sz w:val="20"/>
                <w:szCs w:val="20"/>
              </w:rPr>
              <w:fldChar w:fldCharType="end"/>
            </w:r>
          </w:p>
        </w:tc>
      </w:tr>
      <w:tr w:rsidR="00107707" w:rsidRPr="000E0F90" w:rsidTr="002A21E4">
        <w:tc>
          <w:tcPr>
            <w:tcW w:w="3280" w:type="dxa"/>
            <w:vMerge/>
            <w:tcBorders>
              <w:top w:val="nil"/>
              <w:bottom w:val="nil"/>
              <w:right w:val="nil"/>
            </w:tcBorders>
          </w:tcPr>
          <w:p w:rsidR="00107707" w:rsidRPr="000E0F90" w:rsidRDefault="00107707" w:rsidP="008D6676">
            <w:pPr>
              <w:spacing w:after="0" w:line="240" w:lineRule="auto"/>
              <w:rPr>
                <w:rFonts w:ascii="Arial" w:hAnsi="Arial" w:cs="Arial"/>
                <w:b/>
                <w:color w:val="000000" w:themeColor="text1"/>
                <w:sz w:val="20"/>
                <w:szCs w:val="20"/>
              </w:rPr>
            </w:pPr>
          </w:p>
        </w:tc>
        <w:tc>
          <w:tcPr>
            <w:tcW w:w="5490" w:type="dxa"/>
            <w:tcBorders>
              <w:top w:val="nil"/>
              <w:left w:val="nil"/>
              <w:bottom w:val="nil"/>
            </w:tcBorders>
            <w:vAlign w:val="bottom"/>
          </w:tcPr>
          <w:p w:rsidR="00107707" w:rsidRPr="000E0F90" w:rsidRDefault="00107707" w:rsidP="000666F2">
            <w:pPr>
              <w:spacing w:after="0" w:line="240" w:lineRule="auto"/>
              <w:rPr>
                <w:rFonts w:ascii="Arial" w:hAnsi="Arial" w:cs="Arial"/>
                <w:color w:val="000000" w:themeColor="text1"/>
                <w:sz w:val="20"/>
                <w:szCs w:val="20"/>
              </w:rPr>
            </w:pPr>
            <w:r w:rsidRPr="000E0F90">
              <w:rPr>
                <w:rFonts w:ascii="Arial" w:hAnsi="Arial" w:cs="Arial"/>
                <w:color w:val="000000" w:themeColor="text1"/>
                <w:sz w:val="20"/>
                <w:szCs w:val="20"/>
              </w:rPr>
              <w:t xml:space="preserve">Distribuir las ganancias generadas por la actividad minera local en forma equitativa, considerando al sector privado, gobierno y a las comunidades locales, como compensación de la depleción de los recursos minerales y daño medioambiental y social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"DOI" : "10.1016/S0959-6526(03)00075-1", "ISBN" : "4414836891", "ISSN" : "09596526", "author" : [ { "dropping-particle" : "", "family" : "Azapagic", "given" : "Adisa", "non-dropping-particle" : "", "parse-names" : false, "suffix" : "" } ], "container-title" : "Journal of Cleaner Production", "id" : "ITEM-1", "issue" : "6", "issued" : { "date-parts" : [ [ "2004", "8" ] ] }, "page" : "639-662", "title" : "Developing a framework for sustainable development indicators for the mining and minerals industry", "type" : "article-journal", "volume" : "12" }, "uris" : [ "http://www.mendeley.com/documents/?uuid=a36976cf-2e0f-4c41-bd50-7ef9e97ed91f" ] } ], "mendeley" : { "formattedCitation" : "(Azapagic, 2004)", "plainTextFormattedCitation" : "(Azapagic, 2004)", "previouslyFormattedCitation" : "(Azapagic, 2004)"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(Azapagic, 2004)</w:t>
            </w:r>
            <w:r w:rsidRPr="000E0F90">
              <w:rPr>
                <w:rFonts w:ascii="Arial" w:hAnsi="Arial" w:cs="Arial"/>
                <w:color w:val="000000" w:themeColor="text1"/>
                <w:sz w:val="20"/>
                <w:szCs w:val="20"/>
              </w:rPr>
              <w:fldChar w:fldCharType="end"/>
            </w:r>
            <w:r w:rsidRPr="000E0F90">
              <w:rPr>
                <w:rFonts w:ascii="Arial" w:hAnsi="Arial" w:cs="Arial"/>
                <w:color w:val="000000" w:themeColor="text1"/>
                <w:sz w:val="20"/>
                <w:szCs w:val="20"/>
              </w:rPr>
              <w:t xml:space="preserve">. </w:t>
            </w:r>
          </w:p>
        </w:tc>
      </w:tr>
      <w:tr w:rsidR="00107707" w:rsidRPr="000E0F90" w:rsidTr="002A21E4">
        <w:tc>
          <w:tcPr>
            <w:tcW w:w="3280" w:type="dxa"/>
            <w:vMerge/>
            <w:tcBorders>
              <w:top w:val="nil"/>
              <w:bottom w:val="nil"/>
              <w:right w:val="nil"/>
            </w:tcBorders>
          </w:tcPr>
          <w:p w:rsidR="00107707" w:rsidRPr="000E0F90" w:rsidRDefault="00107707" w:rsidP="006B717B">
            <w:pPr>
              <w:spacing w:after="0" w:line="240" w:lineRule="auto"/>
              <w:rPr>
                <w:rFonts w:ascii="Arial" w:hAnsi="Arial" w:cs="Arial"/>
                <w:b/>
                <w:color w:val="000000" w:themeColor="text1"/>
                <w:sz w:val="20"/>
                <w:szCs w:val="20"/>
              </w:rPr>
            </w:pPr>
          </w:p>
        </w:tc>
        <w:tc>
          <w:tcPr>
            <w:tcW w:w="5490" w:type="dxa"/>
            <w:tcBorders>
              <w:top w:val="nil"/>
              <w:left w:val="nil"/>
              <w:bottom w:val="nil"/>
            </w:tcBorders>
            <w:vAlign w:val="bottom"/>
          </w:tcPr>
          <w:p w:rsidR="00107707" w:rsidRPr="000E0F90" w:rsidRDefault="00107707" w:rsidP="00FB65CA">
            <w:pPr>
              <w:spacing w:after="0" w:line="240" w:lineRule="auto"/>
              <w:rPr>
                <w:rFonts w:ascii="Arial" w:hAnsi="Arial" w:cs="Arial"/>
                <w:color w:val="000000" w:themeColor="text1"/>
                <w:sz w:val="20"/>
                <w:szCs w:val="20"/>
              </w:rPr>
            </w:pPr>
            <w:r w:rsidRPr="000E0F90">
              <w:rPr>
                <w:rFonts w:ascii="Arial" w:hAnsi="Arial" w:cs="Arial"/>
                <w:color w:val="000000" w:themeColor="text1"/>
                <w:sz w:val="20"/>
                <w:szCs w:val="20"/>
              </w:rPr>
              <w:t xml:space="preserve">Capitalizar la pérdida de recursos minerales a través de una recaudación y utilización eficaz de los impuestos, considerando las aspiraciones de las regiones mineras.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"author" : [ { "dropping-particle" : "", "family" : "Lagos, G., Blanco, H., Torres, V., Bustos", "given" : "B", "non-dropping-particle" : "", "parse-names" : false, "suffix" : "" } ], "id" : "ITEM-1", "issued" : { "date-parts" : [ [ "2001" ] ] }, "note" : "NULL", "page" : "340-440", "title" : "Cap\u00edtulo 6-Miner\u00eda , Minerales y Desarrollo Sustentable en Chile", "type" : "article-journal" }, "uris" : [ "http://www.mendeley.com/documents/?uuid=1155115a-6440-457a-b82d-9525c3946160" ] } ], "mendeley" : { "formattedCitation" : "(Lagos, G., Blanco, H., Torres, V., Bustos, 2001)", "plainTextFormattedCitation" : "(Lagos, G., Blanco, H., Torres, V., Bustos, 2001)", "previouslyFormattedCitation" : "(Lagos, G., Blanco, H., Torres, V., Bustos, 2001)"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(Lagos, G., Blanco, H., Torres, V., Bustos, 2001)</w:t>
            </w:r>
            <w:r w:rsidRPr="000E0F90">
              <w:rPr>
                <w:rFonts w:ascii="Arial" w:hAnsi="Arial" w:cs="Arial"/>
                <w:color w:val="000000" w:themeColor="text1"/>
                <w:sz w:val="20"/>
                <w:szCs w:val="20"/>
              </w:rPr>
              <w:fldChar w:fldCharType="end"/>
            </w:r>
          </w:p>
        </w:tc>
      </w:tr>
      <w:tr w:rsidR="00CC6EB9" w:rsidRPr="000E0F90" w:rsidTr="002A21E4">
        <w:tc>
          <w:tcPr>
            <w:tcW w:w="3280" w:type="dxa"/>
            <w:vMerge w:val="restart"/>
            <w:tcBorders>
              <w:top w:val="nil"/>
              <w:bottom w:val="nil"/>
              <w:right w:val="nil"/>
            </w:tcBorders>
          </w:tcPr>
          <w:p w:rsidR="00CC6EB9" w:rsidRPr="000E0F90" w:rsidRDefault="00CC6EB9" w:rsidP="006B717B">
            <w:pPr>
              <w:spacing w:after="0" w:line="240" w:lineRule="auto"/>
              <w:rPr>
                <w:rFonts w:ascii="Arial" w:hAnsi="Arial" w:cs="Arial"/>
                <w:b/>
                <w:color w:val="000000" w:themeColor="text1"/>
                <w:sz w:val="20"/>
                <w:szCs w:val="20"/>
              </w:rPr>
            </w:pPr>
            <w:r w:rsidRPr="000E0F90">
              <w:rPr>
                <w:rFonts w:ascii="Arial" w:hAnsi="Arial" w:cs="Arial"/>
                <w:b/>
                <w:color w:val="000000" w:themeColor="text1"/>
                <w:sz w:val="20"/>
                <w:szCs w:val="20"/>
              </w:rPr>
              <w:t xml:space="preserve">Reduce la brecha entre los más necesitados y el resto de los actores </w:t>
            </w:r>
            <w:r w:rsidRPr="000E0F90">
              <w:rPr>
                <w:rFonts w:ascii="Arial" w:hAnsi="Arial" w:cs="Arial"/>
                <w:b/>
                <w:color w:val="000000" w:themeColor="text1"/>
                <w:sz w:val="20"/>
                <w:szCs w:val="20"/>
              </w:rPr>
              <w:fldChar w:fldCharType="begin" w:fldLock="1"/>
            </w:r>
            <w:r w:rsidRPr="000E0F90">
              <w:rPr>
                <w:rFonts w:ascii="Arial" w:hAnsi="Arial" w:cs="Arial"/>
                <w:b/>
                <w:color w:val="000000" w:themeColor="text1"/>
                <w:sz w:val="20"/>
                <w:szCs w:val="20"/>
              </w:rPr>
              <w:instrText>ADDIN CSL_CITATION { "citationItems" : [ { "id" : "ITEM-1", "itemData" : { "DOI" : "10.1016/j.eiar.2012.12.004", "ISBN" : "0195-9255", "ISSN" : "01959255", "abstract" : "This paper presents a framework for analysing the degree of consideration of sustainability principles in Strategic environmental assessment (SEA), and demonstrates its application to a sample of SEA of Italian urban plans. The framework is based on Gibson's (2006) sustainability principles, which are linked to a number of guidance criteria and eventually to review questions, resulting from an extensive literature review. A total of 71 questions are included in the framework, which gives particular emphasis to key concepts, such as intragenerational and intergenerational equity. The framework was applied to review the Environmental Report of the urban plans of 15 major Italian cities. The results of this review show that, even if sustainability is commonly considered as a pivotal concept, there is still work to be done in order to effectively integrate sustainability principles into SEA. In particular, most of the attention is given to mitigation and compensation measures, rather than to actual attempts to propose more sustainable planning decisions in the first place. Concerning the proposed framework of analysis, further research is required to clarify equity concerns and particularly to identify suitable indicators for operationalizing the concepts of intra/inter-generational equity in decision-making. ?? 2012 Elsevier Inc.", "author" : [ { "dropping-particle" : "", "family" : "Lamorgese", "given" : "Lydia", "non-dropping-particle" : "", "parse-names" : false, "suffix" : "" }, { "dropping-particle" : "", "family" : "Geneletti", "given" : "Davide", "non-dropping-particle" : "", "parse-names" : false, "suffix" : "" } ], "container-title" : "Environmental Impact Assessment Review", "id" : "ITEM-1", "issued" : { "date-parts" : [ [ "2013" ] ] }, "page" : "116-126", "publisher" : "Elsevier Inc.", "title" : "Sustainability principles in strategic environmental assessment: A framework for analysis and examples from Italian urban planning", "type" : "article-journal", "volume" : "42" }, "uris" : [ "http://www.mendeley.com/documents/?uuid=50281d85-3e46-42bb-9a5c-be11d8f3b1d0" ] } ], "mendeley" : { "formattedCitation" : "(Lamorgese &amp; Geneletti, 2013)", "plainTextFormattedCitation" : "(Lamorgese &amp; Geneletti, 2013)", "previouslyFormattedCitation" : "(Lamorgese &amp; Geneletti, 2013)" }, "properties" : { "noteIndex" : 0 }, "schema" : "https://github.com/citation-style-language/schema/raw/master/csl-citation.json" }</w:instrText>
            </w:r>
            <w:r w:rsidRPr="000E0F90">
              <w:rPr>
                <w:rFonts w:ascii="Arial" w:hAnsi="Arial" w:cs="Arial"/>
                <w:b/>
                <w:color w:val="000000" w:themeColor="text1"/>
                <w:sz w:val="20"/>
                <w:szCs w:val="20"/>
              </w:rPr>
              <w:fldChar w:fldCharType="separate"/>
            </w:r>
            <w:r w:rsidRPr="000E0F90">
              <w:rPr>
                <w:rFonts w:ascii="Arial" w:hAnsi="Arial" w:cs="Arial"/>
                <w:b/>
                <w:noProof/>
                <w:color w:val="000000" w:themeColor="text1"/>
                <w:sz w:val="20"/>
                <w:szCs w:val="20"/>
              </w:rPr>
              <w:t>(Lamorgese &amp; Geneletti, 2013)</w:t>
            </w:r>
            <w:r w:rsidRPr="000E0F90">
              <w:rPr>
                <w:rFonts w:ascii="Arial" w:hAnsi="Arial" w:cs="Arial"/>
                <w:b/>
                <w:color w:val="000000" w:themeColor="text1"/>
                <w:sz w:val="20"/>
                <w:szCs w:val="20"/>
              </w:rPr>
              <w:fldChar w:fldCharType="end"/>
            </w:r>
            <w:r w:rsidRPr="000E0F90">
              <w:rPr>
                <w:rFonts w:ascii="Arial" w:hAnsi="Arial" w:cs="Arial"/>
                <w:b/>
                <w:color w:val="000000" w:themeColor="text1"/>
                <w:sz w:val="20"/>
                <w:szCs w:val="20"/>
              </w:rPr>
              <w:t xml:space="preserve">. Crear una comunidad más cohesiva, </w:t>
            </w:r>
            <w:r w:rsidRPr="000E0F90">
              <w:rPr>
                <w:rFonts w:ascii="Arial" w:hAnsi="Arial" w:cs="Arial"/>
                <w:b/>
                <w:color w:val="000000" w:themeColor="text1"/>
                <w:sz w:val="20"/>
                <w:szCs w:val="20"/>
              </w:rPr>
              <w:fldChar w:fldCharType="begin" w:fldLock="1"/>
            </w:r>
            <w:r w:rsidRPr="000E0F90">
              <w:rPr>
                <w:rFonts w:ascii="Arial" w:hAnsi="Arial" w:cs="Arial"/>
                <w:b/>
                <w:color w:val="000000" w:themeColor="text1"/>
                <w:sz w:val="20"/>
                <w:szCs w:val="20"/>
              </w:rPr>
              <w:instrText>ADDIN CSL_CITATION { "citationItems" : [ { "id" : "ITEM-1", "itemData" : { "author" : [ { "dropping-particle" : "", "family" : "Morrison-saunders", "given" : "Angus", "non-dropping-particle" : "", "parse-names" : false, "suffix" : "" }, { "dropping-particle" : "", "family" : "Hodgson", "given" : "Nicole", "non-dropping-particle" : "", "parse-names" : false, "suffix" : "" } ], "container-title" : "Assessment", "id" : "ITEM-1", "issue" : "September", "issued" : { "date-parts" : [ [ "2009" ] ] }, "page" : "1-6", "title" : "Applying Sustainability Principles in Practice : Guidance for Assessing Individual Proposals", "type" : "article-journal" }, "uris" : [ "http://www.mendeley.com/documents/?uuid=8eac9b1a-a579-4134-9969-a97b9c129d7b" ] } ], "mendeley" : { "formattedCitation" : "(Morrison-saunders &amp; Hodgson, 2009)", "plainTextFormattedCitation" : "(Morrison-saunders &amp; Hodgson, 2009)", "previouslyFormattedCitation" : "(Morrison-saunders &amp; Hodgson, 2009)" }, "properties" : { "noteIndex" : 0 }, "schema" : "https://github.com/citation-style-language/schema/raw/master/csl-citation.json" }</w:instrText>
            </w:r>
            <w:r w:rsidRPr="000E0F90">
              <w:rPr>
                <w:rFonts w:ascii="Arial" w:hAnsi="Arial" w:cs="Arial"/>
                <w:b/>
                <w:color w:val="000000" w:themeColor="text1"/>
                <w:sz w:val="20"/>
                <w:szCs w:val="20"/>
              </w:rPr>
              <w:fldChar w:fldCharType="separate"/>
            </w:r>
            <w:r w:rsidRPr="000E0F90">
              <w:rPr>
                <w:rFonts w:ascii="Arial" w:hAnsi="Arial" w:cs="Arial"/>
                <w:b/>
                <w:noProof/>
                <w:color w:val="000000" w:themeColor="text1"/>
                <w:sz w:val="20"/>
                <w:szCs w:val="20"/>
              </w:rPr>
              <w:t>(Morrison-saunders &amp; Hodgson, 2009)</w:t>
            </w:r>
            <w:r w:rsidRPr="000E0F90">
              <w:rPr>
                <w:rFonts w:ascii="Arial" w:hAnsi="Arial" w:cs="Arial"/>
                <w:b/>
                <w:color w:val="000000" w:themeColor="text1"/>
                <w:sz w:val="20"/>
                <w:szCs w:val="20"/>
              </w:rPr>
              <w:fldChar w:fldCharType="end"/>
            </w:r>
          </w:p>
        </w:tc>
        <w:tc>
          <w:tcPr>
            <w:tcW w:w="5490" w:type="dxa"/>
            <w:tcBorders>
              <w:top w:val="nil"/>
              <w:left w:val="nil"/>
              <w:bottom w:val="nil"/>
            </w:tcBorders>
            <w:vAlign w:val="bottom"/>
          </w:tcPr>
          <w:p w:rsidR="00CC6EB9" w:rsidRPr="000E0F90" w:rsidRDefault="00CC6EB9" w:rsidP="006B717B">
            <w:pPr>
              <w:spacing w:after="0" w:line="240" w:lineRule="auto"/>
              <w:rPr>
                <w:rFonts w:ascii="Arial" w:hAnsi="Arial" w:cs="Arial"/>
                <w:color w:val="000000" w:themeColor="text1"/>
                <w:sz w:val="20"/>
                <w:szCs w:val="20"/>
              </w:rPr>
            </w:pPr>
            <w:r w:rsidRPr="000E0F90">
              <w:rPr>
                <w:rFonts w:ascii="Arial" w:hAnsi="Arial" w:cs="Arial"/>
                <w:color w:val="000000" w:themeColor="text1"/>
                <w:sz w:val="20"/>
                <w:szCs w:val="20"/>
              </w:rPr>
              <w:t xml:space="preserve">Satisfacer las necesidades de los grupos desaventajados y marginalizados de la comunidad. Consideración especial en la erradicación de la pobreza, en cuestiones de género y en asuntos aborígenes, en el corto y largo plazo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"DOI" : "10.1111/j.1477-8947.2006.00167.x", "ISBN" : "0165-0203", "ISSN" : "0165-0203", "abstract" : "At the Earth Summit in Rio de Janeiro in 1992, it was agreed that all countries should develop a national sustainable develop-ment strategy (NSDS) as a key component of implementing the goals of Agenda 21. Progress has been limited. Few countries have established a formal strategy, and many of the strategies that exist have been only partially implemented. This article proposes an approach that addresses the need to improve existing strategic planning mechanisms. The approach is based on a periodic assessment of existing systems, to evaluate the extent to which they incorporate NSDS principles, and identify areas to be strengthened. The article describes an assessment methodology, presents examples of its use, and discusses ways in which current approaches to NSDS may be complemented by continual review and improvement of existing planning processes.", "author" : [ { "dropping-particle" : "", "family" : "George", "given" : "C", "non-dropping-particle" : "", "parse-names" : false, "suffix" : "" }, { "dropping-particle" : "", "family" : "Kirkpatrick", "given" : "C", "non-dropping-particle" : "", "parse-names" : false, "suffix" : "" } ], "container-title" : "Natural Resources Forum", "id" : "ITEM-1", "issued" : { "date-parts" : [ [ "2006" ] ] }, "page" : "146-156", "title" : "Assessing national sustainable development strategies: Strengthening the links to operational policy", "type" : "article-journal", "volume" : "30" }, "uris" : [ "http://www.mendeley.com/documents/?uuid=8016fa55-2b5d-4a2f-bdd9-afebb274063c" ] } ], "mendeley" : { "formattedCitation" : "(George &amp; Kirkpatrick, 2006)", "plainTextFormattedCitation" : "(George &amp; Kirkpatrick, 2006)", "previouslyFormattedCitation" : "(George &amp; Kirkpatrick, 2006)"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(George &amp; Kirkpatrick, 2006)</w:t>
            </w:r>
            <w:r w:rsidRPr="000E0F90">
              <w:rPr>
                <w:rFonts w:ascii="Arial" w:hAnsi="Arial" w:cs="Arial"/>
                <w:color w:val="000000" w:themeColor="text1"/>
                <w:sz w:val="20"/>
                <w:szCs w:val="20"/>
              </w:rPr>
              <w:fldChar w:fldCharType="end"/>
            </w:r>
            <w:r w:rsidRPr="000E0F90">
              <w:rPr>
                <w:rFonts w:ascii="Arial" w:hAnsi="Arial" w:cs="Arial"/>
                <w:color w:val="000000" w:themeColor="text1"/>
                <w:sz w:val="20"/>
                <w:szCs w:val="20"/>
              </w:rPr>
              <w:t xml:space="preserve">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"DOI" : "10.1080/01944360008976081", "ISBN" : "0194-4363", "ISSN" : "01944363", "PMID" : "2989497", "abstract" : "A set of six principles are set forth that define and operationalize the concept of sustainable development. Using these six principles, a sample of 30 comprehensive plans was evaluated to determine how well their policies support sustainable development. Findings indicate no significant differences in how extensively sustainability principles are supported between the plans that state an intention to integrate sustainable development and those that do not. In addition, these plans do not provide balanced support of all six sustainability principles, as they support some principles significantly more than others.", "author" : [ { "dropping-particle" : "", "family" : "Berke", "given" : "Philip R", "non-dropping-particle" : "", "parse-names" : false, "suffix" : "" }, { "dropping-particle" : "", "family" : "Conroy", "given" : "Maria Manta", "non-dropping-particle" : "", "parse-names" : false, "suffix" : "" } ], "container-title" : "American Planning Association.Journal of the American Planning Association", "id" : "ITEM-1", "issue" : "September", "issued" : { "date-parts" : [ [ "2000" ] ] }, "page" : "21", "title" : "Are we planning for sustainable development?", "type" : "article-journal", "volume" : "66" }, "uris" : [ "http://www.mendeley.com/documents/?uuid=9c8f081f-71c5-4194-83b6-25e26c52bc06" ] } ], "mendeley" : { "formattedCitation" : "(Berke &amp; Conroy, 2000)", "plainTextFormattedCitation" : "(Berke &amp; Conroy, 2000)", "previouslyFormattedCitation" : "(Berke &amp; Conroy, 2000)"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(Berke &amp; Conroy, 2000)</w:t>
            </w:r>
            <w:r w:rsidRPr="000E0F90">
              <w:rPr>
                <w:rFonts w:ascii="Arial" w:hAnsi="Arial" w:cs="Arial"/>
                <w:color w:val="000000" w:themeColor="text1"/>
                <w:sz w:val="20"/>
                <w:szCs w:val="20"/>
              </w:rPr>
              <w:fldChar w:fldCharType="end"/>
            </w:r>
            <w:r w:rsidRPr="000E0F90">
              <w:rPr>
                <w:rFonts w:ascii="Arial" w:hAnsi="Arial" w:cs="Arial"/>
                <w:color w:val="000000" w:themeColor="text1"/>
                <w:sz w:val="20"/>
                <w:szCs w:val="20"/>
              </w:rPr>
              <w:t xml:space="preserve">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"DOI" : "10.1016/S0959-6526(03)00075-1", "ISBN" : "4414836891", "ISSN" : "09596526", "author" : [ { "dropping-particle" : "", "family" : "Azapagic", "given" : "Adisa", "non-dropping-particle" : "", "parse-names" : false, "suffix" : "" } ], "container-title" : "Journal of Cleaner Production", "id" : "ITEM-1", "issue" : "6", "issued" : { "date-parts" : [ [ "2004", "8" ] ] }, "page" : "639-662", "title" : "Developing a framework for sustainable development indicators for the mining and minerals industry", "type" : "article-journal", "volume" : "12" }, "uris" : [ "http://www.mendeley.com/documents/?uuid=a36976cf-2e0f-4c41-bd50-7ef9e97ed91f" ] } ], "mendeley" : { "formattedCitation" : "(Azapagic, 2004)", "plainTextFormattedCitation" : "(Azapagic, 2004)", "previouslyFormattedCitation" : "(Azapagic, 2004)"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(Azapagic, 2004)</w:t>
            </w:r>
            <w:r w:rsidRPr="000E0F90">
              <w:rPr>
                <w:rFonts w:ascii="Arial" w:hAnsi="Arial" w:cs="Arial"/>
                <w:color w:val="000000" w:themeColor="text1"/>
                <w:sz w:val="20"/>
                <w:szCs w:val="20"/>
              </w:rPr>
              <w:fldChar w:fldCharType="end"/>
            </w:r>
          </w:p>
        </w:tc>
      </w:tr>
      <w:tr w:rsidR="00CC6EB9" w:rsidRPr="000E0F90" w:rsidTr="002A21E4">
        <w:tc>
          <w:tcPr>
            <w:tcW w:w="3280" w:type="dxa"/>
            <w:vMerge/>
            <w:tcBorders>
              <w:top w:val="nil"/>
              <w:bottom w:val="nil"/>
              <w:right w:val="nil"/>
            </w:tcBorders>
          </w:tcPr>
          <w:p w:rsidR="00CC6EB9" w:rsidRPr="000E0F90" w:rsidRDefault="00CC6EB9" w:rsidP="006B717B">
            <w:pPr>
              <w:spacing w:after="0" w:line="240" w:lineRule="auto"/>
              <w:rPr>
                <w:rFonts w:ascii="Arial" w:hAnsi="Arial" w:cs="Arial"/>
                <w:b/>
                <w:color w:val="000000" w:themeColor="text1"/>
                <w:sz w:val="20"/>
                <w:szCs w:val="20"/>
              </w:rPr>
            </w:pPr>
          </w:p>
        </w:tc>
        <w:tc>
          <w:tcPr>
            <w:tcW w:w="5490" w:type="dxa"/>
            <w:tcBorders>
              <w:top w:val="nil"/>
              <w:left w:val="nil"/>
              <w:bottom w:val="nil"/>
            </w:tcBorders>
            <w:vAlign w:val="bottom"/>
          </w:tcPr>
          <w:p w:rsidR="00CC6EB9" w:rsidRPr="000E0F90" w:rsidRDefault="00CC6EB9" w:rsidP="006B717B">
            <w:pPr>
              <w:spacing w:after="0" w:line="240" w:lineRule="auto"/>
              <w:rPr>
                <w:rFonts w:ascii="Arial" w:hAnsi="Arial" w:cs="Arial"/>
                <w:color w:val="000000" w:themeColor="text1"/>
                <w:sz w:val="20"/>
                <w:szCs w:val="20"/>
              </w:rPr>
            </w:pPr>
            <w:r w:rsidRPr="000E0F90">
              <w:rPr>
                <w:rFonts w:ascii="Arial" w:hAnsi="Arial" w:cs="Arial"/>
                <w:color w:val="000000" w:themeColor="text1"/>
                <w:sz w:val="20"/>
                <w:szCs w:val="20"/>
              </w:rPr>
              <w:t xml:space="preserve">Mitigar efectos en los grupos desaventajados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"DOI" : "10.1016/j.landurbplan.2013.06.002", "ISBN" : "0169-2046", "ISSN" : "01692046", "abstract" : "The proportion of urban population is increasing globally. Climate change, biodiversity loss, and environmental pollution are leading to the urgent need to increase sustainable development of and through cities and their components. Encouraging and enabling sustainable lifestyles of urban inhabitants can be fostered by developing sustainable urban neighborhoods as the nuclei of cities. Numerous approaches exist that define principles for guiding sustainable development processes of urban neighborhoods. However, it remains unclear if these approaches really consider the core objectives that should be achieved and key actions that are involved to move toward sustainability. This study represents the first quantitative review that evaluates the principles for sustainable urban neighborhood development based on the available literature. We thus (i) identify promising approaches that present principles close to core criteria for sustainability and (ii) provide starting points for developing a more robust set of principles by bringing together the examined literature. Furthermore (iii), sustainability aspects that are insufficiently covered are highlighted. Based on the findings (iv) a road map is outlined to encourage further research on the elaboration of a sufficient set of principles for sustainable urban neighborhood development. \u00a9 2013 Elsevier B.V.", "author" : [ { "dropping-particle" : "", "family" : "Luederitz", "given" : "Christopher", "non-dropping-particle" : "", "parse-names" : false, "suffix" : "" }, { "dropping-particle" : "", "family" : "Lang", "given" : "Daniel J.", "non-dropping-particle" : "", "parse-names" : false, "suffix" : "" }, { "dropping-particle" : "", "family" : "Wehrden", "given" : "Henrik", "non-dropping-particle" : "Von", "parse-names" : false, "suffix" : "" } ], "container-title" : "Landscape and Urban Planning", "id" : "ITEM-1", "issued" : { "date-parts" : [ [ "2013" ] ] }, "page" : "40-52", "publisher" : "Elsevier B.V.", "title" : "A systematic review of guiding principles for sustainable urban neighborhood development", "type" : "article-journal", "volume" : "118" }, "uris" : [ "http://www.mendeley.com/documents/?uuid=6bcfcece-dda2-466f-b77d-29fdaec204ad" ] } ], "mendeley" : { "formattedCitation" : "(Luederitz et al., 2013)", "plainTextFormattedCitation" : "(Luederitz et al., 2013)", "previouslyFormattedCitation" : "(Luederitz et al., 2013)"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(Luederitz et al., 2013)</w:t>
            </w:r>
            <w:r w:rsidRPr="000E0F90">
              <w:rPr>
                <w:rFonts w:ascii="Arial" w:hAnsi="Arial" w:cs="Arial"/>
                <w:color w:val="000000" w:themeColor="text1"/>
                <w:sz w:val="20"/>
                <w:szCs w:val="20"/>
              </w:rPr>
              <w:fldChar w:fldCharType="end"/>
            </w:r>
            <w:r w:rsidRPr="000E0F90">
              <w:rPr>
                <w:rFonts w:ascii="Arial" w:hAnsi="Arial" w:cs="Arial"/>
                <w:color w:val="000000" w:themeColor="text1"/>
                <w:sz w:val="20"/>
                <w:szCs w:val="20"/>
              </w:rPr>
              <w:t xml:space="preserve">. Ofrecer protección especial a aquellos que son especialmente vulnerables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"author" : [ { "dropping-particle" : "", "family" : "Morrison-saunders", "given" : "Angus", "non-dropping-particle" : "", "parse-names" : false, "suffix" : "" }, { "dropping-particle" : "", "family" : "Hodgson", "given" : "Nicole", "non-dropping-particle" : "", "parse-names" : false, "suffix" : "" } ], "container-title" : "Assessment", "id" : "ITEM-1", "issue" : "September", "issued" : { "date-parts" : [ [ "2009" ] ] }, "page" : "1-6", "title" : "Applying Sustainability Principles in Practice : Guidance for Assessing Individual Proposals", "type" : "article-journal" }, "uris" : [ "http://www.mendeley.com/documents/?uuid=8eac9b1a-a579-4134-9969-a97b9c129d7b" ] } ], "mendeley" : { "formattedCitation" : "(Morrison-saunders &amp; Hodgson, 2009)", "plainTextFormattedCitation" : "(Morrison-saunders &amp; Hodgson, 2009)", "previouslyFormattedCitation" : "(Morrison-saunders &amp; Hodgson, 2009)"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(Morrison-saunders &amp; Hodgson, 2009)</w:t>
            </w:r>
            <w:r w:rsidRPr="000E0F90">
              <w:rPr>
                <w:rFonts w:ascii="Arial" w:hAnsi="Arial" w:cs="Arial"/>
                <w:color w:val="000000" w:themeColor="text1"/>
                <w:sz w:val="20"/>
                <w:szCs w:val="20"/>
              </w:rPr>
              <w:fldChar w:fldCharType="end"/>
            </w:r>
            <w:r w:rsidRPr="000E0F90">
              <w:rPr>
                <w:rFonts w:ascii="Arial" w:hAnsi="Arial" w:cs="Arial"/>
                <w:color w:val="000000" w:themeColor="text1"/>
                <w:sz w:val="20"/>
                <w:szCs w:val="20"/>
              </w:rPr>
              <w:t>.</w:t>
            </w:r>
          </w:p>
        </w:tc>
      </w:tr>
      <w:tr w:rsidR="00CC6EB9" w:rsidRPr="000E0F90" w:rsidTr="002A21E4">
        <w:tc>
          <w:tcPr>
            <w:tcW w:w="3280" w:type="dxa"/>
            <w:vMerge/>
            <w:tcBorders>
              <w:top w:val="nil"/>
              <w:bottom w:val="nil"/>
              <w:right w:val="nil"/>
            </w:tcBorders>
          </w:tcPr>
          <w:p w:rsidR="00CC6EB9" w:rsidRPr="000E0F90" w:rsidRDefault="00CC6EB9" w:rsidP="006B717B">
            <w:pPr>
              <w:spacing w:after="0" w:line="240" w:lineRule="auto"/>
              <w:rPr>
                <w:rFonts w:ascii="Arial" w:hAnsi="Arial" w:cs="Arial"/>
                <w:b/>
                <w:color w:val="000000" w:themeColor="text1"/>
                <w:sz w:val="20"/>
                <w:szCs w:val="20"/>
              </w:rPr>
            </w:pPr>
          </w:p>
        </w:tc>
        <w:tc>
          <w:tcPr>
            <w:tcW w:w="5490" w:type="dxa"/>
            <w:tcBorders>
              <w:top w:val="nil"/>
              <w:left w:val="nil"/>
              <w:bottom w:val="nil"/>
            </w:tcBorders>
            <w:vAlign w:val="bottom"/>
          </w:tcPr>
          <w:p w:rsidR="00CC6EB9" w:rsidRPr="000E0F90" w:rsidRDefault="00CC6EB9" w:rsidP="006B717B">
            <w:pPr>
              <w:spacing w:after="0" w:line="240" w:lineRule="auto"/>
              <w:rPr>
                <w:rFonts w:ascii="Arial" w:hAnsi="Arial" w:cs="Arial"/>
                <w:color w:val="000000" w:themeColor="text1"/>
                <w:sz w:val="20"/>
                <w:szCs w:val="20"/>
              </w:rPr>
            </w:pPr>
            <w:r w:rsidRPr="000E0F90">
              <w:rPr>
                <w:rFonts w:ascii="Arial" w:hAnsi="Arial" w:cs="Arial"/>
                <w:color w:val="000000" w:themeColor="text1"/>
                <w:sz w:val="20"/>
                <w:szCs w:val="20"/>
              </w:rPr>
              <w:t xml:space="preserve">Promover inclusión social, fomentar la inclusión de sectores marginales en las consideraciones de desarrollo,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"DOI" : "10.1016/j.landurbplan.2013.06.002", "ISBN" : "0169-2046", "ISSN" : "01692046", "abstract" : "The proportion of urban population is increasing globally. Climate change, biodiversity loss, and environmental pollution are leading to the urgent need to increase sustainable development of and through cities and their components. Encouraging and enabling sustainable lifestyles of urban inhabitants can be fostered by developing sustainable urban neighborhoods as the nuclei of cities. Numerous approaches exist that define principles for guiding sustainable development processes of urban neighborhoods. However, it remains unclear if these approaches really consider the core objectives that should be achieved and key actions that are involved to move toward sustainability. This study represents the first quantitative review that evaluates the principles for sustainable urban neighborhood development based on the available literature. We thus (i) identify promising approaches that present principles close to core criteria for sustainability and (ii) provide starting points for developing a more robust set of principles by bringing together the examined literature. Furthermore (iii), sustainability aspects that are insufficiently covered are highlighted. Based on the findings (iv) a road map is outlined to encourage further research on the elaboration of a sufficient set of principles for sustainable urban neighborhood development. \u00a9 2013 Elsevier B.V.", "author" : [ { "dropping-particle" : "", "family" : "Luederitz", "given" : "Christopher", "non-dropping-particle" : "", "parse-names" : false, "suffix" : "" }, { "dropping-particle" : "", "family" : "Lang", "given" : "Daniel J.", "non-dropping-particle" : "", "parse-names" : false, "suffix" : "" }, { "dropping-particle" : "", "family" : "Wehrden", "given" : "Henrik", "non-dropping-particle" : "Von", "parse-names" : false, "suffix" : "" } ], "container-title" : "Landscape and Urban Planning", "id" : "ITEM-1", "issued" : { "date-parts" : [ [ "2013" ] ] }, "page" : "40-52", "publisher" : "Elsevier B.V.", "title" : "A systematic review of guiding principles for sustainable urban neighborhood development", "type" : "article-journal", "volume" : "118" }, "uris" : [ "http://www.mendeley.com/documents/?uuid=6bcfcece-dda2-466f-b77d-29fdaec204ad" ] } ], "mendeley" : { "formattedCitation" : "(Luederitz et al., 2013)", "plainTextFormattedCitation" : "(Luederitz et al., 2013)", "previouslyFormattedCitation" : "(Luederitz et al., 2013)"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(Luederitz et al., 2013)</w:t>
            </w:r>
            <w:r w:rsidRPr="000E0F90">
              <w:rPr>
                <w:rFonts w:ascii="Arial" w:hAnsi="Arial" w:cs="Arial"/>
                <w:color w:val="000000" w:themeColor="text1"/>
                <w:sz w:val="20"/>
                <w:szCs w:val="20"/>
              </w:rPr>
              <w:fldChar w:fldCharType="end"/>
            </w:r>
          </w:p>
        </w:tc>
      </w:tr>
      <w:tr w:rsidR="00CC6EB9" w:rsidRPr="000E0F90" w:rsidTr="002A21E4">
        <w:tc>
          <w:tcPr>
            <w:tcW w:w="3280" w:type="dxa"/>
            <w:vMerge/>
            <w:tcBorders>
              <w:top w:val="nil"/>
              <w:bottom w:val="nil"/>
              <w:right w:val="nil"/>
            </w:tcBorders>
          </w:tcPr>
          <w:p w:rsidR="00CC6EB9" w:rsidRPr="000E0F90" w:rsidRDefault="00CC6EB9" w:rsidP="006B717B">
            <w:pPr>
              <w:spacing w:after="0" w:line="240" w:lineRule="auto"/>
              <w:rPr>
                <w:rFonts w:ascii="Arial" w:hAnsi="Arial" w:cs="Arial"/>
                <w:b/>
                <w:color w:val="000000" w:themeColor="text1"/>
                <w:sz w:val="20"/>
                <w:szCs w:val="20"/>
              </w:rPr>
            </w:pPr>
          </w:p>
        </w:tc>
        <w:tc>
          <w:tcPr>
            <w:tcW w:w="5490" w:type="dxa"/>
            <w:tcBorders>
              <w:top w:val="nil"/>
              <w:left w:val="nil"/>
              <w:bottom w:val="nil"/>
            </w:tcBorders>
            <w:vAlign w:val="bottom"/>
          </w:tcPr>
          <w:p w:rsidR="00CC6EB9" w:rsidRPr="000E0F90" w:rsidRDefault="00CC6EB9" w:rsidP="006B717B">
            <w:pPr>
              <w:spacing w:after="0" w:line="240" w:lineRule="auto"/>
              <w:rPr>
                <w:rFonts w:ascii="Arial" w:hAnsi="Arial" w:cs="Arial"/>
                <w:color w:val="000000" w:themeColor="text1"/>
                <w:sz w:val="20"/>
                <w:szCs w:val="20"/>
              </w:rPr>
            </w:pPr>
            <w:r w:rsidRPr="000E0F90">
              <w:rPr>
                <w:rFonts w:ascii="Arial" w:hAnsi="Arial" w:cs="Arial"/>
                <w:color w:val="000000" w:themeColor="text1"/>
                <w:sz w:val="20"/>
                <w:szCs w:val="20"/>
              </w:rPr>
              <w:t xml:space="preserve">Invertir desde la industria minera en proyectos comunitarios locales, que mejoren aspectos de calidad de vida, como hospitales, escuelas e </w:t>
            </w:r>
            <w:r w:rsidR="0049698D" w:rsidRPr="000E0F90">
              <w:rPr>
                <w:rFonts w:ascii="Arial" w:hAnsi="Arial" w:cs="Arial"/>
                <w:color w:val="000000" w:themeColor="text1"/>
                <w:sz w:val="20"/>
                <w:szCs w:val="20"/>
              </w:rPr>
              <w:t>infraestructura</w:t>
            </w:r>
            <w:r w:rsidRPr="000E0F90">
              <w:rPr>
                <w:rFonts w:ascii="Arial" w:hAnsi="Arial" w:cs="Arial"/>
                <w:color w:val="000000" w:themeColor="text1"/>
                <w:sz w:val="20"/>
                <w:szCs w:val="20"/>
              </w:rPr>
              <w:t xml:space="preserve"> (Azapagic, 2004).</w:t>
            </w:r>
          </w:p>
        </w:tc>
      </w:tr>
      <w:tr w:rsidR="002A217F" w:rsidRPr="000E0F90" w:rsidTr="002A21E4">
        <w:tc>
          <w:tcPr>
            <w:tcW w:w="3280" w:type="dxa"/>
            <w:vMerge w:val="restart"/>
            <w:tcBorders>
              <w:top w:val="nil"/>
              <w:bottom w:val="nil"/>
              <w:right w:val="nil"/>
            </w:tcBorders>
          </w:tcPr>
          <w:p w:rsidR="002A217F" w:rsidRPr="000E0F90" w:rsidRDefault="002A217F" w:rsidP="000A0238">
            <w:pPr>
              <w:spacing w:after="0" w:line="240" w:lineRule="auto"/>
              <w:rPr>
                <w:rFonts w:ascii="Arial" w:hAnsi="Arial" w:cs="Arial"/>
                <w:b/>
                <w:color w:val="000000" w:themeColor="text1"/>
                <w:sz w:val="20"/>
                <w:szCs w:val="20"/>
              </w:rPr>
            </w:pPr>
            <w:r w:rsidRPr="000E0F90">
              <w:rPr>
                <w:rFonts w:ascii="Arial" w:hAnsi="Arial" w:cs="Arial"/>
                <w:b/>
                <w:color w:val="000000" w:themeColor="text1"/>
                <w:sz w:val="20"/>
                <w:szCs w:val="20"/>
              </w:rPr>
              <w:t>Asegurar justicia medioambiental (Lamorgese &amp; Geneletti, 2013)</w:t>
            </w:r>
          </w:p>
        </w:tc>
        <w:tc>
          <w:tcPr>
            <w:tcW w:w="5490" w:type="dxa"/>
            <w:tcBorders>
              <w:top w:val="nil"/>
              <w:left w:val="nil"/>
              <w:bottom w:val="nil"/>
            </w:tcBorders>
            <w:vAlign w:val="bottom"/>
          </w:tcPr>
          <w:p w:rsidR="002A217F" w:rsidRPr="000E0F90" w:rsidRDefault="002A217F" w:rsidP="000A0238">
            <w:pPr>
              <w:spacing w:after="0" w:line="240" w:lineRule="auto"/>
              <w:rPr>
                <w:rFonts w:ascii="Arial" w:hAnsi="Arial" w:cs="Arial"/>
                <w:color w:val="000000" w:themeColor="text1"/>
                <w:sz w:val="20"/>
                <w:szCs w:val="20"/>
              </w:rPr>
            </w:pPr>
            <w:r w:rsidRPr="000E0F90">
              <w:rPr>
                <w:rFonts w:ascii="Arial" w:hAnsi="Arial" w:cs="Arial"/>
                <w:color w:val="000000" w:themeColor="text1"/>
                <w:sz w:val="20"/>
                <w:szCs w:val="20"/>
              </w:rPr>
              <w:t xml:space="preserve">Garantiza distribución proporcional de los bienes y consecuencias medioambientales: equidad de exposición, evitar inequidades en la distribución de riesgo a la salud, equidad en los impactos, equidad en las políticas medioambientales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"DOI" : "10.1016/j.eiar.2012.12.004", "ISBN" : "0195-9255", "ISSN" : "01959255", "abstract" : "This paper presents a framework for analysing the degree of consideration of sustainability principles in Strategic environmental assessment (SEA), and demonstrates its application to a sample of SEA of Italian urban plans. The framework is based on Gibson's (2006) sustainability principles, which are linked to a number of guidance criteria and eventually to review questions, resulting from an extensive literature review. A total of 71 questions are included in the framework, which gives particular emphasis to key concepts, such as intragenerational and intergenerational equity. The framework was applied to review the Environmental Report of the urban plans of 15 major Italian cities. The results of this review show that, even if sustainability is commonly considered as a pivotal concept, there is still work to be done in order to effectively integrate sustainability principles into SEA. In particular, most of the attention is given to mitigation and compensation measures, rather than to actual attempts to propose more sustainable planning decisions in the first place. Concerning the proposed framework of analysis, further research is required to clarify equity concerns and particularly to identify suitable indicators for operationalizing the concepts of intra/inter-generational equity in decision-making. ?? 2012 Elsevier Inc.", "author" : [ { "dropping-particle" : "", "family" : "Lamorgese", "given" : "Lydia", "non-dropping-particle" : "", "parse-names" : false, "suffix" : "" }, { "dropping-particle" : "", "family" : "Geneletti", "given" : "Davide", "non-dropping-particle" : "", "parse-names" : false, "suffix" : "" } ], "container-title" : "Environmental Impact Assessment Review", "id" : "ITEM-1", "issued" : { "date-parts" : [ [ "2013" ] ] }, "page" : "116-126", "publisher" : "Elsevier Inc.", "title" : "Sustainability principles in strategic environmental assessment: A framework for analysis and examples from Italian urban planning", "type" : "article-journal", "volume" : "42" }, "uris" : [ "http://www.mendeley.com/documents/?uuid=50281d85-3e46-42bb-9a5c-be11d8f3b1d0" ] } ], "mendeley" : { "formattedCitation" : "(Lamorgese &amp; Geneletti, 2013)", "plainTextFormattedCitation" : "(Lamorgese &amp; Geneletti, 2013)", "previouslyFormattedCitation" : "(Lamorgese &amp; Geneletti, 2013)"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(Lamorgese &amp; Geneletti, 2013)</w:t>
            </w:r>
            <w:r w:rsidRPr="000E0F90">
              <w:rPr>
                <w:rFonts w:ascii="Arial" w:hAnsi="Arial" w:cs="Arial"/>
                <w:color w:val="000000" w:themeColor="text1"/>
                <w:sz w:val="20"/>
                <w:szCs w:val="20"/>
              </w:rPr>
              <w:fldChar w:fldCharType="end"/>
            </w:r>
          </w:p>
        </w:tc>
      </w:tr>
      <w:tr w:rsidR="002A217F" w:rsidRPr="000E0F90" w:rsidTr="002A21E4">
        <w:tc>
          <w:tcPr>
            <w:tcW w:w="3280" w:type="dxa"/>
            <w:vMerge/>
            <w:tcBorders>
              <w:top w:val="nil"/>
              <w:bottom w:val="nil"/>
              <w:right w:val="nil"/>
            </w:tcBorders>
          </w:tcPr>
          <w:p w:rsidR="002A217F" w:rsidRPr="000E0F90" w:rsidRDefault="002A217F" w:rsidP="000A0238">
            <w:pPr>
              <w:spacing w:after="0" w:line="240" w:lineRule="auto"/>
              <w:rPr>
                <w:rFonts w:ascii="Arial" w:hAnsi="Arial" w:cs="Arial"/>
                <w:color w:val="000000" w:themeColor="text1"/>
                <w:sz w:val="20"/>
                <w:szCs w:val="20"/>
              </w:rPr>
            </w:pPr>
          </w:p>
        </w:tc>
        <w:tc>
          <w:tcPr>
            <w:tcW w:w="5490" w:type="dxa"/>
            <w:tcBorders>
              <w:top w:val="nil"/>
              <w:left w:val="nil"/>
              <w:bottom w:val="nil"/>
            </w:tcBorders>
            <w:vAlign w:val="bottom"/>
          </w:tcPr>
          <w:p w:rsidR="002A217F" w:rsidRPr="000E0F90" w:rsidRDefault="002A217F" w:rsidP="009F22EB">
            <w:pPr>
              <w:spacing w:after="0" w:line="240" w:lineRule="auto"/>
              <w:rPr>
                <w:rFonts w:ascii="Arial" w:hAnsi="Arial" w:cs="Arial"/>
                <w:color w:val="000000" w:themeColor="text1"/>
                <w:sz w:val="20"/>
                <w:szCs w:val="20"/>
              </w:rPr>
            </w:pPr>
            <w:r w:rsidRPr="000E0F90">
              <w:rPr>
                <w:rFonts w:ascii="Arial" w:hAnsi="Arial" w:cs="Arial"/>
                <w:color w:val="000000" w:themeColor="text1"/>
                <w:sz w:val="20"/>
                <w:szCs w:val="20"/>
              </w:rPr>
              <w:t>Prom</w:t>
            </w:r>
            <w:r w:rsidR="009F22EB">
              <w:rPr>
                <w:rFonts w:ascii="Arial" w:hAnsi="Arial" w:cs="Arial"/>
                <w:color w:val="000000" w:themeColor="text1"/>
                <w:sz w:val="20"/>
                <w:szCs w:val="20"/>
              </w:rPr>
              <w:t>o</w:t>
            </w:r>
            <w:r w:rsidRPr="000E0F90">
              <w:rPr>
                <w:rFonts w:ascii="Arial" w:hAnsi="Arial" w:cs="Arial"/>
                <w:color w:val="000000" w:themeColor="text1"/>
                <w:sz w:val="20"/>
                <w:szCs w:val="20"/>
              </w:rPr>
              <w:t xml:space="preserve">ver la inversión en protección medioambiental local, </w:t>
            </w:r>
            <w:r w:rsidR="00C6624C" w:rsidRPr="000E0F90">
              <w:rPr>
                <w:rFonts w:ascii="Arial" w:hAnsi="Arial" w:cs="Arial"/>
                <w:color w:val="000000" w:themeColor="text1"/>
                <w:sz w:val="20"/>
                <w:szCs w:val="20"/>
              </w:rPr>
              <w:t>crear</w:t>
            </w:r>
            <w:r w:rsidRPr="000E0F90">
              <w:rPr>
                <w:rFonts w:ascii="Arial" w:hAnsi="Arial" w:cs="Arial"/>
                <w:color w:val="000000" w:themeColor="text1"/>
                <w:sz w:val="20"/>
                <w:szCs w:val="20"/>
              </w:rPr>
              <w:t xml:space="preserve"> un fondo destinado a la rehabilitación de los sitios mineros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"DOI" : "10.1016/S0959-6526(03)00075-1", "ISBN" : "4414836891", "ISSN" : "09596526", "author" : [ { "dropping-particle" : "", "family" : "Azapagic", "given" : "Adisa", "non-dropping-particle" : "", "parse-names" : false, "suffix" : "" } ], "container-title" : "Journal of Cleaner Production", "id" : "ITEM-1", "issue" : "6", "issued" : { "date-parts" : [ [ "2004", "8" ] ] }, "page" : "639-662", "title" : "Developing a framework for sustainable development indicators for the mining and minerals industry", "type" : "article-journal", "volume" : "12" }, "uris" : [ "http://www.mendeley.com/documents/?uuid=a36976cf-2e0f-4c41-bd50-7ef9e97ed91f" ] } ], "mendeley" : { "formattedCitation" : "(Azapagic, 2004)", "plainTextFormattedCitation" : "(Azapagic, 2004)", "previouslyFormattedCitation" : "(Azapagic, 2004)"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(Azapagic, 2004)</w:t>
            </w:r>
            <w:r w:rsidRPr="000E0F90">
              <w:rPr>
                <w:rFonts w:ascii="Arial" w:hAnsi="Arial" w:cs="Arial"/>
                <w:color w:val="000000" w:themeColor="text1"/>
                <w:sz w:val="20"/>
                <w:szCs w:val="20"/>
              </w:rPr>
              <w:fldChar w:fldCharType="end"/>
            </w:r>
          </w:p>
        </w:tc>
      </w:tr>
      <w:tr w:rsidR="008C5C84" w:rsidRPr="000E0F90" w:rsidTr="002A21E4">
        <w:tc>
          <w:tcPr>
            <w:tcW w:w="3280" w:type="dxa"/>
            <w:vMerge w:val="restart"/>
            <w:tcBorders>
              <w:top w:val="nil"/>
              <w:bottom w:val="nil"/>
              <w:right w:val="nil"/>
            </w:tcBorders>
          </w:tcPr>
          <w:p w:rsidR="008C5C84" w:rsidRPr="00B17364" w:rsidRDefault="008C5C84" w:rsidP="009B422F">
            <w:pPr>
              <w:spacing w:after="0" w:line="240" w:lineRule="auto"/>
              <w:rPr>
                <w:rFonts w:ascii="Arial" w:hAnsi="Arial" w:cs="Arial"/>
                <w:b/>
                <w:color w:val="000000" w:themeColor="text1"/>
                <w:sz w:val="20"/>
                <w:szCs w:val="20"/>
                <w:lang w:val="en-US"/>
              </w:rPr>
            </w:pPr>
            <w:r w:rsidRPr="00741671">
              <w:rPr>
                <w:rFonts w:ascii="Arial" w:hAnsi="Arial" w:cs="Arial"/>
                <w:b/>
                <w:color w:val="000000" w:themeColor="text1"/>
                <w:sz w:val="20"/>
                <w:szCs w:val="20"/>
              </w:rPr>
              <w:t xml:space="preserve">Fomentar el desarrollo de diversas formas de vida, y la posibilidad de elegir </w:t>
            </w:r>
            <w:r w:rsidRPr="00741671">
              <w:rPr>
                <w:rFonts w:ascii="Arial" w:hAnsi="Arial" w:cs="Arial"/>
                <w:b/>
                <w:color w:val="000000" w:themeColor="text1"/>
                <w:sz w:val="20"/>
                <w:szCs w:val="20"/>
              </w:rPr>
              <w:fldChar w:fldCharType="begin" w:fldLock="1"/>
            </w:r>
            <w:r w:rsidRPr="00741671">
              <w:rPr>
                <w:rFonts w:ascii="Arial" w:hAnsi="Arial" w:cs="Arial"/>
                <w:b/>
                <w:color w:val="000000" w:themeColor="text1"/>
                <w:sz w:val="20"/>
                <w:szCs w:val="20"/>
              </w:rPr>
              <w:instrText>ADDIN CSL_CITATION { "citationItems" : [ { "id" : "ITEM-1", "itemData" : { "ISBN" : "9781844070503", "author" : [ { "dropping-particle" : "", "family" : "Gibson", "given" : "Robert B.", "non-dropping-particle" : "", "parse-names" : false, "suffix" : "" } ], "id" : "ITEM-1", "issued" : { "date-parts" : [ [ "2005" ] ] }, "page" : "269", "publisher" : "Earthscan", "title" : "Sustainability Assessment. Criteria, Processes and Applications", "type" : "book" }, "uris" : [ "http://www.mendeley.com/documents/?uuid=566b52ab-35b0-4a0c-b91f-1bf25d523ac7" ] } ], "mendeley" : { "formattedCitation" : "(Gibson, 2005)", "plainTextFormattedCitation" : "(Gibson, 2005)", "previouslyFormattedCitation" : "(Gibson, 2005)" }, "properties" : { "noteIndex" : 0 }, "schema" : "https://github.com/citation-style-language/schema/raw/master/csl-citation.json" }</w:instrText>
            </w:r>
            <w:r w:rsidRPr="00741671">
              <w:rPr>
                <w:rFonts w:ascii="Arial" w:hAnsi="Arial" w:cs="Arial"/>
                <w:b/>
                <w:color w:val="000000" w:themeColor="text1"/>
                <w:sz w:val="20"/>
                <w:szCs w:val="20"/>
              </w:rPr>
              <w:fldChar w:fldCharType="separate"/>
            </w:r>
            <w:r w:rsidRPr="00741671">
              <w:rPr>
                <w:rFonts w:ascii="Arial" w:hAnsi="Arial" w:cs="Arial"/>
                <w:b/>
                <w:noProof/>
                <w:color w:val="000000" w:themeColor="text1"/>
                <w:sz w:val="20"/>
                <w:szCs w:val="20"/>
              </w:rPr>
              <w:t>(Gibson, 2005)</w:t>
            </w:r>
            <w:r w:rsidRPr="00741671">
              <w:rPr>
                <w:rFonts w:ascii="Arial" w:hAnsi="Arial" w:cs="Arial"/>
                <w:b/>
                <w:color w:val="000000" w:themeColor="text1"/>
                <w:sz w:val="20"/>
                <w:szCs w:val="20"/>
              </w:rPr>
              <w:fldChar w:fldCharType="end"/>
            </w:r>
            <w:r w:rsidRPr="00741671">
              <w:rPr>
                <w:rFonts w:ascii="Arial" w:hAnsi="Arial" w:cs="Arial"/>
                <w:b/>
                <w:color w:val="000000" w:themeColor="text1"/>
                <w:sz w:val="20"/>
                <w:szCs w:val="20"/>
              </w:rPr>
              <w:t xml:space="preserve">; Evitar la disrupción permanente de formas de vida de la población local  </w:t>
            </w:r>
            <w:r w:rsidRPr="00741671">
              <w:rPr>
                <w:rFonts w:ascii="Arial" w:hAnsi="Arial" w:cs="Arial"/>
                <w:b/>
                <w:color w:val="000000" w:themeColor="text1"/>
                <w:sz w:val="20"/>
                <w:szCs w:val="20"/>
              </w:rPr>
              <w:fldChar w:fldCharType="begin" w:fldLock="1"/>
            </w:r>
            <w:r w:rsidRPr="00741671">
              <w:rPr>
                <w:rFonts w:ascii="Arial" w:hAnsi="Arial" w:cs="Arial"/>
                <w:b/>
                <w:color w:val="000000" w:themeColor="text1"/>
                <w:sz w:val="20"/>
                <w:szCs w:val="20"/>
              </w:rPr>
              <w:instrText>ADDIN CSL_CITATION { "citationItems" : [ { "id" : "ITEM-1", "itemData" : { "DOI" : "10.1016/j.eiar.2012.12.004", "ISBN" : "0195-9255", "ISSN" : "01959255", "abstract" : "This paper presents a framework for analysing the degree of consideration of sustainability principles in Strategic environmental assessment (SEA), and demonstrates its application to a sample of SEA of Italian urban plans. The framework is based on Gibson's (2006) sustainability principles, which are linked to a number of guidance criteria and eventually to review questions, resulting from an extensive literature review. A total of 71 questions are included in the framework, which gives particular emphasis to key concepts, such as intragenerational and intergenerational equity. The framework was applied to review the Environmental Report of the urban plans of 15 major Italian cities. The results of this review show that, even if sustainability is commonly considered as a pivotal concept, there is still work to be done in order to effectively integrate sustainability principles into SEA. In particular, most of the attention is giv</w:instrText>
            </w:r>
            <w:r w:rsidRPr="00B17364">
              <w:rPr>
                <w:rFonts w:ascii="Arial" w:hAnsi="Arial" w:cs="Arial"/>
                <w:b/>
                <w:color w:val="000000" w:themeColor="text1"/>
                <w:sz w:val="20"/>
                <w:szCs w:val="20"/>
                <w:lang w:val="en-US"/>
              </w:rPr>
              <w:instrText>en to mitigation and compensation measures, rather than to actual attempts to propose more sustainable planning decisions in the first place. Concerning the proposed framework of analysis, further research is required to clarify equity concerns and particularly to identify suitable indicators for operationalizing the concepts of intra/inter-generational equity in decision-making. ?? 2012 Elsevier Inc.", "author" : [ { "dropping-particle" : "", "family" : "Lamorgese", "given" : "Lydia", "non-dropping-particle" : "", "parse-names" : false, "suffix" : "" }, { "dropping-particle" : "", "family" : "Geneletti", "given" : "Davide", "non-dropping-particle" : "", "parse-names" : false, "suffix" : "" } ], "container-title" : "Environmental Impact Assessment Review", "id" : "ITEM-1", "issued" : { "date-parts" : [ [ "2013" ] ] }, "page" : "116-126", "publisher" : "Elsevier Inc.", "title" : "Sustainability principles in strategic environmental assessment: A framework for analysis and examples from Italian urban planning", "type" : "article-journal", "volume" : "42" }, "uris" : [ "http://www.mendeley.com/documents/?uuid=50281d85-3e46-42bb-9a5c-be11d8f3b1d0" ] } ], "mendeley" : { "formattedCitation" : "(Lamorgese &amp; Geneletti, 2013)", "plainTextFormattedCitation" : "(Lamorgese &amp; Geneletti, 2013)", "previouslyFormattedCitation" : "(Lamorgese &amp; Geneletti, 2013)" }, "properties" : { "noteIndex" : 0 }, "schema" : "https://github.com/citation-style-language/schema/raw/master/csl-citation.json" }</w:instrText>
            </w:r>
            <w:r w:rsidRPr="00741671">
              <w:rPr>
                <w:rFonts w:ascii="Arial" w:hAnsi="Arial" w:cs="Arial"/>
                <w:b/>
                <w:color w:val="000000" w:themeColor="text1"/>
                <w:sz w:val="20"/>
                <w:szCs w:val="20"/>
              </w:rPr>
              <w:fldChar w:fldCharType="separate"/>
            </w:r>
            <w:r w:rsidRPr="00B17364">
              <w:rPr>
                <w:rFonts w:ascii="Arial" w:hAnsi="Arial" w:cs="Arial"/>
                <w:b/>
                <w:noProof/>
                <w:color w:val="000000" w:themeColor="text1"/>
                <w:sz w:val="20"/>
                <w:szCs w:val="20"/>
                <w:lang w:val="en-US"/>
              </w:rPr>
              <w:t>(Lamorgese &amp; Geneletti, 2013)</w:t>
            </w:r>
            <w:r w:rsidRPr="00741671">
              <w:rPr>
                <w:rFonts w:ascii="Arial" w:hAnsi="Arial" w:cs="Arial"/>
                <w:b/>
                <w:color w:val="000000" w:themeColor="text1"/>
                <w:sz w:val="20"/>
                <w:szCs w:val="20"/>
              </w:rPr>
              <w:fldChar w:fldCharType="end"/>
            </w:r>
          </w:p>
        </w:tc>
        <w:tc>
          <w:tcPr>
            <w:tcW w:w="5490" w:type="dxa"/>
            <w:tcBorders>
              <w:top w:val="nil"/>
              <w:left w:val="nil"/>
              <w:bottom w:val="nil"/>
            </w:tcBorders>
          </w:tcPr>
          <w:p w:rsidR="008C5C84" w:rsidRPr="00AF6811" w:rsidRDefault="008C5C84" w:rsidP="000A0238">
            <w:pPr>
              <w:spacing w:after="0" w:line="240" w:lineRule="auto"/>
              <w:rPr>
                <w:rFonts w:ascii="Arial" w:hAnsi="Arial" w:cs="Arial"/>
                <w:color w:val="000000" w:themeColor="text1"/>
                <w:sz w:val="20"/>
                <w:szCs w:val="20"/>
              </w:rPr>
            </w:pPr>
            <w:r w:rsidRPr="00B17364">
              <w:rPr>
                <w:rFonts w:ascii="Arial" w:hAnsi="Arial" w:cs="Arial"/>
                <w:color w:val="000000" w:themeColor="text1"/>
                <w:sz w:val="20"/>
                <w:szCs w:val="20"/>
                <w:lang w:val="en-US"/>
              </w:rPr>
              <w:t>Fomentar diversidad de fo</w:t>
            </w:r>
            <w:r w:rsidR="00741671" w:rsidRPr="00B17364">
              <w:rPr>
                <w:rFonts w:ascii="Arial" w:hAnsi="Arial" w:cs="Arial"/>
                <w:color w:val="000000" w:themeColor="text1"/>
                <w:sz w:val="20"/>
                <w:szCs w:val="20"/>
                <w:lang w:val="en-US"/>
              </w:rPr>
              <w:t>r</w:t>
            </w:r>
            <w:r w:rsidRPr="00B17364">
              <w:rPr>
                <w:rFonts w:ascii="Arial" w:hAnsi="Arial" w:cs="Arial"/>
                <w:color w:val="000000" w:themeColor="text1"/>
                <w:sz w:val="20"/>
                <w:szCs w:val="20"/>
                <w:lang w:val="en-US"/>
              </w:rPr>
              <w:t xml:space="preserve">mas de vida, de forma que se contribuya a la identidad local y protección del legado </w:t>
            </w:r>
            <w:r w:rsidRPr="00AF6811">
              <w:rPr>
                <w:rFonts w:ascii="Arial" w:hAnsi="Arial" w:cs="Arial"/>
                <w:color w:val="000000" w:themeColor="text1"/>
                <w:sz w:val="20"/>
                <w:szCs w:val="20"/>
              </w:rPr>
              <w:fldChar w:fldCharType="begin" w:fldLock="1"/>
            </w:r>
            <w:r w:rsidRPr="00B17364">
              <w:rPr>
                <w:rFonts w:ascii="Arial" w:hAnsi="Arial" w:cs="Arial"/>
                <w:color w:val="000000" w:themeColor="text1"/>
                <w:sz w:val="20"/>
                <w:szCs w:val="20"/>
                <w:lang w:val="en-US"/>
              </w:rPr>
              <w:instrText>ADDIN CSL_CITATION { "citationItems" : [ { "id" : "ITEM-1", "itemData" : { "DOI" : "10.1068/a367", "ISSN" : "0308-518X", "author" : [ { "dropping-particle" : "", "family" : "Conroy", "given" : "Maria Manta", "non-dropping-particle" : "", "parse-names" : false, "suffix" : "" }, { "dropping-particle" : "", "family" : "Berke", "given" : "Philip R", "non-dropping-particle" : "", "parse-names" : false, "suffix" : "" } ], "container-title" : "Environment and Planning A", "id" : "ITEM-1", "issued" : { "date-parts" : [ [ "2004" ] ] }, "page" : "1381-1396", "title" : "What makes a good sustainable development plan? An analysis of factors that influence principles of sustainable development", "type" : "article-journal", "volume" : "36" }, "uris" : [ "http://www.mendeley.com/documents/?uuid=89</w:instrText>
            </w:r>
            <w:r w:rsidRPr="002B538F">
              <w:rPr>
                <w:rFonts w:ascii="Arial" w:hAnsi="Arial" w:cs="Arial"/>
                <w:color w:val="000000" w:themeColor="text1"/>
                <w:sz w:val="20"/>
                <w:szCs w:val="20"/>
              </w:rPr>
              <w:instrText>6</w:instrText>
            </w:r>
            <w:r w:rsidRPr="00AF6811">
              <w:rPr>
                <w:rFonts w:ascii="Arial" w:hAnsi="Arial" w:cs="Arial"/>
                <w:color w:val="000000" w:themeColor="text1"/>
                <w:sz w:val="20"/>
                <w:szCs w:val="20"/>
              </w:rPr>
              <w:instrText>8783a-d6bb-49ab-8876-6c02784e1c7b" ] }, { "id" : "ITEM-2", "itemData" : { "DOI" : "10.1016/j.landurbplan.2013.06.002", "ISBN" : "0169-2046", "ISSN" : "01692046", "abstract" : "The proportion of urban population is increasing globally. Climate change, biodiversity loss, and environmental pollution are leading to the urgent need to increase sustainable development of and through cities and their components. Encouraging and enabling sustainable lifestyles of urban inhabitants can be fostered by developing sustainable urban neighborhoods as the nuclei of cities. Numerous approaches exist that define principles for guiding sustainable development processes of urban neighborhoods. However, it remains unclear if these approaches really consider the core objectives that should be achieved and key actions that are involved to move toward sustainability. This study represents the first quantitative review that evaluates the principles for sustainable urban neighborhood development based on the available literature. We thus (i) identify promising approaches that present principles close to core criteria for sustainability and (ii) provide starting points for developing a more robust set of principles by bringing together the examined literature. Furthermore (iii), sustainability aspects that are insufficiently covered are highlighted. Based on the findings (iv) a road map is outlined to encourage further research on the elaboration of a sufficient set of principles for sustainable urban neighborhood development. \u00a9 2013 Elsevier B.V.", "author" : [ { "dropping-particle" : "", "family" : "Luederitz", "given" : "Christopher", "non-dropping-particle" : "", "parse-names" : false, "suffix" : "" }, { "dropping-particle" : "", "family" : "Lang", "given" : "Daniel J.", "non-dropping-particle" : "", "parse-names" : false, "suffix" : "" }, { "dropping-particle" : "", "family" : "Wehrden", "given" : "Henrik", "non-dropping-particle" : "Von", "parse-names" : false, "suffix" : "" } ], "container-title" : "Landscape and Urban Planning", "id" : "ITEM-2", "issued" : { "date-parts" : [ [ "2013" ] ] }, "page" : "40-52", "publisher" : "Elsevier B.V.", "title" : "A systematic review of guiding principles for sustainable urban neighborhood development", "type" : "article-journal", "volume" : "118" }, "uris" : [ "http://www.mendeley.com/documents/?uuid=6bcfcece-dda2-466f-b77d-29fdaec204ad" ] } ], "mendeley" : { "formattedCitation" : "(Conroy &amp; Berke, 2004; Luederitz et al., 2013)", "plainTextFormattedCitation" : "(Conroy &amp; Berke, 2004; Luederitz et al., 2013)", "previouslyFormattedCitation" : "(Conroy &amp; Berke, 2004; Luederitz et al., 2013)" }, "properties" : { "noteIndex" : 0 }, "schema" : "https://github.com/citation-style-language/schema/raw/master/csl-citation.json" }</w:instrText>
            </w:r>
            <w:r w:rsidRPr="00AF6811">
              <w:rPr>
                <w:rFonts w:ascii="Arial" w:hAnsi="Arial" w:cs="Arial"/>
                <w:color w:val="000000" w:themeColor="text1"/>
                <w:sz w:val="20"/>
                <w:szCs w:val="20"/>
              </w:rPr>
              <w:fldChar w:fldCharType="separate"/>
            </w:r>
            <w:r w:rsidRPr="00AF6811">
              <w:rPr>
                <w:rFonts w:ascii="Arial" w:hAnsi="Arial" w:cs="Arial"/>
                <w:noProof/>
                <w:color w:val="000000" w:themeColor="text1"/>
                <w:sz w:val="20"/>
                <w:szCs w:val="20"/>
              </w:rPr>
              <w:t>(Conroy &amp; Berke, 2004; Luederitz et al., 2013)</w:t>
            </w:r>
            <w:r w:rsidRPr="00AF6811">
              <w:rPr>
                <w:rFonts w:ascii="Arial" w:hAnsi="Arial" w:cs="Arial"/>
                <w:color w:val="000000" w:themeColor="text1"/>
                <w:sz w:val="20"/>
                <w:szCs w:val="20"/>
              </w:rPr>
              <w:fldChar w:fldCharType="end"/>
            </w:r>
          </w:p>
        </w:tc>
      </w:tr>
      <w:tr w:rsidR="008C5C84" w:rsidRPr="000E0F90" w:rsidTr="002A21E4">
        <w:tc>
          <w:tcPr>
            <w:tcW w:w="3280" w:type="dxa"/>
            <w:vMerge/>
            <w:tcBorders>
              <w:top w:val="nil"/>
              <w:bottom w:val="nil"/>
              <w:right w:val="nil"/>
            </w:tcBorders>
          </w:tcPr>
          <w:p w:rsidR="008C5C84" w:rsidRPr="000E0F90" w:rsidRDefault="008C5C84" w:rsidP="00D662D3">
            <w:pPr>
              <w:jc w:val="center"/>
              <w:rPr>
                <w:rFonts w:ascii="Arial" w:hAnsi="Arial" w:cs="Arial"/>
                <w:color w:val="000000" w:themeColor="text1"/>
                <w:sz w:val="20"/>
                <w:szCs w:val="20"/>
              </w:rPr>
            </w:pPr>
          </w:p>
        </w:tc>
        <w:tc>
          <w:tcPr>
            <w:tcW w:w="5490" w:type="dxa"/>
            <w:tcBorders>
              <w:top w:val="nil"/>
              <w:left w:val="nil"/>
              <w:bottom w:val="nil"/>
            </w:tcBorders>
            <w:vAlign w:val="bottom"/>
          </w:tcPr>
          <w:p w:rsidR="008C5C84" w:rsidRPr="000E0F90" w:rsidRDefault="008C5C84" w:rsidP="000A0238">
            <w:pPr>
              <w:spacing w:after="0" w:line="240" w:lineRule="auto"/>
              <w:rPr>
                <w:rFonts w:ascii="Arial" w:hAnsi="Arial" w:cs="Arial"/>
                <w:color w:val="000000" w:themeColor="text1"/>
                <w:sz w:val="20"/>
                <w:szCs w:val="20"/>
              </w:rPr>
            </w:pPr>
            <w:r w:rsidRPr="000E0F90">
              <w:rPr>
                <w:rFonts w:ascii="Arial" w:hAnsi="Arial" w:cs="Arial"/>
                <w:color w:val="000000" w:themeColor="text1"/>
                <w:sz w:val="20"/>
                <w:szCs w:val="20"/>
              </w:rPr>
              <w:t xml:space="preserve">Evitar la instalación de operaciones mineras en terrenos sagrados, así como hacer uso de los recursos esenciales de las comunidades de forma cuidadosa; evitar el reasentamiento de comunidades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"DOI" : "10.1016/S0959-6526(03)00075-1", "ISBN" : "4414836891", "ISSN" : "09596526", "author" : [ { "dropping-particle" : "", "family" : "Azapagic", "given" : "Adisa", "non-dropping-particle" : "", "parse-names" : false, "suffix" : "" } ], "container-title" : "Journal of Cleaner Production", "id" : "ITEM-1", "issue" : "6", "issued" : { "date-parts" : [ [ "2004", "8" ] ] }, "page" : "639-662", "title" : "Developing a framework for sustainable development indicators for the mining and minerals industry", "type" : "article-journal", "volume" : "12" }, "uris" : [ "http://www.mendeley.com/documents/?uuid=a36976cf-2e0f-4c41-bd50-7ef9e97ed91f" ] } ], "mendeley" : { "formattedCitation" : "(Azapagic, 2004)", "plainTextFormattedCitation" : "(Azapagic, 2004)", "previouslyFormattedCitation" : "(Azapagic, 2004)"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(Azapagic, 2004)</w:t>
            </w:r>
            <w:r w:rsidRPr="000E0F90">
              <w:rPr>
                <w:rFonts w:ascii="Arial" w:hAnsi="Arial" w:cs="Arial"/>
                <w:color w:val="000000" w:themeColor="text1"/>
                <w:sz w:val="20"/>
                <w:szCs w:val="20"/>
              </w:rPr>
              <w:fldChar w:fldCharType="end"/>
            </w:r>
            <w:r w:rsidRPr="000E0F90">
              <w:rPr>
                <w:rFonts w:ascii="Arial" w:hAnsi="Arial" w:cs="Arial"/>
                <w:color w:val="000000" w:themeColor="text1"/>
                <w:sz w:val="20"/>
                <w:szCs w:val="20"/>
              </w:rPr>
              <w:t>.</w:t>
            </w:r>
          </w:p>
        </w:tc>
      </w:tr>
      <w:tr w:rsidR="008C5C84" w:rsidRPr="000E0F90" w:rsidTr="002A21E4">
        <w:tc>
          <w:tcPr>
            <w:tcW w:w="3280" w:type="dxa"/>
            <w:vMerge/>
            <w:tcBorders>
              <w:top w:val="nil"/>
              <w:bottom w:val="nil"/>
              <w:right w:val="nil"/>
            </w:tcBorders>
          </w:tcPr>
          <w:p w:rsidR="008C5C84" w:rsidRPr="000E0F90" w:rsidRDefault="008C5C84" w:rsidP="001A5FA2">
            <w:pPr>
              <w:spacing w:after="0" w:line="240" w:lineRule="auto"/>
              <w:rPr>
                <w:rFonts w:ascii="Arial" w:hAnsi="Arial" w:cs="Arial"/>
                <w:color w:val="000000" w:themeColor="text1"/>
                <w:sz w:val="20"/>
              </w:rPr>
            </w:pPr>
          </w:p>
        </w:tc>
        <w:tc>
          <w:tcPr>
            <w:tcW w:w="5490" w:type="dxa"/>
            <w:tcBorders>
              <w:top w:val="nil"/>
              <w:left w:val="nil"/>
              <w:bottom w:val="nil"/>
            </w:tcBorders>
            <w:vAlign w:val="bottom"/>
          </w:tcPr>
          <w:p w:rsidR="008C5C84" w:rsidRPr="000E0F90" w:rsidRDefault="008C5C84" w:rsidP="000A0238">
            <w:pPr>
              <w:spacing w:after="0" w:line="240" w:lineRule="auto"/>
              <w:rPr>
                <w:rFonts w:ascii="Arial" w:hAnsi="Arial" w:cs="Arial"/>
                <w:color w:val="000000" w:themeColor="text1"/>
                <w:sz w:val="20"/>
                <w:szCs w:val="20"/>
              </w:rPr>
            </w:pPr>
            <w:r w:rsidRPr="000E0F90">
              <w:rPr>
                <w:rFonts w:ascii="Arial" w:hAnsi="Arial" w:cs="Arial"/>
                <w:color w:val="000000" w:themeColor="text1"/>
                <w:sz w:val="20"/>
                <w:szCs w:val="20"/>
              </w:rPr>
              <w:t xml:space="preserve">Desarrollar el territorio minero en forma integral, es decir, fomentando la diversidad de actividades productivas, culturales y sociales, donde el desarrollo rural en los territorios mineros es un componente valioso de la identidad y estabilidad comunal. </w:t>
            </w:r>
            <w:r w:rsidRPr="000E0F90">
              <w:rPr>
                <w:rFonts w:ascii="Arial" w:hAnsi="Arial" w:cs="Arial"/>
                <w:color w:val="000000" w:themeColor="text1"/>
                <w:sz w:val="20"/>
                <w:szCs w:val="20"/>
              </w:rPr>
              <w:fldChar w:fldCharType="begin"/>
            </w:r>
            <w:r w:rsidRPr="000E0F90">
              <w:rPr>
                <w:rFonts w:ascii="Arial" w:hAnsi="Arial" w:cs="Arial"/>
                <w:color w:val="000000" w:themeColor="text1"/>
                <w:sz w:val="20"/>
                <w:szCs w:val="20"/>
              </w:rPr>
              <w:instrText xml:space="preserve">CITATION Are13 \t  \l 13322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 xml:space="preserve"> (Arellano, Gastó, Gálvez, Subercauseaux, Toledo, &amp; Miranda, 2013)</w:t>
            </w:r>
            <w:r w:rsidRPr="000E0F90">
              <w:rPr>
                <w:rFonts w:ascii="Arial" w:hAnsi="Arial" w:cs="Arial"/>
                <w:color w:val="000000" w:themeColor="text1"/>
                <w:sz w:val="20"/>
                <w:szCs w:val="20"/>
              </w:rPr>
              <w:fldChar w:fldCharType="end"/>
            </w:r>
            <w:r w:rsidRPr="000E0F90">
              <w:rPr>
                <w:rFonts w:ascii="Arial" w:hAnsi="Arial" w:cs="Arial"/>
                <w:color w:val="000000" w:themeColor="text1"/>
                <w:sz w:val="20"/>
                <w:szCs w:val="20"/>
              </w:rPr>
              <w:t xml:space="preserve"> </w:t>
            </w:r>
          </w:p>
        </w:tc>
      </w:tr>
      <w:tr w:rsidR="00107707" w:rsidRPr="000E0F90" w:rsidTr="002A21E4">
        <w:tc>
          <w:tcPr>
            <w:tcW w:w="3280" w:type="dxa"/>
            <w:vMerge w:val="restart"/>
            <w:tcBorders>
              <w:top w:val="nil"/>
              <w:bottom w:val="nil"/>
              <w:right w:val="nil"/>
            </w:tcBorders>
          </w:tcPr>
          <w:p w:rsidR="00107707" w:rsidRPr="00741671" w:rsidRDefault="00107707" w:rsidP="001A5FA2">
            <w:pPr>
              <w:spacing w:after="0" w:line="240" w:lineRule="auto"/>
              <w:rPr>
                <w:rFonts w:ascii="Arial" w:hAnsi="Arial" w:cs="Arial"/>
                <w:b/>
                <w:color w:val="000000" w:themeColor="text1"/>
                <w:sz w:val="20"/>
                <w:szCs w:val="20"/>
              </w:rPr>
            </w:pPr>
            <w:r w:rsidRPr="00741671">
              <w:rPr>
                <w:rFonts w:ascii="Arial" w:hAnsi="Arial" w:cs="Arial"/>
                <w:b/>
                <w:color w:val="000000" w:themeColor="text1"/>
                <w:sz w:val="20"/>
              </w:rPr>
              <w:t xml:space="preserve">El desarrollo local debe </w:t>
            </w:r>
            <w:r w:rsidRPr="00741671">
              <w:rPr>
                <w:rFonts w:ascii="Arial" w:hAnsi="Arial" w:cs="Arial"/>
                <w:b/>
                <w:color w:val="000000" w:themeColor="text1"/>
                <w:sz w:val="20"/>
              </w:rPr>
              <w:lastRenderedPageBreak/>
              <w:t xml:space="preserve">producir ambientes construidos que cumplan las necesidades y aspiraciones locales  </w:t>
            </w:r>
            <w:r w:rsidRPr="00741671">
              <w:rPr>
                <w:rFonts w:ascii="Arial" w:hAnsi="Arial" w:cs="Arial"/>
                <w:b/>
                <w:color w:val="000000" w:themeColor="text1"/>
                <w:sz w:val="20"/>
              </w:rPr>
              <w:fldChar w:fldCharType="begin" w:fldLock="1"/>
            </w:r>
            <w:r w:rsidRPr="00741671">
              <w:rPr>
                <w:rFonts w:ascii="Arial" w:hAnsi="Arial" w:cs="Arial"/>
                <w:b/>
                <w:color w:val="000000" w:themeColor="text1"/>
                <w:sz w:val="20"/>
              </w:rPr>
              <w:instrText>ADDIN CSL_CITATION { "citationItems" : [ { "id" : "ITEM-1", "itemData" : { "DOI" : "10.1080/01944360008976081", "ISBN" : "0194-4363", "ISSN" : "01944363", "PMID" : "2989497", "abstract" : "A set of six principles are set forth that define and operationalize the concept of sustainable development. Using these six principles, a sample of 30 comprehensive plans was evaluated to determine how well their policies support sustainable development. Findings indicate no significant differences in how extensively sustainability principles are supported between the plans that state an intention to integrate sustainable development and those that do not. In addition, these plans do not provide balanced support of all six sustainability principles, as they support some principles significantly more than others.", "author" : [ { "dropping-particle" : "", "family" : "Berke", "given" : "Philip R", "non-dropping-particle" : "", "parse-names" : false, "suffix" : "" }, { "dropping-particle" : "", "family" : "Conroy", "given" : "Maria Manta", "non-dropping-particle" : "", "parse-names" : false, "suffix" : "" } ], "container-title" : "American Planning Association.Journal of the American Planning Association", "id" : "ITEM-1", "issue" : "September", "issued" : { "date-parts" : [ [ "2000" ] ] }, "page" : "21", "title" : "Are we planning for sustainable development?", "type" : "article-journal", "volume" : "66" }, "uris" : [ "http://www.mendeley.com/documents/?uuid=9c8f081f-71c5-4194-83b6-25e26c52bc06" ] } ], "mendeley" : { "formattedCitation" : "(Berke &amp; Conroy, 2000)", "plainTextFormattedCitation" : "(Berke &amp; Conroy, 2000)", "previouslyFormattedCitation" : "(Berke &amp; Conroy, 2000)" }, "properties" : { "noteIndex" : 0 }, "schema" : "https://github.com/citation-style-language/schema/raw/master/csl-citation.json" }</w:instrText>
            </w:r>
            <w:r w:rsidRPr="00741671">
              <w:rPr>
                <w:rFonts w:ascii="Arial" w:hAnsi="Arial" w:cs="Arial"/>
                <w:b/>
                <w:color w:val="000000" w:themeColor="text1"/>
                <w:sz w:val="20"/>
              </w:rPr>
              <w:fldChar w:fldCharType="separate"/>
            </w:r>
            <w:r w:rsidRPr="00741671">
              <w:rPr>
                <w:rFonts w:ascii="Arial" w:hAnsi="Arial" w:cs="Arial"/>
                <w:b/>
                <w:noProof/>
                <w:color w:val="000000" w:themeColor="text1"/>
                <w:sz w:val="20"/>
              </w:rPr>
              <w:t>(Berke &amp; Conroy, 2000)</w:t>
            </w:r>
            <w:r w:rsidRPr="00741671">
              <w:rPr>
                <w:rFonts w:ascii="Arial" w:hAnsi="Arial" w:cs="Arial"/>
                <w:b/>
                <w:color w:val="000000" w:themeColor="text1"/>
                <w:sz w:val="20"/>
              </w:rPr>
              <w:fldChar w:fldCharType="end"/>
            </w:r>
            <w:r w:rsidRPr="00741671">
              <w:rPr>
                <w:rFonts w:ascii="Arial" w:hAnsi="Arial" w:cs="Arial"/>
                <w:b/>
                <w:color w:val="000000" w:themeColor="text1"/>
                <w:sz w:val="20"/>
              </w:rPr>
              <w:t xml:space="preserve"> </w:t>
            </w:r>
            <w:r w:rsidRPr="00741671">
              <w:rPr>
                <w:rFonts w:ascii="Arial" w:hAnsi="Arial" w:cs="Arial"/>
                <w:b/>
                <w:color w:val="000000" w:themeColor="text1"/>
                <w:sz w:val="20"/>
                <w:szCs w:val="20"/>
              </w:rPr>
              <w:t xml:space="preserve">Desarrollo territorial en forma equivalente </w:t>
            </w:r>
            <w:r w:rsidRPr="00741671">
              <w:rPr>
                <w:rFonts w:ascii="Arial" w:hAnsi="Arial" w:cs="Arial"/>
                <w:b/>
                <w:color w:val="000000" w:themeColor="text1"/>
                <w:sz w:val="20"/>
                <w:szCs w:val="20"/>
              </w:rPr>
              <w:fldChar w:fldCharType="begin" w:fldLock="1"/>
            </w:r>
            <w:r w:rsidRPr="00741671">
              <w:rPr>
                <w:rFonts w:ascii="Arial" w:hAnsi="Arial" w:cs="Arial"/>
                <w:b/>
                <w:color w:val="000000" w:themeColor="text1"/>
                <w:sz w:val="20"/>
                <w:szCs w:val="20"/>
              </w:rPr>
              <w:instrText>ADDIN CSL_CITATION { "citationItems" : [ { "id" : "ITEM-1", "itemData" : { "ISBN" : "8483201437", "author" : [ { "dropping-particle" : "", "family" : "Cemat", "given" : "Conferencia Europea de Ministros responsables de ordenaci\u00f3n del Territorio", "non-dropping-particle" : "", "parse-names" : false, "suffix" : "" } ], "container-title" : "Conferencia Europea de Ministros responsables de ordenaci\u00f3n del territorio", "id" : "ITEM-1", "issued" : { "date-parts" : [ [ "2000" ] ] }, "title" : "Principios Directores para el Desarrollo Territorial Sostenible del Continente Europeo", "type" : "book" }, "uris" : [ "http://www.mendeley.com/documents/?uuid=01924405-bee1-4e7a-a357-b7f836b2e137" ] } ], "mendeley" : { "formattedCitation" : "(Cemat, 2000)", "plainTextFormattedCitation" : "(Cemat, 2000)", "previouslyFormattedCitation" : "(Cemat, 2000)" }, "properties" : { "noteIndex" : 0 }, "schema" : "https://github.com/citation-style-language/schema/raw/master/csl-citation.json" }</w:instrText>
            </w:r>
            <w:r w:rsidRPr="00741671">
              <w:rPr>
                <w:rFonts w:ascii="Arial" w:hAnsi="Arial" w:cs="Arial"/>
                <w:b/>
                <w:color w:val="000000" w:themeColor="text1"/>
                <w:sz w:val="20"/>
                <w:szCs w:val="20"/>
              </w:rPr>
              <w:fldChar w:fldCharType="separate"/>
            </w:r>
            <w:r w:rsidRPr="00741671">
              <w:rPr>
                <w:rFonts w:ascii="Arial" w:hAnsi="Arial" w:cs="Arial"/>
                <w:b/>
                <w:noProof/>
                <w:color w:val="000000" w:themeColor="text1"/>
                <w:sz w:val="20"/>
                <w:szCs w:val="20"/>
              </w:rPr>
              <w:t>(Cemat, 2000)</w:t>
            </w:r>
            <w:r w:rsidRPr="00741671">
              <w:rPr>
                <w:rFonts w:ascii="Arial" w:hAnsi="Arial" w:cs="Arial"/>
                <w:b/>
                <w:color w:val="000000" w:themeColor="text1"/>
                <w:sz w:val="20"/>
                <w:szCs w:val="20"/>
              </w:rPr>
              <w:fldChar w:fldCharType="end"/>
            </w:r>
            <w:r w:rsidRPr="00741671">
              <w:rPr>
                <w:rFonts w:ascii="Arial" w:hAnsi="Arial" w:cs="Arial"/>
                <w:b/>
                <w:color w:val="000000" w:themeColor="text1"/>
                <w:sz w:val="20"/>
                <w:szCs w:val="20"/>
              </w:rPr>
              <w:t>.</w:t>
            </w:r>
          </w:p>
          <w:p w:rsidR="00107707" w:rsidRPr="00741671" w:rsidRDefault="00107707" w:rsidP="00225683">
            <w:pPr>
              <w:rPr>
                <w:rFonts w:ascii="Arial" w:hAnsi="Arial" w:cs="Arial"/>
                <w:b/>
                <w:color w:val="000000" w:themeColor="text1"/>
                <w:sz w:val="20"/>
                <w:szCs w:val="20"/>
              </w:rPr>
            </w:pPr>
          </w:p>
          <w:p w:rsidR="00107707" w:rsidRPr="00741671" w:rsidRDefault="00107707" w:rsidP="00225683">
            <w:pPr>
              <w:rPr>
                <w:rFonts w:ascii="Arial" w:hAnsi="Arial" w:cs="Arial"/>
                <w:b/>
                <w:color w:val="000000" w:themeColor="text1"/>
                <w:sz w:val="20"/>
                <w:szCs w:val="20"/>
              </w:rPr>
            </w:pPr>
          </w:p>
          <w:p w:rsidR="00107707" w:rsidRPr="00741671" w:rsidRDefault="00107707" w:rsidP="00225683">
            <w:pPr>
              <w:jc w:val="right"/>
              <w:rPr>
                <w:rFonts w:ascii="Arial" w:hAnsi="Arial" w:cs="Arial"/>
                <w:b/>
                <w:color w:val="000000" w:themeColor="text1"/>
                <w:sz w:val="20"/>
                <w:szCs w:val="20"/>
              </w:rPr>
            </w:pPr>
          </w:p>
        </w:tc>
        <w:tc>
          <w:tcPr>
            <w:tcW w:w="5490" w:type="dxa"/>
            <w:tcBorders>
              <w:top w:val="nil"/>
              <w:left w:val="nil"/>
              <w:bottom w:val="nil"/>
            </w:tcBorders>
            <w:vAlign w:val="bottom"/>
          </w:tcPr>
          <w:p w:rsidR="00107707" w:rsidRPr="000E0F90" w:rsidRDefault="00107707" w:rsidP="000A0238">
            <w:pPr>
              <w:spacing w:after="0" w:line="240" w:lineRule="auto"/>
              <w:rPr>
                <w:rFonts w:ascii="Arial" w:hAnsi="Arial" w:cs="Arial"/>
                <w:color w:val="000000" w:themeColor="text1"/>
                <w:sz w:val="20"/>
                <w:szCs w:val="20"/>
              </w:rPr>
            </w:pPr>
            <w:r w:rsidRPr="000E0F90">
              <w:rPr>
                <w:rFonts w:ascii="Arial" w:hAnsi="Arial" w:cs="Arial"/>
                <w:color w:val="000000" w:themeColor="text1"/>
                <w:sz w:val="20"/>
                <w:szCs w:val="20"/>
              </w:rPr>
              <w:lastRenderedPageBreak/>
              <w:t xml:space="preserve">Estimular la inversión local de forma transversal. Para ello </w:t>
            </w:r>
            <w:r w:rsidRPr="000E0F90">
              <w:rPr>
                <w:rFonts w:ascii="Arial" w:hAnsi="Arial" w:cs="Arial"/>
                <w:color w:val="000000" w:themeColor="text1"/>
                <w:sz w:val="20"/>
                <w:szCs w:val="20"/>
              </w:rPr>
              <w:lastRenderedPageBreak/>
              <w:t xml:space="preserve">se requiere mejorar la capacidad técnica local, autoridades legitimadas democráticamente, y participación activa de la comunidad local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"ISBN" : "8483201437", "author" : [ { "dropping-particle" : "", "family" : "Cemat", "given" : "Conferencia Europea de Ministros responsables de ordenaci\u00f3n del Territorio", "non-dropping-particle" : "", "parse-names" : false, "suffix" : "" } ], "container-title" : "Conferencia Europea de Ministros responsables de ordenaci\u00f3n del territorio", "id" : "ITEM-1", "issued" : { "date-parts" : [ [ "2000" ] ] }, "title" : "Principios Directores para el Desarrollo Territorial Sostenible del Continente Europeo", "type" : "book" }, "uris" : [ "http://www.mendeley.com/documents/?uuid=01924405-bee1-4e7a-a357-b7f836b2e137" ] } ], "mendeley" : { "formattedCitation" : "(Cemat, 2000)", "plainTextFormattedCitation" : "(Cemat, 2000)", "previouslyFormattedCitation" : "(Cemat, 2000)"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(Cemat, 2000)</w:t>
            </w:r>
            <w:r w:rsidRPr="000E0F90">
              <w:rPr>
                <w:rFonts w:ascii="Arial" w:hAnsi="Arial" w:cs="Arial"/>
                <w:color w:val="000000" w:themeColor="text1"/>
                <w:sz w:val="20"/>
                <w:szCs w:val="20"/>
              </w:rPr>
              <w:fldChar w:fldCharType="end"/>
            </w:r>
            <w:r w:rsidRPr="000E0F90">
              <w:rPr>
                <w:rFonts w:ascii="Arial" w:hAnsi="Arial" w:cs="Arial"/>
                <w:color w:val="000000" w:themeColor="text1"/>
                <w:sz w:val="20"/>
                <w:szCs w:val="20"/>
              </w:rPr>
              <w:t>.</w:t>
            </w:r>
          </w:p>
        </w:tc>
      </w:tr>
      <w:tr w:rsidR="00107707" w:rsidRPr="000E0F90" w:rsidTr="002A21E4">
        <w:tc>
          <w:tcPr>
            <w:tcW w:w="3280" w:type="dxa"/>
            <w:vMerge/>
            <w:tcBorders>
              <w:top w:val="nil"/>
              <w:bottom w:val="nil"/>
              <w:right w:val="nil"/>
            </w:tcBorders>
          </w:tcPr>
          <w:p w:rsidR="00107707" w:rsidRPr="000E0F90" w:rsidRDefault="00107707" w:rsidP="001A5FA2">
            <w:pPr>
              <w:spacing w:after="0" w:line="240" w:lineRule="auto"/>
              <w:rPr>
                <w:rFonts w:ascii="Arial" w:hAnsi="Arial" w:cs="Arial"/>
                <w:b/>
                <w:color w:val="000000" w:themeColor="text1"/>
                <w:sz w:val="20"/>
                <w:szCs w:val="20"/>
              </w:rPr>
            </w:pPr>
          </w:p>
        </w:tc>
        <w:tc>
          <w:tcPr>
            <w:tcW w:w="5490" w:type="dxa"/>
            <w:tcBorders>
              <w:top w:val="nil"/>
              <w:left w:val="nil"/>
              <w:bottom w:val="nil"/>
            </w:tcBorders>
            <w:vAlign w:val="bottom"/>
          </w:tcPr>
          <w:p w:rsidR="00107707" w:rsidRPr="000E0F90" w:rsidRDefault="00107707" w:rsidP="000A0238">
            <w:pPr>
              <w:spacing w:after="0" w:line="240" w:lineRule="auto"/>
              <w:rPr>
                <w:rFonts w:ascii="Arial" w:hAnsi="Arial" w:cs="Arial"/>
                <w:color w:val="000000" w:themeColor="text1"/>
                <w:sz w:val="20"/>
                <w:szCs w:val="20"/>
              </w:rPr>
            </w:pPr>
            <w:r w:rsidRPr="000E0F90">
              <w:rPr>
                <w:rFonts w:ascii="Arial" w:hAnsi="Arial" w:cs="Arial"/>
                <w:color w:val="000000" w:themeColor="text1"/>
                <w:sz w:val="20"/>
                <w:szCs w:val="20"/>
              </w:rPr>
              <w:t xml:space="preserve">Los patrones de uso de suelo deben reconocer y mejorar las condiciones de poblaciones de bajos ingresos, y no privarlas de niveles básicos de salud medioambiental y dignidad humana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"DOI" : "10.1080/01944360008976081", "ISBN" : "0194-4363", "ISSN" : "01944363", "PMID" : "2989497", "abstract" : "A set of six principles are set forth that define and operationalize the concept of sustainable development. Using these six principles, a sample of 30 comprehensive plans was evaluated to determine how well their policies support sustainable development. Findings indicate no significant differences in how extensively sustainability principles are supported between the plans that state an intention to integrate sustainable development and those that do not. In addition, these plans do not provide balanced support of all six sustainability principles, as they support some principles significantly more than others.", "author" : [ { "dropping-particle" : "", "family" : "Berke", "given" : "Philip R", "non-dropping-particle" : "", "parse-names" : false, "suffix" : "" }, { "dropping-particle" : "", "family" : "Conroy", "given" : "Maria Manta", "non-dropping-particle" : "", "parse-names" : false, "suffix" : "" } ], "container-title" : "American Planning Association.Journal of the American Planning Association", "id" : "ITEM-1", "issue" : "September", "issued" : { "date-parts" : [ [ "2000" ] ] }, "page" : "21", "title" : "Are we planning for sustainable development?", "type" : "article-journal", "volume" : "66" }, "uris" : [ "http://www.mendeley.com/documents/?uuid=9c8f081f-71c5-4194-83b6-25e26c52bc06" ] } ], "mendeley" : { "formattedCitation" : "(Berke &amp; Conroy, 2000)", "plainTextFormattedCitation" : "(Berke &amp; Conroy, 2000)", "previouslyFormattedCitation" : "(Berke &amp; Conroy, 2000)"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(Berke &amp; Conroy, 2000)</w:t>
            </w:r>
            <w:r w:rsidRPr="000E0F90">
              <w:rPr>
                <w:rFonts w:ascii="Arial" w:hAnsi="Arial" w:cs="Arial"/>
                <w:color w:val="000000" w:themeColor="text1"/>
                <w:sz w:val="20"/>
                <w:szCs w:val="20"/>
              </w:rPr>
              <w:fldChar w:fldCharType="end"/>
            </w:r>
            <w:r w:rsidRPr="000E0F90">
              <w:rPr>
                <w:rFonts w:ascii="Arial" w:hAnsi="Arial" w:cs="Arial"/>
                <w:color w:val="000000" w:themeColor="text1"/>
                <w:sz w:val="20"/>
                <w:szCs w:val="20"/>
              </w:rPr>
              <w:t xml:space="preserve">. </w:t>
            </w:r>
          </w:p>
        </w:tc>
      </w:tr>
      <w:tr w:rsidR="00107707" w:rsidRPr="000E0F90" w:rsidTr="002A21E4">
        <w:tc>
          <w:tcPr>
            <w:tcW w:w="3280" w:type="dxa"/>
            <w:vMerge/>
            <w:tcBorders>
              <w:top w:val="nil"/>
              <w:bottom w:val="nil"/>
              <w:right w:val="nil"/>
            </w:tcBorders>
          </w:tcPr>
          <w:p w:rsidR="00107707" w:rsidRPr="000E0F90" w:rsidRDefault="00107707" w:rsidP="001A5FA2">
            <w:pPr>
              <w:spacing w:after="0" w:line="240" w:lineRule="auto"/>
              <w:rPr>
                <w:rFonts w:ascii="Arial" w:hAnsi="Arial" w:cs="Arial"/>
                <w:b/>
                <w:color w:val="000000" w:themeColor="text1"/>
                <w:sz w:val="20"/>
                <w:szCs w:val="20"/>
              </w:rPr>
            </w:pPr>
          </w:p>
        </w:tc>
        <w:tc>
          <w:tcPr>
            <w:tcW w:w="5490" w:type="dxa"/>
            <w:tcBorders>
              <w:top w:val="nil"/>
              <w:left w:val="nil"/>
              <w:bottom w:val="nil"/>
            </w:tcBorders>
            <w:vAlign w:val="bottom"/>
          </w:tcPr>
          <w:p w:rsidR="00107707" w:rsidRPr="000E0F90" w:rsidRDefault="00107707" w:rsidP="000A0238">
            <w:pPr>
              <w:spacing w:after="0" w:line="240" w:lineRule="auto"/>
              <w:rPr>
                <w:rFonts w:ascii="Arial" w:hAnsi="Arial" w:cs="Arial"/>
                <w:color w:val="000000" w:themeColor="text1"/>
                <w:sz w:val="20"/>
                <w:szCs w:val="20"/>
              </w:rPr>
            </w:pPr>
            <w:r w:rsidRPr="000E0F90">
              <w:rPr>
                <w:rFonts w:ascii="Arial" w:hAnsi="Arial" w:cs="Arial"/>
                <w:color w:val="000000" w:themeColor="text1"/>
                <w:sz w:val="20"/>
                <w:szCs w:val="20"/>
              </w:rPr>
              <w:t xml:space="preserve">Las operaciones mineras deben conectarse territorialmente, ya sea mediante la contratación de mano de obra local, adquisición de bienes y servicios locales, de forma ética y sin discriminación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"DOI" : "10.1016/S0959-6526(03)00075-1", "ISBN" : "4414836891", "ISSN" : "09596526", "author" : [ { "dropping-particle" : "", "family" : "Azapagic", "given" : "Adisa", "non-dropping-particle" : "", "parse-names" : false, "suffix" : "" } ], "container-title" : "Journal of Cleaner Production", "id" : "ITEM-1", "issue" : "6", "issued" : { "date-parts" : [ [ "2004", "8" ] ] }, "page" : "639-662", "title" : "Developing a framework for sustainable development indicators for the mining and minerals industry", "type" : "article-journal", "volume" : "12" }, "uris" : [ "http://www.mendeley.com/documents/?uuid=a36976cf-2e0f-4c41-bd50-7ef9e97ed91f" ] } ], "mendeley" : { "formattedCitation" : "(Azapagic, 2004)", "plainTextFormattedCitation" : "(Azapagic, 2004)", "previouslyFormattedCitation" : "(Azapagic, 2004)"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(Azapagic, 2004)</w:t>
            </w:r>
            <w:r w:rsidRPr="000E0F90">
              <w:rPr>
                <w:rFonts w:ascii="Arial" w:hAnsi="Arial" w:cs="Arial"/>
                <w:color w:val="000000" w:themeColor="text1"/>
                <w:sz w:val="20"/>
                <w:szCs w:val="20"/>
              </w:rPr>
              <w:fldChar w:fldCharType="end"/>
            </w:r>
            <w:r w:rsidRPr="000E0F90">
              <w:rPr>
                <w:rFonts w:ascii="Arial" w:hAnsi="Arial" w:cs="Arial"/>
                <w:color w:val="000000" w:themeColor="text1"/>
                <w:sz w:val="20"/>
                <w:szCs w:val="20"/>
              </w:rPr>
              <w:t xml:space="preserve">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"DOI" : "10.1016/j.jclepro.2017.03.047", "ISBN" : "9789289347945", "ISSN" : "09596526", "abstract" : "The mining industry has a major impact on society - from an economic, environmental and social perspective and due to a vast number of criteria. Which criteria should be given priority depends on where the mining operations take place. This paper's focus on the Nordic mining industry is partly due to the positive economic trend that the industry is currently experiencing and partly because very little research has been conducted on how the European mining industry addresses sustainability. The purpose of this study is therefore to examine the Nordic mining industry's sustainability practices and to develop guidelines for such efforts. The research methods used in the study include a literature review, a content analysis of sustainability reports, a review of existing sustainability initiatives, guidelines and tools, a stakeholder survey and interviews with mining company officials. Based on the findings, sustainability criteria guidelines for the Nordic mining industry are suggested in the areas of corporate governance, fair operating practices, economic aspects, human rights, labour practices, society and the environment. The content of the guidelines is discussed in the light of the sustainability practices performed by the studied mining companies.", "author" : [ { "dropping-particle" : "", "family" : "Ran\u00e4ngen", "given" : "Helena", "non-dropping-particle" : "", "parse-names" : false, "suffix" : "" }, { "dropping-particle" : "", "family" : "Lindman", "given" : "\u00c5sa", "non-dropping-particle" : "", "parse-names" : false, "suffix" : "" } ], "container-title" : "Journal of Cleaner Production", "id" : "ITEM-1", "issued" : { "date-parts" : [ [ "2017" ] ] }, "page" : "43-52", "title" : "A path towards sustainability for the Nordic mining industry", "type" : "article-journal", "volume" : "151" }, "uris" : [ "http://www.mendeley.com/documents/?uuid=6c35c3e3-ee0c-4b28-8acc-e8d00b36d33a" ] } ], "mendeley" : { "formattedCitation" : "(Ran\u00e4ngen &amp; Lindman, 2017)", "plainTextFormattedCitation" : "(Ran\u00e4ngen &amp; Lindman, 2017)", "previouslyFormattedCitation" : "(Ran\u00e4ngen &amp; Lindman, 2017)"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(Ranängen &amp; Lindman, 2017)</w:t>
            </w:r>
            <w:r w:rsidRPr="000E0F90">
              <w:rPr>
                <w:rFonts w:ascii="Arial" w:hAnsi="Arial" w:cs="Arial"/>
                <w:color w:val="000000" w:themeColor="text1"/>
                <w:sz w:val="20"/>
                <w:szCs w:val="20"/>
              </w:rPr>
              <w:fldChar w:fldCharType="end"/>
            </w:r>
            <w:r w:rsidRPr="000E0F90">
              <w:rPr>
                <w:rFonts w:ascii="Arial" w:hAnsi="Arial" w:cs="Arial"/>
                <w:color w:val="000000" w:themeColor="text1"/>
                <w:sz w:val="20"/>
                <w:szCs w:val="20"/>
              </w:rPr>
              <w:t>.</w:t>
            </w:r>
          </w:p>
        </w:tc>
      </w:tr>
      <w:tr w:rsidR="00107707" w:rsidRPr="000E0F90" w:rsidTr="002A21E4">
        <w:tc>
          <w:tcPr>
            <w:tcW w:w="3280" w:type="dxa"/>
            <w:vMerge/>
            <w:tcBorders>
              <w:top w:val="nil"/>
              <w:bottom w:val="nil"/>
              <w:right w:val="nil"/>
            </w:tcBorders>
          </w:tcPr>
          <w:p w:rsidR="00107707" w:rsidRPr="000E0F90" w:rsidRDefault="00107707" w:rsidP="000A0238">
            <w:pPr>
              <w:spacing w:after="0" w:line="240" w:lineRule="auto"/>
              <w:rPr>
                <w:rFonts w:ascii="Arial" w:hAnsi="Arial" w:cs="Arial"/>
                <w:color w:val="000000" w:themeColor="text1"/>
                <w:sz w:val="20"/>
                <w:szCs w:val="20"/>
              </w:rPr>
            </w:pPr>
          </w:p>
        </w:tc>
        <w:tc>
          <w:tcPr>
            <w:tcW w:w="5490" w:type="dxa"/>
            <w:tcBorders>
              <w:top w:val="nil"/>
              <w:left w:val="nil"/>
              <w:bottom w:val="nil"/>
            </w:tcBorders>
            <w:vAlign w:val="bottom"/>
          </w:tcPr>
          <w:p w:rsidR="00107707" w:rsidRPr="000E0F90" w:rsidRDefault="00107707" w:rsidP="002A217F">
            <w:pPr>
              <w:spacing w:after="0" w:line="240" w:lineRule="auto"/>
              <w:rPr>
                <w:rFonts w:ascii="Arial" w:hAnsi="Arial" w:cs="Arial"/>
                <w:color w:val="000000" w:themeColor="text1"/>
                <w:sz w:val="20"/>
              </w:rPr>
            </w:pPr>
            <w:r w:rsidRPr="000E0F90">
              <w:rPr>
                <w:rFonts w:ascii="Arial" w:hAnsi="Arial" w:cs="Arial"/>
                <w:color w:val="000000" w:themeColor="text1"/>
                <w:sz w:val="20"/>
              </w:rPr>
              <w:t xml:space="preserve">Promueve el empleo local y el uso múltiple del territorio </w:t>
            </w:r>
            <w:r w:rsidRPr="000E0F90">
              <w:rPr>
                <w:rFonts w:ascii="Arial" w:hAnsi="Arial" w:cs="Arial"/>
                <w:color w:val="000000" w:themeColor="text1"/>
                <w:sz w:val="20"/>
              </w:rPr>
              <w:fldChar w:fldCharType="begin" w:fldLock="1"/>
            </w:r>
            <w:r w:rsidRPr="000E0F90">
              <w:rPr>
                <w:rFonts w:ascii="Arial" w:hAnsi="Arial" w:cs="Arial"/>
                <w:color w:val="000000" w:themeColor="text1"/>
                <w:sz w:val="20"/>
              </w:rPr>
              <w:instrText>ADDIN CSL_CITATION { "citationItems" : [ { "id" : "ITEM-1", "itemData" : { "author" : [ { "dropping-particle" : "", "family" : "Morrison-saunders", "given" : "Angus", "non-dropping-particle" : "", "parse-names" : false, "suffix" : "" }, { "dropping-particle" : "", "family" : "Hodgson", "given" : "Nicole", "non-dropping-particle" : "", "parse-names" : false, "suffix" : "" } ], "container-title" : "Assessment", "id" : "ITEM-1", "issue" : "September", "issued" : { "date-parts" : [ [ "2009" ] ] }, "page" : "1-6", "title" : "Applying Sustainability Principles in Practice : Guidance for Assessing Individual Proposals", "type" : "article-journal" }, "uris" : [ "http://www.mendeley.com/documents/?uuid=8eac9b1a-a579-4134-9969-a97b9c129d7b" ] } ], "mendeley" : { "formattedCitation" : "(Morrison-saunders &amp; Hodgson, 2009)", "plainTextFormattedCitation" : "(Morrison-saunders &amp; Hodgson, 2009)", "previouslyFormattedCitation" : "(Morrison-saunders &amp; Hodgson, 2009)" }, "properties" : { "noteIndex" : 0 }, "schema" : "https://github.com/citation-style-language/schema/raw/master/csl-citation.json" }</w:instrText>
            </w:r>
            <w:r w:rsidRPr="000E0F90">
              <w:rPr>
                <w:rFonts w:ascii="Arial" w:hAnsi="Arial" w:cs="Arial"/>
                <w:color w:val="000000" w:themeColor="text1"/>
                <w:sz w:val="20"/>
              </w:rPr>
              <w:fldChar w:fldCharType="separate"/>
            </w:r>
            <w:r w:rsidRPr="000E0F90">
              <w:rPr>
                <w:rFonts w:ascii="Arial" w:hAnsi="Arial" w:cs="Arial"/>
                <w:noProof/>
                <w:color w:val="000000" w:themeColor="text1"/>
                <w:sz w:val="20"/>
              </w:rPr>
              <w:t>(Morrison-saunders &amp; Hodgson, 2009)</w:t>
            </w:r>
            <w:r w:rsidRPr="000E0F90">
              <w:rPr>
                <w:rFonts w:ascii="Arial" w:hAnsi="Arial" w:cs="Arial"/>
                <w:color w:val="000000" w:themeColor="text1"/>
                <w:sz w:val="20"/>
              </w:rPr>
              <w:fldChar w:fldCharType="end"/>
            </w:r>
            <w:r w:rsidRPr="000E0F90">
              <w:rPr>
                <w:rFonts w:ascii="Arial" w:hAnsi="Arial" w:cs="Arial"/>
                <w:color w:val="000000" w:themeColor="text1"/>
                <w:sz w:val="20"/>
              </w:rPr>
              <w:t>. P</w:t>
            </w:r>
            <w:r w:rsidRPr="000E0F90">
              <w:rPr>
                <w:rFonts w:ascii="Arial" w:hAnsi="Arial" w:cs="Arial"/>
                <w:color w:val="000000" w:themeColor="text1"/>
                <w:sz w:val="20"/>
                <w:szCs w:val="20"/>
              </w:rPr>
              <w:t xml:space="preserve">romover negocios locales (autonomía)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"DOI" : "10.1016/j.landurbplan.2013.06.002", "ISBN" : "0169-2046", "ISSN" : "01692046", "abstract" : "The proportion of urban population is increasing globally. Climate change, biodiversity loss, and environmental pollution are leading to the urgent need to increase sustainable development of and through cities and their components. Encouraging and enabling sustainable lifestyles of urban inhabitants can be fostered by developing sustainable urban neighborhoods as the nuclei of cities. Numerous approaches exist that define principles for guiding sustainable development processes of urban neighborhoods. However, it remains unclear if these approaches really consider the core objectives that should be achieved and key actions that are involved to move toward sustainability. This study represents the first quantitative review that evaluates the principles for sustainable urban neighborhood development based on the available literature. We thus (i) identify promising approaches that present principles close to core criteria for sustainability and (ii) provide starting points for developing a more robust set of principles by bringing together the examined literature. Furthermore (iii), sustainability aspects that are insufficiently covered are highlighted. Based on the findings (iv) a road map is outlined to encourage further research on the elaboration of a sufficient set of principles for sustainable urban neighborhood development. \u00a9 2013 Elsevier B.V.", "author" : [ { "dropping-particle" : "", "family" : "Luederitz", "given" : "Christopher", "non-dropping-particle" : "", "parse-names" : false, "suffix" : "" }, { "dropping-particle" : "", "family" : "Lang", "given" : "Daniel J.", "non-dropping-particle" : "", "parse-names" : false, "suffix" : "" }, { "dropping-particle" : "", "family" : "Wehrden", "given" : "Henrik", "non-dropping-particle" : "Von", "parse-names" : false, "suffix" : "" } ], "container-title" : "Landscape and Urban Planning", "id" : "ITEM-1", "issued" : { "date-parts" : [ [ "2013" ] ] }, "page" : "40-52", "publisher" : "Elsevier B.V.", "title" : "A systematic review of guiding principles for sustainable urban neighborhood development", "type" : "article-journal", "volume" : "118" }, "uris" : [ "http://www.mendeley.com/documents/?uuid=6bcfcece-dda2-466f-b77d-29fdaec204ad" ] } ], "mendeley" : { "formattedCitation" : "(Luederitz et al., 2013)", "plainTextFormattedCitation" : "(Luederitz et al., 2013)", "previouslyFormattedCitation" : "(Luederitz et al., 2013)"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(Luederitz et al., 2013)</w:t>
            </w:r>
            <w:r w:rsidRPr="000E0F90">
              <w:rPr>
                <w:rFonts w:ascii="Arial" w:hAnsi="Arial" w:cs="Arial"/>
                <w:color w:val="000000" w:themeColor="text1"/>
                <w:sz w:val="20"/>
                <w:szCs w:val="20"/>
              </w:rPr>
              <w:fldChar w:fldCharType="end"/>
            </w:r>
          </w:p>
        </w:tc>
      </w:tr>
      <w:tr w:rsidR="00107707" w:rsidRPr="000E0F90" w:rsidTr="002A21E4">
        <w:tc>
          <w:tcPr>
            <w:tcW w:w="3280" w:type="dxa"/>
            <w:vMerge/>
            <w:tcBorders>
              <w:top w:val="nil"/>
              <w:bottom w:val="nil"/>
              <w:right w:val="nil"/>
            </w:tcBorders>
          </w:tcPr>
          <w:p w:rsidR="00107707" w:rsidRPr="000E0F90" w:rsidRDefault="00107707" w:rsidP="000A0238">
            <w:pPr>
              <w:spacing w:after="0" w:line="240" w:lineRule="auto"/>
              <w:rPr>
                <w:rFonts w:ascii="Arial" w:hAnsi="Arial" w:cs="Arial"/>
                <w:color w:val="000000" w:themeColor="text1"/>
                <w:sz w:val="20"/>
                <w:szCs w:val="20"/>
              </w:rPr>
            </w:pPr>
          </w:p>
        </w:tc>
        <w:tc>
          <w:tcPr>
            <w:tcW w:w="5490" w:type="dxa"/>
            <w:tcBorders>
              <w:top w:val="nil"/>
              <w:left w:val="nil"/>
              <w:bottom w:val="nil"/>
            </w:tcBorders>
            <w:vAlign w:val="bottom"/>
          </w:tcPr>
          <w:p w:rsidR="00107707" w:rsidRPr="000E0F90" w:rsidRDefault="00107707" w:rsidP="003418D0">
            <w:pPr>
              <w:spacing w:after="0" w:line="240" w:lineRule="auto"/>
              <w:rPr>
                <w:rFonts w:ascii="Arial" w:hAnsi="Arial" w:cs="Arial"/>
                <w:color w:val="000000" w:themeColor="text1"/>
                <w:sz w:val="20"/>
              </w:rPr>
            </w:pPr>
            <w:r w:rsidRPr="000E0F90">
              <w:rPr>
                <w:rFonts w:ascii="Arial" w:hAnsi="Arial" w:cs="Arial"/>
                <w:color w:val="000000" w:themeColor="text1"/>
                <w:sz w:val="20"/>
              </w:rPr>
              <w:t xml:space="preserve">Desarrollar las potencialidades de los territorios mineros en forma complementaria a la actividad minera. </w:t>
            </w:r>
            <w:sdt>
              <w:sdtPr>
                <w:rPr>
                  <w:rFonts w:ascii="Arial" w:hAnsi="Arial" w:cs="Arial"/>
                  <w:color w:val="000000" w:themeColor="text1"/>
                  <w:sz w:val="20"/>
                </w:rPr>
                <w:id w:val="-1203940602"/>
                <w:citation/>
              </w:sdtPr>
              <w:sdtEndPr/>
              <w:sdtContent>
                <w:r w:rsidRPr="000E0F90">
                  <w:rPr>
                    <w:rFonts w:ascii="Arial" w:hAnsi="Arial" w:cs="Arial"/>
                    <w:color w:val="000000" w:themeColor="text1"/>
                    <w:sz w:val="20"/>
                  </w:rPr>
                  <w:fldChar w:fldCharType="begin"/>
                </w:r>
                <w:r w:rsidRPr="000E0F90">
                  <w:rPr>
                    <w:rFonts w:ascii="Arial" w:hAnsi="Arial" w:cs="Arial"/>
                    <w:color w:val="000000" w:themeColor="text1"/>
                    <w:sz w:val="20"/>
                  </w:rPr>
                  <w:instrText xml:space="preserve">CITATION Are13 \t  \l 13322 </w:instrText>
                </w:r>
                <w:r w:rsidRPr="000E0F90">
                  <w:rPr>
                    <w:rFonts w:ascii="Arial" w:hAnsi="Arial" w:cs="Arial"/>
                    <w:color w:val="000000" w:themeColor="text1"/>
                    <w:sz w:val="20"/>
                  </w:rPr>
                  <w:fldChar w:fldCharType="separate"/>
                </w:r>
                <w:r w:rsidR="008D0261" w:rsidRPr="000E0F90">
                  <w:rPr>
                    <w:rFonts w:ascii="Arial" w:hAnsi="Arial" w:cs="Arial"/>
                    <w:noProof/>
                    <w:color w:val="000000" w:themeColor="text1"/>
                    <w:sz w:val="20"/>
                  </w:rPr>
                  <w:t>(Arellano, Gastó, Gálvez, Subercauseaux, Toledo, &amp; Miranda, 2013)</w:t>
                </w:r>
                <w:r w:rsidRPr="000E0F90">
                  <w:rPr>
                    <w:rFonts w:ascii="Arial" w:hAnsi="Arial" w:cs="Arial"/>
                    <w:color w:val="000000" w:themeColor="text1"/>
                    <w:sz w:val="20"/>
                  </w:rPr>
                  <w:fldChar w:fldCharType="end"/>
                </w:r>
              </w:sdtContent>
            </w:sdt>
          </w:p>
        </w:tc>
      </w:tr>
      <w:tr w:rsidR="003418D0" w:rsidRPr="000E0F90" w:rsidTr="002A21E4">
        <w:tc>
          <w:tcPr>
            <w:tcW w:w="3280" w:type="dxa"/>
            <w:vMerge w:val="restart"/>
            <w:tcBorders>
              <w:top w:val="nil"/>
              <w:bottom w:val="nil"/>
              <w:right w:val="nil"/>
            </w:tcBorders>
          </w:tcPr>
          <w:p w:rsidR="003418D0" w:rsidRPr="00741671" w:rsidRDefault="003418D0" w:rsidP="000A0238">
            <w:pPr>
              <w:spacing w:after="0" w:line="240" w:lineRule="auto"/>
              <w:rPr>
                <w:rFonts w:ascii="Arial" w:hAnsi="Arial" w:cs="Arial"/>
                <w:b/>
                <w:color w:val="000000" w:themeColor="text1"/>
                <w:sz w:val="20"/>
                <w:szCs w:val="20"/>
              </w:rPr>
            </w:pPr>
            <w:r w:rsidRPr="00741671">
              <w:rPr>
                <w:rFonts w:ascii="Arial" w:hAnsi="Arial" w:cs="Arial"/>
                <w:b/>
                <w:color w:val="000000" w:themeColor="text1"/>
                <w:sz w:val="20"/>
                <w:szCs w:val="20"/>
              </w:rPr>
              <w:t xml:space="preserve">Gestión territorial del patrimonio cultural </w:t>
            </w:r>
            <w:r w:rsidRPr="00741671">
              <w:rPr>
                <w:rFonts w:ascii="Arial" w:hAnsi="Arial" w:cs="Arial"/>
                <w:b/>
                <w:color w:val="000000" w:themeColor="text1"/>
                <w:sz w:val="20"/>
                <w:szCs w:val="20"/>
              </w:rPr>
              <w:fldChar w:fldCharType="begin" w:fldLock="1"/>
            </w:r>
            <w:r w:rsidRPr="00741671">
              <w:rPr>
                <w:rFonts w:ascii="Arial" w:hAnsi="Arial" w:cs="Arial"/>
                <w:b/>
                <w:color w:val="000000" w:themeColor="text1"/>
                <w:sz w:val="20"/>
                <w:szCs w:val="20"/>
              </w:rPr>
              <w:instrText>ADDIN CSL_CITATION { "citationItems" : [ { "id" : "ITEM-1", "itemData" : { "ISBN" : "8483201437", "author" : [ { "dropping-particle" : "", "family" : "Cemat", "given" : "Conferencia Europea de Ministros responsables de ordenaci\u00f3n del Territorio", "non-dropping-particle" : "", "parse-names" : false, "suffix" : "" } ], "container-title" : "Conferencia Europea de Ministros responsables de ordenaci\u00f3n del territorio", "id" : "ITEM-1", "issued" : { "date-parts" : [ [ "2000" ] ] }, "title" : "Principios Directores para el Desarrollo Territorial Sostenible del Continente Europeo", "type" : "book" }, "uris" : [ "http://www.mendeley.com/documents/?uuid=01924405-bee1-4e7a-a357-b7f836b2e137" ] } ], "mendeley" : { "formattedCitation" : "(Cemat, 2000)", "plainTextFormattedCitation" : "(Cemat, 2000)", "previouslyFormattedCitation" : "(Cemat, 2000)" }, "properties" : { "noteIndex" : 0 }, "schema" : "https://github.com/citation-style-language/schema/raw/master/csl-citation.json" }</w:instrText>
            </w:r>
            <w:r w:rsidRPr="00741671">
              <w:rPr>
                <w:rFonts w:ascii="Arial" w:hAnsi="Arial" w:cs="Arial"/>
                <w:b/>
                <w:color w:val="000000" w:themeColor="text1"/>
                <w:sz w:val="20"/>
                <w:szCs w:val="20"/>
              </w:rPr>
              <w:fldChar w:fldCharType="separate"/>
            </w:r>
            <w:r w:rsidRPr="00741671">
              <w:rPr>
                <w:rFonts w:ascii="Arial" w:hAnsi="Arial" w:cs="Arial"/>
                <w:b/>
                <w:noProof/>
                <w:color w:val="000000" w:themeColor="text1"/>
                <w:sz w:val="20"/>
                <w:szCs w:val="20"/>
              </w:rPr>
              <w:t>(Cemat, 2000)</w:t>
            </w:r>
            <w:r w:rsidRPr="00741671">
              <w:rPr>
                <w:rFonts w:ascii="Arial" w:hAnsi="Arial" w:cs="Arial"/>
                <w:b/>
                <w:color w:val="000000" w:themeColor="text1"/>
                <w:sz w:val="20"/>
                <w:szCs w:val="20"/>
              </w:rPr>
              <w:fldChar w:fldCharType="end"/>
            </w:r>
          </w:p>
        </w:tc>
        <w:tc>
          <w:tcPr>
            <w:tcW w:w="5490" w:type="dxa"/>
            <w:tcBorders>
              <w:top w:val="nil"/>
              <w:left w:val="nil"/>
              <w:bottom w:val="nil"/>
            </w:tcBorders>
            <w:vAlign w:val="bottom"/>
          </w:tcPr>
          <w:p w:rsidR="003418D0" w:rsidRPr="000E0F90" w:rsidRDefault="003418D0" w:rsidP="000A0238">
            <w:pPr>
              <w:spacing w:after="0" w:line="240" w:lineRule="auto"/>
              <w:rPr>
                <w:rFonts w:ascii="Arial" w:hAnsi="Arial" w:cs="Arial"/>
                <w:color w:val="000000" w:themeColor="text1"/>
                <w:sz w:val="20"/>
                <w:szCs w:val="20"/>
              </w:rPr>
            </w:pPr>
            <w:r w:rsidRPr="000E0F90">
              <w:rPr>
                <w:rFonts w:ascii="Arial" w:hAnsi="Arial" w:cs="Arial"/>
                <w:color w:val="000000" w:themeColor="text1"/>
                <w:sz w:val="20"/>
                <w:szCs w:val="20"/>
              </w:rPr>
              <w:t xml:space="preserve">Retener y crear elementos culturales únicos que reflejen las características históricas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"DOI" : "10.1016/j.landurbplan.2013.06.002", "ISBN" : "0169-2046", "ISSN" : "01692046", "abstract" : "The proportion of urban population is increasing globally. Climate change, biodiversity loss, and environmental pollution are leading to the urgent need to increase sustainable development of and through cities and their components. Encouraging and enabling sustainable lifestyles of urban inhabitants can be fostered by developing sustainable urban neighborhoods as the nuclei of cities. Numerous approaches exist that define principles for guiding sustainable development processes of urban neighborhoods. However, it remains unclear if these approaches really consider the core objectives that should be achieved and key actions that are involved to move toward sustainability. This study represents the first quantitative review that evaluates the principles for sustainable urban neighborhood development based on the available literature. We thus (i) identify promising approaches that present principles close to core criteria for sustainability and (ii) provide starting points for developing a more robust set of principles by bringing together the examined literature. Furthermore (iii), sustainability aspects that are insufficiently covered are highlighted. Based on the findings (iv) a road map is outlined to encourage further research on the elaboration of a sufficient set of principles for sustainable urban neighborhood development. \u00a9 2013 Elsevier B.V.", "author" : [ { "dropping-particle" : "", "family" : "Luederitz", "given" : "Christopher", "non-dropping-particle" : "", "parse-names" : false, "suffix" : "" }, { "dropping-particle" : "", "family" : "Lang", "given" : "Daniel J.", "non-dropping-particle" : "", "parse-names" : false, "suffix" : "" }, { "dropping-particle" : "", "family" : "Wehrden", "given" : "Henrik", "non-dropping-particle" : "Von", "parse-names" : false, "suffix" : "" } ], "container-title" : "Landscape and Urban Planning", "id" : "ITEM-1", "issued" : { "date-parts" : [ [ "2013" ] ] }, "page" : "40-52", "publisher" : "Elsevier B.V.", "title" : "A systematic review of guiding principles for sustainable urban neighborhood development", "type" : "article-journal", "volume" : "118" }, "uris" : [ "http://www.mendeley.com/documents/?uuid=6bcfcece-dda2-466f-b77d-29fdaec204ad" ] } ], "mendeley" : { "formattedCitation" : "(Luederitz et al., 2013)", "plainTextFormattedCitation" : "(Luederitz et al., 2013)", "previouslyFormattedCitation" : "(Luederitz et al., 2013)"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(Luederitz et al., 2013)</w:t>
            </w:r>
            <w:r w:rsidRPr="000E0F90">
              <w:rPr>
                <w:rFonts w:ascii="Arial" w:hAnsi="Arial" w:cs="Arial"/>
                <w:color w:val="000000" w:themeColor="text1"/>
                <w:sz w:val="20"/>
                <w:szCs w:val="20"/>
              </w:rPr>
              <w:fldChar w:fldCharType="end"/>
            </w:r>
            <w:r w:rsidRPr="000E0F90">
              <w:rPr>
                <w:rFonts w:ascii="Arial" w:hAnsi="Arial" w:cs="Arial"/>
                <w:color w:val="000000" w:themeColor="text1"/>
                <w:sz w:val="20"/>
                <w:szCs w:val="20"/>
              </w:rPr>
              <w:t xml:space="preserve">; Promueve el sentido de lugar, de forma que cualquier característica especial que construya identidad y arraigo sea mantenida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"DOI" : "10.1080/01944360008976081", "ISBN" : "0194-4363", "ISSN" : "01944363", "PMID" : "2989497", "abstract" : "A set of six principles are set forth that define and operationalize the concept of sustainable development. Using these six principles, a sample of 30 comprehensive plans was evaluated to determine how well their policies support sustainable development. Findings indicate no significant differences in how extensively sustainability principles are supported between the plans that state an intention to integrate sustainable development and those that do not. In addition, these plans do not provide balanced support of all six sustainability principles, as they support some principles significantly more than others.", "author" : [ { "dropping-particle" : "", "family" : "Berke", "given" : "Philip R", "non-dropping-particle" : "", "parse-names" : false, "suffix" : "" }, { "dropping-particle" : "", "family" : "Conroy", "given" : "Maria Manta", "non-dropping-particle" : "", "parse-names" : false, "suffix" : "" } ], "container-title" : "American Planning Association.Journal of the American Planning Association", "id" : "ITEM-1", "issue" : "September", "issued" : { "date-parts" : [ [ "2000" ] ] }, "page" : "21", "title" : "Are we planning for sustainable development?", "type" : "article-journal", "volume" : "66" }, "uris" : [ "http://www.mendeley.com/documents/?uuid=9c8f081f-71c5-4194-83b6-25e26c52bc06" ] } ], "mendeley" : { "formattedCitation" : "(Berke &amp; Conroy, 2000)", "plainTextFormattedCitation" : "(Berke &amp; Conroy, 2000)", "previouslyFormattedCitation" : "(Berke &amp; Conroy, 2000)"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(Berke &amp; Conroy, 2000)</w:t>
            </w:r>
            <w:r w:rsidRPr="000E0F90">
              <w:rPr>
                <w:rFonts w:ascii="Arial" w:hAnsi="Arial" w:cs="Arial"/>
                <w:color w:val="000000" w:themeColor="text1"/>
                <w:sz w:val="20"/>
                <w:szCs w:val="20"/>
              </w:rPr>
              <w:fldChar w:fldCharType="end"/>
            </w:r>
          </w:p>
        </w:tc>
      </w:tr>
      <w:tr w:rsidR="003418D0" w:rsidRPr="000E0F90" w:rsidTr="002A21E4">
        <w:tc>
          <w:tcPr>
            <w:tcW w:w="3280" w:type="dxa"/>
            <w:vMerge/>
            <w:tcBorders>
              <w:top w:val="nil"/>
              <w:bottom w:val="nil"/>
              <w:right w:val="nil"/>
            </w:tcBorders>
            <w:vAlign w:val="bottom"/>
          </w:tcPr>
          <w:p w:rsidR="003418D0" w:rsidRPr="000E0F90" w:rsidRDefault="003418D0" w:rsidP="000A0238">
            <w:pPr>
              <w:spacing w:after="0" w:line="240" w:lineRule="auto"/>
              <w:rPr>
                <w:rFonts w:ascii="Arial" w:hAnsi="Arial" w:cs="Arial"/>
                <w:color w:val="000000" w:themeColor="text1"/>
                <w:sz w:val="20"/>
                <w:szCs w:val="20"/>
              </w:rPr>
            </w:pPr>
          </w:p>
        </w:tc>
        <w:tc>
          <w:tcPr>
            <w:tcW w:w="5490" w:type="dxa"/>
            <w:tcBorders>
              <w:top w:val="nil"/>
              <w:left w:val="nil"/>
              <w:bottom w:val="nil"/>
            </w:tcBorders>
            <w:vAlign w:val="bottom"/>
          </w:tcPr>
          <w:p w:rsidR="003418D0" w:rsidRPr="000E0F90" w:rsidRDefault="003418D0" w:rsidP="000A0238">
            <w:pPr>
              <w:spacing w:after="0" w:line="240" w:lineRule="auto"/>
              <w:rPr>
                <w:rFonts w:ascii="Arial" w:hAnsi="Arial" w:cs="Arial"/>
                <w:color w:val="000000" w:themeColor="text1"/>
                <w:sz w:val="20"/>
                <w:szCs w:val="20"/>
              </w:rPr>
            </w:pPr>
            <w:r w:rsidRPr="000E0F90">
              <w:rPr>
                <w:rFonts w:ascii="Arial" w:hAnsi="Arial" w:cs="Arial"/>
                <w:color w:val="000000" w:themeColor="text1"/>
                <w:sz w:val="20"/>
                <w:szCs w:val="20"/>
              </w:rPr>
              <w:t xml:space="preserve">Considerar el patrimonio cultural como un factor de desarrollo, que aumente el atractivo para la inversión y además contribuya al fortalecimiento de la identidad local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"ISBN" : "8483201437", "author" : [ { "dropping-particle" : "", "family" : "Cemat", "given" : "Conferencia Europea de Ministros responsables de ordenaci\u00f3n del Territorio", "non-dropping-particle" : "", "parse-names" : false, "suffix" : "" } ], "container-title" : "Conferencia Europea de Ministros responsables de ordenaci\u00f3n del territorio", "id" : "ITEM-1", "issued" : { "date-parts" : [ [ "2000" ] ] }, "title" : "Principios Directores para el Desarrollo Territorial Sostenible del Continente Europeo", "type" : "book" }, "uris" : [ "http://www.mendeley.com/documents/?uuid=01924405-bee1-4e7a-a357-b7f836b2e137" ] } ], "mendeley" : { "formattedCitation" : "(Cemat, 2000)", "plainTextFormattedCitation" : "(Cemat, 2000)", "previouslyFormattedCitation" : "(Cemat, 2000)"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(Cemat, 2000)</w:t>
            </w:r>
            <w:r w:rsidRPr="000E0F90">
              <w:rPr>
                <w:rFonts w:ascii="Arial" w:hAnsi="Arial" w:cs="Arial"/>
                <w:color w:val="000000" w:themeColor="text1"/>
                <w:sz w:val="20"/>
                <w:szCs w:val="20"/>
              </w:rPr>
              <w:fldChar w:fldCharType="end"/>
            </w:r>
            <w:r w:rsidRPr="000E0F90">
              <w:rPr>
                <w:rFonts w:ascii="Arial" w:hAnsi="Arial" w:cs="Arial"/>
                <w:color w:val="000000" w:themeColor="text1"/>
                <w:sz w:val="20"/>
                <w:szCs w:val="20"/>
              </w:rPr>
              <w:t>, considerando a su vez las necesidades de la sociedad moderna</w:t>
            </w:r>
          </w:p>
        </w:tc>
      </w:tr>
      <w:tr w:rsidR="00741671" w:rsidRPr="00AF6811" w:rsidTr="002A21E4">
        <w:tc>
          <w:tcPr>
            <w:tcW w:w="3280" w:type="dxa"/>
            <w:tcBorders>
              <w:top w:val="nil"/>
              <w:bottom w:val="nil"/>
              <w:right w:val="nil"/>
            </w:tcBorders>
          </w:tcPr>
          <w:p w:rsidR="00741671" w:rsidRPr="000E0F90" w:rsidRDefault="00741671" w:rsidP="0031605E">
            <w:pPr>
              <w:spacing w:after="0" w:line="240" w:lineRule="auto"/>
              <w:rPr>
                <w:rFonts w:ascii="Arial" w:hAnsi="Arial" w:cs="Arial"/>
                <w:b/>
                <w:color w:val="000000" w:themeColor="text1"/>
                <w:sz w:val="20"/>
                <w:szCs w:val="20"/>
              </w:rPr>
            </w:pPr>
            <w:r w:rsidRPr="000E0F90">
              <w:rPr>
                <w:rFonts w:ascii="Arial" w:hAnsi="Arial" w:cs="Arial"/>
                <w:b/>
                <w:color w:val="000000" w:themeColor="text1"/>
                <w:sz w:val="20"/>
                <w:szCs w:val="20"/>
              </w:rPr>
              <w:t>Equidad Espacial</w:t>
            </w:r>
          </w:p>
        </w:tc>
        <w:tc>
          <w:tcPr>
            <w:tcW w:w="5490" w:type="dxa"/>
            <w:tcBorders>
              <w:top w:val="nil"/>
              <w:left w:val="nil"/>
              <w:bottom w:val="nil"/>
            </w:tcBorders>
            <w:vAlign w:val="bottom"/>
          </w:tcPr>
          <w:p w:rsidR="00741671" w:rsidRPr="00AF6811" w:rsidRDefault="00741671" w:rsidP="0031605E">
            <w:pPr>
              <w:spacing w:after="0" w:line="240" w:lineRule="auto"/>
              <w:rPr>
                <w:rFonts w:ascii="Arial" w:hAnsi="Arial" w:cs="Arial"/>
                <w:color w:val="000000" w:themeColor="text1"/>
                <w:sz w:val="20"/>
                <w:szCs w:val="20"/>
              </w:rPr>
            </w:pPr>
            <w:r w:rsidRPr="00AF6811">
              <w:rPr>
                <w:rFonts w:ascii="Arial" w:hAnsi="Arial" w:cs="Arial"/>
                <w:color w:val="000000" w:themeColor="text1"/>
                <w:sz w:val="20"/>
                <w:szCs w:val="20"/>
              </w:rPr>
              <w:t xml:space="preserve">Operar sin ignorar impactos externos  de las decisiones. </w:t>
            </w:r>
            <w:r w:rsidRPr="00AF6811">
              <w:rPr>
                <w:rFonts w:ascii="Arial" w:hAnsi="Arial" w:cs="Arial"/>
                <w:color w:val="000000" w:themeColor="text1"/>
                <w:sz w:val="20"/>
                <w:szCs w:val="20"/>
              </w:rPr>
              <w:fldChar w:fldCharType="begin" w:fldLock="1"/>
            </w:r>
            <w:r w:rsidRPr="00AF6811">
              <w:rPr>
                <w:rFonts w:ascii="Arial" w:hAnsi="Arial" w:cs="Arial"/>
                <w:color w:val="000000" w:themeColor="text1"/>
                <w:sz w:val="20"/>
                <w:szCs w:val="20"/>
              </w:rPr>
              <w:instrText>ADDIN CSL_CITATION { "citationItems" : [ { "id" : "ITEM-1", "itemData" : { "DOI" : "10.1016/j.eiar.2012.12.004", "ISBN" : "0195-9255", "ISSN" : "01959255", "abstract" : "This paper presents a framework for analysing the degree of consideration of sustainability principles in Strategic environmental assessment (SEA), and demonstrates its application to a sample of SEA of Italian urban plans. The framework is based on Gibson's (2006) sustainability principles, which are linked to a number of guidance criteria and eventually to review questions, resulting from an extensive literature review. A total of 71 questions are included in the framework, which gives particular emphasis to key concepts, such as intragenerational and intergenerational equity. The framework was applied to review the Environmental Report of the urban plans of 15 major Italian cities. The results of this review show that, even if sustainability is commonly considered as a pivotal concept, there is still work to be done in order to effectively integrate sustainability principles into SEA. In particular, most of the attention is given to mitigation and compensation measures, rather than to actual attempts to propose more sustainable planning decisions in the first place. Concerning the proposed framework of analysis, further research is required to clarify equity concerns and particularly to identify suitable indicators for operationalizing the concepts of intra/inter-generational equity in decision-making. ?? 2012 Elsevier Inc.", "author" : [ { "dropping-particle" : "", "family" : "Lamorgese", "given" : "Lydia", "non-dropping-particle" : "", "parse-names" : false, "suffix" : "" }, { "dropping-particle" : "", "family" : "Geneletti", "given" : "Davide", "non-dropping-particle" : "", "parse-names" : false, "suffix" : "" } ], "container-title" : "Environmental Impact Assessment Review", "id" : "ITEM-1", "issued" : { "date-parts" : [ [ "2013" ] ] }, "page" : "116-126", "publisher" : "Elsevier Inc.", "title" : "Sustainability principles in strategic environmental assessment: A framework for analysis and examples from Italian urban planning", "type" : "article-journal", "volume" : "42" }, "uris" : [ "http://www.mendeley.com/documents/?uuid=50281d85-3e46-42bb-9a5c-be11d8f3b1d0" ] } ], "mendeley" : { "formattedCitation" : "(Lamorgese &amp; Geneletti, 2013)", "plainTextFormattedCitation" : "(Lamorgese &amp; Geneletti, 2013)", "previouslyFormattedCitation" : "(Lamorgese &amp; Geneletti, 2013)" }, "properties" : { "noteIndex" : 0 }, "schema" : "https://github.com/citation-style-language/schema/raw/master/csl-citation.json" }</w:instrText>
            </w:r>
            <w:r w:rsidRPr="00AF6811">
              <w:rPr>
                <w:rFonts w:ascii="Arial" w:hAnsi="Arial" w:cs="Arial"/>
                <w:color w:val="000000" w:themeColor="text1"/>
                <w:sz w:val="20"/>
                <w:szCs w:val="20"/>
              </w:rPr>
              <w:fldChar w:fldCharType="separate"/>
            </w:r>
            <w:r w:rsidRPr="00AF6811">
              <w:rPr>
                <w:rFonts w:ascii="Arial" w:hAnsi="Arial" w:cs="Arial"/>
                <w:noProof/>
                <w:color w:val="000000" w:themeColor="text1"/>
                <w:sz w:val="20"/>
                <w:szCs w:val="20"/>
              </w:rPr>
              <w:t>(Lamorgese &amp; Geneletti, 2013)</w:t>
            </w:r>
            <w:r w:rsidRPr="00AF6811">
              <w:rPr>
                <w:rFonts w:ascii="Arial" w:hAnsi="Arial" w:cs="Arial"/>
                <w:color w:val="000000" w:themeColor="text1"/>
                <w:sz w:val="20"/>
                <w:szCs w:val="20"/>
              </w:rPr>
              <w:fldChar w:fldCharType="end"/>
            </w:r>
            <w:r w:rsidRPr="00AF6811">
              <w:rPr>
                <w:rFonts w:ascii="Arial" w:hAnsi="Arial" w:cs="Arial"/>
                <w:b/>
                <w:color w:val="000000" w:themeColor="text1"/>
                <w:sz w:val="20"/>
                <w:szCs w:val="20"/>
              </w:rPr>
              <w:t xml:space="preserve"> </w:t>
            </w:r>
          </w:p>
        </w:tc>
      </w:tr>
      <w:tr w:rsidR="00CC033B" w:rsidRPr="00CC033B" w:rsidTr="002A21E4">
        <w:tc>
          <w:tcPr>
            <w:tcW w:w="3280" w:type="dxa"/>
            <w:tcBorders>
              <w:top w:val="nil"/>
              <w:right w:val="nil"/>
            </w:tcBorders>
          </w:tcPr>
          <w:p w:rsidR="00CC033B" w:rsidRPr="00CC033B" w:rsidRDefault="00CC033B" w:rsidP="0031605E">
            <w:pPr>
              <w:spacing w:after="0" w:line="240" w:lineRule="auto"/>
              <w:rPr>
                <w:rFonts w:ascii="Arial" w:hAnsi="Arial" w:cs="Arial"/>
                <w:b/>
                <w:color w:val="000000" w:themeColor="text1"/>
                <w:sz w:val="20"/>
                <w:szCs w:val="20"/>
              </w:rPr>
            </w:pPr>
            <w:r w:rsidRPr="00CC033B">
              <w:rPr>
                <w:rFonts w:ascii="Arial" w:hAnsi="Arial" w:cs="Arial"/>
                <w:b/>
                <w:sz w:val="20"/>
                <w:szCs w:val="20"/>
              </w:rPr>
              <w:t xml:space="preserve">Reduce huella ecológica, a la vez que asegura calidad de vida </w:t>
            </w:r>
            <w:r w:rsidRPr="00CC033B">
              <w:rPr>
                <w:rFonts w:ascii="Arial" w:hAnsi="Arial" w:cs="Arial"/>
                <w:b/>
                <w:sz w:val="20"/>
                <w:szCs w:val="20"/>
              </w:rPr>
              <w:fldChar w:fldCharType="begin" w:fldLock="1"/>
            </w:r>
            <w:r w:rsidRPr="00CC033B">
              <w:rPr>
                <w:rFonts w:ascii="Arial" w:hAnsi="Arial" w:cs="Arial"/>
                <w:b/>
                <w:sz w:val="20"/>
                <w:szCs w:val="20"/>
              </w:rPr>
              <w:instrText>ADDIN CSL_CITATION { "citationItems" : [ { "id" : "ITEM-1", "itemData" : { "DOI" : "10.1016/j.eiar.2012.12.004", "ISBN" : "0195-9255", "ISSN" : "01959255", "abstract" : "This paper presents a framework for analysing the degree of consideration of sustainability principles in Strategic environmental assessment (SEA), and demonstrates its application to a sample of SEA of Italian urban plans. The framework is based on Gibson's (2006) sustainability principles, which are linked to a number of guidance criteria and eventually to review questions, resulting from an extensive literature review. A total of 71 questions are included in the framework, which gives particular emphasis to key concepts, such as intragenerational and intergenerational equity. The framework was applied to review the Environmental Report of the urban plans of 15 major Italian cities. The results of this review show that, even if sustainability is commonly considered as a pivotal concept, there is still work to be done in order to effectively integrate sustainability principles into SEA. In particular, most of the attention is given to mitigation and compensation measures, rather than to actual attempts to propose more sustainable planning decisions in the first place. Concerning the proposed framework of analysis, further research is required to clarify equity concerns and particularly to identify suitable indicators for operationalizing the concepts of intra/inter-generational equity in decision-making. ?? 2012 Elsevier Inc.", "author" : [ { "dropping-particle" : "", "family" : "Lamorgese", "given" : "Lydia", "non-dropping-particle" : "", "parse-names" : false, "suffix" : "" }, { "dropping-particle" : "", "family" : "Geneletti", "given" : "Davide", "non-dropping-particle" : "", "parse-names" : false, "suffix" : "" } ], "container-title" : "Environmental Impact Assessment Review", "id" : "ITEM-1", "issued" : { "date-parts" : [ [ "2013" ] ] }, "page" : "116-126", "publisher" : "Elsevier Inc.", "title" : "Sustainability principles in strategic environmental assessment: A framework for analysis and examples from Italian urban planning", "type" : "article-journal", "volume" : "42" }, "uris" : [ "http://www.mendeley.com/documents/?uuid=50281d85-3e46-42bb-9a5c-be11d8f3b1d0" ] } ], "mendeley" : { "formattedCitation" : "(Lamorgese &amp; Geneletti, 2013)", "plainTextFormattedCitation" : "(Lamorgese &amp; Geneletti, 2013)", "previouslyFormattedCitation" : "(Lamorgese &amp; Geneletti, 2013)" }, "properties" : { "noteIndex" : 0 }, "schema" : "https://github.com/citation-style-language/schema/raw/master/csl-citation.json" }</w:instrText>
            </w:r>
            <w:r w:rsidRPr="00CC033B">
              <w:rPr>
                <w:rFonts w:ascii="Arial" w:hAnsi="Arial" w:cs="Arial"/>
                <w:b/>
                <w:sz w:val="20"/>
                <w:szCs w:val="20"/>
              </w:rPr>
              <w:fldChar w:fldCharType="separate"/>
            </w:r>
            <w:r w:rsidRPr="00CC033B">
              <w:rPr>
                <w:rFonts w:ascii="Arial" w:hAnsi="Arial" w:cs="Arial"/>
                <w:b/>
                <w:noProof/>
                <w:sz w:val="20"/>
                <w:szCs w:val="20"/>
              </w:rPr>
              <w:t>(Lamorgese &amp; Geneletti, 2013)</w:t>
            </w:r>
            <w:r w:rsidRPr="00CC033B">
              <w:rPr>
                <w:rFonts w:ascii="Arial" w:hAnsi="Arial" w:cs="Arial"/>
                <w:b/>
                <w:sz w:val="20"/>
                <w:szCs w:val="20"/>
              </w:rPr>
              <w:fldChar w:fldCharType="end"/>
            </w:r>
          </w:p>
        </w:tc>
        <w:tc>
          <w:tcPr>
            <w:tcW w:w="5490" w:type="dxa"/>
            <w:tcBorders>
              <w:top w:val="nil"/>
              <w:left w:val="nil"/>
            </w:tcBorders>
            <w:vAlign w:val="bottom"/>
          </w:tcPr>
          <w:p w:rsidR="00CC033B" w:rsidRPr="00CC033B" w:rsidRDefault="00CC033B" w:rsidP="0031605E">
            <w:pPr>
              <w:spacing w:after="0" w:line="240" w:lineRule="auto"/>
              <w:rPr>
                <w:rFonts w:ascii="Arial" w:hAnsi="Arial" w:cs="Arial"/>
                <w:color w:val="000000" w:themeColor="text1"/>
                <w:sz w:val="20"/>
                <w:szCs w:val="20"/>
              </w:rPr>
            </w:pPr>
            <w:r w:rsidRPr="00CC033B">
              <w:rPr>
                <w:rFonts w:ascii="Arial" w:hAnsi="Arial" w:cs="Arial"/>
                <w:sz w:val="20"/>
                <w:szCs w:val="20"/>
              </w:rPr>
              <w:t xml:space="preserve">Reduce la intensidad del energía y material del consumidor y otras satisfacciones por el bienestar  </w:t>
            </w:r>
            <w:r w:rsidRPr="00CC033B">
              <w:rPr>
                <w:rFonts w:ascii="Arial" w:hAnsi="Arial" w:cs="Arial"/>
                <w:sz w:val="20"/>
                <w:szCs w:val="20"/>
              </w:rPr>
              <w:fldChar w:fldCharType="begin" w:fldLock="1"/>
            </w:r>
            <w:r w:rsidRPr="00CC033B">
              <w:rPr>
                <w:rFonts w:ascii="Arial" w:hAnsi="Arial" w:cs="Arial"/>
                <w:sz w:val="20"/>
                <w:szCs w:val="20"/>
              </w:rPr>
              <w:instrText>ADDIN CSL_CITATION { "citationItems" : [ { "id" : "ITEM-1", "itemData" : { "DOI" : "10.1016/j.eiar.2012.12.004", "ISBN" : "0195-9255", "ISSN" : "01959255", "abstract" : "This paper presents a framework for analysing the degree of consideration of sustainability principles in Strategic environmental assessment (SEA), and demonstrates its application to a sample of SEA of Italian urban plans. The framework is based on Gibson's (2006) sustainability principles, which are linked to a number of guidance criteria and eventually to review questions, resulting from an extensive literature review. A total of 71 questions are included in the framework, which gives particular emphasis to key concepts, such as intragenerational and intergenerational equity. The framework was applied to review the Environmental Report of the urban plans of 15 major Italian cities. The results of this review show that, even if sustainability is commonly considered as a pivotal concept, there is still work to be done in order to effectively integrate sustainability principles into SEA. In particular, most of the attention is given to mitigation and compensation measures, rather than to actual attempts to propose more sustainable planning decisions in the first place. Concerning the proposed framework of analysis, further research is required to clarify equity concerns and particularly to identify suitable indicators for operationalizing the concepts of intra/inter-generational equity in decision-making. ?? 2012 Elsevier Inc.", "author" : [ { "dropping-particle" : "", "family" : "Lamorgese", "given" : "Lydia", "non-dropping-particle" : "", "parse-names" : false, "suffix" : "" }, { "dropping-particle" : "", "family" : "Geneletti", "given" : "Davide", "non-dropping-particle" : "", "parse-names" : false, "suffix" : "" } ], "container-title" : "Environmental Impact Assessment Review", "id" : "ITEM-1", "issued" : { "date-parts" : [ [ "2013" ] ] }, "page" : "116-126", "publisher" : "Elsevier Inc.", "title" : "Sustainability principles in strategic environmental assessment: A framework for analysis and examples from Italian urban planning", "type" : "article-journal", "volume" : "42" }, "uris" : [ "http://www.mendeley.com/documents/?uuid=50281d85-3e46-42bb-9a5c-be11d8f3b1d0" ] } ], "mendeley" : { "formattedCitation" : "(Lamorgese &amp; Geneletti, 2013)", "plainTextFormattedCitation" : "(Lamorgese &amp; Geneletti, 2013)", "previouslyFormattedCitation" : "(Lamorgese &amp; Geneletti, 2013)" }, "properties" : { "noteIndex" : 0 }, "schema" : "https://github.com/citation-style-language/schema/raw/master/csl-citation.json" }</w:instrText>
            </w:r>
            <w:r w:rsidRPr="00CC033B">
              <w:rPr>
                <w:rFonts w:ascii="Arial" w:hAnsi="Arial" w:cs="Arial"/>
                <w:sz w:val="20"/>
                <w:szCs w:val="20"/>
              </w:rPr>
              <w:fldChar w:fldCharType="separate"/>
            </w:r>
            <w:r w:rsidRPr="00CC033B">
              <w:rPr>
                <w:rFonts w:ascii="Arial" w:hAnsi="Arial" w:cs="Arial"/>
                <w:noProof/>
                <w:sz w:val="20"/>
                <w:szCs w:val="20"/>
              </w:rPr>
              <w:t>(Lamorgese &amp; Geneletti, 2013)</w:t>
            </w:r>
            <w:r w:rsidRPr="00CC033B">
              <w:rPr>
                <w:rFonts w:ascii="Arial" w:hAnsi="Arial" w:cs="Arial"/>
                <w:sz w:val="20"/>
                <w:szCs w:val="20"/>
              </w:rPr>
              <w:fldChar w:fldCharType="end"/>
            </w:r>
          </w:p>
        </w:tc>
      </w:tr>
    </w:tbl>
    <w:p w:rsidR="00EC548B" w:rsidRPr="000E0F90" w:rsidRDefault="00EC548B" w:rsidP="008D666D">
      <w:pPr>
        <w:spacing w:before="240"/>
        <w:rPr>
          <w:rFonts w:ascii="Arial" w:hAnsi="Arial" w:cs="Arial"/>
          <w:color w:val="000000" w:themeColor="text1"/>
        </w:rPr>
      </w:pPr>
    </w:p>
    <w:p w:rsidR="00EC548B" w:rsidRPr="000E0F90" w:rsidRDefault="00EC548B">
      <w:pPr>
        <w:jc w:val="left"/>
        <w:rPr>
          <w:rFonts w:ascii="Arial" w:hAnsi="Arial" w:cs="Arial"/>
          <w:color w:val="000000" w:themeColor="text1"/>
        </w:rPr>
      </w:pPr>
      <w:r w:rsidRPr="000E0F90">
        <w:rPr>
          <w:rFonts w:ascii="Arial" w:hAnsi="Arial" w:cs="Arial"/>
          <w:color w:val="000000" w:themeColor="text1"/>
        </w:rPr>
        <w:br w:type="page"/>
      </w:r>
    </w:p>
    <w:p w:rsidR="001C1F79" w:rsidRPr="000E0F90" w:rsidRDefault="00E0505F" w:rsidP="002B538F">
      <w:pPr>
        <w:pStyle w:val="Ttulo4"/>
        <w:rPr>
          <w:rFonts w:ascii="Arial" w:hAnsi="Arial" w:cs="Arial"/>
          <w:color w:val="000000" w:themeColor="text1"/>
        </w:rPr>
      </w:pPr>
      <w:bookmarkStart w:id="22" w:name="_Toc474855674"/>
      <w:r>
        <w:rPr>
          <w:rFonts w:ascii="Arial" w:hAnsi="Arial" w:cs="Arial"/>
          <w:color w:val="000000" w:themeColor="text1"/>
        </w:rPr>
        <w:lastRenderedPageBreak/>
        <w:t>Criterios</w:t>
      </w:r>
      <w:r w:rsidR="00B5389E" w:rsidRPr="000E0F90">
        <w:rPr>
          <w:rFonts w:ascii="Arial" w:hAnsi="Arial" w:cs="Arial"/>
          <w:color w:val="000000" w:themeColor="text1"/>
        </w:rPr>
        <w:t xml:space="preserve"> </w:t>
      </w:r>
      <w:r w:rsidR="005E3A6E">
        <w:rPr>
          <w:rFonts w:ascii="Arial" w:hAnsi="Arial" w:cs="Arial"/>
          <w:color w:val="000000" w:themeColor="text1"/>
        </w:rPr>
        <w:t>para el</w:t>
      </w:r>
      <w:r w:rsidR="00B5389E" w:rsidRPr="000E0F90">
        <w:rPr>
          <w:rFonts w:ascii="Arial" w:hAnsi="Arial" w:cs="Arial"/>
          <w:color w:val="000000" w:themeColor="text1"/>
        </w:rPr>
        <w:t xml:space="preserve"> principio e</w:t>
      </w:r>
      <w:r w:rsidR="001C1F79" w:rsidRPr="000E0F90">
        <w:rPr>
          <w:rFonts w:ascii="Arial" w:hAnsi="Arial" w:cs="Arial"/>
          <w:color w:val="000000" w:themeColor="text1"/>
        </w:rPr>
        <w:t>quidad entre generaciones:</w:t>
      </w:r>
      <w:bookmarkEnd w:id="22"/>
      <w:r w:rsidR="001C1F79" w:rsidRPr="000E0F90">
        <w:rPr>
          <w:rFonts w:ascii="Arial" w:hAnsi="Arial" w:cs="Arial"/>
          <w:color w:val="000000" w:themeColor="text1"/>
        </w:rPr>
        <w:t xml:space="preserve"> </w:t>
      </w:r>
    </w:p>
    <w:p w:rsidR="00B5389E" w:rsidRPr="000E0F90" w:rsidRDefault="00B5389E" w:rsidP="008D6193">
      <w:pPr>
        <w:tabs>
          <w:tab w:val="left" w:pos="2240"/>
        </w:tabs>
        <w:spacing w:line="360" w:lineRule="auto"/>
        <w:rPr>
          <w:rFonts w:ascii="Arial" w:hAnsi="Arial" w:cs="Arial"/>
          <w:color w:val="000000" w:themeColor="text1"/>
        </w:rPr>
      </w:pPr>
      <w:r w:rsidRPr="000E0F90">
        <w:rPr>
          <w:rFonts w:ascii="Arial" w:hAnsi="Arial" w:cs="Arial"/>
          <w:color w:val="000000" w:themeColor="text1"/>
        </w:rPr>
        <w:t>De acuerdo a la revisión d</w:t>
      </w:r>
      <w:r w:rsidR="00BB3E3A" w:rsidRPr="000E0F90">
        <w:rPr>
          <w:rFonts w:ascii="Arial" w:hAnsi="Arial" w:cs="Arial"/>
          <w:color w:val="000000" w:themeColor="text1"/>
        </w:rPr>
        <w:t>e la literatura, en relación la</w:t>
      </w:r>
      <w:r w:rsidRPr="000E0F90">
        <w:rPr>
          <w:rFonts w:ascii="Arial" w:hAnsi="Arial" w:cs="Arial"/>
          <w:color w:val="000000" w:themeColor="text1"/>
          <w:shd w:val="clear" w:color="auto" w:fill="FFFFFF"/>
        </w:rPr>
        <w:t xml:space="preserve"> equidad entre generaciones</w:t>
      </w:r>
      <w:r w:rsidRPr="000E0F90">
        <w:rPr>
          <w:rFonts w:ascii="Arial" w:hAnsi="Arial" w:cs="Arial"/>
          <w:color w:val="000000" w:themeColor="text1"/>
        </w:rPr>
        <w:t xml:space="preserve">, se identificaron los siguientes </w:t>
      </w:r>
      <w:r w:rsidR="00E0505F">
        <w:rPr>
          <w:rFonts w:ascii="Arial" w:hAnsi="Arial" w:cs="Arial"/>
          <w:color w:val="000000" w:themeColor="text1"/>
        </w:rPr>
        <w:t>criterios</w:t>
      </w:r>
      <w:r w:rsidRPr="000E0F90">
        <w:rPr>
          <w:rFonts w:ascii="Arial" w:hAnsi="Arial" w:cs="Arial"/>
          <w:color w:val="000000" w:themeColor="text1"/>
        </w:rPr>
        <w:t xml:space="preserve"> aplica</w:t>
      </w:r>
      <w:r w:rsidR="008C5C84">
        <w:rPr>
          <w:rFonts w:ascii="Arial" w:hAnsi="Arial" w:cs="Arial"/>
          <w:color w:val="000000" w:themeColor="text1"/>
        </w:rPr>
        <w:t>bles a</w:t>
      </w:r>
      <w:r w:rsidRPr="000E0F90">
        <w:rPr>
          <w:rFonts w:ascii="Arial" w:hAnsi="Arial" w:cs="Arial"/>
          <w:color w:val="000000" w:themeColor="text1"/>
        </w:rPr>
        <w:t>l ámbito territorial</w:t>
      </w:r>
      <w:r w:rsidR="00A84EE6" w:rsidRPr="000E0F90">
        <w:rPr>
          <w:rFonts w:ascii="Arial" w:hAnsi="Arial" w:cs="Arial"/>
          <w:color w:val="000000" w:themeColor="text1"/>
        </w:rPr>
        <w:t xml:space="preserve"> minero</w:t>
      </w:r>
      <w:r w:rsidR="003418D0" w:rsidRPr="000E0F90">
        <w:rPr>
          <w:rFonts w:ascii="Arial" w:hAnsi="Arial" w:cs="Arial"/>
          <w:color w:val="000000" w:themeColor="text1"/>
        </w:rPr>
        <w:t xml:space="preserve"> (Cuadro 6)</w:t>
      </w:r>
      <w:r w:rsidRPr="000E0F90">
        <w:rPr>
          <w:rFonts w:ascii="Arial" w:hAnsi="Arial" w:cs="Arial"/>
          <w:color w:val="000000" w:themeColor="text1"/>
        </w:rPr>
        <w:t>.</w:t>
      </w:r>
    </w:p>
    <w:p w:rsidR="004155A2" w:rsidRPr="000E0F90" w:rsidRDefault="006B15AA" w:rsidP="008D6193">
      <w:pPr>
        <w:pStyle w:val="Epgrafe"/>
        <w:spacing w:after="0" w:line="360" w:lineRule="auto"/>
        <w:rPr>
          <w:rFonts w:ascii="Arial" w:hAnsi="Arial" w:cs="Arial"/>
          <w:b w:val="0"/>
          <w:color w:val="000000" w:themeColor="text1"/>
          <w:sz w:val="22"/>
        </w:rPr>
      </w:pPr>
      <w:r w:rsidRPr="000E0F90">
        <w:rPr>
          <w:rFonts w:ascii="Arial" w:hAnsi="Arial" w:cs="Arial"/>
          <w:b w:val="0"/>
          <w:color w:val="000000" w:themeColor="text1"/>
          <w:sz w:val="22"/>
        </w:rPr>
        <w:t xml:space="preserve">Cuadro </w:t>
      </w:r>
      <w:r w:rsidRPr="000E0F90">
        <w:rPr>
          <w:rFonts w:ascii="Arial" w:hAnsi="Arial" w:cs="Arial"/>
          <w:b w:val="0"/>
          <w:color w:val="000000" w:themeColor="text1"/>
          <w:sz w:val="22"/>
        </w:rPr>
        <w:fldChar w:fldCharType="begin"/>
      </w:r>
      <w:r w:rsidRPr="000E0F90">
        <w:rPr>
          <w:rFonts w:ascii="Arial" w:hAnsi="Arial" w:cs="Arial"/>
          <w:b w:val="0"/>
          <w:color w:val="000000" w:themeColor="text1"/>
          <w:sz w:val="22"/>
        </w:rPr>
        <w:instrText xml:space="preserve"> SEQ Cuadro \* ARABIC </w:instrText>
      </w:r>
      <w:r w:rsidRPr="000E0F90">
        <w:rPr>
          <w:rFonts w:ascii="Arial" w:hAnsi="Arial" w:cs="Arial"/>
          <w:b w:val="0"/>
          <w:color w:val="000000" w:themeColor="text1"/>
          <w:sz w:val="22"/>
        </w:rPr>
        <w:fldChar w:fldCharType="separate"/>
      </w:r>
      <w:r w:rsidR="00225844">
        <w:rPr>
          <w:rFonts w:ascii="Arial" w:hAnsi="Arial" w:cs="Arial"/>
          <w:b w:val="0"/>
          <w:noProof/>
          <w:color w:val="000000" w:themeColor="text1"/>
          <w:sz w:val="22"/>
        </w:rPr>
        <w:t>6</w:t>
      </w:r>
      <w:r w:rsidRPr="000E0F90">
        <w:rPr>
          <w:rFonts w:ascii="Arial" w:hAnsi="Arial" w:cs="Arial"/>
          <w:b w:val="0"/>
          <w:color w:val="000000" w:themeColor="text1"/>
          <w:sz w:val="22"/>
        </w:rPr>
        <w:fldChar w:fldCharType="end"/>
      </w:r>
      <w:r w:rsidR="004155A2" w:rsidRPr="000E0F90">
        <w:rPr>
          <w:rFonts w:ascii="Arial" w:hAnsi="Arial" w:cs="Arial"/>
          <w:b w:val="0"/>
          <w:color w:val="000000" w:themeColor="text1"/>
          <w:sz w:val="22"/>
        </w:rPr>
        <w:t xml:space="preserve">: </w:t>
      </w:r>
      <w:r w:rsidR="00E0505F">
        <w:rPr>
          <w:rFonts w:ascii="Arial" w:hAnsi="Arial" w:cs="Arial"/>
          <w:b w:val="0"/>
          <w:color w:val="000000" w:themeColor="text1"/>
          <w:sz w:val="22"/>
        </w:rPr>
        <w:t>Criterios</w:t>
      </w:r>
      <w:r w:rsidR="004155A2" w:rsidRPr="000E0F90">
        <w:rPr>
          <w:rFonts w:ascii="Arial" w:hAnsi="Arial" w:cs="Arial"/>
          <w:b w:val="0"/>
          <w:color w:val="000000" w:themeColor="text1"/>
          <w:sz w:val="22"/>
        </w:rPr>
        <w:t xml:space="preserve"> </w:t>
      </w:r>
      <w:r w:rsidR="009D5ADA" w:rsidRPr="000E0F90">
        <w:rPr>
          <w:rFonts w:ascii="Arial" w:hAnsi="Arial" w:cs="Arial"/>
          <w:b w:val="0"/>
          <w:color w:val="000000" w:themeColor="text1"/>
          <w:sz w:val="22"/>
        </w:rPr>
        <w:t>identificados para estructurar</w:t>
      </w:r>
      <w:r w:rsidR="008F3031" w:rsidRPr="000E0F90">
        <w:rPr>
          <w:rFonts w:ascii="Arial" w:hAnsi="Arial" w:cs="Arial"/>
          <w:b w:val="0"/>
          <w:color w:val="000000" w:themeColor="text1"/>
          <w:sz w:val="22"/>
        </w:rPr>
        <w:t xml:space="preserve"> el principio E</w:t>
      </w:r>
      <w:r w:rsidR="004155A2" w:rsidRPr="000E0F90">
        <w:rPr>
          <w:rFonts w:ascii="Arial" w:hAnsi="Arial" w:cs="Arial"/>
          <w:b w:val="0"/>
          <w:color w:val="000000" w:themeColor="text1"/>
          <w:sz w:val="22"/>
        </w:rPr>
        <w:t xml:space="preserve">quidad entre </w:t>
      </w:r>
      <w:r w:rsidRPr="000E0F90">
        <w:rPr>
          <w:rFonts w:ascii="Arial" w:hAnsi="Arial" w:cs="Arial"/>
          <w:b w:val="0"/>
          <w:color w:val="000000" w:themeColor="text1"/>
          <w:sz w:val="22"/>
        </w:rPr>
        <w:t>G</w:t>
      </w:r>
      <w:r w:rsidR="004155A2" w:rsidRPr="000E0F90">
        <w:rPr>
          <w:rFonts w:ascii="Arial" w:hAnsi="Arial" w:cs="Arial"/>
          <w:b w:val="0"/>
          <w:color w:val="000000" w:themeColor="text1"/>
          <w:sz w:val="22"/>
        </w:rPr>
        <w:t>eneraciones para territorios</w:t>
      </w:r>
      <w:r w:rsidR="008F3031" w:rsidRPr="000E0F90">
        <w:rPr>
          <w:rFonts w:ascii="Arial" w:hAnsi="Arial" w:cs="Arial"/>
          <w:b w:val="0"/>
          <w:color w:val="000000" w:themeColor="text1"/>
          <w:sz w:val="22"/>
        </w:rPr>
        <w:t xml:space="preserve"> mineros</w:t>
      </w:r>
    </w:p>
    <w:tbl>
      <w:tblPr>
        <w:tblStyle w:val="Tablaconcuadrcula"/>
        <w:tblW w:w="8897" w:type="dxa"/>
        <w:tblLayout w:type="fixed"/>
        <w:tblLook w:val="04A0" w:firstRow="1" w:lastRow="0" w:firstColumn="1" w:lastColumn="0" w:noHBand="0" w:noVBand="1"/>
      </w:tblPr>
      <w:tblGrid>
        <w:gridCol w:w="2802"/>
        <w:gridCol w:w="6095"/>
      </w:tblGrid>
      <w:tr w:rsidR="00B5389E" w:rsidRPr="000E0F90" w:rsidTr="002A21E4">
        <w:tc>
          <w:tcPr>
            <w:tcW w:w="8897" w:type="dxa"/>
            <w:gridSpan w:val="2"/>
            <w:tcBorders>
              <w:left w:val="nil"/>
              <w:right w:val="nil"/>
            </w:tcBorders>
            <w:shd w:val="clear" w:color="auto" w:fill="D9D9D9" w:themeFill="background1" w:themeFillShade="D9"/>
          </w:tcPr>
          <w:p w:rsidR="00B5389E" w:rsidRPr="000E0F90" w:rsidRDefault="002A21E4" w:rsidP="001A5FA2">
            <w:pPr>
              <w:rPr>
                <w:rFonts w:ascii="Arial" w:hAnsi="Arial" w:cs="Arial"/>
                <w:color w:val="000000" w:themeColor="text1"/>
                <w:sz w:val="20"/>
              </w:rPr>
            </w:pPr>
            <w:r w:rsidRPr="000E0F90">
              <w:rPr>
                <w:rFonts w:ascii="Arial" w:hAnsi="Arial" w:cs="Arial"/>
                <w:b/>
                <w:color w:val="000000" w:themeColor="text1"/>
                <w:sz w:val="20"/>
              </w:rPr>
              <w:t>Equidad entre  generaciones</w:t>
            </w:r>
          </w:p>
        </w:tc>
      </w:tr>
      <w:tr w:rsidR="00B5389E" w:rsidRPr="000E0F90" w:rsidTr="00C901F3">
        <w:tc>
          <w:tcPr>
            <w:tcW w:w="8897" w:type="dxa"/>
            <w:gridSpan w:val="2"/>
            <w:tcBorders>
              <w:left w:val="nil"/>
              <w:bottom w:val="single" w:sz="4" w:space="0" w:color="auto"/>
              <w:right w:val="nil"/>
            </w:tcBorders>
          </w:tcPr>
          <w:p w:rsidR="00B5389E" w:rsidRPr="000E0F90" w:rsidRDefault="00B5389E" w:rsidP="001A5FA2">
            <w:pPr>
              <w:rPr>
                <w:rFonts w:ascii="Arial" w:hAnsi="Arial" w:cs="Arial"/>
                <w:b/>
                <w:i/>
                <w:color w:val="000000" w:themeColor="text1"/>
                <w:sz w:val="20"/>
              </w:rPr>
            </w:pPr>
            <w:r w:rsidRPr="000E0F90">
              <w:rPr>
                <w:rFonts w:ascii="Arial" w:hAnsi="Arial" w:cs="Arial"/>
                <w:i/>
                <w:color w:val="000000" w:themeColor="text1"/>
                <w:sz w:val="20"/>
              </w:rPr>
              <w:t>Favorecer opciones y acciones presentes que sean más tendientes a preservar o aumentar las oportunidades y capacidades de las futuras generaciones de vivir sosteniblemente</w:t>
            </w:r>
            <w:r w:rsidR="002B546D">
              <w:rPr>
                <w:rFonts w:ascii="Arial" w:hAnsi="Arial" w:cs="Arial"/>
                <w:i/>
                <w:color w:val="000000" w:themeColor="text1"/>
                <w:sz w:val="20"/>
              </w:rPr>
              <w:t xml:space="preserve"> </w:t>
            </w:r>
            <w:r w:rsidR="002B546D" w:rsidRPr="000E0F90">
              <w:rPr>
                <w:rFonts w:ascii="Arial" w:hAnsi="Arial" w:cs="Arial"/>
                <w:i/>
                <w:color w:val="000000" w:themeColor="text1"/>
                <w:sz w:val="20"/>
                <w:szCs w:val="20"/>
              </w:rPr>
              <w:t xml:space="preserve"> </w:t>
            </w:r>
            <w:r w:rsidR="002B546D" w:rsidRPr="000E0F90">
              <w:rPr>
                <w:rFonts w:ascii="Arial" w:hAnsi="Arial" w:cs="Arial"/>
                <w:color w:val="000000" w:themeColor="text1"/>
                <w:sz w:val="20"/>
                <w:szCs w:val="20"/>
              </w:rPr>
              <w:t>(Gibson, 2006)</w:t>
            </w:r>
          </w:p>
        </w:tc>
      </w:tr>
      <w:tr w:rsidR="00B5389E" w:rsidRPr="000E0F90" w:rsidTr="002A21E4">
        <w:tc>
          <w:tcPr>
            <w:tcW w:w="2802" w:type="dxa"/>
            <w:tcBorders>
              <w:left w:val="nil"/>
              <w:bottom w:val="single" w:sz="4" w:space="0" w:color="auto"/>
              <w:right w:val="nil"/>
            </w:tcBorders>
            <w:shd w:val="clear" w:color="auto" w:fill="D9D9D9" w:themeFill="background1" w:themeFillShade="D9"/>
          </w:tcPr>
          <w:p w:rsidR="00B5389E" w:rsidRPr="000E0F90" w:rsidRDefault="00AC278D" w:rsidP="001A5FA2">
            <w:pPr>
              <w:rPr>
                <w:rFonts w:ascii="Arial" w:hAnsi="Arial" w:cs="Arial"/>
                <w:b/>
                <w:color w:val="000000" w:themeColor="text1"/>
                <w:sz w:val="20"/>
              </w:rPr>
            </w:pPr>
            <w:r w:rsidRPr="000E0F90">
              <w:rPr>
                <w:rFonts w:ascii="Arial" w:hAnsi="Arial" w:cs="Arial"/>
                <w:b/>
                <w:color w:val="000000" w:themeColor="text1"/>
                <w:sz w:val="20"/>
              </w:rPr>
              <w:t xml:space="preserve">Criterio </w:t>
            </w:r>
          </w:p>
        </w:tc>
        <w:tc>
          <w:tcPr>
            <w:tcW w:w="6095" w:type="dxa"/>
            <w:tcBorders>
              <w:left w:val="nil"/>
              <w:bottom w:val="single" w:sz="4" w:space="0" w:color="auto"/>
              <w:right w:val="nil"/>
            </w:tcBorders>
            <w:shd w:val="clear" w:color="auto" w:fill="D9D9D9" w:themeFill="background1" w:themeFillShade="D9"/>
          </w:tcPr>
          <w:p w:rsidR="00B5389E" w:rsidRPr="000E0F90" w:rsidRDefault="00B5389E" w:rsidP="001A5FA2">
            <w:pPr>
              <w:rPr>
                <w:rFonts w:ascii="Arial" w:hAnsi="Arial" w:cs="Arial"/>
                <w:b/>
                <w:color w:val="000000" w:themeColor="text1"/>
                <w:sz w:val="20"/>
              </w:rPr>
            </w:pPr>
            <w:r w:rsidRPr="000E0F90">
              <w:rPr>
                <w:rFonts w:ascii="Arial" w:hAnsi="Arial" w:cs="Arial"/>
                <w:b/>
                <w:color w:val="000000" w:themeColor="text1"/>
                <w:sz w:val="20"/>
              </w:rPr>
              <w:t>Acción</w:t>
            </w:r>
          </w:p>
        </w:tc>
      </w:tr>
      <w:tr w:rsidR="00DE7D47" w:rsidRPr="000E0F90" w:rsidTr="002A21E4">
        <w:tc>
          <w:tcPr>
            <w:tcW w:w="2802" w:type="dxa"/>
            <w:tcBorders>
              <w:left w:val="nil"/>
              <w:bottom w:val="nil"/>
              <w:right w:val="nil"/>
            </w:tcBorders>
          </w:tcPr>
          <w:p w:rsidR="00DE7D47" w:rsidRPr="000E0F90" w:rsidRDefault="00DE7D47" w:rsidP="001A5FA2">
            <w:pPr>
              <w:rPr>
                <w:rFonts w:ascii="Arial" w:hAnsi="Arial" w:cs="Arial"/>
                <w:b/>
                <w:color w:val="000000" w:themeColor="text1"/>
                <w:sz w:val="20"/>
              </w:rPr>
            </w:pPr>
            <w:r w:rsidRPr="000E0F90">
              <w:rPr>
                <w:rFonts w:ascii="Arial" w:hAnsi="Arial" w:cs="Arial"/>
                <w:b/>
                <w:color w:val="000000" w:themeColor="text1"/>
                <w:sz w:val="20"/>
              </w:rPr>
              <w:t xml:space="preserve">Determina costos potenciales y beneficios para las futuras generaciones </w:t>
            </w:r>
            <w:r w:rsidRPr="000E0F90">
              <w:rPr>
                <w:rFonts w:ascii="Arial" w:hAnsi="Arial" w:cs="Arial"/>
                <w:b/>
                <w:color w:val="000000" w:themeColor="text1"/>
                <w:sz w:val="20"/>
              </w:rPr>
              <w:fldChar w:fldCharType="begin" w:fldLock="1"/>
            </w:r>
            <w:r w:rsidRPr="000E0F90">
              <w:rPr>
                <w:rFonts w:ascii="Arial" w:hAnsi="Arial" w:cs="Arial"/>
                <w:b/>
                <w:color w:val="000000" w:themeColor="text1"/>
                <w:sz w:val="20"/>
              </w:rPr>
              <w:instrText>ADDIN CSL_CITATION { "citationItems" : [ { "id" : "ITEM-1", "itemData" : { "DOI" : "10.3152/146155110X12772982841122", "ISSN" : "1461-5517", "abstract" : "Assessments today need to help reverse trends towards deeper unsustainability and address the unavoidable interconnections, feedbacks and uncertainties that typify complex socio-ecological systems at all scales. To illustrate one promising approach, this paper describes a modest effort to integrate understandings from Gibson et al\u2019s approach to sustainability assessment with the Resilience Alliance\u2019s applications of complex systems thinking into a suite of systems and sustainability based criteria. The integrated sustainability\u2013resilience criteria were used to assess an existing small-scale biodiesel operation on Barbados that involves waste management, public health, transportation, energy security and community involvement considerations. The assessment revealed that the main benefit of this biodiesel project is in social learning rather than enhancing energy security and waste management, and the best ways of enhancing the project lie in larger scale policy initiatives. The findings suggest that the use of a sustainability\u2013resilience approach can contribute insights unlikely to emerge from more narrowly focused assessments.", "author" : [ { "dropping-particle" : "", "family" : "Gaudreau", "given" : "Kyrke", "non-dropping-particle" : "", "parse-names" : false, "suffix" : "" }, { "dropping-particle" : "", "family" : "Gibson", "given" : "Robert B.", "non-dropping-particle" : "", "parse-names" : false, "suffix" : "" } ], "container-title" : "Impact Assessment and Project Appraisal", "id" : "ITEM-1", "issue" : "December", "issued" : { "date-parts" : [ [ "2010" ] ] }, "page" : "233-243", "title" : "Illustrating integrated sustainability and resilience based assessments: a small-scale biodiesel project in Barbados", "type" : "article-journal", "volume" : "28" }, "uris" : [ "http://www.mendeley.com/documents/?uuid=fee76635-1433-4c27-9c85-bbbf459c7e59" ] } ], "mendeley" : { "formattedCitation" : "(Gaudreau &amp; Gibson, 2010)", "plainTextFormattedCitation" : "(Gaudreau &amp; Gibson, 2010)", "previouslyFormattedCitation" : "(Gaudreau &amp; Gibson, 2010)" }, "properties" : { "noteIndex" : 0 }, "schema" : "https://github.com/citation-style-language/schema/raw/master/csl-citation.json" }</w:instrText>
            </w:r>
            <w:r w:rsidRPr="000E0F90">
              <w:rPr>
                <w:rFonts w:ascii="Arial" w:hAnsi="Arial" w:cs="Arial"/>
                <w:b/>
                <w:color w:val="000000" w:themeColor="text1"/>
                <w:sz w:val="20"/>
              </w:rPr>
              <w:fldChar w:fldCharType="separate"/>
            </w:r>
            <w:r w:rsidRPr="000E0F90">
              <w:rPr>
                <w:rFonts w:ascii="Arial" w:hAnsi="Arial" w:cs="Arial"/>
                <w:b/>
                <w:noProof/>
                <w:color w:val="000000" w:themeColor="text1"/>
                <w:sz w:val="20"/>
              </w:rPr>
              <w:t>(Gaudreau &amp; Gibson, 2010)</w:t>
            </w:r>
            <w:r w:rsidRPr="000E0F90">
              <w:rPr>
                <w:rFonts w:ascii="Arial" w:hAnsi="Arial" w:cs="Arial"/>
                <w:b/>
                <w:color w:val="000000" w:themeColor="text1"/>
                <w:sz w:val="20"/>
              </w:rPr>
              <w:fldChar w:fldCharType="end"/>
            </w:r>
          </w:p>
        </w:tc>
        <w:tc>
          <w:tcPr>
            <w:tcW w:w="6095" w:type="dxa"/>
            <w:tcBorders>
              <w:left w:val="nil"/>
              <w:bottom w:val="nil"/>
              <w:right w:val="nil"/>
            </w:tcBorders>
          </w:tcPr>
          <w:p w:rsidR="00DE7D47" w:rsidRPr="000E0F90" w:rsidRDefault="00DE7D47" w:rsidP="008B365C">
            <w:pPr>
              <w:rPr>
                <w:rFonts w:ascii="Arial" w:hAnsi="Arial" w:cs="Arial"/>
                <w:color w:val="000000" w:themeColor="text1"/>
                <w:sz w:val="20"/>
              </w:rPr>
            </w:pPr>
            <w:r w:rsidRPr="000E0F90">
              <w:rPr>
                <w:rFonts w:ascii="Arial" w:hAnsi="Arial" w:cs="Arial"/>
                <w:color w:val="000000" w:themeColor="text1"/>
                <w:sz w:val="20"/>
              </w:rPr>
              <w:t xml:space="preserve">Identifica efectos en el largo plazo, desfasados y/o acumulativos en el medio biofísico y humano de las acciones presentes; identificar efectos residuales, costos de legado </w:t>
            </w:r>
            <w:r w:rsidRPr="000E0F90">
              <w:rPr>
                <w:rFonts w:ascii="Arial" w:hAnsi="Arial" w:cs="Arial"/>
                <w:color w:val="000000" w:themeColor="text1"/>
                <w:sz w:val="20"/>
              </w:rPr>
              <w:fldChar w:fldCharType="begin" w:fldLock="1"/>
            </w:r>
            <w:r w:rsidRPr="000E0F90">
              <w:rPr>
                <w:rFonts w:ascii="Arial" w:hAnsi="Arial" w:cs="Arial"/>
                <w:color w:val="000000" w:themeColor="text1"/>
                <w:sz w:val="20"/>
              </w:rPr>
              <w:instrText>ADDIN CSL_CITATION { "citationItems" : [ { "id" : "ITEM-1", "itemData" : { "DOI" : "10.1890/0012-9623(2000)081[0272:EPCOE]2.0.CO;2", "ISBN" : "1051-0761", "ISSN" : "0012-9623", "PMID" : "2641032", "abstract" : "The many ways that people have used and managed land throughout history has emerged as a primary cause of land-cover change around the world. Thus, land use and land management increasingly represent a fundamental source of change in the global environment. Despite their global importance, however, many decisions about the management and use of land are made with scant attention to ecological impacts. Thus, ecologists\u2019 knowledge of the functioning of Earth\u2019s ecosystems is needed to broaden the scientific basis of decisions on land use and management. In response to this need, the Ecological Society of America established a committee to examine the ways that land-use decisions are made and the ways that ecologists could help inform those decisions. This paper reports the scientific findings of that committee. Five principles of ecological science have particular implications for land use and can assure that fundamental processes of Earth\u2019s ecosystems are sustained. These ecological principles deal with time, species, place, dis- turbance, and the landscape. The recognition that ecological processes occur within a temporal setting and change over time is fundamental to analyzing the effects of land use. In addition, individual species and networks of interacting species have strong and far-reaching effects on ecological processes. Furthermore, each site or region has a unique set of organisms and abiotic conditions influencing and constraining ecological processes. Distur- bances are important and ubiquitous ecological events whose effects may strongly influence population, com- munity, and ecosystem dynamics. Finally, the size, shape, and spatial relationships of habitat patches on the landscape affect the structure and function of ecosystems. The responses of the land to changes in use and management by people depend on expressions of these fundamental principles in nature. These principles dictate several guidelines for land use. The guidelines give practical rules of thumb for incorporating ecological principles into land-use decision making. These guidelines suggest that land managers should: (1) examine impacts of local decisions in a regional context, (2) plan for long-termchange and unexpected events, (3) preserve rare landscape elements and associated species, (4) avoid land uses that deplete natural resources, (5) retain large contiguous or connected areas that contain critical habitats, (6) minimize the intro- duction and spread of nonnative sp\u2026", "author" : [ { "dropping-particle" : "", "family" : "Dale", "given" : "Vh", "non-dropping-particle" : "", "parse-names" : false, "suffix" : "" }, { "dropping-particle" : "", "family" : "Brown", "given" : "S", "non-dropping-particle" : "", "parse-names" : false, "suffix" : "" }, { "dropping-particle" : "", "family" : "Haeuber", "given" : "Ra", "non-dropping-particle" : "", "parse-names" : false, "suffix" : "" } ], "container-title" : "Ecological Applications", "id" : "ITEM-1", "issue" : "3", "issued" : { "date-parts" : [ [ "2000" ] ] }, "page" : "639-670", "title" : "Ecological Principles and Guidelines for Managing the use of Land", "type" : "article-journal", "volume" : "10" }, "uris" : [ "http://www.mendeley.com/documents/?uuid=bc0e4508-68ba-43f1-b8ad-4ce0d03c2491" ] } ], "mendeley" : { "formattedCitation" : "(Dale et al., 2000)", "plainTextFormattedCitation" : "(Dale et al., 2000)", "previouslyFormattedCitation" : "(Dale et al., 2000)" }, "properties" : { "noteIndex" : 0 }, "schema" : "https://github.com/citation-style-language/schema/raw/master/csl-citation.json" }</w:instrText>
            </w:r>
            <w:r w:rsidRPr="000E0F90">
              <w:rPr>
                <w:rFonts w:ascii="Arial" w:hAnsi="Arial" w:cs="Arial"/>
                <w:color w:val="000000" w:themeColor="text1"/>
                <w:sz w:val="20"/>
              </w:rPr>
              <w:fldChar w:fldCharType="separate"/>
            </w:r>
            <w:r w:rsidRPr="000E0F90">
              <w:rPr>
                <w:rFonts w:ascii="Arial" w:hAnsi="Arial" w:cs="Arial"/>
                <w:noProof/>
                <w:color w:val="000000" w:themeColor="text1"/>
                <w:sz w:val="20"/>
              </w:rPr>
              <w:t>(Dale et al., 2000)</w:t>
            </w:r>
            <w:r w:rsidRPr="000E0F90">
              <w:rPr>
                <w:rFonts w:ascii="Arial" w:hAnsi="Arial" w:cs="Arial"/>
                <w:color w:val="000000" w:themeColor="text1"/>
                <w:sz w:val="20"/>
              </w:rPr>
              <w:fldChar w:fldCharType="end"/>
            </w:r>
            <w:r w:rsidRPr="000E0F90">
              <w:rPr>
                <w:rFonts w:ascii="Arial" w:hAnsi="Arial" w:cs="Arial"/>
                <w:color w:val="000000" w:themeColor="text1"/>
                <w:sz w:val="20"/>
              </w:rPr>
              <w:cr/>
            </w:r>
            <w:r w:rsidRPr="000E0F90">
              <w:rPr>
                <w:rFonts w:ascii="Arial" w:hAnsi="Arial" w:cs="Arial"/>
                <w:color w:val="000000" w:themeColor="text1"/>
                <w:sz w:val="20"/>
              </w:rPr>
              <w:fldChar w:fldCharType="begin" w:fldLock="1"/>
            </w:r>
            <w:r w:rsidRPr="000E0F90">
              <w:rPr>
                <w:rFonts w:ascii="Arial" w:hAnsi="Arial" w:cs="Arial"/>
                <w:color w:val="000000" w:themeColor="text1"/>
                <w:sz w:val="20"/>
              </w:rPr>
              <w:instrText>ADDIN CSL_CITATION { "citationItems" : [ { "id" : "ITEM-1", "itemData" : { "DOI" : "10.3152/146155110X12772982841122", "ISSN" : "1461-5517", "abstract" : "Assessments today need to help reverse trends towards deeper unsustainability and address the unavoidable interconnections, feedbacks and uncertainties that typify complex socio-ecological systems at all scales. To illustrate one promising approach, this paper describes a modest effort to integrate understandings from Gibson et al\u2019s approach to sustainability assessment with the Resilience Alliance\u2019s applications of complex systems thinking into a suite of systems and sustainability based criteria. The integrated sustainability\u2013resilience criteria were used to assess an existing small-scale biodiesel operation on Barbados that involves waste management, public health, transportation, energy security and community involvement considerations. The assessment revealed that the main benefit of this biodiesel project is in social learning rather than enhancing energy security and waste management, and the best ways of enhancing the project lie in larger scale policy initiatives. The findings suggest that the use of a sustainability\u2013resilience approach can contribute insights unlikely to emerge from more narrowly focused assessments.", "author" : [ { "dropping-particle" : "", "family" : "Gaudreau", "given" : "Kyrke", "non-dropping-particle" : "", "parse-names" : false, "suffix" : "" }, { "dropping-particle" : "", "family" : "Gibson", "given" : "Robert B.", "non-dropping-particle" : "", "parse-names" : false, "suffix" : "" } ], "container-title" : "Impact Assessment and Project Appraisal", "id" : "ITEM-1", "issue" : "December", "issued" : { "date-parts" : [ [ "2010" ] ] }, "page" : "233-243", "title" : "Illustrating integrated sustainability and resilience based assessments: a small-scale biodiesel project in Barbados", "type" : "article-journal", "volume" : "28" }, "uris" : [ "http://www.mendeley.com/documents/?uuid=fee76635-1433-4c27-9c85-bbbf459c7e59" ] } ], "mendeley" : { "formattedCitation" : "(Gaudreau &amp; Gibson, 2010)", "plainTextFormattedCitation" : "(Gaudreau &amp; Gibson, 2010)", "previouslyFormattedCitation" : "(Gaudreau &amp; Gibson, 2010)" }, "properties" : { "noteIndex" : 0 }, "schema" : "https://github.com/citation-style-language/schema/raw/master/csl-citation.json" }</w:instrText>
            </w:r>
            <w:r w:rsidRPr="000E0F90">
              <w:rPr>
                <w:rFonts w:ascii="Arial" w:hAnsi="Arial" w:cs="Arial"/>
                <w:color w:val="000000" w:themeColor="text1"/>
                <w:sz w:val="20"/>
              </w:rPr>
              <w:fldChar w:fldCharType="separate"/>
            </w:r>
            <w:r w:rsidRPr="000E0F90">
              <w:rPr>
                <w:rFonts w:ascii="Arial" w:hAnsi="Arial" w:cs="Arial"/>
                <w:noProof/>
                <w:color w:val="000000" w:themeColor="text1"/>
                <w:sz w:val="20"/>
              </w:rPr>
              <w:t>(Gaudreau &amp; Gibson, 2010)</w:t>
            </w:r>
            <w:r w:rsidRPr="000E0F90">
              <w:rPr>
                <w:rFonts w:ascii="Arial" w:hAnsi="Arial" w:cs="Arial"/>
                <w:color w:val="000000" w:themeColor="text1"/>
                <w:sz w:val="20"/>
              </w:rPr>
              <w:fldChar w:fldCharType="end"/>
            </w:r>
            <w:r w:rsidR="00903D30" w:rsidRPr="000E0F90">
              <w:rPr>
                <w:rFonts w:ascii="Arial" w:hAnsi="Arial" w:cs="Arial"/>
                <w:color w:val="000000" w:themeColor="text1"/>
                <w:sz w:val="20"/>
              </w:rPr>
              <w:t xml:space="preserve">. Establece la duración y ocurrencia de éstos  y como serán manejados (Morrison-saunders &amp; Hodgson, 2009) (Therivel et al. 2009) </w:t>
            </w:r>
          </w:p>
        </w:tc>
      </w:tr>
      <w:tr w:rsidR="00B61CFC" w:rsidRPr="000E0F90" w:rsidTr="002A21E4">
        <w:tc>
          <w:tcPr>
            <w:tcW w:w="2802" w:type="dxa"/>
            <w:vMerge w:val="restart"/>
            <w:tcBorders>
              <w:top w:val="nil"/>
              <w:left w:val="nil"/>
              <w:bottom w:val="nil"/>
              <w:right w:val="nil"/>
            </w:tcBorders>
          </w:tcPr>
          <w:p w:rsidR="00B61CFC" w:rsidRPr="000E0F90" w:rsidRDefault="00B61CFC" w:rsidP="001A5FA2">
            <w:pPr>
              <w:rPr>
                <w:rFonts w:ascii="Arial" w:hAnsi="Arial" w:cs="Arial"/>
                <w:b/>
                <w:color w:val="000000" w:themeColor="text1"/>
                <w:sz w:val="20"/>
              </w:rPr>
            </w:pPr>
            <w:r w:rsidRPr="000E0F90">
              <w:rPr>
                <w:rFonts w:ascii="Arial" w:hAnsi="Arial" w:cs="Arial"/>
                <w:b/>
                <w:color w:val="000000" w:themeColor="text1"/>
                <w:sz w:val="20"/>
              </w:rPr>
              <w:t xml:space="preserve">Responsabilidad por impactos negativos de desarrollo actual  en el futuro </w:t>
            </w:r>
            <w:r w:rsidRPr="000E0F90">
              <w:rPr>
                <w:rFonts w:ascii="Arial" w:hAnsi="Arial" w:cs="Arial"/>
                <w:b/>
                <w:color w:val="000000" w:themeColor="text1"/>
                <w:sz w:val="20"/>
              </w:rPr>
              <w:fldChar w:fldCharType="begin" w:fldLock="1"/>
            </w:r>
            <w:r w:rsidRPr="000E0F90">
              <w:rPr>
                <w:rFonts w:ascii="Arial" w:hAnsi="Arial" w:cs="Arial"/>
                <w:b/>
                <w:color w:val="000000" w:themeColor="text1"/>
                <w:sz w:val="20"/>
              </w:rPr>
              <w:instrText>ADDIN CSL_CITATION { "citationItems" : [ { "id" : "ITEM-1", "itemData" : { "author" : [ { "dropping-particle" : "", "family" : "Morrison-saunders", "given" : "Angus", "non-dropping-particle" : "", "parse-names" : false, "suffix" : "" }, { "dropping-particle" : "", "family" : "Hodgson", "given" : "Nicole", "non-dropping-particle" : "", "parse-names" : false, "suffix" : "" } ], "container-title" : "Assessment", "id" : "ITEM-1", "issue" : "September", "issued" : { "date-parts" : [ [ "2009" ] ] }, "page" : "1-6", "title" : "Applying Sustainability Principles in Practice : Guidance for Assessing Individual Proposals", "type" : "article-journal" }, "uris" : [ "http://www.mendeley.com/documents/?uuid=8eac9b1a-a579-4134-9969-a97b9c129d7b" ] } ], "mendeley" : { "formattedCitation" : "(Morrison-saunders &amp; Hodgson, 2009)", "plainTextFormattedCitation" : "(Morrison-saunders &amp; Hodgson, 2009)", "previouslyFormattedCitation" : "(Morrison-saunders &amp; Hodgson, 2009)" }, "properties" : { "noteIndex" : 0 }, "schema" : "https://github.com/citation-style-language/schema/raw/master/csl-citation.json" }</w:instrText>
            </w:r>
            <w:r w:rsidRPr="000E0F90">
              <w:rPr>
                <w:rFonts w:ascii="Arial" w:hAnsi="Arial" w:cs="Arial"/>
                <w:b/>
                <w:color w:val="000000" w:themeColor="text1"/>
                <w:sz w:val="20"/>
              </w:rPr>
              <w:fldChar w:fldCharType="separate"/>
            </w:r>
            <w:r w:rsidRPr="000E0F90">
              <w:rPr>
                <w:rFonts w:ascii="Arial" w:hAnsi="Arial" w:cs="Arial"/>
                <w:b/>
                <w:noProof/>
                <w:color w:val="000000" w:themeColor="text1"/>
                <w:sz w:val="20"/>
              </w:rPr>
              <w:t>(Morrison-saunders &amp; Hodgson, 2009)</w:t>
            </w:r>
            <w:r w:rsidRPr="000E0F90">
              <w:rPr>
                <w:rFonts w:ascii="Arial" w:hAnsi="Arial" w:cs="Arial"/>
                <w:b/>
                <w:color w:val="000000" w:themeColor="text1"/>
                <w:sz w:val="20"/>
              </w:rPr>
              <w:fldChar w:fldCharType="end"/>
            </w:r>
          </w:p>
        </w:tc>
        <w:tc>
          <w:tcPr>
            <w:tcW w:w="6095" w:type="dxa"/>
            <w:tcBorders>
              <w:top w:val="nil"/>
              <w:left w:val="nil"/>
              <w:bottom w:val="nil"/>
              <w:right w:val="nil"/>
            </w:tcBorders>
            <w:vAlign w:val="bottom"/>
          </w:tcPr>
          <w:p w:rsidR="00B61CFC" w:rsidRPr="000E0F90" w:rsidRDefault="00B61CFC" w:rsidP="00C24C48">
            <w:pPr>
              <w:rPr>
                <w:rFonts w:ascii="Arial" w:hAnsi="Arial" w:cs="Arial"/>
                <w:color w:val="000000" w:themeColor="text1"/>
                <w:sz w:val="20"/>
              </w:rPr>
            </w:pPr>
            <w:r w:rsidRPr="000E0F90">
              <w:rPr>
                <w:rFonts w:ascii="Arial" w:hAnsi="Arial" w:cs="Arial"/>
                <w:color w:val="000000" w:themeColor="text1"/>
                <w:sz w:val="20"/>
              </w:rPr>
              <w:t xml:space="preserve">Prevenir efectos y acciones que limitaran las opciones futuras de uso del territorio </w:t>
            </w:r>
            <w:r w:rsidRPr="000E0F90">
              <w:rPr>
                <w:rFonts w:ascii="Arial" w:hAnsi="Arial" w:cs="Arial"/>
                <w:color w:val="000000" w:themeColor="text1"/>
                <w:sz w:val="20"/>
              </w:rPr>
              <w:fldChar w:fldCharType="begin" w:fldLock="1"/>
            </w:r>
            <w:r w:rsidRPr="000E0F90">
              <w:rPr>
                <w:rFonts w:ascii="Arial" w:hAnsi="Arial" w:cs="Arial"/>
                <w:color w:val="000000" w:themeColor="text1"/>
                <w:sz w:val="20"/>
              </w:rPr>
              <w:instrText>ADDIN CSL_CITATION { "citationItems" : [ { "id" : "ITEM-1", "itemData" : { "DOI" : "10.1890/0012-9623(2000)081[0272:EPCOE]2.0.CO;2", "ISBN" : "1051-0761", "ISSN" : "0012-9623", "PMID" : "2641032", "abstract" : "The many ways that people have used and managed land throughout history has emerged as a primary cause of land-cover change around the world. Thus, land use and land management increasingly represent a fundamental source of change in the global environment. Despite their global importance, however, many decisions about the management and use of land are made with scant attention to ecological impacts. Thus, ecologists\u2019 knowledge of the functioning of Earth\u2019s ecosystems is needed to broaden the scientific basis of decisions on land use and management. In response to this need, the Ecological Society of America established a committee to examine the ways that land-use decisions are made and the ways that ecologists could help inform those decisions. This paper reports the scientific findings of that committee. Five principles of ecological science have particular implications for land use and can assure that fundamental processes of Earth\u2019s ecosystems are sustained. These ecological principles deal with time, species, place, dis- turbance, and the landscape. The recognition that ecological processes occur within a temporal setting and change over time is fundamental to analyzing the effects of land use. In addition, individual species and networks of interacting species have strong and far-reaching effects on ecological processes. Furthermore, each site or region has a unique set of organisms and abiotic conditions influencing and constraining ecological processes. Distur- bances are important and ubiquitous ecological events whose effects may strongly influence population, com- munity, and ecosystem dynamics. Finally, the size, shape, and spatial relationships of habitat patches on the landscape affect the structure and function of ecosystems. The responses of the land to changes in use and management by people depend on expressions of these fundamental principles in nature. These principles dictate several guidelines for land use. The guidelines give practical rules of thumb for incorporating ecological principles into land-use decision making. These guidelines suggest that land managers should: (1) examine impacts of local decisions in a regional context, (2) plan for long-termchange and unexpected events, (3) preserve rare landscape elements and associated species, (4) avoid land uses that deplete natural resources, (5) retain large contiguous or connected areas that contain critical habitats, (6) minimize the intro- duction and spread of nonnative sp\u2026", "author" : [ { "dropping-particle" : "", "family" : "Dale", "given" : "Vh", "non-dropping-particle" : "", "parse-names" : false, "suffix" : "" }, { "dropping-particle" : "", "family" : "Brown", "given" : "S", "non-dropping-particle" : "", "parse-names" : false, "suffix" : "" }, { "dropping-particle" : "", "family" : "Haeuber", "given" : "Ra", "non-dropping-particle" : "", "parse-names" : false, "suffix" : "" } ], "container-title" : "Ecological Applications", "id" : "ITEM-1", "issue" : "3", "issued" : { "date-parts" : [ [ "2000" ] ] }, "page" : "639-670", "title" : "Ecological Principles and Guidelines for Managing the use of Land", "type" : "article-journal", "volume" : "10" }, "uris" : [ "http://www.mendeley.com/documents/?uuid=bc0e4508-68ba-43f1-b8ad-4ce0d03c2491" ] } ], "mendeley" : { "formattedCitation" : "(Dale et al., 2000)", "plainTextFormattedCitation" : "(Dale et al., 2000)", "previouslyFormattedCitation" : "(Dale et al., 2000)" }, "properties" : { "noteIndex" : 0 }, "schema" : "https://github.com/citation-style-language/schema/raw/master/csl-citation.json" }</w:instrText>
            </w:r>
            <w:r w:rsidRPr="000E0F90">
              <w:rPr>
                <w:rFonts w:ascii="Arial" w:hAnsi="Arial" w:cs="Arial"/>
                <w:color w:val="000000" w:themeColor="text1"/>
                <w:sz w:val="20"/>
              </w:rPr>
              <w:fldChar w:fldCharType="separate"/>
            </w:r>
            <w:r w:rsidRPr="000E0F90">
              <w:rPr>
                <w:rFonts w:ascii="Arial" w:hAnsi="Arial" w:cs="Arial"/>
                <w:noProof/>
                <w:color w:val="000000" w:themeColor="text1"/>
                <w:sz w:val="20"/>
              </w:rPr>
              <w:t>(Dale et al., 2000)</w:t>
            </w:r>
            <w:r w:rsidRPr="000E0F90">
              <w:rPr>
                <w:rFonts w:ascii="Arial" w:hAnsi="Arial" w:cs="Arial"/>
                <w:color w:val="000000" w:themeColor="text1"/>
                <w:sz w:val="20"/>
              </w:rPr>
              <w:fldChar w:fldCharType="end"/>
            </w:r>
            <w:r w:rsidRPr="000E0F90">
              <w:rPr>
                <w:rFonts w:ascii="Arial" w:hAnsi="Arial" w:cs="Arial"/>
                <w:color w:val="000000" w:themeColor="text1"/>
                <w:sz w:val="20"/>
              </w:rPr>
              <w:t xml:space="preserve">, en el corto y largo plazo. Sesga decisiones contra elecciones con efectos irreversibles (Connelly and Richardson, 2005) </w:t>
            </w:r>
            <w:r w:rsidRPr="000E0F90">
              <w:rPr>
                <w:rFonts w:ascii="Arial" w:hAnsi="Arial" w:cs="Arial"/>
                <w:color w:val="000000" w:themeColor="text1"/>
                <w:sz w:val="20"/>
              </w:rPr>
              <w:fldChar w:fldCharType="begin" w:fldLock="1"/>
            </w:r>
            <w:r w:rsidRPr="000E0F90">
              <w:rPr>
                <w:rFonts w:ascii="Arial" w:hAnsi="Arial" w:cs="Arial"/>
                <w:color w:val="000000" w:themeColor="text1"/>
                <w:sz w:val="20"/>
              </w:rPr>
              <w:instrText>ADDIN CSL_CITATION { "citationItems" : [ { "id" : "ITEM-1", "itemData" : { "author" : [ { "dropping-particle" : "", "family" : "Morrison-saunders", "given" : "Angus", "non-dropping-particle" : "", "parse-names" : false, "suffix" : "" }, { "dropping-particle" : "", "family" : "Hodgson", "given" : "Nicole", "non-dropping-particle" : "", "parse-names" : false, "suffix" : "" } ], "container-title" : "Assessment", "id" : "ITEM-1", "issue" : "September", "issued" : { "date-parts" : [ [ "2009" ] ] }, "page" : "1-6", "title" : "Applying Sustainability Principles in Practice : Guidance for Assessing Individual Proposals", "type" : "article-journal" }, "uris" : [ "http://www.mendeley.com/documents/?uuid=8eac9b1a-a579-4134-9969-a97b9c129d7b" ] } ], "mendeley" : { "formattedCitation" : "(Morrison-saunders &amp; Hodgson, 2009)", "plainTextFormattedCitation" : "(Morrison-saunders &amp; Hodgson, 2009)", "previouslyFormattedCitation" : "(Morrison-saunders &amp; Hodgson, 2009)" }, "properties" : { "noteIndex" : 0 }, "schema" : "https://github.com/citation-style-language/schema/raw/master/csl-citation.json" }</w:instrText>
            </w:r>
            <w:r w:rsidRPr="000E0F90">
              <w:rPr>
                <w:rFonts w:ascii="Arial" w:hAnsi="Arial" w:cs="Arial"/>
                <w:color w:val="000000" w:themeColor="text1"/>
                <w:sz w:val="20"/>
              </w:rPr>
              <w:fldChar w:fldCharType="separate"/>
            </w:r>
            <w:r w:rsidRPr="000E0F90">
              <w:rPr>
                <w:rFonts w:ascii="Arial" w:hAnsi="Arial" w:cs="Arial"/>
                <w:noProof/>
                <w:color w:val="000000" w:themeColor="text1"/>
                <w:sz w:val="20"/>
              </w:rPr>
              <w:t>(Morrison-saunders &amp; Hodgson, 2009)</w:t>
            </w:r>
            <w:r w:rsidRPr="000E0F90">
              <w:rPr>
                <w:rFonts w:ascii="Arial" w:hAnsi="Arial" w:cs="Arial"/>
                <w:color w:val="000000" w:themeColor="text1"/>
                <w:sz w:val="20"/>
              </w:rPr>
              <w:fldChar w:fldCharType="end"/>
            </w:r>
            <w:r w:rsidRPr="000E0F90">
              <w:rPr>
                <w:rFonts w:ascii="Arial" w:hAnsi="Arial" w:cs="Arial"/>
                <w:color w:val="000000" w:themeColor="text1"/>
                <w:sz w:val="20"/>
              </w:rPr>
              <w:t>.</w:t>
            </w:r>
          </w:p>
        </w:tc>
      </w:tr>
      <w:tr w:rsidR="00B61CFC" w:rsidRPr="000E0F90" w:rsidTr="002A21E4">
        <w:tc>
          <w:tcPr>
            <w:tcW w:w="2802" w:type="dxa"/>
            <w:vMerge/>
            <w:tcBorders>
              <w:top w:val="nil"/>
              <w:left w:val="nil"/>
              <w:bottom w:val="nil"/>
              <w:right w:val="nil"/>
            </w:tcBorders>
          </w:tcPr>
          <w:p w:rsidR="00B61CFC" w:rsidRPr="000E0F90" w:rsidRDefault="00B61CFC" w:rsidP="001A5FA2">
            <w:pPr>
              <w:rPr>
                <w:rFonts w:ascii="Arial" w:hAnsi="Arial" w:cs="Arial"/>
                <w:color w:val="000000" w:themeColor="text1"/>
                <w:sz w:val="20"/>
              </w:rPr>
            </w:pPr>
          </w:p>
        </w:tc>
        <w:tc>
          <w:tcPr>
            <w:tcW w:w="6095" w:type="dxa"/>
            <w:tcBorders>
              <w:top w:val="nil"/>
              <w:left w:val="nil"/>
              <w:bottom w:val="nil"/>
              <w:right w:val="nil"/>
            </w:tcBorders>
            <w:vAlign w:val="bottom"/>
          </w:tcPr>
          <w:p w:rsidR="00B61CFC" w:rsidRPr="000E0F90" w:rsidRDefault="00B61CFC" w:rsidP="001A5FA2">
            <w:pPr>
              <w:rPr>
                <w:rFonts w:ascii="Arial" w:hAnsi="Arial" w:cs="Arial"/>
                <w:color w:val="000000" w:themeColor="text1"/>
                <w:sz w:val="20"/>
              </w:rPr>
            </w:pPr>
            <w:r w:rsidRPr="000E0F90">
              <w:rPr>
                <w:rFonts w:ascii="Arial" w:hAnsi="Arial" w:cs="Arial"/>
                <w:color w:val="000000" w:themeColor="text1"/>
                <w:sz w:val="20"/>
              </w:rPr>
              <w:t xml:space="preserve">Planificar de acuerdo a las limitaciones ecológicas, físicas, económicas, biológicas, estéticas que se generaran en el futuro </w:t>
            </w:r>
            <w:r w:rsidRPr="000E0F90">
              <w:rPr>
                <w:rFonts w:ascii="Arial" w:hAnsi="Arial" w:cs="Arial"/>
                <w:color w:val="000000" w:themeColor="text1"/>
                <w:sz w:val="20"/>
              </w:rPr>
              <w:fldChar w:fldCharType="begin" w:fldLock="1"/>
            </w:r>
            <w:r w:rsidRPr="000E0F90">
              <w:rPr>
                <w:rFonts w:ascii="Arial" w:hAnsi="Arial" w:cs="Arial"/>
                <w:color w:val="000000" w:themeColor="text1"/>
                <w:sz w:val="20"/>
              </w:rPr>
              <w:instrText>ADDIN CSL_CITATION { "citationItems" : [ { "id" : "ITEM-1", "itemData" : { "DOI" : "10.1890/0012-9623(2000)081[0272:EPCOE]2.0.CO;2", "ISBN" : "1051-0761", "ISSN" : "0012-9623", "PMID" : "2641032", "abstract" : "The many ways that people have used and managed land throughout history has emerged as a primary cause of land-cover change around the world. Thus, land use and land management increasingly represent a fundamental source of change in the global environment. Despite their global importance, however, many decisions about the management and use of land are made with scant attention to ecological impacts. Thus, ecologists\u2019 knowledge of the functioning of Earth\u2019s ecosystems is needed to broaden the scientific basis of decisions on land use and management. In response to this need, the Ecological Society of America established a committee to examine the ways that land-use decisions are made and the ways that ecologists could help inform those decisions. This paper reports the scientific findings of that committee. Five principles of ecological science have particular implications for land use and can assure that fundamental processes of Earth\u2019s ecosystems are sustained. These ecological principles deal with time, species, place, dis- turbance, and the landscape. The recognition that ecological processes occur within a temporal setting and change over time is fundamental to analyzing the effects of land use. In addition, individual species and networks of interacting species have strong and far-reaching effects on ecological processes. Furthermore, each site or region has a unique set of organisms and abiotic conditions influencing and constraining ecological processes. Distur- bances are important and ubiquitous ecological events whose effects may strongly influence population, com- munity, and ecosystem dynamics. Finally, the size, shape, and spatial relationships of habitat patches on the landscape affect the structure and function of ecosystems. The responses of the land to changes in use and management by people depend on expressions of these fundamental principles in nature. These principles dictate several guidelines for land use. The guidelines give practical rules of thumb for incorporating ecological principles into land-use decision making. These guidelines suggest that land managers should: (1) examine impacts of local decisions in a regional context, (2) plan for long-termchange and unexpected events, (3) preserve rare landscape elements and associated species, (4) avoid land uses that deplete natural resources, (5) retain large contiguous or connected areas that contain critical habitats, (6) minimize the intro- duction and spread of nonnative sp\u2026", "author" : [ { "dropping-particle" : "", "family" : "Dale", "given" : "Vh", "non-dropping-particle" : "", "parse-names" : false, "suffix" : "" }, { "dropping-particle" : "", "family" : "Brown", "given" : "S", "non-dropping-particle" : "", "parse-names" : false, "suffix" : "" }, { "dropping-particle" : "", "family" : "Haeuber", "given" : "Ra", "non-dropping-particle" : "", "parse-names" : false, "suffix" : "" } ], "container-title" : "Ecological Applications", "id" : "ITEM-1", "issue" : "3", "issued" : { "date-parts" : [ [ "2000" ] ] }, "page" : "639-670", "title" : "Ecological Principles and Guidelines for Managing the use of Land", "type" : "article-journal", "volume" : "10" }, "uris" : [ "http://www.mendeley.com/documents/?uuid=bc0e4508-68ba-43f1-b8ad-4ce0d03c2491" ] } ], "mendeley" : { "formattedCitation" : "(Dale et al., 2000)", "plainTextFormattedCitation" : "(Dale et al., 2000)", "previouslyFormattedCitation" : "(Dale et al., 2000)" }, "properties" : { "noteIndex" : 0 }, "schema" : "https://github.com/citation-style-language/schema/raw/master/csl-citation.json" }</w:instrText>
            </w:r>
            <w:r w:rsidRPr="000E0F90">
              <w:rPr>
                <w:rFonts w:ascii="Arial" w:hAnsi="Arial" w:cs="Arial"/>
                <w:color w:val="000000" w:themeColor="text1"/>
                <w:sz w:val="20"/>
              </w:rPr>
              <w:fldChar w:fldCharType="separate"/>
            </w:r>
            <w:r w:rsidRPr="000E0F90">
              <w:rPr>
                <w:rFonts w:ascii="Arial" w:hAnsi="Arial" w:cs="Arial"/>
                <w:noProof/>
                <w:color w:val="000000" w:themeColor="text1"/>
                <w:sz w:val="20"/>
              </w:rPr>
              <w:t>(Dale et al., 2000)</w:t>
            </w:r>
            <w:r w:rsidRPr="000E0F90">
              <w:rPr>
                <w:rFonts w:ascii="Arial" w:hAnsi="Arial" w:cs="Arial"/>
                <w:color w:val="000000" w:themeColor="text1"/>
                <w:sz w:val="20"/>
              </w:rPr>
              <w:fldChar w:fldCharType="end"/>
            </w:r>
          </w:p>
        </w:tc>
      </w:tr>
      <w:tr w:rsidR="00B61CFC" w:rsidRPr="000E0F90" w:rsidTr="002A21E4">
        <w:tc>
          <w:tcPr>
            <w:tcW w:w="2802" w:type="dxa"/>
            <w:vMerge/>
            <w:tcBorders>
              <w:top w:val="nil"/>
              <w:left w:val="nil"/>
              <w:bottom w:val="nil"/>
              <w:right w:val="nil"/>
            </w:tcBorders>
          </w:tcPr>
          <w:p w:rsidR="00B61CFC" w:rsidRPr="000E0F90" w:rsidRDefault="00B61CFC" w:rsidP="001A5FA2">
            <w:pPr>
              <w:rPr>
                <w:rFonts w:ascii="Arial" w:hAnsi="Arial" w:cs="Arial"/>
                <w:b/>
                <w:color w:val="000000" w:themeColor="text1"/>
                <w:sz w:val="20"/>
              </w:rPr>
            </w:pPr>
          </w:p>
        </w:tc>
        <w:tc>
          <w:tcPr>
            <w:tcW w:w="6095" w:type="dxa"/>
            <w:tcBorders>
              <w:top w:val="nil"/>
              <w:left w:val="nil"/>
              <w:bottom w:val="nil"/>
              <w:right w:val="nil"/>
            </w:tcBorders>
            <w:vAlign w:val="bottom"/>
          </w:tcPr>
          <w:p w:rsidR="00B61CFC" w:rsidRPr="000E0F90" w:rsidRDefault="00F35AF7" w:rsidP="0085176E">
            <w:pPr>
              <w:rPr>
                <w:rFonts w:ascii="Arial" w:hAnsi="Arial" w:cs="Arial"/>
                <w:color w:val="000000" w:themeColor="text1"/>
                <w:sz w:val="20"/>
              </w:rPr>
            </w:pPr>
            <w:r w:rsidRPr="000E0F90">
              <w:rPr>
                <w:rFonts w:ascii="Arial" w:hAnsi="Arial" w:cs="Arial"/>
                <w:color w:val="000000" w:themeColor="text1"/>
                <w:sz w:val="20"/>
              </w:rPr>
              <w:t>Propiciar</w:t>
            </w:r>
            <w:r w:rsidR="00B61CFC" w:rsidRPr="000E0F90">
              <w:rPr>
                <w:rFonts w:ascii="Arial" w:hAnsi="Arial" w:cs="Arial"/>
                <w:color w:val="000000" w:themeColor="text1"/>
                <w:sz w:val="20"/>
              </w:rPr>
              <w:t xml:space="preserve"> la adaptación al cambio climático e implementar medidas de mitigación Eales and Sheate (2011), European Commission (2009a), Brandon and Lombardi (2010).</w:t>
            </w:r>
          </w:p>
        </w:tc>
      </w:tr>
      <w:tr w:rsidR="00B61CFC" w:rsidRPr="000E0F90" w:rsidTr="002A21E4">
        <w:tc>
          <w:tcPr>
            <w:tcW w:w="2802" w:type="dxa"/>
            <w:vMerge/>
            <w:tcBorders>
              <w:top w:val="nil"/>
              <w:left w:val="nil"/>
              <w:bottom w:val="nil"/>
              <w:right w:val="nil"/>
            </w:tcBorders>
          </w:tcPr>
          <w:p w:rsidR="00B61CFC" w:rsidRPr="000E0F90" w:rsidRDefault="00B61CFC" w:rsidP="001A5FA2">
            <w:pPr>
              <w:rPr>
                <w:rFonts w:ascii="Arial" w:hAnsi="Arial" w:cs="Arial"/>
                <w:b/>
                <w:color w:val="000000" w:themeColor="text1"/>
                <w:sz w:val="20"/>
              </w:rPr>
            </w:pPr>
          </w:p>
        </w:tc>
        <w:tc>
          <w:tcPr>
            <w:tcW w:w="6095" w:type="dxa"/>
            <w:tcBorders>
              <w:top w:val="nil"/>
              <w:left w:val="nil"/>
              <w:bottom w:val="nil"/>
              <w:right w:val="nil"/>
            </w:tcBorders>
          </w:tcPr>
          <w:p w:rsidR="00B61CFC" w:rsidRPr="000E0F90" w:rsidRDefault="00B61CFC" w:rsidP="003418D0">
            <w:pPr>
              <w:rPr>
                <w:rFonts w:ascii="Arial" w:hAnsi="Arial" w:cs="Arial"/>
                <w:color w:val="000000" w:themeColor="text1"/>
                <w:sz w:val="20"/>
              </w:rPr>
            </w:pPr>
            <w:r w:rsidRPr="000E0F90">
              <w:rPr>
                <w:rFonts w:ascii="Arial" w:hAnsi="Arial" w:cs="Arial"/>
                <w:color w:val="000000" w:themeColor="text1"/>
                <w:sz w:val="20"/>
              </w:rPr>
              <w:t>Realizar un cierre y r</w:t>
            </w:r>
            <w:r w:rsidR="003418D0" w:rsidRPr="000E0F90">
              <w:rPr>
                <w:rFonts w:ascii="Arial" w:hAnsi="Arial" w:cs="Arial"/>
                <w:color w:val="000000" w:themeColor="text1"/>
                <w:sz w:val="20"/>
              </w:rPr>
              <w:t>ehabilitación de faenas mineras</w:t>
            </w:r>
            <w:r w:rsidRPr="000E0F90">
              <w:rPr>
                <w:rFonts w:ascii="Arial" w:hAnsi="Arial" w:cs="Arial"/>
                <w:color w:val="000000" w:themeColor="text1"/>
                <w:sz w:val="20"/>
              </w:rPr>
              <w:t xml:space="preserve"> </w:t>
            </w:r>
            <w:r w:rsidR="003418D0" w:rsidRPr="000E0F90">
              <w:rPr>
                <w:rFonts w:ascii="Arial" w:hAnsi="Arial" w:cs="Arial"/>
                <w:color w:val="000000" w:themeColor="text1"/>
                <w:sz w:val="20"/>
              </w:rPr>
              <w:t xml:space="preserve">efectivo, </w:t>
            </w:r>
            <w:r w:rsidRPr="000E0F90">
              <w:rPr>
                <w:rFonts w:ascii="Arial" w:hAnsi="Arial" w:cs="Arial"/>
                <w:color w:val="000000" w:themeColor="text1"/>
                <w:sz w:val="20"/>
              </w:rPr>
              <w:t xml:space="preserve">lo que en algunos casos involucra ir más </w:t>
            </w:r>
            <w:r w:rsidR="003418D0" w:rsidRPr="000E0F90">
              <w:rPr>
                <w:rFonts w:ascii="Arial" w:hAnsi="Arial" w:cs="Arial"/>
                <w:color w:val="000000" w:themeColor="text1"/>
                <w:sz w:val="20"/>
              </w:rPr>
              <w:t>allá</w:t>
            </w:r>
            <w:r w:rsidRPr="000E0F90">
              <w:rPr>
                <w:rFonts w:ascii="Arial" w:hAnsi="Arial" w:cs="Arial"/>
                <w:color w:val="000000" w:themeColor="text1"/>
                <w:sz w:val="20"/>
              </w:rPr>
              <w:t xml:space="preserve"> que las legislaciones actuales </w:t>
            </w:r>
            <w:r w:rsidRPr="000E0F90">
              <w:rPr>
                <w:rFonts w:ascii="Arial" w:hAnsi="Arial" w:cs="Arial"/>
                <w:color w:val="000000" w:themeColor="text1"/>
                <w:sz w:val="20"/>
              </w:rPr>
              <w:fldChar w:fldCharType="begin" w:fldLock="1"/>
            </w:r>
            <w:r w:rsidRPr="000E0F90">
              <w:rPr>
                <w:rFonts w:ascii="Arial" w:hAnsi="Arial" w:cs="Arial"/>
                <w:color w:val="000000" w:themeColor="text1"/>
                <w:sz w:val="20"/>
              </w:rPr>
              <w:instrText>ADDIN CSL_CITATION { "citationItems" : [ { "id" : "ITEM-1", "itemData" : { "DOI" : "10.1016/S0959-6526(03)00075-1", "ISBN" : "4414836891", "ISSN" : "09596526", "author" : [ { "dropping-particle" : "", "family" : "Azapagic", "given" : "Adisa", "non-dropping-particle" : "", "parse-names" : false, "suffix" : "" } ], "container-title" : "Journal of Cleaner Production", "id" : "ITEM-1", "issue" : "6", "issued" : { "date-parts" : [ [ "2004", "8" ] ] }, "page" : "639-662", "title" : "Developing a framework for sustainable development indicators for the mining and minerals industry", "type" : "article-journal", "volume" : "12" }, "uris" : [ "http://www.mendeley.com/documents/?uuid=a36976cf-2e0f-4c41-bd50-7ef9e97ed91f" ] } ], "mendeley" : { "formattedCitation" : "(Azapagic, 2004)", "plainTextFormattedCitation" : "(Azapagic, 2004)", "previouslyFormattedCitation" : "(Azapagic, 2004)" }, "properties" : { "noteIndex" : 0 }, "schema" : "https://github.com/citation-style-language/schema/raw/master/csl-citation.json" }</w:instrText>
            </w:r>
            <w:r w:rsidRPr="000E0F90">
              <w:rPr>
                <w:rFonts w:ascii="Arial" w:hAnsi="Arial" w:cs="Arial"/>
                <w:color w:val="000000" w:themeColor="text1"/>
                <w:sz w:val="20"/>
              </w:rPr>
              <w:fldChar w:fldCharType="separate"/>
            </w:r>
            <w:r w:rsidRPr="000E0F90">
              <w:rPr>
                <w:rFonts w:ascii="Arial" w:hAnsi="Arial" w:cs="Arial"/>
                <w:noProof/>
                <w:color w:val="000000" w:themeColor="text1"/>
                <w:sz w:val="20"/>
              </w:rPr>
              <w:t>(Azapagic, 2004)</w:t>
            </w:r>
            <w:r w:rsidRPr="000E0F90">
              <w:rPr>
                <w:rFonts w:ascii="Arial" w:hAnsi="Arial" w:cs="Arial"/>
                <w:color w:val="000000" w:themeColor="text1"/>
                <w:sz w:val="20"/>
              </w:rPr>
              <w:fldChar w:fldCharType="end"/>
            </w:r>
            <w:r w:rsidRPr="000E0F90">
              <w:rPr>
                <w:rFonts w:ascii="Arial" w:hAnsi="Arial" w:cs="Arial"/>
                <w:color w:val="000000" w:themeColor="text1"/>
                <w:sz w:val="20"/>
              </w:rPr>
              <w:t>.</w:t>
            </w:r>
          </w:p>
        </w:tc>
      </w:tr>
      <w:tr w:rsidR="00107707" w:rsidRPr="000E0F90" w:rsidTr="002A21E4">
        <w:tc>
          <w:tcPr>
            <w:tcW w:w="2802" w:type="dxa"/>
            <w:vMerge w:val="restart"/>
            <w:tcBorders>
              <w:top w:val="nil"/>
              <w:left w:val="nil"/>
              <w:bottom w:val="nil"/>
              <w:right w:val="nil"/>
            </w:tcBorders>
          </w:tcPr>
          <w:p w:rsidR="00107707" w:rsidRPr="000E0F90" w:rsidRDefault="00107707" w:rsidP="001A5FA2">
            <w:pPr>
              <w:rPr>
                <w:rFonts w:ascii="Arial" w:hAnsi="Arial" w:cs="Arial"/>
                <w:b/>
                <w:color w:val="000000" w:themeColor="text1"/>
                <w:sz w:val="20"/>
              </w:rPr>
            </w:pPr>
            <w:r w:rsidRPr="000E0F90">
              <w:rPr>
                <w:rFonts w:ascii="Arial" w:hAnsi="Arial" w:cs="Arial"/>
                <w:b/>
                <w:color w:val="000000" w:themeColor="text1"/>
                <w:sz w:val="20"/>
              </w:rPr>
              <w:t xml:space="preserve">Asegurar valor duradero para generaciones futuras </w:t>
            </w:r>
            <w:r w:rsidRPr="000E0F90">
              <w:rPr>
                <w:rFonts w:ascii="Arial" w:hAnsi="Arial" w:cs="Arial"/>
                <w:b/>
                <w:color w:val="000000" w:themeColor="text1"/>
                <w:sz w:val="20"/>
              </w:rPr>
              <w:fldChar w:fldCharType="begin" w:fldLock="1"/>
            </w:r>
            <w:r w:rsidRPr="000E0F90">
              <w:rPr>
                <w:rFonts w:ascii="Arial" w:hAnsi="Arial" w:cs="Arial"/>
                <w:b/>
                <w:color w:val="000000" w:themeColor="text1"/>
                <w:sz w:val="20"/>
              </w:rPr>
              <w:instrText>ADDIN CSL_CITATION { "citationItems" : [ { "id" : "ITEM-1", "itemData" : { "author" : [ { "dropping-particle" : "", "family" : "Morrison-saunders", "given" : "Angus", "non-dropping-particle" : "", "parse-names" : false, "suffix" : "" }, { "dropping-particle" : "", "family" : "Hodgson", "given" : "Nicole", "non-dropping-particle" : "", "parse-names" : false, "suffix" : "" } ], "container-title" : "Assessment", "id" : "ITEM-1", "issue" : "September", "issued" : { "date-parts" : [ [ "2009" ] ] }, "page" : "1-6", "title" : "Applying Sustainability Principles in Practice : Guidance for Assessing Individual Proposals", "type" : "article-journal" }, "uris" : [ "http://www.mendeley.com/documents/?uuid=8eac9b1a-a579-4134-9969-a97b9c129d7b" ] } ], "mendeley" : { "formattedCitation" : "(Morrison-saunders &amp; Hodgson, 2009)", "plainTextFormattedCitation" : "(Morrison-saunders &amp; Hodgson, 2009)", "previouslyFormattedCitation" : "(Morrison-saunders &amp; Hodgson, 2009)" }, "properties" : { "noteIndex" : 0 }, "schema" : "https://github.com/citation-style-language/schema/raw/master/csl-citation.json" }</w:instrText>
            </w:r>
            <w:r w:rsidRPr="000E0F90">
              <w:rPr>
                <w:rFonts w:ascii="Arial" w:hAnsi="Arial" w:cs="Arial"/>
                <w:b/>
                <w:color w:val="000000" w:themeColor="text1"/>
                <w:sz w:val="20"/>
              </w:rPr>
              <w:fldChar w:fldCharType="separate"/>
            </w:r>
            <w:r w:rsidRPr="000E0F90">
              <w:rPr>
                <w:rFonts w:ascii="Arial" w:hAnsi="Arial" w:cs="Arial"/>
                <w:noProof/>
                <w:color w:val="000000" w:themeColor="text1"/>
                <w:sz w:val="20"/>
              </w:rPr>
              <w:t>(Morrison-saunders &amp; Hodgson, 2009)</w:t>
            </w:r>
            <w:r w:rsidRPr="000E0F90">
              <w:rPr>
                <w:rFonts w:ascii="Arial" w:hAnsi="Arial" w:cs="Arial"/>
                <w:b/>
                <w:color w:val="000000" w:themeColor="text1"/>
                <w:sz w:val="20"/>
              </w:rPr>
              <w:fldChar w:fldCharType="end"/>
            </w:r>
          </w:p>
        </w:tc>
        <w:tc>
          <w:tcPr>
            <w:tcW w:w="6095" w:type="dxa"/>
            <w:tcBorders>
              <w:top w:val="nil"/>
              <w:left w:val="nil"/>
              <w:bottom w:val="nil"/>
              <w:right w:val="nil"/>
            </w:tcBorders>
          </w:tcPr>
          <w:p w:rsidR="00107707" w:rsidRPr="00C901F3" w:rsidRDefault="00107707" w:rsidP="001A5FA2">
            <w:pPr>
              <w:rPr>
                <w:rFonts w:ascii="Arial" w:hAnsi="Arial" w:cs="Arial"/>
                <w:color w:val="000000" w:themeColor="text1"/>
                <w:sz w:val="20"/>
              </w:rPr>
            </w:pPr>
            <w:r w:rsidRPr="00C901F3">
              <w:rPr>
                <w:rFonts w:ascii="Arial" w:hAnsi="Arial" w:cs="Arial"/>
                <w:color w:val="000000" w:themeColor="text1"/>
                <w:sz w:val="20"/>
              </w:rPr>
              <w:t xml:space="preserve">Adoptar una perspectiva de sostenibilidad fuerte, demostrando como la propuesta no está sesgada en favor de la disminución del capital natural hacia futuras generaciones </w:t>
            </w:r>
            <w:r w:rsidRPr="00C901F3">
              <w:rPr>
                <w:rFonts w:ascii="Arial" w:hAnsi="Arial" w:cs="Arial"/>
                <w:color w:val="000000" w:themeColor="text1"/>
                <w:sz w:val="20"/>
              </w:rPr>
              <w:fldChar w:fldCharType="begin" w:fldLock="1"/>
            </w:r>
            <w:r w:rsidRPr="00C901F3">
              <w:rPr>
                <w:rFonts w:ascii="Arial" w:hAnsi="Arial" w:cs="Arial"/>
                <w:color w:val="000000" w:themeColor="text1"/>
                <w:sz w:val="20"/>
              </w:rPr>
              <w:instrText>ADDIN CSL_CITATION { "citationItems" : [ { "id" : "ITEM-1", "itemData" : { "author" : [ { "dropping-particle" : "", "family" : "Beder", "given" : "Sharon", "non-dropping-particle" : "", "parse-names" : false, "suffix" : "" } ], "container-title" : "New Zealand Journal of Environmental Law", "id" : "ITEM-1", "issued" : { "date-parts" : [ [ "2000" ] ] }, "page" : "227-243", "title" : "Costing the Earth: Equity, Sustainable Development and Environmental Economics", "type" : "article-journal", "volume" : "4" }, "uris" : [ "http://www.mendeley.com/documents/?uuid=55796272-eb2c-4f3d-b888-f19f34d31d33" ] } ], "mendeley" : { "formattedCitation" : "(Beder, 2000)", "plainTextFormattedCitation" : "(Beder, 2000)", "previouslyFormattedCitation" : "(Beder, 2000)" }, "properties" : { "noteIndex" : 0 }, "schema" : "https://github.com/citation-style-language/schema/raw/master/csl-citation.json" }</w:instrText>
            </w:r>
            <w:r w:rsidRPr="00C901F3">
              <w:rPr>
                <w:rFonts w:ascii="Arial" w:hAnsi="Arial" w:cs="Arial"/>
                <w:color w:val="000000" w:themeColor="text1"/>
                <w:sz w:val="20"/>
              </w:rPr>
              <w:fldChar w:fldCharType="separate"/>
            </w:r>
            <w:r w:rsidRPr="00C901F3">
              <w:rPr>
                <w:rFonts w:ascii="Arial" w:hAnsi="Arial" w:cs="Arial"/>
                <w:noProof/>
                <w:color w:val="000000" w:themeColor="text1"/>
                <w:sz w:val="20"/>
              </w:rPr>
              <w:t>(Beder, 2000)</w:t>
            </w:r>
            <w:r w:rsidRPr="00C901F3">
              <w:rPr>
                <w:rFonts w:ascii="Arial" w:hAnsi="Arial" w:cs="Arial"/>
                <w:color w:val="000000" w:themeColor="text1"/>
                <w:sz w:val="20"/>
              </w:rPr>
              <w:fldChar w:fldCharType="end"/>
            </w:r>
          </w:p>
        </w:tc>
      </w:tr>
      <w:tr w:rsidR="00107707" w:rsidRPr="000E0F90" w:rsidTr="002A21E4">
        <w:trPr>
          <w:trHeight w:val="510"/>
        </w:trPr>
        <w:tc>
          <w:tcPr>
            <w:tcW w:w="2802" w:type="dxa"/>
            <w:vMerge/>
            <w:tcBorders>
              <w:top w:val="nil"/>
              <w:left w:val="nil"/>
              <w:bottom w:val="nil"/>
              <w:right w:val="nil"/>
            </w:tcBorders>
          </w:tcPr>
          <w:p w:rsidR="00107707" w:rsidRPr="000E0F90" w:rsidRDefault="00107707" w:rsidP="001A5FA2">
            <w:pPr>
              <w:rPr>
                <w:rFonts w:ascii="Arial" w:hAnsi="Arial" w:cs="Arial"/>
                <w:color w:val="000000" w:themeColor="text1"/>
                <w:sz w:val="20"/>
              </w:rPr>
            </w:pPr>
          </w:p>
        </w:tc>
        <w:tc>
          <w:tcPr>
            <w:tcW w:w="6095" w:type="dxa"/>
            <w:tcBorders>
              <w:top w:val="nil"/>
              <w:left w:val="nil"/>
              <w:bottom w:val="nil"/>
              <w:right w:val="nil"/>
            </w:tcBorders>
          </w:tcPr>
          <w:p w:rsidR="00107707" w:rsidRPr="00C901F3" w:rsidRDefault="00107707" w:rsidP="001A5FA2">
            <w:pPr>
              <w:rPr>
                <w:rFonts w:ascii="Arial" w:hAnsi="Arial" w:cs="Arial"/>
                <w:color w:val="000000" w:themeColor="text1"/>
                <w:sz w:val="20"/>
              </w:rPr>
            </w:pPr>
            <w:r w:rsidRPr="00C901F3">
              <w:rPr>
                <w:rFonts w:ascii="Arial" w:hAnsi="Arial" w:cs="Arial"/>
                <w:color w:val="000000" w:themeColor="text1"/>
                <w:sz w:val="20"/>
              </w:rPr>
              <w:t xml:space="preserve">Viabilidad económica de la región en el futuro </w:t>
            </w:r>
            <w:r w:rsidRPr="00C901F3">
              <w:rPr>
                <w:rFonts w:ascii="Arial" w:hAnsi="Arial" w:cs="Arial"/>
                <w:color w:val="000000" w:themeColor="text1"/>
                <w:sz w:val="20"/>
              </w:rPr>
              <w:fldChar w:fldCharType="begin" w:fldLock="1"/>
            </w:r>
            <w:r w:rsidRPr="00C901F3">
              <w:rPr>
                <w:rFonts w:ascii="Arial" w:hAnsi="Arial" w:cs="Arial"/>
                <w:color w:val="000000" w:themeColor="text1"/>
                <w:sz w:val="20"/>
              </w:rPr>
              <w:instrText>ADDIN CSL_CITATION { "citationItems" : [ { "id" : "ITEM-1", "itemData" : { "author" : [ { "dropping-particle" : "", "family" : "Morrison-saunders", "given" : "Angus", "non-dropping-particle" : "", "parse-names" : false, "suffix" : "" }, { "dropping-particle" : "", "family" : "Hodgson", "given" : "Nicole", "non-dropping-particle" : "", "parse-names" : false, "suffix" : "" } ], "container-title" : "Assessment", "id" : "ITEM-1", "issue" : "September", "issued" : { "date-parts" : [ [ "2009" ] ] }, "page" : "1-6", "title" : "Applying Sustainability Principles in Practice : Guidance for Assessing Individual Proposals", "type" : "article-journal" }, "uris" : [ "http://www.mendeley.com/documents/?uuid=8eac9b1a-a579-4134-9969-a97b9c129d7b" ] } ], "mendeley" : { "formattedCitation" : "(Morrison-saunders &amp; Hodgson, 2009)", "plainTextFormattedCitation" : "(Morrison-saunders &amp; Hodgson, 2009)", "previouslyFormattedCitation" : "(Morrison-saunders &amp; Hodgson, 2009)" }, "properties" : { "noteIndex" : 0 }, "schema" : "https://github.com/citation-style-language/schema/raw/master/csl-citation.json" }</w:instrText>
            </w:r>
            <w:r w:rsidRPr="00C901F3">
              <w:rPr>
                <w:rFonts w:ascii="Arial" w:hAnsi="Arial" w:cs="Arial"/>
                <w:color w:val="000000" w:themeColor="text1"/>
                <w:sz w:val="20"/>
              </w:rPr>
              <w:fldChar w:fldCharType="separate"/>
            </w:r>
            <w:r w:rsidRPr="00C901F3">
              <w:rPr>
                <w:rFonts w:ascii="Arial" w:hAnsi="Arial" w:cs="Arial"/>
                <w:noProof/>
                <w:color w:val="000000" w:themeColor="text1"/>
                <w:sz w:val="20"/>
              </w:rPr>
              <w:t>(Morrison-saunders &amp; Hodgson, 2009)</w:t>
            </w:r>
            <w:r w:rsidRPr="00C901F3">
              <w:rPr>
                <w:rFonts w:ascii="Arial" w:hAnsi="Arial" w:cs="Arial"/>
                <w:color w:val="000000" w:themeColor="text1"/>
                <w:sz w:val="20"/>
              </w:rPr>
              <w:fldChar w:fldCharType="end"/>
            </w:r>
            <w:r w:rsidRPr="00C901F3">
              <w:rPr>
                <w:rFonts w:ascii="Arial" w:hAnsi="Arial" w:cs="Arial"/>
                <w:color w:val="000000" w:themeColor="text1"/>
                <w:sz w:val="20"/>
              </w:rPr>
              <w:t xml:space="preserve">. Se debe asegurar la viabilidad de la actividad minera en la región para asegurar la viabilidad económica </w:t>
            </w:r>
            <w:r w:rsidRPr="00C901F3">
              <w:rPr>
                <w:rFonts w:ascii="Arial" w:hAnsi="Arial" w:cs="Arial"/>
                <w:color w:val="000000" w:themeColor="text1"/>
                <w:sz w:val="20"/>
              </w:rPr>
              <w:fldChar w:fldCharType="begin" w:fldLock="1"/>
            </w:r>
            <w:r w:rsidRPr="00C901F3">
              <w:rPr>
                <w:rFonts w:ascii="Arial" w:hAnsi="Arial" w:cs="Arial"/>
                <w:color w:val="000000" w:themeColor="text1"/>
                <w:sz w:val="20"/>
              </w:rPr>
              <w:instrText>ADDIN CSL_CITATION { "citationItems" : [ { "id" : "ITEM-1", "itemData" : { "DOI" : "10.1016/S0959-6526(03)00075-1", "ISBN" : "4414836891", "ISSN" : "09596526", "author" : [ { "dropping-particle" : "", "family" : "Azapagic", "given" : "Adisa", "non-dropping-particle" : "", "parse-names" : false, "suffix" : "" } ], "container-title" : "Journal of Cleaner Production", "id" : "ITEM-1", "issue" : "6", "issued" : { "date-parts" : [ [ "2004", "8" ] ] }, "page" : "639-662", "title" : "Developing a framework for sustainable development indicators for the mining and minerals industry", "type" : "article-journal", "volume" : "12" }, "uris" : [ "http://www.mendeley.com/documents/?uuid=a36976cf-2e0f-4c41-bd50-7ef9e97ed91f" ] } ], "mendeley" : { "formattedCitation" : "(Azapagic, 2004)", "plainTextFormattedCitation" : "(Azapagic, 2004)", "previouslyFormattedCitation" : "(Azapagic, 2004)" }, "properties" : { "noteIndex" : 0 }, "schema" : "https://github.com/citation-style-language/schema/raw/master/csl-citation.json" }</w:instrText>
            </w:r>
            <w:r w:rsidRPr="00C901F3">
              <w:rPr>
                <w:rFonts w:ascii="Arial" w:hAnsi="Arial" w:cs="Arial"/>
                <w:color w:val="000000" w:themeColor="text1"/>
                <w:sz w:val="20"/>
              </w:rPr>
              <w:fldChar w:fldCharType="separate"/>
            </w:r>
            <w:r w:rsidRPr="00C901F3">
              <w:rPr>
                <w:rFonts w:ascii="Arial" w:hAnsi="Arial" w:cs="Arial"/>
                <w:noProof/>
                <w:color w:val="000000" w:themeColor="text1"/>
                <w:sz w:val="20"/>
              </w:rPr>
              <w:t>(Azapagic, 2004)</w:t>
            </w:r>
            <w:r w:rsidRPr="00C901F3">
              <w:rPr>
                <w:rFonts w:ascii="Arial" w:hAnsi="Arial" w:cs="Arial"/>
                <w:color w:val="000000" w:themeColor="text1"/>
                <w:sz w:val="20"/>
              </w:rPr>
              <w:fldChar w:fldCharType="end"/>
            </w:r>
          </w:p>
        </w:tc>
      </w:tr>
      <w:tr w:rsidR="00107707" w:rsidRPr="000E0F90" w:rsidTr="002A21E4">
        <w:trPr>
          <w:trHeight w:val="70"/>
        </w:trPr>
        <w:tc>
          <w:tcPr>
            <w:tcW w:w="2802" w:type="dxa"/>
            <w:vMerge/>
            <w:tcBorders>
              <w:top w:val="nil"/>
              <w:left w:val="nil"/>
              <w:bottom w:val="nil"/>
              <w:right w:val="nil"/>
            </w:tcBorders>
          </w:tcPr>
          <w:p w:rsidR="00107707" w:rsidRPr="000E0F90" w:rsidRDefault="00107707" w:rsidP="001A5FA2">
            <w:pPr>
              <w:rPr>
                <w:rFonts w:ascii="Arial" w:hAnsi="Arial" w:cs="Arial"/>
                <w:b/>
                <w:color w:val="000000" w:themeColor="text1"/>
                <w:sz w:val="20"/>
              </w:rPr>
            </w:pPr>
          </w:p>
        </w:tc>
        <w:tc>
          <w:tcPr>
            <w:tcW w:w="6095" w:type="dxa"/>
            <w:tcBorders>
              <w:top w:val="nil"/>
              <w:left w:val="nil"/>
              <w:bottom w:val="nil"/>
              <w:right w:val="nil"/>
            </w:tcBorders>
            <w:vAlign w:val="bottom"/>
          </w:tcPr>
          <w:p w:rsidR="00107707" w:rsidRPr="00C901F3" w:rsidRDefault="00107707" w:rsidP="00B61CFC">
            <w:pPr>
              <w:rPr>
                <w:rFonts w:ascii="Arial" w:hAnsi="Arial" w:cs="Arial"/>
                <w:color w:val="000000" w:themeColor="text1"/>
                <w:sz w:val="20"/>
              </w:rPr>
            </w:pPr>
            <w:r w:rsidRPr="00C901F3">
              <w:rPr>
                <w:rFonts w:ascii="Arial" w:hAnsi="Arial" w:cs="Arial"/>
                <w:color w:val="000000" w:themeColor="text1"/>
                <w:sz w:val="20"/>
              </w:rPr>
              <w:t xml:space="preserve">Maximizar los beneficios a las comunidades una vez ocurrido el cierre de las faenas mineras, mediante la creación o restauración de ecosistemas y amenidades de uso público </w:t>
            </w:r>
            <w:r w:rsidRPr="00C901F3">
              <w:rPr>
                <w:rFonts w:ascii="Arial" w:hAnsi="Arial" w:cs="Arial"/>
                <w:color w:val="000000" w:themeColor="text1"/>
                <w:sz w:val="20"/>
              </w:rPr>
              <w:fldChar w:fldCharType="begin" w:fldLock="1"/>
            </w:r>
            <w:r w:rsidRPr="00C901F3">
              <w:rPr>
                <w:rFonts w:ascii="Arial" w:hAnsi="Arial" w:cs="Arial"/>
                <w:color w:val="000000" w:themeColor="text1"/>
                <w:sz w:val="20"/>
              </w:rPr>
              <w:instrText>ADDIN CSL_CITATION { "citationItems" : [ { "id" : "ITEM-1", "itemData" : { "DOI" : "10.1016/S0959-6526(03)00075-1", "ISBN" : "4414836891", "ISSN" : "09596526", "author" : [ { "dropping-particle" : "", "family" : "Azapagic", "given" : "Adisa", "non-dropping-particle" : "", "parse-names" : false, "suffix" : "" } ], "container-title" : "Journal of Cleaner Production", "id" : "ITEM-1", "issue" : "6", "issued" : { "date-parts" : [ [ "2004", "8" ] ] }, "page" : "639-662", "title" : "Developing a framework for sustainable development indicators for the mining and minerals industry", "type" : "article-journal", "volume" : "12" }, "uris" : [ "http://www.mendeley.com/documents/?uuid=a36976cf-2e0f-4c41-bd50-7ef9e97ed91f" ] } ], "mendeley" : { "formattedCitation" : "(Azapagic, 2004)", "plainTextFormattedCitation" : "(Azapagic, 2004)", "previouslyFormattedCitation" : "(Azapagic, 2004)" }, "properties" : { "noteIndex" : 0 }, "schema" : "https://github.com/citation-style-language/schema/raw/master/csl-citation.json" }</w:instrText>
            </w:r>
            <w:r w:rsidRPr="00C901F3">
              <w:rPr>
                <w:rFonts w:ascii="Arial" w:hAnsi="Arial" w:cs="Arial"/>
                <w:color w:val="000000" w:themeColor="text1"/>
                <w:sz w:val="20"/>
              </w:rPr>
              <w:fldChar w:fldCharType="separate"/>
            </w:r>
            <w:r w:rsidRPr="00C901F3">
              <w:rPr>
                <w:rFonts w:ascii="Arial" w:hAnsi="Arial" w:cs="Arial"/>
                <w:noProof/>
                <w:color w:val="000000" w:themeColor="text1"/>
                <w:sz w:val="20"/>
              </w:rPr>
              <w:t>(Azapagic, 2004)</w:t>
            </w:r>
            <w:r w:rsidRPr="00C901F3">
              <w:rPr>
                <w:rFonts w:ascii="Arial" w:hAnsi="Arial" w:cs="Arial"/>
                <w:color w:val="000000" w:themeColor="text1"/>
                <w:sz w:val="20"/>
              </w:rPr>
              <w:fldChar w:fldCharType="end"/>
            </w:r>
          </w:p>
        </w:tc>
      </w:tr>
      <w:tr w:rsidR="00107707" w:rsidRPr="000E0F90" w:rsidTr="002A21E4">
        <w:trPr>
          <w:trHeight w:val="70"/>
        </w:trPr>
        <w:tc>
          <w:tcPr>
            <w:tcW w:w="2802" w:type="dxa"/>
            <w:vMerge/>
            <w:tcBorders>
              <w:top w:val="nil"/>
              <w:left w:val="nil"/>
              <w:bottom w:val="nil"/>
              <w:right w:val="nil"/>
            </w:tcBorders>
          </w:tcPr>
          <w:p w:rsidR="00107707" w:rsidRPr="000E0F90" w:rsidRDefault="00107707" w:rsidP="001A5FA2">
            <w:pPr>
              <w:rPr>
                <w:rFonts w:ascii="Arial" w:hAnsi="Arial" w:cs="Arial"/>
                <w:color w:val="000000" w:themeColor="text1"/>
                <w:sz w:val="20"/>
              </w:rPr>
            </w:pPr>
          </w:p>
        </w:tc>
        <w:tc>
          <w:tcPr>
            <w:tcW w:w="6095" w:type="dxa"/>
            <w:tcBorders>
              <w:top w:val="nil"/>
              <w:left w:val="nil"/>
              <w:bottom w:val="nil"/>
              <w:right w:val="nil"/>
            </w:tcBorders>
            <w:vAlign w:val="bottom"/>
          </w:tcPr>
          <w:p w:rsidR="00107707" w:rsidRPr="00C901F3" w:rsidRDefault="00107707" w:rsidP="00B90CA2">
            <w:pPr>
              <w:rPr>
                <w:rFonts w:ascii="Arial" w:hAnsi="Arial" w:cs="Arial"/>
                <w:color w:val="000000" w:themeColor="text1"/>
                <w:sz w:val="20"/>
              </w:rPr>
            </w:pPr>
            <w:r w:rsidRPr="00C901F3">
              <w:rPr>
                <w:rFonts w:ascii="Arial" w:hAnsi="Arial" w:cs="Arial"/>
                <w:color w:val="000000" w:themeColor="text1"/>
                <w:sz w:val="20"/>
              </w:rPr>
              <w:t xml:space="preserve">Compensar la extracción de recursos minerales finitos que realizan las operaciones mineras en los territorios donde operan, dado que las actuales contribuciones que realizan las operaciones mineras a escala local, son insuficientes. </w:t>
            </w:r>
            <w:r w:rsidRPr="00C901F3">
              <w:rPr>
                <w:rFonts w:ascii="Arial" w:hAnsi="Arial" w:cs="Arial"/>
                <w:color w:val="000000" w:themeColor="text1"/>
                <w:sz w:val="20"/>
              </w:rPr>
              <w:fldChar w:fldCharType="begin" w:fldLock="1"/>
            </w:r>
            <w:r w:rsidRPr="00C901F3">
              <w:rPr>
                <w:rFonts w:ascii="Arial" w:hAnsi="Arial" w:cs="Arial"/>
                <w:color w:val="000000" w:themeColor="text1"/>
                <w:sz w:val="20"/>
              </w:rPr>
              <w:instrText>ADDIN CSL_CITATION { "citationItems" : [ { "id" : "ITEM-1", "itemData" : { "DOI" : "10.1002/sd.205", "ISBN" : "09680802 (ISSN)", "ISSN" : "09680802", "abstract" : "Chile has been a highly successful mining country for over two centuries. Huge sums of money are generated but only a small proportion of the revenue is being directed back into the region whose natural resources are being depleted. Mining companies may not be in control of the way central government spends these funds but they have a responsibility towards the communities they impact. The environmental problems associated with mining practices have attracted most attention but the impact on the communities is proving to be a far greater challenge. This paper focuses on the social consequences and the evolving response of the mining companies to these problems and the future sustainability of the region. Copyright \u00a9 2003 John Wiley &amp; Sons, Ltd. and ERP Environment [ABSTRACT FROM AUTHOR]", "author" : [ { "dropping-particle" : "", "family" : "Newbold", "given" : "Jane", "non-dropping-particle" : "", "parse-names" : false, "suffix" : "" } ], "container-title" : "Sustainable Development", "id" : "ITEM-1", "issued" : { "date-parts" : [ [ "2003" ] ] }, "page" : "84-90", "title" : "Social consequences of mining and present day solutions - Region II in Chile highlighted", "type" : "article-journal", "volume" : "11" }, "uris" : [ "http://www.mendeley.com/documents/?uuid=f552e5ea-de04-4581-bce0-d42e0b0754e9" ] } ], "mendeley" : { "formattedCitation" : "(Newbold, 2003)", "plainTextFormattedCitation" : "(Newbold, 2003)", "previouslyFormattedCitation" : "(Newbold, 2003)" }, "properties" : { "noteIndex" : 0 }, "schema" : "https://github.com/citation-style-language/schema/raw/master/csl-citation.json" }</w:instrText>
            </w:r>
            <w:r w:rsidRPr="00C901F3">
              <w:rPr>
                <w:rFonts w:ascii="Arial" w:hAnsi="Arial" w:cs="Arial"/>
                <w:color w:val="000000" w:themeColor="text1"/>
                <w:sz w:val="20"/>
              </w:rPr>
              <w:fldChar w:fldCharType="separate"/>
            </w:r>
            <w:r w:rsidRPr="00C901F3">
              <w:rPr>
                <w:rFonts w:ascii="Arial" w:hAnsi="Arial" w:cs="Arial"/>
                <w:noProof/>
                <w:color w:val="000000" w:themeColor="text1"/>
                <w:sz w:val="20"/>
              </w:rPr>
              <w:t>(Newbold, 2003)</w:t>
            </w:r>
            <w:r w:rsidRPr="00C901F3">
              <w:rPr>
                <w:rFonts w:ascii="Arial" w:hAnsi="Arial" w:cs="Arial"/>
                <w:color w:val="000000" w:themeColor="text1"/>
                <w:sz w:val="20"/>
              </w:rPr>
              <w:fldChar w:fldCharType="end"/>
            </w:r>
          </w:p>
        </w:tc>
      </w:tr>
      <w:tr w:rsidR="00107707" w:rsidRPr="000E0F90" w:rsidTr="002A21E4">
        <w:trPr>
          <w:trHeight w:val="70"/>
        </w:trPr>
        <w:tc>
          <w:tcPr>
            <w:tcW w:w="2802" w:type="dxa"/>
            <w:vMerge/>
            <w:tcBorders>
              <w:top w:val="nil"/>
              <w:left w:val="nil"/>
              <w:right w:val="nil"/>
            </w:tcBorders>
          </w:tcPr>
          <w:p w:rsidR="00107707" w:rsidRPr="000E0F90" w:rsidRDefault="00107707" w:rsidP="001A5FA2">
            <w:pPr>
              <w:rPr>
                <w:rFonts w:ascii="Arial" w:hAnsi="Arial" w:cs="Arial"/>
                <w:color w:val="000000" w:themeColor="text1"/>
                <w:sz w:val="20"/>
              </w:rPr>
            </w:pPr>
          </w:p>
        </w:tc>
        <w:tc>
          <w:tcPr>
            <w:tcW w:w="6095" w:type="dxa"/>
            <w:tcBorders>
              <w:top w:val="nil"/>
              <w:left w:val="nil"/>
              <w:right w:val="nil"/>
            </w:tcBorders>
            <w:vAlign w:val="bottom"/>
          </w:tcPr>
          <w:p w:rsidR="00107707" w:rsidRPr="00C901F3" w:rsidRDefault="00107707" w:rsidP="00F10A5D">
            <w:pPr>
              <w:rPr>
                <w:rFonts w:ascii="Arial" w:hAnsi="Arial" w:cs="Arial"/>
                <w:color w:val="000000" w:themeColor="text1"/>
                <w:sz w:val="20"/>
              </w:rPr>
            </w:pPr>
            <w:r w:rsidRPr="00C901F3">
              <w:rPr>
                <w:rFonts w:ascii="Arial" w:hAnsi="Arial" w:cs="Arial"/>
                <w:color w:val="000000" w:themeColor="text1"/>
                <w:sz w:val="20"/>
              </w:rPr>
              <w:t xml:space="preserve">Preservar el legado cultural, identidad y sentido de lugar </w:t>
            </w:r>
            <w:r w:rsidRPr="00C901F3">
              <w:rPr>
                <w:rFonts w:ascii="Arial" w:hAnsi="Arial" w:cs="Arial"/>
                <w:color w:val="000000" w:themeColor="text1"/>
                <w:sz w:val="20"/>
              </w:rPr>
              <w:fldChar w:fldCharType="begin" w:fldLock="1"/>
            </w:r>
            <w:r w:rsidRPr="00C901F3">
              <w:rPr>
                <w:rFonts w:ascii="Arial" w:hAnsi="Arial" w:cs="Arial"/>
                <w:color w:val="000000" w:themeColor="text1"/>
                <w:sz w:val="20"/>
              </w:rPr>
              <w:instrText>ADDIN CSL_CITATION { "citationItems" : [ { "id" : "ITEM-1", "itemData" : { "ISSN" : "1993-3800", "abstract" : "New Urbanism New Urbanism is an urban design movement, which arose in the USA in the early 1980s, promoting walkable, mixed-use neighbourhoods and transit-oriented development, seeking to end suburban sprawl and promote community. Characteristics include narrow streets, wide sidewalks and higher densities, qualities which we can all find in the European cities. Green Urbanism Green Urbanism is a conceptual model for zero-emission and zero-waste urban design, which arose in the 1990s, promoting compact energy-efficient urban development, seeking to transform and re-engineer existing city districts and regenerate the post-industrial city centre. It promotes the development of socially and environmentally sustainable city districts. This paper will first look at the timeline of important publications that have been published on sustainable design and have emerged from different schools of thought, to exemplify how gradually the notion of Green Urbanism evolved. It then identifies the intertwined principles for achieving Green Urbanism.", "author" : [ { "dropping-particle" : "", "family" : "Lehmann", "given" : "Steffen", "non-dropping-particle" : "", "parse-names" : false, "suffix" : "" } ], "container-title" : "Survey And Perspectives Integrating Environment &amp; Society", "id" : "ITEM-1", "issue" : "October", "issued" : { "date-parts" : [ [ "2010" ] ] }, "page" : "Art. 6", "title" : "Green Urbanism: Formulating a Series of Holistic Principles.", "type" : "article-journal", "volume" : "3" }, "uris" : [ "http://www.mendeley.com/documents/?uuid=7b43f80a-d8ec-4748-a9dc-ee203f8b89d7" ] } ], "mendeley" : { "formattedCitation" : "(Lehmann, 2010)", "plainTextFormattedCitation" : "(Lehmann, 2010)", "previouslyFormattedCitation" : "(Lehmann, 2010)" }, "properties" : { "noteIndex" : 0 }, "schema" : "https://github.com/citation-style-language/schema/raw/master/csl-citation.json" }</w:instrText>
            </w:r>
            <w:r w:rsidRPr="00C901F3">
              <w:rPr>
                <w:rFonts w:ascii="Arial" w:hAnsi="Arial" w:cs="Arial"/>
                <w:color w:val="000000" w:themeColor="text1"/>
                <w:sz w:val="20"/>
              </w:rPr>
              <w:fldChar w:fldCharType="separate"/>
            </w:r>
            <w:r w:rsidRPr="00C901F3">
              <w:rPr>
                <w:rFonts w:ascii="Arial" w:hAnsi="Arial" w:cs="Arial"/>
                <w:noProof/>
                <w:color w:val="000000" w:themeColor="text1"/>
                <w:sz w:val="20"/>
              </w:rPr>
              <w:t>(Lehmann, 2010)</w:t>
            </w:r>
            <w:r w:rsidRPr="00C901F3">
              <w:rPr>
                <w:rFonts w:ascii="Arial" w:hAnsi="Arial" w:cs="Arial"/>
                <w:color w:val="000000" w:themeColor="text1"/>
                <w:sz w:val="20"/>
              </w:rPr>
              <w:fldChar w:fldCharType="end"/>
            </w:r>
            <w:r w:rsidRPr="00C901F3">
              <w:rPr>
                <w:rFonts w:ascii="Arial" w:hAnsi="Arial" w:cs="Arial"/>
                <w:color w:val="000000" w:themeColor="text1"/>
                <w:sz w:val="20"/>
              </w:rPr>
              <w:t xml:space="preserve">. Preservar paisajes de significancia humana o ecológica, por su rareza, calidad estética, cultural o espiritual </w:t>
            </w:r>
            <w:r w:rsidRPr="00C901F3">
              <w:rPr>
                <w:rFonts w:ascii="Arial" w:hAnsi="Arial" w:cs="Arial"/>
                <w:color w:val="000000" w:themeColor="text1"/>
                <w:sz w:val="20"/>
              </w:rPr>
              <w:fldChar w:fldCharType="begin" w:fldLock="1"/>
            </w:r>
            <w:r w:rsidRPr="00C901F3">
              <w:rPr>
                <w:rFonts w:ascii="Arial" w:hAnsi="Arial" w:cs="Arial"/>
                <w:color w:val="000000" w:themeColor="text1"/>
                <w:sz w:val="20"/>
              </w:rPr>
              <w:instrText>ADDIN CSL_CITATION { "citationItems" : [ { "id" : "ITEM-1", "itemData" : { "DOI" : "10.1016/S0921-8009(02)00272-0", "ISBN" : "0921-8009", "ISSN" : "09218009", "PMID" : "23", "abstract" : "This paper develops a methodology for identifying that natural capital - called critical natural capital (CNC) - the maintenance of which is essential for environmental sustainability. By consideration of the characteristics of natural capital, of the environmental functions that these characteristics enable natural capital to perform and of the importance of these functions to humans and the biosphere, it shows how sustainability standards in respect of these environmental functions may be derived. The difference between the current situation and these standards is termed the sustainability gap. The methodology that emerges from bringing these ideas together into a single analytical framework enables policy makers to identify the extent of current unsustainability, the principal causes of it, the elements and processes of natural capital (the CNC) which need to be maintained or restored to close the sustainability gap and the costs of so doing. The framework should therefore be of use in identifying priorities and policies for moving towards environmental sustainability. ?? 2002 Published by Elsevier Science B.V.", "author" : [ { "dropping-particle" : "", "family" : "Ekins", "given" : "Paul", "non-dropping-particle" : "", "parse-names" : false, "suffix" : "" }, { "dropping-particle" : "", "family" : "Simon", "given" : "Sandrine", "non-dropping-particle" : "", "parse-names" : false, "suffix" : "" }, { "dropping-particle" : "", "family" : "Deutsch", "given" : "Lisa", "non-dropping-particle" : "", "parse-names" : false, "suffix" : "" }, { "dropping-particle" : "", "family" : "Folke", "given" : "Carl", "non-dropping-particle" : "", "parse-names" : false, "suffix" : "" }, { "dropping-particle" : "", "family" : "Groot", "given" : "Rudolf", "non-dropping-particle" : "De", "parse-names" : false, "suffix" : "" } ], "container-title" : "Ecological Economics", "id" : "ITEM-1", "issued" : { "date-parts" : [ [ "2003" ] ] }, "page" : "165-185", "title" : "A framework for the practical application of the concepts of critical natural capital and strong sustainability", "type" : "article-journal", "volume" : "44" }, "uris" : [ "http://www.mendeley.com/documents/?uuid=5ab0dee7-4e2a-402b-a4ce-62606789c9e2" ] } ], "mendeley" : { "formattedCitation" : "(Ekins et al., 2003)", "plainTextFormattedCitation" : "(Ekins et al., 2003)", "previouslyFormattedCitation" : "(Ekins et al., 2003)" }, "properties" : { "noteIndex" : 0 }, "schema" : "https://github.com/citation-style-language/schema/raw/master/csl-citation.json" }</w:instrText>
            </w:r>
            <w:r w:rsidRPr="00C901F3">
              <w:rPr>
                <w:rFonts w:ascii="Arial" w:hAnsi="Arial" w:cs="Arial"/>
                <w:color w:val="000000" w:themeColor="text1"/>
                <w:sz w:val="20"/>
              </w:rPr>
              <w:fldChar w:fldCharType="separate"/>
            </w:r>
            <w:r w:rsidRPr="00C901F3">
              <w:rPr>
                <w:rFonts w:ascii="Arial" w:hAnsi="Arial" w:cs="Arial"/>
                <w:noProof/>
                <w:color w:val="000000" w:themeColor="text1"/>
                <w:sz w:val="20"/>
              </w:rPr>
              <w:t>(Ekins et al., 2003)</w:t>
            </w:r>
            <w:r w:rsidRPr="00C901F3">
              <w:rPr>
                <w:rFonts w:ascii="Arial" w:hAnsi="Arial" w:cs="Arial"/>
                <w:color w:val="000000" w:themeColor="text1"/>
                <w:sz w:val="20"/>
              </w:rPr>
              <w:fldChar w:fldCharType="end"/>
            </w:r>
            <w:r w:rsidRPr="00C901F3">
              <w:rPr>
                <w:rFonts w:ascii="Arial" w:hAnsi="Arial" w:cs="Arial"/>
                <w:color w:val="000000" w:themeColor="text1"/>
                <w:sz w:val="20"/>
              </w:rPr>
              <w:t xml:space="preserve">; o atributos relevantes para la diversidad biológica </w:t>
            </w:r>
            <w:r w:rsidRPr="00C901F3">
              <w:rPr>
                <w:rFonts w:ascii="Arial" w:hAnsi="Arial" w:cs="Arial"/>
                <w:color w:val="000000" w:themeColor="text1"/>
                <w:sz w:val="20"/>
              </w:rPr>
              <w:fldChar w:fldCharType="begin" w:fldLock="1"/>
            </w:r>
            <w:r w:rsidRPr="00C901F3">
              <w:rPr>
                <w:rFonts w:ascii="Arial" w:hAnsi="Arial" w:cs="Arial"/>
                <w:color w:val="000000" w:themeColor="text1"/>
                <w:sz w:val="20"/>
              </w:rPr>
              <w:instrText>ADDIN CSL_CITATION { "citationItems" : [ { "id" : "ITEM-1", "itemData" : { "DOI" : "10.1890/0012-9623(2000)081[0272:EPCOE]2.0.CO;2", "ISBN" : "1051-0761", "ISSN" : "0012-9623", "PMID" : "2641032", "abstract" : "The many ways that people have used and managed land throughout history has emerged as a primary cause of land-cover change around the world. Thus, land use and land management increasingly represent a fundamental source of change in the global environment. Despite their global importance, however, many decisions about the management and use of land are made with scant attention to ecological impacts. Thus, ecologists\u2019 knowledge of the functioning of Earth\u2019s ecosystems is needed to broaden the scientific basis of decisions on land use and management. In response to this need, the Ecological Society of America established a committee to examine the ways that land-use decisions are made and the ways that ecologists could help inform those decisions. This paper reports the scientific findings of that committee. Five principles of ecological science have particular implications for land use and can assure that fundamental processes of Earth\u2019s ecosystems are sustained. These ecological principles deal with time, species, place, dis- turbance, and the landscape. The recognition that ecological processes occur within a temporal setting and change over time is fundamental to analyzing the effects of land use. In addition, individual species and networks of interacting species have strong and far-reaching effects on ecological processes. Furthermore, each site or region has a unique set of organisms and abiotic conditions influencing and constraining ecological processes. Distur- bances are important and ubiquitous ecological events whose effects may strongly influence population, com- munity, and ecosystem dynamics. Finally, the size, shape, and spatial relationships of habitat patches on the landscape affect the structure and function of ecosystems. The responses of the land to changes in use and management by people depend on expressions of these fundamental principles in nature. These principles dictate several guidelines for land use. The guidelines give practical rules of thumb for incorporating ecological principles into land-use decision making. These guidelines suggest that land managers should: (1) examine impacts of local decisions in a regional context, (2) plan for long-termchange and unexpected events, (3) preserve rare landscape elements and associated species, (4) avoid land uses that deplete natural resources, (5) retain large contiguous or connected areas that contain critical habitats, (6) minimize the intro- duction and spread of nonnative sp\u2026", "author" : [ { "dropping-particle" : "", "family" : "Dale", "given" : "Vh", "non-dropping-particle" : "", "parse-names" : false, "suffix" : "" }, { "dropping-particle" : "", "family" : "Brown", "given" : "S", "non-dropping-particle" : "", "parse-names" : false, "suffix" : "" }, { "dropping-particle" : "", "family" : "Haeuber", "given" : "Ra", "non-dropping-particle" : "", "parse-names" : false, "suffix" : "" } ], "container-title" : "Ecological Applications", "id" : "ITEM-1", "issue" : "3", "issued" : { "date-parts" : [ [ "2000" ] ] }, "page" : "639-670", "title" : "Ecological Principles and Guidelines for Managing the use of Land", "type" : "article-journal", "volume" : "10" }, "uris" : [ "http://www.mendeley.com/documents/?uuid=bc0e4508-68ba-43f1-b8ad-4ce0d03c2491" ] } ], "mendeley" : { "formattedCitation" : "(Dale et al., 2000)", "plainTextFormattedCitation" : "(Dale et al., 2000)", "previouslyFormattedCitation" : "(Dale et al., 2000)" }, "properties" : { "noteIndex" : 0 }, "schema" : "https://github.com/citation-style-language/schema/raw/master/csl-citation.json" }</w:instrText>
            </w:r>
            <w:r w:rsidRPr="00C901F3">
              <w:rPr>
                <w:rFonts w:ascii="Arial" w:hAnsi="Arial" w:cs="Arial"/>
                <w:color w:val="000000" w:themeColor="text1"/>
                <w:sz w:val="20"/>
              </w:rPr>
              <w:fldChar w:fldCharType="separate"/>
            </w:r>
            <w:r w:rsidRPr="00C901F3">
              <w:rPr>
                <w:rFonts w:ascii="Arial" w:hAnsi="Arial" w:cs="Arial"/>
                <w:noProof/>
                <w:color w:val="000000" w:themeColor="text1"/>
                <w:sz w:val="20"/>
              </w:rPr>
              <w:t>(Dale et al., 2000)</w:t>
            </w:r>
            <w:r w:rsidRPr="00C901F3">
              <w:rPr>
                <w:rFonts w:ascii="Arial" w:hAnsi="Arial" w:cs="Arial"/>
                <w:color w:val="000000" w:themeColor="text1"/>
                <w:sz w:val="20"/>
              </w:rPr>
              <w:fldChar w:fldCharType="end"/>
            </w:r>
          </w:p>
        </w:tc>
      </w:tr>
    </w:tbl>
    <w:p w:rsidR="00EC548B" w:rsidRPr="000E0F90" w:rsidRDefault="00EC548B" w:rsidP="00A31A6C">
      <w:pPr>
        <w:spacing w:before="240"/>
        <w:rPr>
          <w:rFonts w:ascii="Arial" w:hAnsi="Arial" w:cs="Arial"/>
          <w:color w:val="000000" w:themeColor="text1"/>
        </w:rPr>
      </w:pPr>
    </w:p>
    <w:p w:rsidR="001C1F79" w:rsidRPr="000E0F90" w:rsidRDefault="00E0505F" w:rsidP="002726FB">
      <w:pPr>
        <w:pStyle w:val="Ttulo4"/>
        <w:rPr>
          <w:rFonts w:ascii="Arial" w:hAnsi="Arial" w:cs="Arial"/>
          <w:color w:val="000000" w:themeColor="text1"/>
        </w:rPr>
      </w:pPr>
      <w:bookmarkStart w:id="23" w:name="_Toc474855675"/>
      <w:r>
        <w:rPr>
          <w:rFonts w:ascii="Arial" w:hAnsi="Arial" w:cs="Arial"/>
          <w:color w:val="000000" w:themeColor="text1"/>
        </w:rPr>
        <w:t>Criterios</w:t>
      </w:r>
      <w:r w:rsidR="00B5389E" w:rsidRPr="000E0F90">
        <w:rPr>
          <w:rFonts w:ascii="Arial" w:hAnsi="Arial" w:cs="Arial"/>
          <w:color w:val="000000" w:themeColor="text1"/>
        </w:rPr>
        <w:t xml:space="preserve"> </w:t>
      </w:r>
      <w:r w:rsidR="005E3A6E">
        <w:rPr>
          <w:rFonts w:ascii="Arial" w:hAnsi="Arial" w:cs="Arial"/>
          <w:color w:val="000000" w:themeColor="text1"/>
        </w:rPr>
        <w:t>para el</w:t>
      </w:r>
      <w:r w:rsidR="00B5389E" w:rsidRPr="000E0F90">
        <w:rPr>
          <w:rFonts w:ascii="Arial" w:hAnsi="Arial" w:cs="Arial"/>
          <w:color w:val="000000" w:themeColor="text1"/>
        </w:rPr>
        <w:t xml:space="preserve"> principio M</w:t>
      </w:r>
      <w:r w:rsidR="001C1F79" w:rsidRPr="000E0F90">
        <w:rPr>
          <w:rFonts w:ascii="Arial" w:hAnsi="Arial" w:cs="Arial"/>
          <w:color w:val="000000" w:themeColor="text1"/>
        </w:rPr>
        <w:t>antención de recursos y eficiencia</w:t>
      </w:r>
      <w:bookmarkEnd w:id="23"/>
    </w:p>
    <w:p w:rsidR="00B5389E" w:rsidRPr="000E0F90" w:rsidRDefault="00B5389E" w:rsidP="008D6193">
      <w:pPr>
        <w:spacing w:line="360" w:lineRule="auto"/>
        <w:rPr>
          <w:rFonts w:ascii="Arial" w:hAnsi="Arial" w:cs="Arial"/>
          <w:color w:val="000000" w:themeColor="text1"/>
        </w:rPr>
      </w:pPr>
      <w:r w:rsidRPr="000E0F90">
        <w:rPr>
          <w:rFonts w:ascii="Arial" w:hAnsi="Arial" w:cs="Arial"/>
          <w:color w:val="000000" w:themeColor="text1"/>
        </w:rPr>
        <w:t xml:space="preserve">De acuerdo a la revisión de la literatura en relación </w:t>
      </w:r>
      <w:r w:rsidR="005D116F" w:rsidRPr="000E0F90">
        <w:rPr>
          <w:rFonts w:ascii="Arial" w:hAnsi="Arial" w:cs="Arial"/>
          <w:color w:val="000000" w:themeColor="text1"/>
        </w:rPr>
        <w:t xml:space="preserve">a </w:t>
      </w:r>
      <w:r w:rsidRPr="000E0F90">
        <w:rPr>
          <w:rFonts w:ascii="Arial" w:hAnsi="Arial" w:cs="Arial"/>
          <w:color w:val="000000" w:themeColor="text1"/>
        </w:rPr>
        <w:t xml:space="preserve">la Mantención de Recursos y Eficiencia, diversos autores han planteado criterios y acciones para poner en práctica </w:t>
      </w:r>
      <w:r w:rsidR="00922214" w:rsidRPr="000E0F90">
        <w:rPr>
          <w:rFonts w:ascii="Arial" w:hAnsi="Arial" w:cs="Arial"/>
          <w:color w:val="000000" w:themeColor="text1"/>
        </w:rPr>
        <w:t>este principio en los territorios</w:t>
      </w:r>
      <w:r w:rsidR="007936A4" w:rsidRPr="000E0F90">
        <w:rPr>
          <w:rFonts w:ascii="Arial" w:hAnsi="Arial" w:cs="Arial"/>
          <w:color w:val="000000" w:themeColor="text1"/>
        </w:rPr>
        <w:t xml:space="preserve"> mineros</w:t>
      </w:r>
      <w:r w:rsidR="00EC548B" w:rsidRPr="000E0F90">
        <w:rPr>
          <w:rFonts w:ascii="Arial" w:hAnsi="Arial" w:cs="Arial"/>
          <w:color w:val="000000" w:themeColor="text1"/>
        </w:rPr>
        <w:t xml:space="preserve"> (Cuadro 7)</w:t>
      </w:r>
      <w:r w:rsidR="00922214" w:rsidRPr="000E0F90">
        <w:rPr>
          <w:rFonts w:ascii="Arial" w:hAnsi="Arial" w:cs="Arial"/>
          <w:color w:val="000000" w:themeColor="text1"/>
        </w:rPr>
        <w:t>.</w:t>
      </w:r>
    </w:p>
    <w:p w:rsidR="004155A2" w:rsidRPr="000E0F90" w:rsidRDefault="006B15AA" w:rsidP="008D6193">
      <w:pPr>
        <w:pStyle w:val="Epgrafe"/>
        <w:spacing w:after="120" w:line="360" w:lineRule="auto"/>
        <w:rPr>
          <w:rFonts w:ascii="Arial" w:hAnsi="Arial" w:cs="Arial"/>
          <w:b w:val="0"/>
          <w:color w:val="000000" w:themeColor="text1"/>
          <w:sz w:val="22"/>
        </w:rPr>
      </w:pPr>
      <w:r w:rsidRPr="000E0F90">
        <w:rPr>
          <w:rFonts w:ascii="Arial" w:hAnsi="Arial" w:cs="Arial"/>
          <w:b w:val="0"/>
          <w:color w:val="000000" w:themeColor="text1"/>
          <w:sz w:val="22"/>
        </w:rPr>
        <w:t xml:space="preserve">Cuadro </w:t>
      </w:r>
      <w:r w:rsidRPr="000E0F90">
        <w:rPr>
          <w:rFonts w:ascii="Arial" w:hAnsi="Arial" w:cs="Arial"/>
          <w:b w:val="0"/>
          <w:color w:val="000000" w:themeColor="text1"/>
          <w:sz w:val="22"/>
        </w:rPr>
        <w:fldChar w:fldCharType="begin"/>
      </w:r>
      <w:r w:rsidRPr="000E0F90">
        <w:rPr>
          <w:rFonts w:ascii="Arial" w:hAnsi="Arial" w:cs="Arial"/>
          <w:b w:val="0"/>
          <w:color w:val="000000" w:themeColor="text1"/>
          <w:sz w:val="22"/>
        </w:rPr>
        <w:instrText xml:space="preserve"> SEQ Cuadro \* ARABIC </w:instrText>
      </w:r>
      <w:r w:rsidRPr="000E0F90">
        <w:rPr>
          <w:rFonts w:ascii="Arial" w:hAnsi="Arial" w:cs="Arial"/>
          <w:b w:val="0"/>
          <w:color w:val="000000" w:themeColor="text1"/>
          <w:sz w:val="22"/>
        </w:rPr>
        <w:fldChar w:fldCharType="separate"/>
      </w:r>
      <w:r w:rsidR="00225844">
        <w:rPr>
          <w:rFonts w:ascii="Arial" w:hAnsi="Arial" w:cs="Arial"/>
          <w:b w:val="0"/>
          <w:noProof/>
          <w:color w:val="000000" w:themeColor="text1"/>
          <w:sz w:val="22"/>
        </w:rPr>
        <w:t>7</w:t>
      </w:r>
      <w:r w:rsidRPr="000E0F90">
        <w:rPr>
          <w:rFonts w:ascii="Arial" w:hAnsi="Arial" w:cs="Arial"/>
          <w:b w:val="0"/>
          <w:color w:val="000000" w:themeColor="text1"/>
          <w:sz w:val="22"/>
        </w:rPr>
        <w:fldChar w:fldCharType="end"/>
      </w:r>
      <w:r w:rsidR="004155A2" w:rsidRPr="000E0F90">
        <w:rPr>
          <w:rFonts w:ascii="Arial" w:hAnsi="Arial" w:cs="Arial"/>
          <w:b w:val="0"/>
          <w:color w:val="000000" w:themeColor="text1"/>
          <w:sz w:val="22"/>
        </w:rPr>
        <w:t xml:space="preserve">: </w:t>
      </w:r>
      <w:r w:rsidR="00E0505F">
        <w:rPr>
          <w:rFonts w:ascii="Arial" w:hAnsi="Arial" w:cs="Arial"/>
          <w:b w:val="0"/>
          <w:color w:val="000000" w:themeColor="text1"/>
          <w:sz w:val="22"/>
        </w:rPr>
        <w:t>Criterios</w:t>
      </w:r>
      <w:r w:rsidR="004155A2" w:rsidRPr="000E0F90">
        <w:rPr>
          <w:rFonts w:ascii="Arial" w:hAnsi="Arial" w:cs="Arial"/>
          <w:b w:val="0"/>
          <w:color w:val="000000" w:themeColor="text1"/>
          <w:sz w:val="22"/>
        </w:rPr>
        <w:t xml:space="preserve"> </w:t>
      </w:r>
      <w:r w:rsidR="00903E57" w:rsidRPr="000E0F90">
        <w:rPr>
          <w:rFonts w:ascii="Arial" w:hAnsi="Arial" w:cs="Arial"/>
          <w:b w:val="0"/>
          <w:color w:val="000000" w:themeColor="text1"/>
          <w:sz w:val="22"/>
        </w:rPr>
        <w:t xml:space="preserve">identificados para </w:t>
      </w:r>
      <w:r w:rsidR="009D5ADA" w:rsidRPr="000E0F90">
        <w:rPr>
          <w:rFonts w:ascii="Arial" w:hAnsi="Arial" w:cs="Arial"/>
          <w:b w:val="0"/>
          <w:color w:val="000000" w:themeColor="text1"/>
          <w:sz w:val="22"/>
        </w:rPr>
        <w:t>estructurar</w:t>
      </w:r>
      <w:r w:rsidR="00903E57" w:rsidRPr="000E0F90">
        <w:rPr>
          <w:rFonts w:ascii="Arial" w:hAnsi="Arial" w:cs="Arial"/>
          <w:b w:val="0"/>
          <w:color w:val="000000" w:themeColor="text1"/>
          <w:sz w:val="22"/>
        </w:rPr>
        <w:t xml:space="preserve"> el</w:t>
      </w:r>
      <w:r w:rsidRPr="000E0F90">
        <w:rPr>
          <w:rFonts w:ascii="Arial" w:hAnsi="Arial" w:cs="Arial"/>
          <w:b w:val="0"/>
          <w:color w:val="000000" w:themeColor="text1"/>
          <w:sz w:val="22"/>
        </w:rPr>
        <w:t xml:space="preserve"> principio Mantención de R</w:t>
      </w:r>
      <w:r w:rsidR="004155A2" w:rsidRPr="000E0F90">
        <w:rPr>
          <w:rFonts w:ascii="Arial" w:hAnsi="Arial" w:cs="Arial"/>
          <w:b w:val="0"/>
          <w:color w:val="000000" w:themeColor="text1"/>
          <w:sz w:val="22"/>
        </w:rPr>
        <w:t xml:space="preserve">ecursos y </w:t>
      </w:r>
      <w:r w:rsidRPr="000E0F90">
        <w:rPr>
          <w:rFonts w:ascii="Arial" w:hAnsi="Arial" w:cs="Arial"/>
          <w:b w:val="0"/>
          <w:color w:val="000000" w:themeColor="text1"/>
          <w:sz w:val="22"/>
        </w:rPr>
        <w:t>E</w:t>
      </w:r>
      <w:r w:rsidR="004155A2" w:rsidRPr="000E0F90">
        <w:rPr>
          <w:rFonts w:ascii="Arial" w:hAnsi="Arial" w:cs="Arial"/>
          <w:b w:val="0"/>
          <w:color w:val="000000" w:themeColor="text1"/>
          <w:sz w:val="22"/>
        </w:rPr>
        <w:t>ficiencia para territorios</w:t>
      </w:r>
      <w:r w:rsidR="00903E57" w:rsidRPr="000E0F90">
        <w:rPr>
          <w:rFonts w:ascii="Arial" w:hAnsi="Arial" w:cs="Arial"/>
          <w:b w:val="0"/>
          <w:color w:val="000000" w:themeColor="text1"/>
          <w:sz w:val="22"/>
        </w:rPr>
        <w:t xml:space="preserve"> mineros</w:t>
      </w:r>
    </w:p>
    <w:tbl>
      <w:tblPr>
        <w:tblW w:w="8755" w:type="dxa"/>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2835"/>
        <w:gridCol w:w="5920"/>
      </w:tblGrid>
      <w:tr w:rsidR="00C901F3" w:rsidRPr="000E0F90" w:rsidTr="002A21E4">
        <w:trPr>
          <w:trHeight w:val="272"/>
        </w:trPr>
        <w:tc>
          <w:tcPr>
            <w:tcW w:w="8755" w:type="dxa"/>
            <w:gridSpan w:val="2"/>
            <w:shd w:val="clear" w:color="auto" w:fill="D9D9D9" w:themeFill="background1" w:themeFillShade="D9"/>
          </w:tcPr>
          <w:p w:rsidR="00C901F3" w:rsidRPr="00C901F3" w:rsidRDefault="002A21E4" w:rsidP="00604276">
            <w:pPr>
              <w:spacing w:after="0" w:line="240" w:lineRule="auto"/>
              <w:rPr>
                <w:rFonts w:ascii="Arial" w:hAnsi="Arial" w:cs="Arial"/>
                <w:b/>
                <w:color w:val="000000" w:themeColor="text1"/>
                <w:sz w:val="20"/>
              </w:rPr>
            </w:pPr>
            <w:r w:rsidRPr="00C901F3">
              <w:rPr>
                <w:rFonts w:ascii="Arial" w:hAnsi="Arial" w:cs="Arial"/>
                <w:b/>
                <w:color w:val="000000" w:themeColor="text1"/>
                <w:sz w:val="20"/>
              </w:rPr>
              <w:t>Mantención de recursos y eficiencia</w:t>
            </w:r>
          </w:p>
        </w:tc>
      </w:tr>
      <w:tr w:rsidR="00B5389E" w:rsidRPr="000E0F90" w:rsidTr="00C901F3">
        <w:trPr>
          <w:trHeight w:val="272"/>
        </w:trPr>
        <w:tc>
          <w:tcPr>
            <w:tcW w:w="8755" w:type="dxa"/>
            <w:gridSpan w:val="2"/>
            <w:tcBorders>
              <w:bottom w:val="single" w:sz="4" w:space="0" w:color="auto"/>
            </w:tcBorders>
          </w:tcPr>
          <w:p w:rsidR="00B5389E" w:rsidRPr="000E0F90" w:rsidRDefault="00B5389E" w:rsidP="00604276">
            <w:pPr>
              <w:spacing w:after="0" w:line="240" w:lineRule="auto"/>
              <w:rPr>
                <w:rFonts w:ascii="Arial" w:hAnsi="Arial" w:cs="Arial"/>
                <w:i/>
                <w:color w:val="000000" w:themeColor="text1"/>
                <w:sz w:val="20"/>
              </w:rPr>
            </w:pPr>
            <w:r w:rsidRPr="000E0F90">
              <w:rPr>
                <w:rFonts w:ascii="Arial" w:hAnsi="Arial" w:cs="Arial"/>
                <w:i/>
                <w:color w:val="000000" w:themeColor="text1"/>
                <w:sz w:val="20"/>
              </w:rPr>
              <w:t>Proveer una base amplia</w:t>
            </w:r>
            <w:r w:rsidR="00903E57" w:rsidRPr="000E0F90">
              <w:rPr>
                <w:rFonts w:ascii="Arial" w:hAnsi="Arial" w:cs="Arial"/>
                <w:i/>
                <w:color w:val="000000" w:themeColor="text1"/>
                <w:sz w:val="20"/>
              </w:rPr>
              <w:t xml:space="preserve"> </w:t>
            </w:r>
            <w:r w:rsidRPr="000E0F90">
              <w:rPr>
                <w:rFonts w:ascii="Arial" w:hAnsi="Arial" w:cs="Arial"/>
                <w:i/>
                <w:color w:val="000000" w:themeColor="text1"/>
                <w:sz w:val="20"/>
              </w:rPr>
              <w:t xml:space="preserve">de recursos para asegurar formas de vida sostenibles para todos, reduciendo las amenazas a la integridad de los sistemas socio-ecológicos, mediante la reducción del daño extractivo, evitando </w:t>
            </w:r>
            <w:r w:rsidR="00903E57" w:rsidRPr="000E0F90">
              <w:rPr>
                <w:rFonts w:ascii="Arial" w:hAnsi="Arial" w:cs="Arial"/>
                <w:i/>
                <w:color w:val="000000" w:themeColor="text1"/>
                <w:sz w:val="20"/>
              </w:rPr>
              <w:t xml:space="preserve">generar </w:t>
            </w:r>
            <w:r w:rsidRPr="000E0F90">
              <w:rPr>
                <w:rFonts w:ascii="Arial" w:hAnsi="Arial" w:cs="Arial"/>
                <w:i/>
                <w:color w:val="000000" w:themeColor="text1"/>
                <w:sz w:val="20"/>
              </w:rPr>
              <w:t>desechos, reduciendo el uso de material y energía</w:t>
            </w:r>
            <w:r w:rsidR="002B546D" w:rsidRPr="000E0F90">
              <w:rPr>
                <w:rFonts w:ascii="Arial" w:hAnsi="Arial" w:cs="Arial"/>
                <w:i/>
                <w:color w:val="000000" w:themeColor="text1"/>
                <w:sz w:val="20"/>
                <w:szCs w:val="20"/>
              </w:rPr>
              <w:t xml:space="preserve"> </w:t>
            </w:r>
            <w:r w:rsidR="002B546D" w:rsidRPr="000E0F90">
              <w:rPr>
                <w:rFonts w:ascii="Arial" w:hAnsi="Arial" w:cs="Arial"/>
                <w:color w:val="000000" w:themeColor="text1"/>
                <w:sz w:val="20"/>
                <w:szCs w:val="20"/>
              </w:rPr>
              <w:t>(Gibson, 2006)</w:t>
            </w:r>
            <w:r w:rsidR="00903E57" w:rsidRPr="000E0F90">
              <w:rPr>
                <w:rFonts w:ascii="Arial" w:hAnsi="Arial" w:cs="Arial"/>
                <w:i/>
                <w:color w:val="000000" w:themeColor="text1"/>
                <w:sz w:val="20"/>
              </w:rPr>
              <w:t>.</w:t>
            </w:r>
            <w:r w:rsidRPr="000E0F90">
              <w:rPr>
                <w:rFonts w:ascii="Arial" w:hAnsi="Arial" w:cs="Arial"/>
                <w:i/>
                <w:color w:val="000000" w:themeColor="text1"/>
                <w:sz w:val="20"/>
              </w:rPr>
              <w:t xml:space="preserve"> </w:t>
            </w:r>
          </w:p>
        </w:tc>
      </w:tr>
      <w:tr w:rsidR="00B5389E" w:rsidRPr="000E0F90" w:rsidTr="002A21E4">
        <w:trPr>
          <w:trHeight w:val="70"/>
        </w:trPr>
        <w:tc>
          <w:tcPr>
            <w:tcW w:w="2835" w:type="dxa"/>
            <w:tcBorders>
              <w:bottom w:val="single" w:sz="4" w:space="0" w:color="auto"/>
              <w:right w:val="nil"/>
            </w:tcBorders>
            <w:shd w:val="clear" w:color="auto" w:fill="D9D9D9" w:themeFill="background1" w:themeFillShade="D9"/>
            <w:vAlign w:val="bottom"/>
          </w:tcPr>
          <w:p w:rsidR="00B5389E" w:rsidRPr="000E0F90" w:rsidRDefault="00903E57" w:rsidP="00604276">
            <w:pPr>
              <w:spacing w:after="0" w:line="240" w:lineRule="auto"/>
              <w:rPr>
                <w:rFonts w:ascii="Arial" w:hAnsi="Arial" w:cs="Arial"/>
                <w:b/>
                <w:color w:val="000000" w:themeColor="text1"/>
                <w:sz w:val="20"/>
              </w:rPr>
            </w:pPr>
            <w:r w:rsidRPr="000E0F90">
              <w:rPr>
                <w:rFonts w:ascii="Arial" w:hAnsi="Arial" w:cs="Arial"/>
                <w:b/>
                <w:color w:val="000000" w:themeColor="text1"/>
                <w:sz w:val="20"/>
              </w:rPr>
              <w:t>Criterios</w:t>
            </w:r>
          </w:p>
        </w:tc>
        <w:tc>
          <w:tcPr>
            <w:tcW w:w="5920" w:type="dxa"/>
            <w:tcBorders>
              <w:left w:val="nil"/>
              <w:bottom w:val="single" w:sz="4" w:space="0" w:color="auto"/>
            </w:tcBorders>
            <w:shd w:val="clear" w:color="auto" w:fill="D9D9D9" w:themeFill="background1" w:themeFillShade="D9"/>
          </w:tcPr>
          <w:p w:rsidR="00B5389E" w:rsidRPr="000E0F90" w:rsidRDefault="00903E57" w:rsidP="00604276">
            <w:pPr>
              <w:spacing w:after="0" w:line="240" w:lineRule="auto"/>
              <w:rPr>
                <w:rFonts w:ascii="Arial" w:hAnsi="Arial" w:cs="Arial"/>
                <w:b/>
                <w:color w:val="000000" w:themeColor="text1"/>
                <w:sz w:val="20"/>
              </w:rPr>
            </w:pPr>
            <w:r w:rsidRPr="000E0F90">
              <w:rPr>
                <w:rFonts w:ascii="Arial" w:hAnsi="Arial" w:cs="Arial"/>
                <w:b/>
                <w:color w:val="000000" w:themeColor="text1"/>
                <w:sz w:val="20"/>
              </w:rPr>
              <w:t>Acciones</w:t>
            </w:r>
          </w:p>
        </w:tc>
      </w:tr>
      <w:tr w:rsidR="000A0238" w:rsidRPr="000E0F90" w:rsidTr="002A21E4">
        <w:trPr>
          <w:trHeight w:val="759"/>
        </w:trPr>
        <w:tc>
          <w:tcPr>
            <w:tcW w:w="2835" w:type="dxa"/>
            <w:vMerge w:val="restart"/>
            <w:tcBorders>
              <w:bottom w:val="nil"/>
              <w:right w:val="nil"/>
            </w:tcBorders>
          </w:tcPr>
          <w:p w:rsidR="000A0238" w:rsidRPr="00CC033B" w:rsidRDefault="000A0238" w:rsidP="00604276">
            <w:pPr>
              <w:spacing w:after="0" w:line="240" w:lineRule="auto"/>
              <w:rPr>
                <w:rFonts w:ascii="Arial" w:hAnsi="Arial" w:cs="Arial"/>
                <w:b/>
                <w:color w:val="000000" w:themeColor="text1"/>
                <w:sz w:val="20"/>
              </w:rPr>
            </w:pPr>
            <w:r w:rsidRPr="00CC033B">
              <w:rPr>
                <w:rFonts w:ascii="Arial" w:hAnsi="Arial" w:cs="Arial"/>
                <w:b/>
                <w:color w:val="000000" w:themeColor="text1"/>
                <w:sz w:val="20"/>
              </w:rPr>
              <w:t xml:space="preserve">Minimizar el daño extractivo (ciclo de vida, efectos inducidos y acumulativos); </w:t>
            </w:r>
            <w:r w:rsidRPr="00CC033B">
              <w:rPr>
                <w:rFonts w:ascii="Arial" w:hAnsi="Arial" w:cs="Arial"/>
                <w:b/>
                <w:color w:val="000000" w:themeColor="text1"/>
                <w:sz w:val="20"/>
              </w:rPr>
              <w:fldChar w:fldCharType="begin" w:fldLock="1"/>
            </w:r>
            <w:r w:rsidRPr="00CC033B">
              <w:rPr>
                <w:rFonts w:ascii="Arial" w:hAnsi="Arial" w:cs="Arial"/>
                <w:b/>
                <w:color w:val="000000" w:themeColor="text1"/>
                <w:sz w:val="20"/>
              </w:rPr>
              <w:instrText>ADDIN CSL_CITATION { "citationItems" : [ { "id" : "ITEM-1", "itemData" : { "DOI" : "10.3152/146155110X12772982841122", "ISSN" : "1461-5517", "abstract" : "Assessments today need to help reverse trends towards deeper unsustainability and address the unavoidable interconnections, feedbacks and uncertainties that typify complex socio-ecological systems at all scales. To illustrate one promising approach, this paper describes a modest effort to integrate understandings from Gibson et al\u2019s approach to sustainability assessment with the Resilience Alliance\u2019s applications of complex systems thinking into a suite of systems and sustainability based criteria. The integrated sustainability\u2013resilience criteria were used to assess an existing small-scale biodiesel operation on Barbados that involves waste management, public health, transportation, energy security and community involvement considerations. The assessment revealed that the main benefit of this biodiesel project is in social learning rather than enhancing energy security and waste management, and the best ways of enhancing the project lie in larger scale policy initiatives. The findings suggest that the use of a sustainability\u2013resilience approach can contribute insights unlikely to emerge from more narrowly focused assessments.", "author" : [ { "dropping-particle" : "", "family" : "Gaudreau", "given" : "Kyrke", "non-dropping-particle" : "", "parse-names" : false, "suffix" : "" }, { "dropping-particle" : "", "family" : "Gibson", "given" : "Robert B.", "non-dropping-particle" : "", "parse-names" : false, "suffix" : "" } ], "container-title" : "Impact Assessment and Project Appraisal", "id" : "ITEM-1", "issue" : "December", "issued" : { "date-parts" : [ [ "2010" ] ] }, "page" : "233-243", "title" : "Illustrating integrated sustainability and resilience based assessments: a small-scale biodiesel project in Barbados", "type" : "article-journal", "volume" : "28" }, "uris" : [ "http://www.mendeley.com/documents/?uuid=fee76635-1433-4c27-9c85-bbbf459c7e59" ] } ], "mendeley" : { "formattedCitation" : "(Gaudreau &amp; Gibson, 2010)", "plainTextFormattedCitation" : "(Gaudreau &amp; Gibson, 2010)", "previouslyFormattedCitation" : "(Gaudreau &amp; Gibson, 2010)" }, "properties" : { "noteIndex" : 0 }, "schema" : "https://github.com/citation-style-language/schema/raw/master/csl-citation.json" }</w:instrText>
            </w:r>
            <w:r w:rsidRPr="00CC033B">
              <w:rPr>
                <w:rFonts w:ascii="Arial" w:hAnsi="Arial" w:cs="Arial"/>
                <w:b/>
                <w:color w:val="000000" w:themeColor="text1"/>
                <w:sz w:val="20"/>
              </w:rPr>
              <w:fldChar w:fldCharType="separate"/>
            </w:r>
            <w:r w:rsidRPr="00CC033B">
              <w:rPr>
                <w:rFonts w:ascii="Arial" w:hAnsi="Arial" w:cs="Arial"/>
                <w:b/>
                <w:noProof/>
                <w:color w:val="000000" w:themeColor="text1"/>
                <w:sz w:val="20"/>
              </w:rPr>
              <w:t>(Gaudreau &amp; Gibson, 2010)</w:t>
            </w:r>
            <w:r w:rsidRPr="00CC033B">
              <w:rPr>
                <w:rFonts w:ascii="Arial" w:hAnsi="Arial" w:cs="Arial"/>
                <w:b/>
                <w:color w:val="000000" w:themeColor="text1"/>
                <w:sz w:val="20"/>
              </w:rPr>
              <w:fldChar w:fldCharType="end"/>
            </w:r>
            <w:r w:rsidRPr="00CC033B">
              <w:rPr>
                <w:rFonts w:ascii="Arial" w:hAnsi="Arial" w:cs="Arial"/>
                <w:b/>
                <w:color w:val="000000" w:themeColor="text1"/>
                <w:sz w:val="20"/>
              </w:rPr>
              <w:t xml:space="preserve"> </w:t>
            </w:r>
            <w:r w:rsidRPr="00CC033B">
              <w:rPr>
                <w:rFonts w:ascii="Arial" w:hAnsi="Arial" w:cs="Arial"/>
                <w:b/>
                <w:color w:val="000000" w:themeColor="text1"/>
                <w:sz w:val="20"/>
              </w:rPr>
              <w:fldChar w:fldCharType="begin" w:fldLock="1"/>
            </w:r>
            <w:r w:rsidRPr="00CC033B">
              <w:rPr>
                <w:rFonts w:ascii="Arial" w:hAnsi="Arial" w:cs="Arial"/>
                <w:b/>
                <w:color w:val="000000" w:themeColor="text1"/>
                <w:sz w:val="20"/>
              </w:rPr>
              <w:instrText>ADDIN CSL_CITATION { "citationItems" : [ { "id" : "ITEM-1", "itemData" : { "DOI" : "10.1016/j.landurbplan.2013.06.002", "ISBN" : "0169-2046", "ISSN" : "01692046", "abstract" : "The proportion of urban population is increasing globally. Climate change, biodiversity loss, and environmental pollution are leading to the urgent need to increase sustainable development of and through cities and their components. Encouraging and enabling sustainable lifestyles of urban inhabitants can be fostered by developing sustainable urban neighborhoods as the nuclei of cities. Numerous approaches exist that define principles for guiding sustainable development processes of urban neighborhoods. However, it remains unclear if these approaches really consider the core objectives that should be achieved and key actions that are involved to move toward sustainability. This study represents the first quantitative review that evaluates the principles for sustainable urban neighborhood development based on the available literature. We thus (i) identify promising approaches that present principles close to core criteria for sustainability and (ii) provide starting points for developing a more robust set of principles by bringing together the examined literature. Furthermore (iii), sustainability aspects that are insufficiently covered are highlighted. Based on the findings (iv) a road map is outlined to encourage further research on the elaboration of a sufficient set of principles for sustainable urban neighborhood development. \u00a9 2013 Elsevier B.V.", "author" : [ { "dropping-particle" : "", "family" : "Luederitz", "given" : "Christopher", "non-dropping-particle" : "", "parse-names" : false, "suffix" : "" }, { "dropping-particle" : "", "family" : "Lang", "given" : "Daniel J.", "non-dropping-particle" : "", "parse-names" : false, "suffix" : "" }, { "dropping-particle" : "", "family" : "Wehrden", "given" : "Henrik", "non-dropping-particle" : "Von", "parse-names" : false, "suffix" : "" } ], "container-title" : "Landscape and Urban Planning", "id" : "ITEM-1", "issued" : { "date-parts" : [ [ "2013" ] ] }, "page" : "40-52", "publisher" : "Elsevier B.V.", "title" : "A systematic review of guiding principles for sustainable urban neighborhood development", "type" : "article-journal", "volume" : "118" }, "uris" : [ "http://www.mendeley.com/documents/?uuid=6bcfcece-dda2-466f-b77d-29fdaec204ad" ] } ], "mendeley" : { "formattedCitation" : "(Luederitz et al., 2013)", "plainTextFormattedCitation" : "(Luederitz et al., 2013)", "previouslyFormattedCitation" : "(Luederitz et al., 2013)" }, "properties" : { "noteIndex" : 0 }, "schema" : "https://github.com/citation-style-language/schema/raw/master/csl-citation.json" }</w:instrText>
            </w:r>
            <w:r w:rsidRPr="00CC033B">
              <w:rPr>
                <w:rFonts w:ascii="Arial" w:hAnsi="Arial" w:cs="Arial"/>
                <w:b/>
                <w:color w:val="000000" w:themeColor="text1"/>
                <w:sz w:val="20"/>
              </w:rPr>
              <w:fldChar w:fldCharType="separate"/>
            </w:r>
            <w:r w:rsidRPr="00CC033B">
              <w:rPr>
                <w:rFonts w:ascii="Arial" w:hAnsi="Arial" w:cs="Arial"/>
                <w:b/>
                <w:noProof/>
                <w:color w:val="000000" w:themeColor="text1"/>
                <w:sz w:val="20"/>
              </w:rPr>
              <w:t>(Luederitz et al., 2013)</w:t>
            </w:r>
            <w:r w:rsidRPr="00CC033B">
              <w:rPr>
                <w:rFonts w:ascii="Arial" w:hAnsi="Arial" w:cs="Arial"/>
                <w:b/>
                <w:color w:val="000000" w:themeColor="text1"/>
                <w:sz w:val="20"/>
              </w:rPr>
              <w:fldChar w:fldCharType="end"/>
            </w:r>
          </w:p>
        </w:tc>
        <w:tc>
          <w:tcPr>
            <w:tcW w:w="5920" w:type="dxa"/>
            <w:tcBorders>
              <w:left w:val="nil"/>
              <w:bottom w:val="nil"/>
            </w:tcBorders>
          </w:tcPr>
          <w:p w:rsidR="000A0238" w:rsidRPr="000E0F90" w:rsidRDefault="000A0238" w:rsidP="008048F9">
            <w:pPr>
              <w:spacing w:after="0" w:line="240" w:lineRule="auto"/>
              <w:rPr>
                <w:rFonts w:ascii="Arial" w:hAnsi="Arial" w:cs="Arial"/>
                <w:color w:val="000000" w:themeColor="text1"/>
                <w:sz w:val="20"/>
              </w:rPr>
            </w:pPr>
            <w:r w:rsidRPr="000E0F90">
              <w:rPr>
                <w:rFonts w:ascii="Arial" w:hAnsi="Arial" w:cs="Arial"/>
                <w:color w:val="000000" w:themeColor="text1"/>
                <w:sz w:val="20"/>
              </w:rPr>
              <w:t xml:space="preserve">Evitar acciones que reduzcan seriamente la disponibilidad de los recursos, prevenir la destrucción y/o agotamiento de los bienes naturales </w:t>
            </w:r>
            <w:r w:rsidRPr="000E0F90">
              <w:rPr>
                <w:rFonts w:ascii="Arial" w:hAnsi="Arial" w:cs="Arial"/>
                <w:color w:val="000000" w:themeColor="text1"/>
                <w:sz w:val="20"/>
              </w:rPr>
              <w:fldChar w:fldCharType="begin" w:fldLock="1"/>
            </w:r>
            <w:r w:rsidRPr="000E0F90">
              <w:rPr>
                <w:rFonts w:ascii="Arial" w:hAnsi="Arial" w:cs="Arial"/>
                <w:color w:val="000000" w:themeColor="text1"/>
                <w:sz w:val="20"/>
              </w:rPr>
              <w:instrText>ADDIN CSL_CITATION { "citationItems" : [ { "id" : "ITEM-1", "itemData" : { "DOI" : "10.1890/0012-9623(2000)081[0272:EPCOE]2.0.CO;2", "ISBN" : "1051-0761", "ISSN" : "0012-9623", "PMID" : "2641032", "abstract" : "The many ways that people have used and managed land throughout history has emerged as a primary cause of land-cover change around the world. Thus, land use and land management increasingly represent a fundamental source of change in the global environment. Despite their global importance, however, many decisions about the management and use of land are made with scant attention to ecological impacts. Thus, ecologists\u2019 knowledge of the functioning of Earth\u2019s ecosystems is needed to broaden the scientific basis of decisions on land use and management. In response to this need, the Ecological Society of America established a committee to examine the ways that land-use decisions are made and the ways that ecologists could help inform those decisions. This paper reports the scientific findings of that committee. Five principles of ecological science have particular implications for land use and can assure that fundamental processes of Earth\u2019s ecosystems are sustained. These ecological principles deal with time, species, place, dis- turbance, and the landscape. The recognition that ecological processes occur within a temporal setting and change over time is fundamental to analyzing the effects of land use. In addition, individual species and networks of interacting species have strong and far-reaching effects on ecological processes. Furthermore, each site or region has a unique set of organisms and abiotic conditions influencing and constraining ecological processes. Distur- bances are important and ubiquitous ecological events whose effects may strongly influence population, com- munity, and ecosystem dynamics. Finally, the size, shape, and spatial relationships of habitat patches on the landscape affect the structure and function of ecosystems. The responses of the land to changes in use and management by people depend on expressions of these fundamental principles in nature. These principles dictate several guidelines for land use. The guidelines give practical rules of thumb for incorporating ecological principles into land-use decision making. These guidelines suggest that land managers should: (1) examine impacts of local decisions in a regional context, (2) plan for long-termchange and unexpected events, (3) preserve rare landscape elements and associated species, (4) avoid land uses that deplete natural resources, (5) retain large contiguous or connected areas that contain critical habitats, (6) minimize the intro- duction and spread of nonnative sp\u2026", "author" : [ { "dropping-particle" : "", "family" : "Dale", "given" : "Vh", "non-dropping-particle" : "", "parse-names" : false, "suffix" : "" }, { "dropping-particle" : "", "family" : "Brown", "given" : "S", "non-dropping-particle" : "", "parse-names" : false, "suffix" : "" }, { "dropping-particle" : "", "family" : "Haeuber", "given" : "Ra", "non-dropping-particle" : "", "parse-names" : false, "suffix" : "" } ], "container-title" : "Ecological Applications", "id" : "ITEM-1", "issue" : "3", "issued" : { "date-parts" : [ [ "2000" ] ] }, "page" : "639-670", "title" : "Ecological Principles and Guidelines for Managing the use of Land", "type" : "article-journal", "volume" : "10" }, "uris" : [ "http://www.mendeley.com/documents/?uuid=bc0e4508-68ba-43f1-b8ad-4ce0d03c2491" ] } ], "mendeley" : { "formattedCitation" : "(Dale et al., 2000)", "plainTextFormattedCitation" : "(Dale et al., 2000)", "previouslyFormattedCitation" : "(Dale et al., 2000)" }, "properties" : { "noteIndex" : 0 }, "schema" : "https://github.com/citation-style-language/schema/raw/master/csl-citation.json" }</w:instrText>
            </w:r>
            <w:r w:rsidRPr="000E0F90">
              <w:rPr>
                <w:rFonts w:ascii="Arial" w:hAnsi="Arial" w:cs="Arial"/>
                <w:color w:val="000000" w:themeColor="text1"/>
                <w:sz w:val="20"/>
              </w:rPr>
              <w:fldChar w:fldCharType="separate"/>
            </w:r>
            <w:r w:rsidRPr="000E0F90">
              <w:rPr>
                <w:rFonts w:ascii="Arial" w:hAnsi="Arial" w:cs="Arial"/>
                <w:noProof/>
                <w:color w:val="000000" w:themeColor="text1"/>
                <w:sz w:val="20"/>
              </w:rPr>
              <w:t>(Dale et al., 2000)</w:t>
            </w:r>
            <w:r w:rsidRPr="000E0F90">
              <w:rPr>
                <w:rFonts w:ascii="Arial" w:hAnsi="Arial" w:cs="Arial"/>
                <w:color w:val="000000" w:themeColor="text1"/>
                <w:sz w:val="20"/>
              </w:rPr>
              <w:fldChar w:fldCharType="end"/>
            </w:r>
            <w:r w:rsidRPr="000E0F90">
              <w:rPr>
                <w:rFonts w:ascii="Arial" w:hAnsi="Arial" w:cs="Arial"/>
                <w:color w:val="000000" w:themeColor="text1"/>
                <w:sz w:val="20"/>
              </w:rPr>
              <w:fldChar w:fldCharType="begin" w:fldLock="1"/>
            </w:r>
            <w:r w:rsidRPr="000E0F90">
              <w:rPr>
                <w:rFonts w:ascii="Arial" w:hAnsi="Arial" w:cs="Arial"/>
                <w:color w:val="000000" w:themeColor="text1"/>
                <w:sz w:val="20"/>
              </w:rPr>
              <w:instrText>ADDIN CSL_CITATION { "citationItems" : [ { "id" : "ITEM-1", "itemData" : { "DOI" : "10.1016/S0921-8009(02)00272-0", "ISBN" : "0921-8009", "ISSN" : "09218009", "PMID" : "23", "abstract" : "This paper develops a methodology for identifying that natural capital - called critical natural capital (CNC) - the maintenance of which is essential for environmental sustainability. By consideration of the characteristics of natural capital, of the environmental functions that these characteristics enable natural capital to perform and of the importance of these functions to humans and the biosphere, it shows how sustainability standards in respect of these environmental functions may be derived. The difference between the current situation and these standards is termed the sustainability gap. The methodology that emerges from bringing these ideas together into a single analytical framework enables policy makers to identify the extent of current unsustainability, the principal causes of it, the elements and processes of natural capital (the CNC) which need to be maintained or restored to close the sustainability gap and the costs of so doing. The framework should therefore be of use in identifying priorities and policies for moving towards environmental sustainability. ?? 2002 Published by Elsevier Science B.V.", "author" : [ { "dropping-particle" : "", "family" : "Ekins", "given" : "Paul", "non-dropping-particle" : "", "parse-names" : false, "suffix" : "" }, { "dropping-particle" : "", "family" : "Simon", "given" : "Sandrine", "non-dropping-particle" : "", "parse-names" : false, "suffix" : "" }, { "dropping-particle" : "", "family" : "Deutsch", "given" : "Lisa", "non-dropping-particle" : "", "parse-names" : false, "suffix" : "" }, { "dropping-particle" : "", "family" : "Folke", "given" : "Carl", "non-dropping-particle" : "", "parse-names" : false, "suffix" : "" }, { "dropping-particle" : "", "family" : "Groot", "given" : "Rudolf", "non-dropping-particle" : "De", "parse-names" : false, "suffix" : "" } ], "container-title" : "Ecological Economics", "id" : "ITEM-1", "issued" : { "date-parts" : [ [ "2003" ] ] }, "page" : "165-185", "title" : "A framework for the practical application of the concepts of critical natural capital and strong sustainability", "type" : "article-journal", "volume" : "44" }, "uris" : [ "http://www.mendeley.com/documents/?uuid=5ab0dee7-4e2a-402b-a4ce-62606789c9e2" ] } ], "mendeley" : { "formattedCitation" : "(Ekins et al., 2003)", "plainTextFormattedCitation" : "(Ekins et al., 2003)", "previouslyFormattedCitation" : "(Ekins et al., 2003)" }, "properties" : { "noteIndex" : 0 }, "schema" : "https://github.com/citation-style-language/schema/raw/master/csl-citation.json" }</w:instrText>
            </w:r>
            <w:r w:rsidRPr="000E0F90">
              <w:rPr>
                <w:rFonts w:ascii="Arial" w:hAnsi="Arial" w:cs="Arial"/>
                <w:color w:val="000000" w:themeColor="text1"/>
                <w:sz w:val="20"/>
              </w:rPr>
              <w:fldChar w:fldCharType="separate"/>
            </w:r>
            <w:r w:rsidRPr="000E0F90">
              <w:rPr>
                <w:rFonts w:ascii="Arial" w:hAnsi="Arial" w:cs="Arial"/>
                <w:noProof/>
                <w:color w:val="000000" w:themeColor="text1"/>
                <w:sz w:val="20"/>
              </w:rPr>
              <w:t>(Ekins et al., 2003)</w:t>
            </w:r>
            <w:r w:rsidRPr="000E0F90">
              <w:rPr>
                <w:rFonts w:ascii="Arial" w:hAnsi="Arial" w:cs="Arial"/>
                <w:color w:val="000000" w:themeColor="text1"/>
                <w:sz w:val="20"/>
              </w:rPr>
              <w:fldChar w:fldCharType="end"/>
            </w:r>
            <w:r w:rsidRPr="000E0F90">
              <w:rPr>
                <w:rFonts w:ascii="Arial" w:hAnsi="Arial" w:cs="Arial"/>
                <w:color w:val="000000" w:themeColor="text1"/>
                <w:sz w:val="20"/>
              </w:rPr>
              <w:t xml:space="preserve"> Identificar recursos más propensos a agotarse </w:t>
            </w:r>
            <w:r w:rsidRPr="000E0F90">
              <w:rPr>
                <w:rFonts w:ascii="Arial" w:hAnsi="Arial" w:cs="Arial"/>
                <w:color w:val="000000" w:themeColor="text1"/>
                <w:sz w:val="20"/>
              </w:rPr>
              <w:fldChar w:fldCharType="begin" w:fldLock="1"/>
            </w:r>
            <w:r w:rsidRPr="000E0F90">
              <w:rPr>
                <w:rFonts w:ascii="Arial" w:hAnsi="Arial" w:cs="Arial"/>
                <w:color w:val="000000" w:themeColor="text1"/>
                <w:sz w:val="20"/>
              </w:rPr>
              <w:instrText>ADDIN CSL_CITATION { "citationItems" : [ { "id" : "ITEM-1", "itemData" : { "DOI" : "10.1890/0012-9623(2000)081[0272:EPCOE]2.0.CO;2", "ISBN" : "1051-0761", "ISSN" : "0012-9623", "PMID" : "2641032", "abstract" : "The many ways that people have used and managed land throughout history has emerged as a primary cause of land-cover change around the world. Thus, land use and land management increasingly represent a fundamental source of change in the global environment. Despite their global importance, however, many decisions about the management and use of land are made with scant attention to ecological impacts. Thus, ecologists\u2019 knowledge of the functioning of Earth\u2019s ecosystems is needed to broaden the scientific basis of decisions on land use and management. In response to this need, the Ecological Society of America established a committee to examine the ways that land-use decisions are made and the ways that ecologists could help inform those decisions. This paper reports the scientific findings of that committee. Five principles of ecological science have particular implications for land use and can assure that fundamental processes of Earth\u2019s ecosystems are sustained. These ecological principles deal with time, species, place, dis- turbance, and the landscape. The recognition that ecological processes occur within a temporal setting and change over time is fundamental to analyzing the effects of land use. In addition, individual species and networks of interacting species have strong and far-reaching effects on ecological processes. Furthermore, each site or region has a unique set of organisms and abiotic conditions influencing and constraining ecological processes. Distur- bances are important and ubiquitous ecological events whose effects may strongly influence population, com- munity, and ecosystem dynamics. Finally, the size, shape, and spatial relationships of habitat patches on the landscape affect the structure and function of ecosystems. The responses of the land to changes in use and management by people depend on expressions of these fundamental principles in nature. These principles dictate several guidelines for land use. The guidelines give practical rules of thumb for incorporating ecological principles into land-use decision making. These guidelines suggest that land managers should: (1) examine impacts of local decisions in a regional context, (2) plan for long-termchange and unexpected events, (3) preserve rare landscape elements and associated species, (4) avoid land uses that deplete natural resources, (5) retain large contiguous or connected areas that contain critical habitats, (6) minimize the intro- duction and spread of nonnative sp\u2026", "author" : [ { "dropping-particle" : "", "family" : "Dale", "given" : "Vh", "non-dropping-particle" : "", "parse-names" : false, "suffix" : "" }, { "dropping-particle" : "", "family" : "Brown", "given" : "S", "non-dropping-particle" : "", "parse-names" : false, "suffix" : "" }, { "dropping-particle" : "", "family" : "Haeuber", "given" : "Ra", "non-dropping-particle" : "", "parse-names" : false, "suffix" : "" } ], "container-title" : "Ecological Applications", "id" : "ITEM-1", "issue" : "3", "issued" : { "date-parts" : [ [ "2000" ] ] }, "page" : "639-670", "title" : "Ecological Principles and Guidelines for Managing the use of Land", "type" : "article-journal", "volume" : "10" }, "uris" : [ "http://www.mendeley.com/documents/?uuid=bc0e4508-68ba-43f1-b8ad-4ce0d03c2491" ] } ], "mendeley" : { "formattedCitation" : "(Dale et al., 2000)", "plainTextFormattedCitation" : "(Dale et al., 2000)", "previouslyFormattedCitation" : "(Dale et al., 2000)" }, "properties" : { "noteIndex" : 0 }, "schema" : "https://github.com/citation-style-language/schema/raw/master/csl-citation.json" }</w:instrText>
            </w:r>
            <w:r w:rsidRPr="000E0F90">
              <w:rPr>
                <w:rFonts w:ascii="Arial" w:hAnsi="Arial" w:cs="Arial"/>
                <w:color w:val="000000" w:themeColor="text1"/>
                <w:sz w:val="20"/>
              </w:rPr>
              <w:fldChar w:fldCharType="separate"/>
            </w:r>
            <w:r w:rsidRPr="000E0F90">
              <w:rPr>
                <w:rFonts w:ascii="Arial" w:hAnsi="Arial" w:cs="Arial"/>
                <w:noProof/>
                <w:color w:val="000000" w:themeColor="text1"/>
                <w:sz w:val="20"/>
              </w:rPr>
              <w:t>(Dale et al., 2000)</w:t>
            </w:r>
            <w:r w:rsidRPr="000E0F90">
              <w:rPr>
                <w:rFonts w:ascii="Arial" w:hAnsi="Arial" w:cs="Arial"/>
                <w:color w:val="000000" w:themeColor="text1"/>
                <w:sz w:val="20"/>
              </w:rPr>
              <w:fldChar w:fldCharType="end"/>
            </w:r>
            <w:r w:rsidRPr="000E0F90">
              <w:rPr>
                <w:rFonts w:ascii="Arial" w:hAnsi="Arial" w:cs="Arial"/>
                <w:color w:val="000000" w:themeColor="text1"/>
                <w:sz w:val="20"/>
              </w:rPr>
              <w:t>, recursos críticos</w:t>
            </w:r>
          </w:p>
        </w:tc>
      </w:tr>
      <w:tr w:rsidR="000A0238" w:rsidRPr="000E0F90" w:rsidTr="002A21E4">
        <w:trPr>
          <w:trHeight w:val="254"/>
        </w:trPr>
        <w:tc>
          <w:tcPr>
            <w:tcW w:w="2835" w:type="dxa"/>
            <w:vMerge/>
            <w:tcBorders>
              <w:top w:val="nil"/>
              <w:bottom w:val="nil"/>
              <w:right w:val="nil"/>
            </w:tcBorders>
            <w:vAlign w:val="bottom"/>
          </w:tcPr>
          <w:p w:rsidR="000A0238" w:rsidRPr="000E0F90" w:rsidRDefault="000A0238" w:rsidP="00604276">
            <w:pPr>
              <w:spacing w:after="0" w:line="240" w:lineRule="auto"/>
              <w:rPr>
                <w:rFonts w:ascii="Arial" w:hAnsi="Arial" w:cs="Arial"/>
                <w:color w:val="000000" w:themeColor="text1"/>
                <w:sz w:val="20"/>
              </w:rPr>
            </w:pPr>
          </w:p>
        </w:tc>
        <w:tc>
          <w:tcPr>
            <w:tcW w:w="5920" w:type="dxa"/>
            <w:tcBorders>
              <w:top w:val="nil"/>
              <w:left w:val="nil"/>
              <w:bottom w:val="nil"/>
            </w:tcBorders>
          </w:tcPr>
          <w:p w:rsidR="000A0238" w:rsidRPr="000E0F90" w:rsidRDefault="000A0238" w:rsidP="00604276">
            <w:pPr>
              <w:spacing w:after="0" w:line="240" w:lineRule="auto"/>
              <w:rPr>
                <w:rFonts w:ascii="Arial" w:hAnsi="Arial" w:cs="Arial"/>
                <w:color w:val="000000" w:themeColor="text1"/>
                <w:sz w:val="20"/>
              </w:rPr>
            </w:pPr>
            <w:r w:rsidRPr="000E0F90">
              <w:rPr>
                <w:rFonts w:ascii="Arial" w:hAnsi="Arial" w:cs="Arial"/>
                <w:color w:val="000000" w:themeColor="text1"/>
                <w:sz w:val="20"/>
              </w:rPr>
              <w:t xml:space="preserve">Los recursos renovables deben utilizarse dentro de tasas conservativas de recuperación (i.e. fertilidad de suelo, ciclos hidrobiológicos, cubierta vegetal, etc.) </w:t>
            </w:r>
            <w:r w:rsidRPr="000E0F90">
              <w:rPr>
                <w:rFonts w:ascii="Arial" w:hAnsi="Arial" w:cs="Arial"/>
                <w:color w:val="000000" w:themeColor="text1"/>
                <w:sz w:val="20"/>
              </w:rPr>
              <w:fldChar w:fldCharType="begin" w:fldLock="1"/>
            </w:r>
            <w:r w:rsidRPr="000E0F90">
              <w:rPr>
                <w:rFonts w:ascii="Arial" w:hAnsi="Arial" w:cs="Arial"/>
                <w:color w:val="000000" w:themeColor="text1"/>
                <w:sz w:val="20"/>
              </w:rPr>
              <w:instrText>ADDIN CSL_CITATION { "citationItems" : [ { "id" : "ITEM-1", "itemData" : { "DOI" : "10.1016/S0921-8009(02)00272-0", "ISBN" : "0921-8009", "ISSN" : "09218009", "PMID" : "23", "abstract" : "This paper develops a methodology for identifying that natural capital - called critical natural capital (CNC) - the maintenance of which is essential for environmental sustainability. By consideration of the characteristics of natural capital, of the environmental functions that these characteristics enable natural capital to perform and of the importance of these functions to humans and the biosphere, it shows how sustainability standards in respect of these environmental functions may be derived. The difference between the current situation and these standards is termed the sustainability gap. The methodology that emerges from bringing these ideas together into a single analytical framework enables policy makers to identify the extent of current unsustainability, the principal causes of it, the elements and processes of natural capital (the CNC) which need to be maintained or restored to close the sustainability gap and the costs of so doing. The framework should therefore be of use in identifying priorities and policies for moving towards environmental sustainability. ?? 2002 Published by Elsevier Science B.V.", "author" : [ { "dropping-particle" : "", "family" : "Ekins", "given" : "Paul", "non-dropping-particle" : "", "parse-names" : false, "suffix" : "" }, { "dropping-particle" : "", "family" : "Simon", "given" : "Sandrine", "non-dropping-particle" : "", "parse-names" : false, "suffix" : "" }, { "dropping-particle" : "", "family" : "Deutsch", "given" : "Lisa", "non-dropping-particle" : "", "parse-names" : false, "suffix" : "" }, { "dropping-particle" : "", "family" : "Folke", "given" : "Carl", "non-dropping-particle" : "", "parse-names" : false, "suffix" : "" }, { "dropping-particle" : "", "family" : "Groot", "given" : "Rudolf", "non-dropping-particle" : "De", "parse-names" : false, "suffix" : "" } ], "container-title" : "Ecological Economics", "id" : "ITEM-1", "issued" : { "date-parts" : [ [ "2003" ] ] }, "page" : "165-185", "title" : "A framework for the practical application of the concepts of critical natural capital and strong sustainability", "type" : "article-journal", "volume" : "44" }, "uris" : [ "http://www.mendeley.com/documents/?uuid=5ab0dee7-4e2a-402b-a4ce-62606789c9e2" ] } ], "mendeley" : { "formattedCitation" : "(Ekins et al., 2003)", "plainTextFormattedCitation" : "(Ekins et al., 2003)", "previouslyFormattedCitation" : "(Ekins et al., 2003)" }, "properties" : { "noteIndex" : 0 }, "schema" : "https://github.com/citation-style-language/schema/raw/master/csl-citation.json" }</w:instrText>
            </w:r>
            <w:r w:rsidRPr="000E0F90">
              <w:rPr>
                <w:rFonts w:ascii="Arial" w:hAnsi="Arial" w:cs="Arial"/>
                <w:color w:val="000000" w:themeColor="text1"/>
                <w:sz w:val="20"/>
              </w:rPr>
              <w:fldChar w:fldCharType="separate"/>
            </w:r>
            <w:r w:rsidRPr="000E0F90">
              <w:rPr>
                <w:rFonts w:ascii="Arial" w:hAnsi="Arial" w:cs="Arial"/>
                <w:noProof/>
                <w:color w:val="000000" w:themeColor="text1"/>
                <w:sz w:val="20"/>
              </w:rPr>
              <w:t>(Ekins et al., 2003)</w:t>
            </w:r>
            <w:r w:rsidRPr="000E0F90">
              <w:rPr>
                <w:rFonts w:ascii="Arial" w:hAnsi="Arial" w:cs="Arial"/>
                <w:color w:val="000000" w:themeColor="text1"/>
                <w:sz w:val="20"/>
              </w:rPr>
              <w:fldChar w:fldCharType="end"/>
            </w:r>
            <w:r w:rsidRPr="000E0F90">
              <w:rPr>
                <w:rFonts w:ascii="Arial" w:hAnsi="Arial" w:cs="Arial"/>
                <w:color w:val="000000" w:themeColor="text1"/>
                <w:sz w:val="20"/>
              </w:rPr>
              <w:t xml:space="preserve"> </w:t>
            </w:r>
            <w:r w:rsidRPr="000E0F90">
              <w:rPr>
                <w:rFonts w:ascii="Arial" w:hAnsi="Arial" w:cs="Arial"/>
                <w:color w:val="000000" w:themeColor="text1"/>
                <w:sz w:val="20"/>
              </w:rPr>
              <w:fldChar w:fldCharType="begin" w:fldLock="1"/>
            </w:r>
            <w:r w:rsidRPr="000E0F90">
              <w:rPr>
                <w:rFonts w:ascii="Arial" w:hAnsi="Arial" w:cs="Arial"/>
                <w:color w:val="000000" w:themeColor="text1"/>
                <w:sz w:val="20"/>
              </w:rPr>
              <w:instrText>ADDIN CSL_CITATION { "citationItems" : [ { "id" : "ITEM-1", "itemData" : { "DOI" : "10.1080/01944360008976081", "ISBN" : "0194-4363", "ISSN" : "01944363", "PMID" : "2989497", "abstract" : "A set of six principles are set forth that define and operationalize the concept of sustainable development. Using these six principles, a sample of 30 comprehensive plans was evaluated to determine how well their policies support sustainable development. Findings indicate no significant differences in how extensively sustainability principles are supported between the plans that state an intention to integrate sustainable development and those that do not. In addition, these plans do not provide balanced support of all six sustainability principles, as they support some principles significantly more than others.", "author" : [ { "dropping-particle" : "", "family" : "Berke", "given" : "Philip R", "non-dropping-particle" : "", "parse-names" : false, "suffix" : "" }, { "dropping-particle" : "", "family" : "Conroy", "given" : "Maria Manta", "non-dropping-particle" : "", "parse-names" : false, "suffix" : "" } ], "container-title" : "American Planning Association.Journal of the American Planning Association", "id" : "ITEM-1", "issue" : "September", "issued" : { "date-parts" : [ [ "2000" ] ] }, "page" : "21", "title" : "Are we planning for sustainable development?", "type" : "article-journal", "volume" : "66" }, "uris" : [ "http://www.mendeley.com/documents/?uuid=9c8f081f-71c5-4194-83b6-25e26c52bc06" ] } ], "mendeley" : { "formattedCitation" : "(Berke &amp; Conroy, 2000)", "plainTextFormattedCitation" : "(Berke &amp; Conroy, 2000)", "previouslyFormattedCitation" : "(Berke &amp; Conroy, 2000)" }, "properties" : { "noteIndex" : 0 }, "schema" : "https://github.com/citation-style-language/schema/raw/master/csl-citation.json" }</w:instrText>
            </w:r>
            <w:r w:rsidRPr="000E0F90">
              <w:rPr>
                <w:rFonts w:ascii="Arial" w:hAnsi="Arial" w:cs="Arial"/>
                <w:color w:val="000000" w:themeColor="text1"/>
                <w:sz w:val="20"/>
              </w:rPr>
              <w:fldChar w:fldCharType="separate"/>
            </w:r>
            <w:r w:rsidRPr="000E0F90">
              <w:rPr>
                <w:rFonts w:ascii="Arial" w:hAnsi="Arial" w:cs="Arial"/>
                <w:noProof/>
                <w:color w:val="000000" w:themeColor="text1"/>
                <w:sz w:val="20"/>
              </w:rPr>
              <w:t>(Berke &amp; Conroy, 2000)</w:t>
            </w:r>
            <w:r w:rsidRPr="000E0F90">
              <w:rPr>
                <w:rFonts w:ascii="Arial" w:hAnsi="Arial" w:cs="Arial"/>
                <w:color w:val="000000" w:themeColor="text1"/>
                <w:sz w:val="20"/>
              </w:rPr>
              <w:fldChar w:fldCharType="end"/>
            </w:r>
          </w:p>
        </w:tc>
      </w:tr>
      <w:tr w:rsidR="000A0238" w:rsidRPr="000E0F90" w:rsidTr="002A21E4">
        <w:trPr>
          <w:trHeight w:val="573"/>
        </w:trPr>
        <w:tc>
          <w:tcPr>
            <w:tcW w:w="2835" w:type="dxa"/>
            <w:vMerge/>
            <w:tcBorders>
              <w:top w:val="nil"/>
              <w:bottom w:val="nil"/>
              <w:right w:val="nil"/>
            </w:tcBorders>
            <w:vAlign w:val="bottom"/>
          </w:tcPr>
          <w:p w:rsidR="000A0238" w:rsidRPr="000E0F90" w:rsidRDefault="000A0238" w:rsidP="00604276">
            <w:pPr>
              <w:spacing w:after="0" w:line="240" w:lineRule="auto"/>
              <w:rPr>
                <w:rFonts w:ascii="Arial" w:hAnsi="Arial" w:cs="Arial"/>
                <w:color w:val="000000" w:themeColor="text1"/>
                <w:sz w:val="20"/>
              </w:rPr>
            </w:pPr>
          </w:p>
        </w:tc>
        <w:tc>
          <w:tcPr>
            <w:tcW w:w="5920" w:type="dxa"/>
            <w:tcBorders>
              <w:top w:val="nil"/>
              <w:left w:val="nil"/>
              <w:bottom w:val="nil"/>
            </w:tcBorders>
          </w:tcPr>
          <w:p w:rsidR="000A0238" w:rsidRPr="00CC033B" w:rsidRDefault="000A0238" w:rsidP="00CD3C5E">
            <w:pPr>
              <w:spacing w:after="0" w:line="240" w:lineRule="auto"/>
              <w:rPr>
                <w:rFonts w:ascii="Arial" w:hAnsi="Arial" w:cs="Arial"/>
                <w:color w:val="000000" w:themeColor="text1"/>
                <w:sz w:val="20"/>
              </w:rPr>
            </w:pPr>
            <w:r w:rsidRPr="00CC033B">
              <w:rPr>
                <w:rFonts w:ascii="Arial" w:hAnsi="Arial" w:cs="Arial"/>
                <w:color w:val="000000" w:themeColor="text1"/>
                <w:sz w:val="20"/>
              </w:rPr>
              <w:t xml:space="preserve">La depleción de recursos no renovables debe generar nuevas formas de capital natural </w:t>
            </w:r>
            <w:r w:rsidRPr="00CC033B">
              <w:rPr>
                <w:rFonts w:ascii="Arial" w:hAnsi="Arial" w:cs="Arial"/>
                <w:color w:val="000000" w:themeColor="text1"/>
                <w:sz w:val="20"/>
              </w:rPr>
              <w:fldChar w:fldCharType="begin" w:fldLock="1"/>
            </w:r>
            <w:r w:rsidRPr="00CC033B">
              <w:rPr>
                <w:rFonts w:ascii="Arial" w:hAnsi="Arial" w:cs="Arial"/>
                <w:color w:val="000000" w:themeColor="text1"/>
                <w:sz w:val="20"/>
              </w:rPr>
              <w:instrText>ADDIN CSL_CITATION { "citationItems" : [ { "id" : "ITEM-1", "itemData" : { "DOI" : "10.1111/j.1365-2036.2008.03913.x", "ISSN" : "13652036", "PMID" : "19077107", "abstract" : ": A minimum necessary condition for sustainabil- ity is the maintenance of the total natural capital stock at or above the current level. While a lower stock of natural cap- ital may be sustainable, society can allow no further decline in natural capital given the large uncertainty and the dire consequences of guessing wrong. This \"constancy of total natural capital\" rule can thus be seen as a prudent mini- mum condition for assuring sustainability, to be relaxed only when solid evidence can be offered that it is safe to do so. We discuss methodological issues concerning the degree of substitutability tifying of manufactured for natural capital, quan- ecosystem services and natural capital, and the role of the discount rate in valuing natural capital. We differen- tiate the concepts of growth (material increase in size) and development (improvement in organization without size change). Given these definitions, able indefinitely growth cannot be sustain- on a finite planet Development may be sustainable, but even this aspect of change may have some limits. One problem is that current measures of economic well-being at the macro level (i.e., the Gross National Prod- uct) measure mainly growth, or at best conflate growth and development This urgently requires revision. Finally, we suggest some principles of sustainable devel- opment and describe why maintaining natural capital stocks is a prudent and achievable policy for insuring sus- tainable development There is disagreement between tech- nological optimists (who see technical progress as eliminat-ing all resource constraints to growth and development) and technological skeptics (who do not see as much scope for this approach and fear irreversible use of resources and damage to natural capital). By maintaining natural capital stocks (preferably by using a natural capital depletion tax), we can satisfy both the skeptics (since resources will be conserved for future generations) and the optimists (since this will raise the price of natural capital depletion and more rapidly induce the technical change they predict).", "author" : [ { "dropping-particle" : "", "family" : "Costanza", "given" : "Robert", "non-dropping-particle" : "", "parse-names" : false, "suffix" : "" }, { "dropping-particle" : "", "family" : "Daly", "given" : "Herman E", "non-dropping-particle" : "", "parse-names" : false, "suffix" : "" } ], "container-title" : "Society for Conservation Biology", "id" : "ITEM-1", "issue" : "1", "issued" : { "date-parts" : [ [ "1992" ] ] }, "page" : "37-46", "title" : "Capital Natural Development Sustainable", "type" : "article-journal", "volume" : "6" }, "uris" : [ "http://www.mendeley.com/documents/?uuid=890bd0fc-2ac8-4d47-9ce4-12945d65fd31" ] } ], "mendeley" : { "formattedCitation" : "(Costanza &amp; Daly, 1992)", "plainTextFormattedCitation" : "(Costanza &amp; Daly, 1992)", "previouslyFormattedCitation" : "(Costanza &amp; Daly, 1992)" }, "properties" : { "noteIndex" : 0 }, "schema" : "https://github.com/citation-style-language/schema/raw/master/csl-citation.json" }</w:instrText>
            </w:r>
            <w:r w:rsidRPr="00CC033B">
              <w:rPr>
                <w:rFonts w:ascii="Arial" w:hAnsi="Arial" w:cs="Arial"/>
                <w:color w:val="000000" w:themeColor="text1"/>
                <w:sz w:val="20"/>
              </w:rPr>
              <w:fldChar w:fldCharType="separate"/>
            </w:r>
            <w:r w:rsidRPr="00CC033B">
              <w:rPr>
                <w:rFonts w:ascii="Arial" w:hAnsi="Arial" w:cs="Arial"/>
                <w:noProof/>
                <w:color w:val="000000" w:themeColor="text1"/>
                <w:sz w:val="20"/>
              </w:rPr>
              <w:t>(Costanza &amp; Daly, 1992)</w:t>
            </w:r>
            <w:r w:rsidRPr="00CC033B">
              <w:rPr>
                <w:rFonts w:ascii="Arial" w:hAnsi="Arial" w:cs="Arial"/>
                <w:color w:val="000000" w:themeColor="text1"/>
                <w:sz w:val="20"/>
              </w:rPr>
              <w:fldChar w:fldCharType="end"/>
            </w:r>
            <w:r w:rsidRPr="00CC033B">
              <w:rPr>
                <w:rFonts w:ascii="Arial" w:hAnsi="Arial" w:cs="Arial"/>
                <w:color w:val="000000" w:themeColor="text1"/>
                <w:sz w:val="20"/>
              </w:rPr>
              <w:t xml:space="preserve">, que permitan </w:t>
            </w:r>
            <w:r w:rsidRPr="00CC033B">
              <w:rPr>
                <w:rFonts w:ascii="Arial" w:hAnsi="Arial" w:cs="Arial"/>
                <w:iCs/>
                <w:color w:val="000000" w:themeColor="text1"/>
                <w:sz w:val="20"/>
                <w:szCs w:val="20"/>
              </w:rPr>
              <w:t>nuevas fuentes de desarrollo locales</w:t>
            </w:r>
          </w:p>
        </w:tc>
      </w:tr>
      <w:tr w:rsidR="000A0238" w:rsidRPr="000E0F90" w:rsidTr="002A21E4">
        <w:trPr>
          <w:trHeight w:val="573"/>
        </w:trPr>
        <w:tc>
          <w:tcPr>
            <w:tcW w:w="2835" w:type="dxa"/>
            <w:vMerge/>
            <w:tcBorders>
              <w:top w:val="nil"/>
              <w:bottom w:val="nil"/>
              <w:right w:val="nil"/>
            </w:tcBorders>
            <w:vAlign w:val="bottom"/>
          </w:tcPr>
          <w:p w:rsidR="000A0238" w:rsidRPr="000E0F90" w:rsidRDefault="000A0238" w:rsidP="00604276">
            <w:pPr>
              <w:spacing w:after="0" w:line="240" w:lineRule="auto"/>
              <w:rPr>
                <w:rFonts w:ascii="Arial" w:hAnsi="Arial" w:cs="Arial"/>
                <w:color w:val="000000" w:themeColor="text1"/>
                <w:sz w:val="20"/>
              </w:rPr>
            </w:pPr>
          </w:p>
        </w:tc>
        <w:tc>
          <w:tcPr>
            <w:tcW w:w="5920" w:type="dxa"/>
            <w:tcBorders>
              <w:top w:val="nil"/>
              <w:left w:val="nil"/>
              <w:bottom w:val="nil"/>
            </w:tcBorders>
          </w:tcPr>
          <w:p w:rsidR="000A0238" w:rsidRPr="00CC033B" w:rsidRDefault="000A0238" w:rsidP="000A0238">
            <w:pPr>
              <w:spacing w:after="0" w:line="240" w:lineRule="auto"/>
              <w:rPr>
                <w:rFonts w:ascii="Arial" w:hAnsi="Arial" w:cs="Arial"/>
                <w:color w:val="000000" w:themeColor="text1"/>
                <w:sz w:val="20"/>
              </w:rPr>
            </w:pPr>
            <w:r w:rsidRPr="00CC033B">
              <w:rPr>
                <w:rFonts w:ascii="Arial" w:hAnsi="Arial" w:cs="Arial"/>
                <w:color w:val="000000" w:themeColor="text1"/>
                <w:sz w:val="20"/>
              </w:rPr>
              <w:t xml:space="preserve">Evitar los usos de suelo que conlleven al agotamiento de los recursos naturales en un área extensa </w:t>
            </w:r>
            <w:r w:rsidRPr="00CC033B">
              <w:rPr>
                <w:rFonts w:ascii="Arial" w:hAnsi="Arial" w:cs="Arial"/>
                <w:color w:val="000000" w:themeColor="text1"/>
                <w:sz w:val="20"/>
              </w:rPr>
              <w:fldChar w:fldCharType="begin" w:fldLock="1"/>
            </w:r>
            <w:r w:rsidRPr="00CC033B">
              <w:rPr>
                <w:rFonts w:ascii="Arial" w:hAnsi="Arial" w:cs="Arial"/>
                <w:color w:val="000000" w:themeColor="text1"/>
                <w:sz w:val="20"/>
              </w:rPr>
              <w:instrText>ADDIN CSL_CITATION { "citationItems" : [ { "id" : "ITEM-1", "itemData" : { "DOI" : "10.1890/0012-9623(2000)081[0272:EPCOE]2.0.CO;2", "ISBN" : "1051-0761", "ISSN" : "0012-9623", "PMID" : "2641032", "abstract" : "The many ways that people have used and managed land throughout history has emerged as a primary cause of land-cover change around the world. Thus, land use and land management increasingly represent a fundamental source of change in the global environment. Despite their global importance, however, many decisions about the management and use of land are made with scant attention to ecological impacts. Thus, ecologists\u2019 knowledge of the functioning of Earth\u2019s ecosystems is needed to broaden the scientific basis of decisions on land use and management. In response to this need, the Ecological Society of America established a committee to examine the ways that land-use decisions are made and the ways that ecologists could help inform those decisions. This paper reports the scientific findings of that committee. Five principles of ecological science have particular implications for land use and can assure that fundamental processes of Earth\u2019s ecosystems are sustained. These ecological principles deal with time, species, place, dis- turbance, and the landscape. The recognition that ecological processes occur within a temporal setting and change over time is fundamental to analyzing the effects of land use. In addition, individual species and networks of interacting species have strong and far-reaching effects on ecological processes. Furthermore, each site or region has a unique set of organisms and abiotic conditions influencing and constraining ecological processes. Distur- bances are important and ubiquitous ecological events whose effects may strongly influence population, com- munity, and ecosystem dynamics. Finally, the size, shape, and spatial relationships of habitat patches on the landscape affect the structure and function of ecosystems. The responses of the land to changes in use and management by people depend on expressions of these fundamental principles in nature. These principles dictate several guidelines for land use. The guidelines give practical rules of thumb for incorporating ecological principles into land-use decision making. These guidelines suggest that land managers should: (1) examine impacts of local decisions in a regional context, (2) plan for long-termchange and unexpected events, (3) preserve rare landscape elements and associated species, (4) avoid land uses that deplete natural resources, (5) retain large contiguous or connected areas that contain critical habitats, (6) minimize the intro- duction and spread of nonnative sp\u2026", "author" : [ { "dropping-particle" : "", "family" : "Dale", "given" : "Vh", "non-dropping-particle" : "", "parse-names" : false, "suffix" : "" }, { "dropping-particle" : "", "family" : "Brown", "given" : "S", "non-dropping-particle" : "", "parse-names" : false, "suffix" : "" }, { "dropping-particle" : "", "family" : "Haeuber", "given" : "Ra", "non-dropping-particle" : "", "parse-names" : false, "suffix" : "" } ], "container-title" : "Ecological Applications", "id" : "ITEM-1", "issue" : "3", "issued" : { "date-parts" : [ [ "2000" ] ] }, "page" : "639-670", "title" : "Ecological Principles and Guidelines for Managing the use of Land", "type" : "article-journal", "volume" : "10" }, "uris" : [ "http://www.mendeley.com/documents/?uuid=bc0e4508-68ba-43f1-b8ad-4ce0d03c2491" ] } ], "mendeley" : { "formattedCitation" : "(Dale et al., 2000)", "plainTextFormattedCitation" : "(Dale et al., 2000)", "previouslyFormattedCitation" : "(Dale et al., 2000)" }, "properties" : { "noteIndex" : 0 }, "schema" : "https://github.com/citation-style-language/schema/raw/master/csl-citation.json" }</w:instrText>
            </w:r>
            <w:r w:rsidRPr="00CC033B">
              <w:rPr>
                <w:rFonts w:ascii="Arial" w:hAnsi="Arial" w:cs="Arial"/>
                <w:color w:val="000000" w:themeColor="text1"/>
                <w:sz w:val="20"/>
              </w:rPr>
              <w:fldChar w:fldCharType="separate"/>
            </w:r>
            <w:r w:rsidRPr="00CC033B">
              <w:rPr>
                <w:rFonts w:ascii="Arial" w:hAnsi="Arial" w:cs="Arial"/>
                <w:noProof/>
                <w:color w:val="000000" w:themeColor="text1"/>
                <w:sz w:val="20"/>
              </w:rPr>
              <w:t>(Dale et al., 2000)</w:t>
            </w:r>
            <w:r w:rsidRPr="00CC033B">
              <w:rPr>
                <w:rFonts w:ascii="Arial" w:hAnsi="Arial" w:cs="Arial"/>
                <w:color w:val="000000" w:themeColor="text1"/>
                <w:sz w:val="20"/>
              </w:rPr>
              <w:fldChar w:fldCharType="end"/>
            </w:r>
            <w:r w:rsidRPr="00CC033B">
              <w:rPr>
                <w:rFonts w:ascii="Arial" w:hAnsi="Arial" w:cs="Arial"/>
                <w:color w:val="000000" w:themeColor="text1"/>
                <w:sz w:val="20"/>
              </w:rPr>
              <w:t xml:space="preserve"> Reducir el potencial de efecto rebote en otras localizaciones </w:t>
            </w:r>
            <w:r w:rsidRPr="00CC033B">
              <w:rPr>
                <w:rFonts w:ascii="Arial" w:hAnsi="Arial" w:cs="Arial"/>
                <w:color w:val="000000" w:themeColor="text1"/>
                <w:sz w:val="20"/>
              </w:rPr>
              <w:fldChar w:fldCharType="begin" w:fldLock="1"/>
            </w:r>
            <w:r w:rsidRPr="00CC033B">
              <w:rPr>
                <w:rFonts w:ascii="Arial" w:hAnsi="Arial" w:cs="Arial"/>
                <w:color w:val="000000" w:themeColor="text1"/>
                <w:sz w:val="20"/>
              </w:rPr>
              <w:instrText>ADDIN CSL_CITATION { "citationItems" : [ { "id" : "ITEM-1", "itemData" : { "DOI" : "10.3152/146155110X12772982841122", "ISSN" : "1461-5517", "abstract" : "Assessments today need to help reverse trends towards deeper unsustainability and address the unavoidable interconnections, feedbacks and uncertainties that typify complex socio-ecological systems at all scales. To illustrate one promising approach, this paper describes a modest effort to integrate understandings from Gibson et al\u2019s approach to sustainability assessment with the Resilience Alliance\u2019s applications of complex systems thinking into a suite of systems and sustainability based criteria. The integrated sustainability\u2013resilience criteria were used to assess an existing small-scale biodiesel operation on Barbados that involves waste management, public health, transportation, energy security and community involvement considerations. The assessment revealed that the main benefit of this biodiesel project is in social learning rather than enhancing energy security and waste management, and the best ways of enhancing the project lie in larger scale policy initiatives. The findings suggest that the use of a sustainability\u2013resilience approach can contribute insights unlikely to emerge from more narrowly focused assessments.", "author" : [ { "dropping-particle" : "", "family" : "Gaudreau", "given" : "Kyrke", "non-dropping-particle" : "", "parse-names" : false, "suffix" : "" }, { "dropping-particle" : "", "family" : "Gibson", "given" : "Robert B.", "non-dropping-particle" : "", "parse-names" : false, "suffix" : "" } ], "container-title" : "Impact Assessment and Project Appraisal", "id" : "ITEM-1", "issue" : "December", "issued" : { "date-parts" : [ [ "2010" ] ] }, "page" : "233-243", "title" : "Illustrating integrated sustainability and resilience based assessments: a small-scale biodiesel project in Barbados", "type" : "article-journal", "volume" : "28" }, "uris" : [ "http://www.mendeley.com/documents/?uuid=fee76635-1433-4c27-9c85-bbbf459c7e59" ] } ], "mendeley" : { "formattedCitation" : "(Gaudreau &amp; Gibson, 2010)", "plainTextFormattedCitation" : "(Gaudreau &amp; Gibson, 2010)", "previouslyFormattedCitation" : "(Gaudreau &amp; Gibson, 2010)" }, "properties" : { "noteIndex" : 0 }, "schema" : "https://github.com/citation-style-language/schema/raw/master/csl-citation.json" }</w:instrText>
            </w:r>
            <w:r w:rsidRPr="00CC033B">
              <w:rPr>
                <w:rFonts w:ascii="Arial" w:hAnsi="Arial" w:cs="Arial"/>
                <w:color w:val="000000" w:themeColor="text1"/>
                <w:sz w:val="20"/>
              </w:rPr>
              <w:fldChar w:fldCharType="separate"/>
            </w:r>
            <w:r w:rsidRPr="00CC033B">
              <w:rPr>
                <w:rFonts w:ascii="Arial" w:hAnsi="Arial" w:cs="Arial"/>
                <w:noProof/>
                <w:color w:val="000000" w:themeColor="text1"/>
                <w:sz w:val="20"/>
              </w:rPr>
              <w:t>(Gaudreau &amp; Gibson, 2010)</w:t>
            </w:r>
            <w:r w:rsidRPr="00CC033B">
              <w:rPr>
                <w:rFonts w:ascii="Arial" w:hAnsi="Arial" w:cs="Arial"/>
                <w:color w:val="000000" w:themeColor="text1"/>
                <w:sz w:val="20"/>
              </w:rPr>
              <w:fldChar w:fldCharType="end"/>
            </w:r>
          </w:p>
        </w:tc>
      </w:tr>
      <w:tr w:rsidR="000A0238" w:rsidRPr="000E0F90" w:rsidTr="002A21E4">
        <w:trPr>
          <w:trHeight w:val="420"/>
        </w:trPr>
        <w:tc>
          <w:tcPr>
            <w:tcW w:w="2835" w:type="dxa"/>
            <w:vMerge/>
            <w:tcBorders>
              <w:top w:val="nil"/>
              <w:bottom w:val="nil"/>
              <w:right w:val="nil"/>
            </w:tcBorders>
          </w:tcPr>
          <w:p w:rsidR="000A0238" w:rsidRPr="000E0F90" w:rsidRDefault="000A0238" w:rsidP="00604276">
            <w:pPr>
              <w:spacing w:after="0" w:line="240" w:lineRule="auto"/>
              <w:rPr>
                <w:rFonts w:ascii="Arial" w:hAnsi="Arial" w:cs="Arial"/>
                <w:b/>
                <w:color w:val="000000" w:themeColor="text1"/>
                <w:sz w:val="20"/>
              </w:rPr>
            </w:pPr>
          </w:p>
        </w:tc>
        <w:tc>
          <w:tcPr>
            <w:tcW w:w="5920" w:type="dxa"/>
            <w:tcBorders>
              <w:top w:val="nil"/>
              <w:left w:val="nil"/>
              <w:bottom w:val="nil"/>
            </w:tcBorders>
          </w:tcPr>
          <w:p w:rsidR="000A0238" w:rsidRPr="000E0F90" w:rsidRDefault="000A0238" w:rsidP="000A0238">
            <w:pPr>
              <w:spacing w:after="0" w:line="240" w:lineRule="auto"/>
              <w:rPr>
                <w:rFonts w:ascii="Arial" w:hAnsi="Arial" w:cs="Arial"/>
                <w:color w:val="000000" w:themeColor="text1"/>
                <w:sz w:val="20"/>
              </w:rPr>
            </w:pPr>
            <w:r w:rsidRPr="000E0F90">
              <w:rPr>
                <w:rFonts w:ascii="Arial" w:hAnsi="Arial" w:cs="Arial"/>
                <w:color w:val="000000" w:themeColor="text1"/>
                <w:sz w:val="20"/>
                <w:szCs w:val="20"/>
              </w:rPr>
              <w:t xml:space="preserve">Alcanzar la rehabilitación del recurso suelo una vez finalizada la actividad minera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"DOI" : "10.1016/j.jclepro.2017.03.047", "ISBN" : "9789289347945", "ISSN" : "09596526", "abstract" : "The mining industry has a major impact on society - from an economic, environmental and social perspective and due to a vast number of criteria. Which criteria should be given priority depends on where the mining operations take place. This paper's focus on the Nordic mining industry is partly due to the positive economic trend that the industry is currently experiencing and partly because very little research has been conducted on how the European mining industry addresses sustainability. The purpose of this study is therefore to examine the Nordic mining industry's sustainability practices and to develop guidelines for such efforts. The research methods used in the study include a literature review, a content analysis of sustainability reports, a review of existing sustainability initiatives, guidelines and tools, a stakeholder survey and interviews with mining company officials. Based on the findings, sustainability criteria guidelines for the Nordic mining industry are suggested in the areas of corporate governance, fair operating practices, economic aspects, human rights, labour practices, society and the environment. The content of the guidelines is discussed in the light of the sustainability practices performed by the studied mining companies.", "author" : [ { "dropping-particle" : "", "family" : "Ran\u00e4ngen", "given" : "Helena", "non-dropping-particle" : "", "parse-names" : false, "suffix" : "" }, { "dropping-particle" : "", "family" : "Lindman", "given" : "\u00c5sa", "non-dropping-particle" : "", "parse-names" : false, "suffix" : "" } ], "container-title" : "Journal of Cleaner Production", "id" : "ITEM-1", "issued" : { "date-parts" : [ [ "2017" ] ] }, "page" : "43-52", "title" : "A path towards sustainability for the Nordic mining industry", "type" : "article-journal", "volume" : "151" }, "uris" : [ "http://www.mendeley.com/documents/?uuid=6c35c3e3-ee0c-4b28-8acc-e8d00b36d33a" ] } ], "mendeley" : { "formattedCitation" : "(Ran\u00e4ngen &amp; Lindman, 2017)", "plainTextFormattedCitation" : "(Ran\u00e4ngen &amp; Lindman, 2017)", "previouslyFormattedCitation" : "(Ran\u00e4ngen &amp; Lindman, 2017)"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(Ranängen &amp; Lindman, 2017)</w:t>
            </w:r>
            <w:r w:rsidRPr="000E0F90">
              <w:rPr>
                <w:rFonts w:ascii="Arial" w:hAnsi="Arial" w:cs="Arial"/>
                <w:color w:val="000000" w:themeColor="text1"/>
                <w:sz w:val="20"/>
                <w:szCs w:val="20"/>
              </w:rPr>
              <w:fldChar w:fldCharType="end"/>
            </w:r>
            <w:r w:rsidRPr="000E0F90">
              <w:rPr>
                <w:rFonts w:ascii="Arial" w:hAnsi="Arial" w:cs="Arial"/>
                <w:color w:val="000000" w:themeColor="text1"/>
                <w:sz w:val="20"/>
                <w:szCs w:val="20"/>
              </w:rPr>
              <w:t xml:space="preserve">. Se considera relevante la cantidad de suelo que es destinada a la minería en el tiempo, y la pérdida que se va generando en ecosistemas locales producto del avance de la actividad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"DOI" : "10.1016/S0959-6526(03)00075-1", "ISBN" : "4414836891", "ISSN" : "09596526", "author" : [ { "dropping-particle" : "", "family" : "Azapagic", "given" : "Adisa", "non-dropping-particle" : "", "parse-names" : false, "suffix" : "" } ], "container-title" : "Journal of Cleaner Production", "id" : "ITEM-1", "issue" : "6", "issued" : { "date-parts" : [ [ "2004", "8" ] ] }, "page" : "639-662", "title" : "Developing a framework for sustainable development indicators for the mining and minerals industry", "type" : "article-journal", "volume" : "12" }, "uris" : [ "http://www.mendeley.com/documents/?uuid=a36976cf-2e0f-4c41-bd50-7ef9e97ed91f" ] } ], "mendeley" : { "formattedCitation" : "(Azapagic, 2004)", "plainTextFormattedCitation" : "(Azapagic, 2004)", "previouslyFormattedCitation" : "(Azapagic, 2004)"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(Azapagic, 2004)</w:t>
            </w:r>
            <w:r w:rsidRPr="000E0F90">
              <w:rPr>
                <w:rFonts w:ascii="Arial" w:hAnsi="Arial" w:cs="Arial"/>
                <w:color w:val="000000" w:themeColor="text1"/>
                <w:sz w:val="20"/>
                <w:szCs w:val="20"/>
              </w:rPr>
              <w:fldChar w:fldCharType="end"/>
            </w:r>
            <w:r w:rsidRPr="000E0F90">
              <w:rPr>
                <w:rFonts w:ascii="Arial" w:hAnsi="Arial" w:cs="Arial"/>
                <w:color w:val="000000" w:themeColor="text1"/>
                <w:sz w:val="20"/>
                <w:szCs w:val="20"/>
              </w:rPr>
              <w:t>.</w:t>
            </w:r>
          </w:p>
        </w:tc>
      </w:tr>
      <w:tr w:rsidR="000A0238" w:rsidRPr="000E0F90" w:rsidTr="002A21E4">
        <w:trPr>
          <w:trHeight w:val="420"/>
        </w:trPr>
        <w:tc>
          <w:tcPr>
            <w:tcW w:w="2835" w:type="dxa"/>
            <w:vMerge/>
            <w:tcBorders>
              <w:top w:val="nil"/>
              <w:bottom w:val="nil"/>
              <w:right w:val="nil"/>
            </w:tcBorders>
          </w:tcPr>
          <w:p w:rsidR="000A0238" w:rsidRPr="000E0F90" w:rsidRDefault="000A0238" w:rsidP="000A0238">
            <w:pPr>
              <w:spacing w:after="0" w:line="240" w:lineRule="auto"/>
              <w:rPr>
                <w:rFonts w:ascii="Arial" w:hAnsi="Arial" w:cs="Arial"/>
                <w:color w:val="000000" w:themeColor="text1"/>
                <w:sz w:val="20"/>
              </w:rPr>
            </w:pPr>
          </w:p>
        </w:tc>
        <w:tc>
          <w:tcPr>
            <w:tcW w:w="5920" w:type="dxa"/>
            <w:tcBorders>
              <w:top w:val="nil"/>
              <w:left w:val="nil"/>
              <w:bottom w:val="nil"/>
            </w:tcBorders>
          </w:tcPr>
          <w:p w:rsidR="000A0238" w:rsidRPr="000E0F90" w:rsidRDefault="000A0238" w:rsidP="000A0238">
            <w:pPr>
              <w:tabs>
                <w:tab w:val="left" w:pos="930"/>
              </w:tabs>
              <w:spacing w:after="0" w:line="240" w:lineRule="auto"/>
              <w:rPr>
                <w:rFonts w:ascii="Arial" w:hAnsi="Arial" w:cs="Arial"/>
                <w:color w:val="000000" w:themeColor="text1"/>
                <w:sz w:val="20"/>
                <w:szCs w:val="20"/>
              </w:rPr>
            </w:pPr>
            <w:r w:rsidRPr="000E0F90">
              <w:rPr>
                <w:rFonts w:ascii="Arial" w:hAnsi="Arial" w:cs="Arial"/>
                <w:color w:val="000000" w:themeColor="text1"/>
                <w:sz w:val="20"/>
              </w:rPr>
              <w:t xml:space="preserve">Restaurar los hábitats e regímenes hidrológicos </w:t>
            </w:r>
            <w:r w:rsidRPr="000E0F90">
              <w:rPr>
                <w:rFonts w:ascii="Arial" w:hAnsi="Arial" w:cs="Arial"/>
                <w:color w:val="000000" w:themeColor="text1"/>
                <w:sz w:val="20"/>
              </w:rPr>
              <w:fldChar w:fldCharType="begin" w:fldLock="1"/>
            </w:r>
            <w:r w:rsidRPr="000E0F90">
              <w:rPr>
                <w:rFonts w:ascii="Arial" w:hAnsi="Arial" w:cs="Arial"/>
                <w:color w:val="000000" w:themeColor="text1"/>
                <w:sz w:val="20"/>
              </w:rPr>
              <w:instrText>ADDIN CSL_CITATION { "citationItems" : [ { "id" : "ITEM-1", "itemData" : { "DOI" : "10.1016/j.eiar.2012.12.004", "ISBN" : "0195-9255", "ISSN" : "01959255", "abstract" : "This paper presents a framework for analysing the degree of consideration of sustainability principles in Strategic environmental assessment (SEA), and demonstrates its application to a sample of SEA of Italian urban plans. The framework is based on Gibson's (2006) sustainability principles, which are linked to a number of guidance criteria and eventually to review questions, resulting from an extensive literature review. A total of 71 questions are included in the framework, which gives particular emphasis to key concepts, such as intragenerational and intergenerational equity. The framework was applied to review the Environmental Report of the urban plans of 15 major Italian cities. The results of this review show that, even if sustainability is commonly considered as a pivotal concept, there is still work to be done in order to effectively integrate sustainability principles into SEA. In particular, most of the attention is given to mitigation and compensation measures, rather than to actual attempts to propose more sustainable planning decisions in the first place. Concerning the proposed framework of analysis, further research is required to clarify equity concerns and particularly to identify suitable indicators for operationalizing the concepts of intra/inter-generational equity in decision-making. ?? 2012 Elsevier Inc.", "author" : [ { "dropping-particle" : "", "family" : "Lamorgese", "given" : "Lydia", "non-dropping-particle" : "", "parse-names" : false, "suffix" : "" }, { "dropping-particle" : "", "family" : "Geneletti", "given" : "Davide", "non-dropping-particle" : "", "parse-names" : false, "suffix" : "" } ], "container-title" : "Environmental Impact Assessment Review", "id" : "ITEM-1", "issued" : { "date-parts" : [ [ "2013" ] ] }, "page" : "116-126", "publisher" : "Elsevier Inc.", "title" : "Sustainability principles in strategic environmental assessment: A framework for analysis and examples from Italian urban planning", "type" : "article-journal", "volume" : "42" }, "uris" : [ "http://www.mendeley.com/documents/?uuid=50281d85-3e46-42bb-9a5c-be11d8f3b1d0" ] } ], "mendeley" : { "formattedCitation" : "(Lamorgese &amp; Geneletti, 2013)", "plainTextFormattedCitation" : "(Lamorgese &amp; Geneletti, 2013)", "previouslyFormattedCitation" : "(Lamorgese &amp; Geneletti, 2013)" }, "properties" : { "noteIndex" : 0 }, "schema" : "https://github.com/citation-style-language/schema/raw/master/csl-citation.json" }</w:instrText>
            </w:r>
            <w:r w:rsidRPr="000E0F90">
              <w:rPr>
                <w:rFonts w:ascii="Arial" w:hAnsi="Arial" w:cs="Arial"/>
                <w:color w:val="000000" w:themeColor="text1"/>
                <w:sz w:val="20"/>
              </w:rPr>
              <w:fldChar w:fldCharType="separate"/>
            </w:r>
            <w:r w:rsidRPr="000E0F90">
              <w:rPr>
                <w:rFonts w:ascii="Arial" w:hAnsi="Arial" w:cs="Arial"/>
                <w:noProof/>
                <w:color w:val="000000" w:themeColor="text1"/>
                <w:sz w:val="20"/>
              </w:rPr>
              <w:t>(Lamorgese &amp; Geneletti, 2013)</w:t>
            </w:r>
            <w:r w:rsidRPr="000E0F90">
              <w:rPr>
                <w:rFonts w:ascii="Arial" w:hAnsi="Arial" w:cs="Arial"/>
                <w:color w:val="000000" w:themeColor="text1"/>
                <w:sz w:val="20"/>
              </w:rPr>
              <w:fldChar w:fldCharType="end"/>
            </w:r>
          </w:p>
        </w:tc>
      </w:tr>
      <w:tr w:rsidR="00EC548B" w:rsidRPr="000E0F90" w:rsidTr="002A21E4">
        <w:trPr>
          <w:trHeight w:val="70"/>
        </w:trPr>
        <w:tc>
          <w:tcPr>
            <w:tcW w:w="2835" w:type="dxa"/>
            <w:vMerge w:val="restart"/>
            <w:tcBorders>
              <w:top w:val="nil"/>
              <w:bottom w:val="nil"/>
              <w:right w:val="nil"/>
            </w:tcBorders>
          </w:tcPr>
          <w:p w:rsidR="00EC548B" w:rsidRPr="000E0F90" w:rsidRDefault="00EC548B" w:rsidP="00604276">
            <w:pPr>
              <w:spacing w:after="0" w:line="240" w:lineRule="auto"/>
              <w:rPr>
                <w:rFonts w:ascii="Arial" w:hAnsi="Arial" w:cs="Arial"/>
                <w:b/>
                <w:color w:val="000000" w:themeColor="text1"/>
                <w:sz w:val="20"/>
              </w:rPr>
            </w:pPr>
            <w:r w:rsidRPr="000E0F90">
              <w:rPr>
                <w:rFonts w:ascii="Arial" w:hAnsi="Arial" w:cs="Arial"/>
                <w:b/>
                <w:color w:val="000000" w:themeColor="text1"/>
                <w:sz w:val="20"/>
              </w:rPr>
              <w:t xml:space="preserve">Fomentar la eficiencia energética y de recursos </w:t>
            </w:r>
            <w:r w:rsidRPr="000E0F90">
              <w:rPr>
                <w:rFonts w:ascii="Arial" w:hAnsi="Arial" w:cs="Arial"/>
                <w:color w:val="000000" w:themeColor="text1"/>
                <w:sz w:val="20"/>
              </w:rPr>
              <w:t xml:space="preserve">(Morrison-saunders &amp; Hodgson, 2009) (Lehmann, 2010) </w:t>
            </w:r>
            <w:r w:rsidRPr="000E0F90">
              <w:rPr>
                <w:rFonts w:ascii="Arial" w:hAnsi="Arial" w:cs="Arial"/>
                <w:color w:val="000000" w:themeColor="text1"/>
                <w:sz w:val="20"/>
              </w:rPr>
              <w:fldChar w:fldCharType="begin" w:fldLock="1"/>
            </w:r>
            <w:r w:rsidRPr="000E0F90">
              <w:rPr>
                <w:rFonts w:ascii="Arial" w:hAnsi="Arial" w:cs="Arial"/>
                <w:color w:val="000000" w:themeColor="text1"/>
                <w:sz w:val="20"/>
              </w:rPr>
              <w:instrText>ADDIN CSL_CITATION { "citationItems" : [ { "id" : "ITEM-1", "itemData" : { "ISBN" : "8483201437", "author" : [ { "dropping-particle" : "", "family" : "Cemat", "given" : "Conferencia Europea de Ministros responsables de ordenaci\u00f3n del Territorio", "non-dropping-particle" : "", "parse-names" : false, "suffix" : "" } ], "container-title" : "Conferencia Europea de Ministros responsables de ordenaci\u00f3n del territorio", "id" : "ITEM-1", "issued" : { "date-parts" : [ [ "2000" ] ] }, "title" : "Principios Directores para el Desarrollo Territorial Sostenible del Continente Europeo", "type" : "book" }, "uris" : [ "http://www.mendeley.com/documents/?uuid=01924405-bee1-4e7a-a357-b7f836b2e137" ] } ], "mendeley" : { "formattedCitation" : "(Cemat, 2000)", "plainTextFormattedCitation" : "(Cemat, 2000)", "previouslyFormattedCitation" : "(Cemat, 2000)" }, "properties" : { "noteIndex" : 0 }, "schema" : "https://github.com/citation-style-language/schema/raw/master/csl-citation.json" }</w:instrText>
            </w:r>
            <w:r w:rsidRPr="000E0F90">
              <w:rPr>
                <w:rFonts w:ascii="Arial" w:hAnsi="Arial" w:cs="Arial"/>
                <w:color w:val="000000" w:themeColor="text1"/>
                <w:sz w:val="20"/>
              </w:rPr>
              <w:fldChar w:fldCharType="separate"/>
            </w:r>
            <w:r w:rsidRPr="000E0F90">
              <w:rPr>
                <w:rFonts w:ascii="Arial" w:hAnsi="Arial" w:cs="Arial"/>
                <w:noProof/>
                <w:color w:val="000000" w:themeColor="text1"/>
                <w:sz w:val="20"/>
              </w:rPr>
              <w:t>(Cemat, 2000)</w:t>
            </w:r>
            <w:r w:rsidRPr="000E0F90">
              <w:rPr>
                <w:rFonts w:ascii="Arial" w:hAnsi="Arial" w:cs="Arial"/>
                <w:color w:val="000000" w:themeColor="text1"/>
                <w:sz w:val="20"/>
              </w:rPr>
              <w:fldChar w:fldCharType="end"/>
            </w:r>
            <w:r w:rsidRPr="000E0F90">
              <w:rPr>
                <w:rFonts w:ascii="Arial" w:hAnsi="Arial" w:cs="Arial"/>
                <w:color w:val="000000" w:themeColor="text1"/>
                <w:sz w:val="20"/>
              </w:rPr>
              <w:t>.</w:t>
            </w:r>
          </w:p>
          <w:p w:rsidR="00EC548B" w:rsidRPr="000E0F90" w:rsidRDefault="00EC548B" w:rsidP="00604276">
            <w:pPr>
              <w:spacing w:after="0" w:line="240" w:lineRule="auto"/>
              <w:rPr>
                <w:rFonts w:ascii="Arial" w:hAnsi="Arial" w:cs="Arial"/>
                <w:b/>
                <w:color w:val="000000" w:themeColor="text1"/>
                <w:sz w:val="20"/>
              </w:rPr>
            </w:pPr>
          </w:p>
          <w:p w:rsidR="00EC548B" w:rsidRPr="000E0F90" w:rsidRDefault="00EC548B" w:rsidP="00F47423">
            <w:pPr>
              <w:jc w:val="right"/>
              <w:rPr>
                <w:rFonts w:ascii="Arial" w:hAnsi="Arial" w:cs="Arial"/>
                <w:b/>
                <w:color w:val="000000" w:themeColor="text1"/>
                <w:sz w:val="20"/>
              </w:rPr>
            </w:pPr>
          </w:p>
        </w:tc>
        <w:tc>
          <w:tcPr>
            <w:tcW w:w="5920" w:type="dxa"/>
            <w:tcBorders>
              <w:top w:val="nil"/>
              <w:left w:val="nil"/>
              <w:bottom w:val="nil"/>
            </w:tcBorders>
          </w:tcPr>
          <w:p w:rsidR="00EC548B" w:rsidRPr="000E0F90" w:rsidRDefault="00EC548B" w:rsidP="00B4209B">
            <w:pPr>
              <w:spacing w:after="0" w:line="240" w:lineRule="auto"/>
              <w:rPr>
                <w:rFonts w:ascii="Arial" w:hAnsi="Arial" w:cs="Arial"/>
                <w:color w:val="000000" w:themeColor="text1"/>
                <w:sz w:val="20"/>
              </w:rPr>
            </w:pPr>
            <w:r w:rsidRPr="000E0F90">
              <w:rPr>
                <w:rFonts w:ascii="Arial" w:hAnsi="Arial" w:cs="Arial"/>
                <w:color w:val="000000" w:themeColor="text1"/>
                <w:sz w:val="20"/>
              </w:rPr>
              <w:t xml:space="preserve">Minimizar el uso de energía (Luederitz et al., 2013). Reducir las demandas totales de energía de las operaciones mineras </w:t>
            </w:r>
            <w:r w:rsidRPr="000E0F90">
              <w:rPr>
                <w:rFonts w:ascii="Arial" w:hAnsi="Arial" w:cs="Arial"/>
                <w:color w:val="000000" w:themeColor="text1"/>
                <w:sz w:val="20"/>
              </w:rPr>
              <w:fldChar w:fldCharType="begin" w:fldLock="1"/>
            </w:r>
            <w:r w:rsidRPr="000E0F90">
              <w:rPr>
                <w:rFonts w:ascii="Arial" w:hAnsi="Arial" w:cs="Arial"/>
                <w:color w:val="000000" w:themeColor="text1"/>
                <w:sz w:val="20"/>
              </w:rPr>
              <w:instrText>ADDIN CSL_CITATION { "citationItems" : [ { "id" : "ITEM-1", "itemData" : { "DOI" : "10.1016/S0959-6526(03)00075-1", "ISBN" : "4414836891", "ISSN" : "09596526", "author" : [ { "dropping-particle" : "", "family" : "Azapagic", "given" : "Adisa", "non-dropping-particle" : "", "parse-names" : false, "suffix" : "" } ], "container-title" : "Journal of Cleaner Production", "id" : "ITEM-1", "issue" : "6", "issued" : { "date-parts" : [ [ "2004", "8" ] ] }, "page" : "639-662", "title" : "Developing a framework for sustainable development indicators for the mining and minerals industry", "type" : "article-journal", "volume" : "12" }, "uris" : [ "http://www.mendeley.com/documents/?uuid=a36976cf-2e0f-4c41-bd50-7ef9e97ed91f" ] } ], "mendeley" : { "formattedCitation" : "(Azapagic, 2004)", "plainTextFormattedCitation" : "(Azapagic, 2004)", "previouslyFormattedCitation" : "(Azapagic, 2004)" }, "properties" : { "noteIndex" : 0 }, "schema" : "https://github.com/citation-style-language/schema/raw/master/csl-citation.json" }</w:instrText>
            </w:r>
            <w:r w:rsidRPr="000E0F90">
              <w:rPr>
                <w:rFonts w:ascii="Arial" w:hAnsi="Arial" w:cs="Arial"/>
                <w:color w:val="000000" w:themeColor="text1"/>
                <w:sz w:val="20"/>
              </w:rPr>
              <w:fldChar w:fldCharType="separate"/>
            </w:r>
            <w:r w:rsidRPr="000E0F90">
              <w:rPr>
                <w:rFonts w:ascii="Arial" w:hAnsi="Arial" w:cs="Arial"/>
                <w:noProof/>
                <w:color w:val="000000" w:themeColor="text1"/>
                <w:sz w:val="20"/>
              </w:rPr>
              <w:t>(Azapagic, 2004)</w:t>
            </w:r>
            <w:r w:rsidRPr="000E0F90">
              <w:rPr>
                <w:rFonts w:ascii="Arial" w:hAnsi="Arial" w:cs="Arial"/>
                <w:color w:val="000000" w:themeColor="text1"/>
                <w:sz w:val="20"/>
              </w:rPr>
              <w:fldChar w:fldCharType="end"/>
            </w:r>
            <w:r w:rsidRPr="000E0F90">
              <w:rPr>
                <w:rFonts w:ascii="Arial" w:hAnsi="Arial" w:cs="Arial"/>
                <w:color w:val="000000" w:themeColor="text1"/>
                <w:sz w:val="20"/>
              </w:rPr>
              <w:t xml:space="preserve"> </w:t>
            </w:r>
            <w:r w:rsidRPr="000E0F90">
              <w:rPr>
                <w:rFonts w:ascii="Arial" w:hAnsi="Arial" w:cs="Arial"/>
                <w:color w:val="000000" w:themeColor="text1"/>
                <w:sz w:val="20"/>
              </w:rPr>
              <w:fldChar w:fldCharType="begin" w:fldLock="1"/>
            </w:r>
            <w:r w:rsidRPr="000E0F90">
              <w:rPr>
                <w:rFonts w:ascii="Arial" w:hAnsi="Arial" w:cs="Arial"/>
                <w:color w:val="000000" w:themeColor="text1"/>
                <w:sz w:val="20"/>
              </w:rPr>
              <w:instrText>ADDIN CSL_CITATION { "citationItems" : [ { "id" : "ITEM-1", "itemData" : { "DOI" : "10.1016/j.jclepro.2017.03.047", "ISBN" : "9789289347945", "ISSN" : "09596526", "abstract" : "The mining industry has a major impact on society - from an economic, environmental and social perspective and due to a vast number of criteria. Which criteria should be given priority depends on where the mining operations take place. This paper's focus on the Nordic mining industry is partly due to the positive economic trend that the industry is currently experiencing and partly because very little research has been conducted on how the European mining industry addresses sustainability. The purpose of this study is therefore to examine the Nordic mining industry's sustainability practices and to develop guidelines for such efforts. The research methods used in the study include a literature review, a content analysis of sustainability reports, a review of existing sustainability initiatives, guidelines and tools, a stakeholder survey and interviews with mining company officials. Based on the findings, sustainability criteria guidelines for the Nordic mining industry are suggested in the areas of corporate governance, fair operating practices, economic aspects, human rights, labour practices, society and the environment. The content of the guidelines is discussed in the light of the sustainability practices performed by the studied mining companies.", "author" : [ { "dropping-particle" : "", "family" : "Ran\u00e4ngen", "given" : "Helena", "non-dropping-particle" : "", "parse-names" : false, "suffix" : "" }, { "dropping-particle" : "", "family" : "Lindman", "given" : "\u00c5sa", "non-dropping-particle" : "", "parse-names" : false, "suffix" : "" } ], "container-title" : "Journal of Cleaner Production", "id" : "ITEM-1", "issued" : { "date-parts" : [ [ "2017" ] ] }, "page" : "43-52", "title" : "A path towards sustainability for the Nordic mining industry", "type" : "article-journal", "volume" : "151" }, "uris" : [ "http://www.mendeley.com/documents/?uuid=6c35c3e3-ee0c-4b28-8acc-e8d00b36d33a" ] } ], "mendeley" : { "formattedCitation" : "(Ran\u00e4ngen &amp; Lindman, 2017)", "plainTextFormattedCitation" : "(Ran\u00e4ngen &amp; Lindman, 2017)", "previouslyFormattedCitation" : "(Ran\u00e4ngen &amp; Lindman, 2017)" }, "properties" : { "noteIndex" : 0 }, "schema" : "https://github.com/citation-style-language/schema/raw/master/csl-citation.json" }</w:instrText>
            </w:r>
            <w:r w:rsidRPr="000E0F90">
              <w:rPr>
                <w:rFonts w:ascii="Arial" w:hAnsi="Arial" w:cs="Arial"/>
                <w:color w:val="000000" w:themeColor="text1"/>
                <w:sz w:val="20"/>
              </w:rPr>
              <w:fldChar w:fldCharType="separate"/>
            </w:r>
            <w:r w:rsidRPr="000E0F90">
              <w:rPr>
                <w:rFonts w:ascii="Arial" w:hAnsi="Arial" w:cs="Arial"/>
                <w:noProof/>
                <w:color w:val="000000" w:themeColor="text1"/>
                <w:sz w:val="20"/>
              </w:rPr>
              <w:t>(Ranängen &amp; Lindman, 2017)</w:t>
            </w:r>
            <w:r w:rsidRPr="000E0F90">
              <w:rPr>
                <w:rFonts w:ascii="Arial" w:hAnsi="Arial" w:cs="Arial"/>
                <w:color w:val="000000" w:themeColor="text1"/>
                <w:sz w:val="20"/>
              </w:rPr>
              <w:fldChar w:fldCharType="end"/>
            </w:r>
            <w:r w:rsidRPr="000E0F90">
              <w:rPr>
                <w:rFonts w:ascii="Arial" w:hAnsi="Arial" w:cs="Arial"/>
                <w:color w:val="000000" w:themeColor="text1"/>
                <w:sz w:val="20"/>
              </w:rPr>
              <w:t>.</w:t>
            </w:r>
          </w:p>
        </w:tc>
      </w:tr>
      <w:tr w:rsidR="00EC548B" w:rsidRPr="000E0F90" w:rsidTr="002A21E4">
        <w:trPr>
          <w:trHeight w:val="70"/>
        </w:trPr>
        <w:tc>
          <w:tcPr>
            <w:tcW w:w="2835" w:type="dxa"/>
            <w:vMerge/>
            <w:tcBorders>
              <w:top w:val="nil"/>
              <w:bottom w:val="nil"/>
              <w:right w:val="nil"/>
            </w:tcBorders>
          </w:tcPr>
          <w:p w:rsidR="00EC548B" w:rsidRPr="000E0F90" w:rsidRDefault="00EC548B" w:rsidP="00F47423">
            <w:pPr>
              <w:jc w:val="right"/>
              <w:rPr>
                <w:rFonts w:ascii="Arial" w:hAnsi="Arial" w:cs="Arial"/>
                <w:b/>
                <w:color w:val="000000" w:themeColor="text1"/>
                <w:sz w:val="20"/>
              </w:rPr>
            </w:pPr>
          </w:p>
        </w:tc>
        <w:tc>
          <w:tcPr>
            <w:tcW w:w="5920" w:type="dxa"/>
            <w:tcBorders>
              <w:top w:val="nil"/>
              <w:left w:val="nil"/>
              <w:bottom w:val="nil"/>
            </w:tcBorders>
          </w:tcPr>
          <w:p w:rsidR="00EC548B" w:rsidRPr="000E0F90" w:rsidRDefault="00EC548B" w:rsidP="00F10A5D">
            <w:pPr>
              <w:spacing w:after="0" w:line="240" w:lineRule="auto"/>
              <w:rPr>
                <w:rFonts w:ascii="Arial" w:hAnsi="Arial" w:cs="Arial"/>
                <w:color w:val="000000" w:themeColor="text1"/>
                <w:sz w:val="20"/>
              </w:rPr>
            </w:pPr>
            <w:r w:rsidRPr="000E0F90">
              <w:rPr>
                <w:rFonts w:ascii="Arial" w:hAnsi="Arial" w:cs="Arial"/>
                <w:color w:val="000000" w:themeColor="text1"/>
                <w:sz w:val="20"/>
              </w:rPr>
              <w:t xml:space="preserve">Generar y utilizar energía de fuentes de bajo impacto y renovable. Fomentar la transición hacia fuentes de calidad  </w:t>
            </w:r>
            <w:r w:rsidRPr="000E0F90">
              <w:rPr>
                <w:rFonts w:ascii="Arial" w:hAnsi="Arial" w:cs="Arial"/>
                <w:color w:val="000000" w:themeColor="text1"/>
                <w:sz w:val="20"/>
              </w:rPr>
              <w:fldChar w:fldCharType="begin" w:fldLock="1"/>
            </w:r>
            <w:r w:rsidRPr="000E0F90">
              <w:rPr>
                <w:rFonts w:ascii="Arial" w:hAnsi="Arial" w:cs="Arial"/>
                <w:color w:val="000000" w:themeColor="text1"/>
                <w:sz w:val="20"/>
              </w:rPr>
              <w:instrText>ADDIN CSL_CITATION { "citationItems" : [ { "id" : "ITEM-1", "itemData" : { "DOI" : "10.3152/146155110X12772982841122", "ISSN" : "1461-5517", "abstract" : "Assessments today need to help reverse trends towards deeper unsustainability and address the unavoidable interconnections, feedbacks and uncertainties that typify complex socio-ecological systems at all scales. To illustrate one promising approach, this paper describes a modest effort to integrate understandings from Gibson et al\u2019s approach to sustainability assessment with the Resilience Alliance\u2019s applications of complex systems thinking into a suite of systems and sustainability based criteria. The integrated sustainability\u2013resilience criteria were used to assess an existing small-scale biodiesel operation on Barbados that involves waste management, public health, transportation, energy security and community involvement considerations. The assessment revealed that the main benefit of this biodiesel project is in social learning rather than enhancing energy security and waste management, and the best ways of enhancing the project lie in larger scale policy initiatives. The findings suggest that the use of a sustainability\u2013resilience approach can contribute insights unlikely to emerge from more narrowly focused assessments.", "author" : [ { "dropping-particle" : "", "family" : "Gaudreau", "given" : "Kyrke", "non-dropping-particle" : "", "parse-names" : false, "suffix" : "" }, { "dropping-particle" : "", "family" : "Gibson", "given" : "Robert B.", "non-dropping-particle" : "", "parse-names" : false, "suffix" : "" } ], "container-title" : "Impact Assessment and Project Appraisal", "id" : "ITEM-1", "issue" : "December", "issued" : { "date-parts" : [ [ "2010" ] ] }, "page" : "233-243", "title" : "Illustrating integrated sustainability and resilience based assessments: a small-scale biodiesel project in Barbados", "type" : "article-journal", "volume" : "28" }, "uris" : [ "http://www.mendeley.com/documents/?uuid=fee76635-1433-4c27-9c85-bbbf459c7e59" ] } ], "mendeley" : { "formattedCitation" : "(Gaudreau &amp; Gibson, 2010)", "plainTextFormattedCitation" : "(Gaudreau &amp; Gibson, 2010)", "previouslyFormattedCitation" : "(Gaudreau &amp; Gibson, 2010)" }, "properties" : { "noteIndex" : 0 }, "schema" : "https://github.com/citation-style-language/schema/raw/master/csl-citation.json" }</w:instrText>
            </w:r>
            <w:r w:rsidRPr="000E0F90">
              <w:rPr>
                <w:rFonts w:ascii="Arial" w:hAnsi="Arial" w:cs="Arial"/>
                <w:color w:val="000000" w:themeColor="text1"/>
                <w:sz w:val="20"/>
              </w:rPr>
              <w:fldChar w:fldCharType="separate"/>
            </w:r>
            <w:r w:rsidRPr="000E0F90">
              <w:rPr>
                <w:rFonts w:ascii="Arial" w:hAnsi="Arial" w:cs="Arial"/>
                <w:noProof/>
                <w:color w:val="000000" w:themeColor="text1"/>
                <w:sz w:val="20"/>
              </w:rPr>
              <w:t>(Gaudreau &amp; Gibson, 2010)</w:t>
            </w:r>
            <w:r w:rsidRPr="000E0F90">
              <w:rPr>
                <w:rFonts w:ascii="Arial" w:hAnsi="Arial" w:cs="Arial"/>
                <w:color w:val="000000" w:themeColor="text1"/>
                <w:sz w:val="20"/>
              </w:rPr>
              <w:fldChar w:fldCharType="end"/>
            </w:r>
            <w:r w:rsidRPr="000E0F90">
              <w:rPr>
                <w:rFonts w:ascii="Arial" w:hAnsi="Arial" w:cs="Arial"/>
                <w:color w:val="000000" w:themeColor="text1"/>
                <w:sz w:val="20"/>
              </w:rPr>
              <w:t xml:space="preserve"> </w:t>
            </w:r>
            <w:r w:rsidRPr="000E0F90">
              <w:rPr>
                <w:rFonts w:ascii="Arial" w:hAnsi="Arial" w:cs="Arial"/>
                <w:color w:val="000000" w:themeColor="text1"/>
                <w:sz w:val="20"/>
              </w:rPr>
              <w:fldChar w:fldCharType="begin" w:fldLock="1"/>
            </w:r>
            <w:r w:rsidRPr="000E0F90">
              <w:rPr>
                <w:rFonts w:ascii="Arial" w:hAnsi="Arial" w:cs="Arial"/>
                <w:color w:val="000000" w:themeColor="text1"/>
                <w:sz w:val="20"/>
              </w:rPr>
              <w:instrText>ADDIN CSL_CITATION { "citationItems" : [ { "id" : "ITEM-1", "itemData" : { "DOI" : "10.1016/j.landurbplan.2013.06.002", "ISBN" : "0169-2046", "ISSN" : "01692046", "abstract" : "The proportion of urban population is increasing globally. Climate change, biodiversity loss, and environmental pollution are leading to the urgent need to increase sustainable development of and through cities and their components. Encouraging and enabling sustainable lifestyles of urban inhabitants can be fostered by developing sustainable urban neighborhoods as the nuclei of cities. Numerous approaches exist that define principles for guiding sustainable development processes of urban neighborhoods. However, it remains unclear if these approaches really consider the core objectives that should be achieved and key actions that are involved to move toward sustainability. This study represents the first quantitative review that evaluates the principles for sustainable urban neighborhood development based on the available literature. We thus (i) identify promising approaches that present principles close to core criteria for sustainability and (ii) provide starting points for developing a more robust set of principles by bringing together the examined literature. Furthermore (iii), sustainability aspects that are insufficiently covered are highlighted. Based on the findings (iv) a road map is outlined to encourage further research on the elaboration of a sufficient set of principles for sustainable urban neighborhood development. \u00a9 2013 Elsevier B.V.", "author" : [ { "dropping-particle" : "", "family" : "Luederitz", "given" : "Christopher", "non-dropping-particle" : "", "parse-names" : false, "suffix" : "" }, { "dropping-particle" : "", "family" : "Lang", "given" : "Daniel J.", "non-dropping-particle" : "", "parse-names" : false, "suffix" : "" }, { "dropping-particle" : "", "family" : "Wehrden", "given" : "Henrik", "non-dropping-particle" : "Von", "parse-names" : false, "suffix" : "" } ], "container-title" : "Landscape and Urban Planning", "id" : "ITEM-1", "issued" : { "date-parts" : [ [ "2013" ] ] }, "page" : "40-52", "publisher" : "Elsevier B.V.", "title" : "A systematic review of guiding principles for sustainable urban neighborhood development", "type" : "article-journal", "volume" : "118" }, "uris" : [ "http://www.mendeley.com/documents/?uuid=6bcfcece-dda2-466f-b77d-29fdaec204ad" ] } ], "mendeley" : { "formattedCitation" : "(Luederitz et al., 2013)", "plainTextFormattedCitation" : "(Luederitz et al., 2013)", "previouslyFormattedCitation" : "(Luederitz et al., 2013)" }, "properties" : { "noteIndex" : 0 }, "schema" : "https://github.com/citation-style-language/schema/raw/master/csl-citation.json" }</w:instrText>
            </w:r>
            <w:r w:rsidRPr="000E0F90">
              <w:rPr>
                <w:rFonts w:ascii="Arial" w:hAnsi="Arial" w:cs="Arial"/>
                <w:color w:val="000000" w:themeColor="text1"/>
                <w:sz w:val="20"/>
              </w:rPr>
              <w:fldChar w:fldCharType="separate"/>
            </w:r>
            <w:r w:rsidRPr="000E0F90">
              <w:rPr>
                <w:rFonts w:ascii="Arial" w:hAnsi="Arial" w:cs="Arial"/>
                <w:noProof/>
                <w:color w:val="000000" w:themeColor="text1"/>
                <w:sz w:val="20"/>
              </w:rPr>
              <w:t>(Luederitz et al., 2013)</w:t>
            </w:r>
            <w:r w:rsidRPr="000E0F90">
              <w:rPr>
                <w:rFonts w:ascii="Arial" w:hAnsi="Arial" w:cs="Arial"/>
                <w:color w:val="000000" w:themeColor="text1"/>
                <w:sz w:val="20"/>
              </w:rPr>
              <w:fldChar w:fldCharType="end"/>
            </w:r>
            <w:r w:rsidRPr="000E0F90">
              <w:rPr>
                <w:rFonts w:ascii="Arial" w:hAnsi="Arial" w:cs="Arial"/>
                <w:color w:val="000000" w:themeColor="text1"/>
                <w:sz w:val="20"/>
              </w:rPr>
              <w:t xml:space="preserve"> </w:t>
            </w:r>
            <w:r w:rsidRPr="000E0F90">
              <w:rPr>
                <w:rFonts w:ascii="Arial" w:hAnsi="Arial" w:cs="Arial"/>
                <w:color w:val="000000" w:themeColor="text1"/>
                <w:sz w:val="20"/>
              </w:rPr>
              <w:fldChar w:fldCharType="begin" w:fldLock="1"/>
            </w:r>
            <w:r w:rsidRPr="000E0F90">
              <w:rPr>
                <w:rFonts w:ascii="Arial" w:hAnsi="Arial" w:cs="Arial"/>
                <w:color w:val="000000" w:themeColor="text1"/>
                <w:sz w:val="20"/>
              </w:rPr>
              <w:instrText>ADDIN CSL_CITATION { "citationItems" : [ { "id" : "ITEM-1", "itemData" : { "ISSN" : "1993-3800", "abstract" : "New Urbanism New Urbanism is an urban design movement, which arose in the USA in the early 1980s, promoting walkable, mixed-use neighbourhoods and transit-oriented development, seeking to end suburban sprawl and promote community. Characteristics include narrow streets, wide sidewalks and higher densities, qualities which we can all find in the European cities. Green Urbanism Green Urbanism is a conceptual model for zero-emission and zero-waste urban design, which arose in the 1990s, promoting compact energy-efficient urban development, seeking to transform and re-engineer existing city districts and regenerate the post-industrial city centre. It promotes the development of socially and environmentally sustainable city districts. This paper will first look at the timeline of important publications that have been published on sustainable design and have emerged from different schools of thought, to exemplify how gradually the notion of Green Urbanism evolved. It then identifies the intertwined principles for achieving Green Urbanism.", "author" : [ { "dropping-particle" : "", "family" : "Lehmann", "given" : "Steffen", "non-dropping-particle" : "", "parse-names" : false, "suffix" : "" } ], "container-title" : "Survey And Perspectives Integrating Environment &amp; Society", "id" : "ITEM-1", "issue" : "October", "issued" : { "date-parts" : [ [ "2010" ] ] }, "page" : "Art. 6", "title" : "Green Urbanism: Formulating a Series of Holistic Principles.", "type" : "article-journal", "volume" : "3" }, "uris" : [ "http://www.mendeley.com/documents/?uuid=7b43f80a-d8ec-4748-a9dc-ee203f8b89d7" ] } ], "mendeley" : { "formattedCitation" : "(Lehmann, 2010)", "plainTextFormattedCitation" : "(Lehmann, 2010)", "previouslyFormattedCitation" : "(Lehmann, 2010)" }, "properties" : { "noteIndex" : 0 }, "schema" : "https://github.com/citation-style-language/schema/raw/master/csl-citation.json" }</w:instrText>
            </w:r>
            <w:r w:rsidRPr="000E0F90">
              <w:rPr>
                <w:rFonts w:ascii="Arial" w:hAnsi="Arial" w:cs="Arial"/>
                <w:color w:val="000000" w:themeColor="text1"/>
                <w:sz w:val="20"/>
              </w:rPr>
              <w:fldChar w:fldCharType="separate"/>
            </w:r>
            <w:r w:rsidRPr="000E0F90">
              <w:rPr>
                <w:rFonts w:ascii="Arial" w:hAnsi="Arial" w:cs="Arial"/>
                <w:noProof/>
                <w:color w:val="000000" w:themeColor="text1"/>
                <w:sz w:val="20"/>
              </w:rPr>
              <w:t>(Lehmann, 2010)</w:t>
            </w:r>
            <w:r w:rsidRPr="000E0F90">
              <w:rPr>
                <w:rFonts w:ascii="Arial" w:hAnsi="Arial" w:cs="Arial"/>
                <w:color w:val="000000" w:themeColor="text1"/>
                <w:sz w:val="20"/>
              </w:rPr>
              <w:fldChar w:fldCharType="end"/>
            </w:r>
            <w:r w:rsidRPr="000E0F90">
              <w:rPr>
                <w:rFonts w:ascii="Arial" w:hAnsi="Arial" w:cs="Arial"/>
                <w:color w:val="000000" w:themeColor="text1"/>
                <w:sz w:val="20"/>
              </w:rPr>
              <w:t xml:space="preserve"> </w:t>
            </w:r>
            <w:r w:rsidRPr="000E0F90">
              <w:rPr>
                <w:rFonts w:ascii="Arial" w:hAnsi="Arial" w:cs="Arial"/>
                <w:color w:val="000000" w:themeColor="text1"/>
                <w:sz w:val="20"/>
              </w:rPr>
              <w:fldChar w:fldCharType="begin" w:fldLock="1"/>
            </w:r>
            <w:r w:rsidRPr="000E0F90">
              <w:rPr>
                <w:rFonts w:ascii="Arial" w:hAnsi="Arial" w:cs="Arial"/>
                <w:color w:val="000000" w:themeColor="text1"/>
                <w:sz w:val="20"/>
              </w:rPr>
              <w:instrText>ADDIN CSL_CITATION { "citationItems" : [ { "id" : "ITEM-1", "itemData" : { "ISBN" : "8483201437", "author" : [ { "dropping-particle" : "", "family" : "Cemat", "given" : "Conferencia Europea de Ministros responsables de ordenaci\u00f3n del Territorio", "non-dropping-particle" : "", "parse-names" : false, "suffix" : "" } ], "container-title" : "Conferencia Europea de Ministros responsables de ordenaci\u00f3n del territorio", "id" : "ITEM-1", "issued" : { "date-parts" : [ [ "2000" ] ] }, "title" : "Principios Directores para el Desarrollo Territorial Sostenible del Continente Europeo", "type" : "book" }, "uris" : [ "http://www.mendeley.com/documents/?uuid=01924405-bee1-4e7a-a357-b7f836b2e137" ] } ], "mendeley" : { "formattedCitation" : "(Cemat, 2000)", "plainTextFormattedCitation" : "(Cemat, 2000)", "previouslyFormattedCitation" : "(Cemat, 2000)" }, "properties" : { "noteIndex" : 0 }, "schema" : "https://github.com/citation-style-language/schema/raw/master/csl-citation.json" }</w:instrText>
            </w:r>
            <w:r w:rsidRPr="000E0F90">
              <w:rPr>
                <w:rFonts w:ascii="Arial" w:hAnsi="Arial" w:cs="Arial"/>
                <w:color w:val="000000" w:themeColor="text1"/>
                <w:sz w:val="20"/>
              </w:rPr>
              <w:fldChar w:fldCharType="separate"/>
            </w:r>
            <w:r w:rsidRPr="000E0F90">
              <w:rPr>
                <w:rFonts w:ascii="Arial" w:hAnsi="Arial" w:cs="Arial"/>
                <w:noProof/>
                <w:color w:val="000000" w:themeColor="text1"/>
                <w:sz w:val="20"/>
              </w:rPr>
              <w:t>(Cemat, 2000)</w:t>
            </w:r>
            <w:r w:rsidRPr="000E0F90">
              <w:rPr>
                <w:rFonts w:ascii="Arial" w:hAnsi="Arial" w:cs="Arial"/>
                <w:color w:val="000000" w:themeColor="text1"/>
                <w:sz w:val="20"/>
              </w:rPr>
              <w:fldChar w:fldCharType="end"/>
            </w:r>
            <w:r w:rsidRPr="000E0F90">
              <w:rPr>
                <w:rFonts w:ascii="Arial" w:hAnsi="Arial" w:cs="Arial"/>
                <w:color w:val="000000" w:themeColor="text1"/>
                <w:sz w:val="20"/>
              </w:rPr>
              <w:t xml:space="preserve"> </w:t>
            </w:r>
            <w:r w:rsidRPr="000E0F90">
              <w:rPr>
                <w:rFonts w:ascii="Arial" w:hAnsi="Arial" w:cs="Arial"/>
                <w:color w:val="000000" w:themeColor="text1"/>
                <w:sz w:val="20"/>
              </w:rPr>
              <w:fldChar w:fldCharType="begin" w:fldLock="1"/>
            </w:r>
            <w:r w:rsidRPr="000E0F90">
              <w:rPr>
                <w:rFonts w:ascii="Arial" w:hAnsi="Arial" w:cs="Arial"/>
                <w:color w:val="000000" w:themeColor="text1"/>
                <w:sz w:val="20"/>
              </w:rPr>
              <w:instrText>ADDIN CSL_CITATION { "citationItems" : [ { "id" : "ITEM-1", "itemData" : { "DOI" : "10.1016/S0959-6526(03)00075-1", "ISBN" : "4414836891", "ISSN" : "09596526", "author" : [ { "dropping-particle" : "", "family" : "Azapagic", "given" : "Adisa", "non-dropping-particle" : "", "parse-names" : false, "suffix" : "" } ], "container-title" : "Journal of Cleaner Production", "id" : "ITEM-1", "issue" : "6", "issued" : { "date-parts" : [ [ "2004", "8" ] ] }, "page" : "639-662", "title" : "Developing a framework for sustainable development indicators for the mining and minerals industry", "type" : "article-journal", "volume" : "12" }, "uris" : [ "http://www.mendeley.com/documents/?uuid=a36976cf-2e0f-4c41-bd50-7ef9e97ed91f" ] } ], "mendeley" : { "formattedCitation" : "(Azapagic, 2004)", "plainTextFormattedCitation" : "(Azapagic, 2004)", "previouslyFormattedCitation" : "(Azapagic, 2004)" }, "properties" : { "noteIndex" : 0 }, "schema" : "https://github.com/citation-style-language/schema/raw/master/csl-citation.json" }</w:instrText>
            </w:r>
            <w:r w:rsidRPr="000E0F90">
              <w:rPr>
                <w:rFonts w:ascii="Arial" w:hAnsi="Arial" w:cs="Arial"/>
                <w:color w:val="000000" w:themeColor="text1"/>
                <w:sz w:val="20"/>
              </w:rPr>
              <w:fldChar w:fldCharType="separate"/>
            </w:r>
            <w:r w:rsidRPr="000E0F90">
              <w:rPr>
                <w:rFonts w:ascii="Arial" w:hAnsi="Arial" w:cs="Arial"/>
                <w:noProof/>
                <w:color w:val="000000" w:themeColor="text1"/>
                <w:sz w:val="20"/>
              </w:rPr>
              <w:t>(Azapagic, 2004)</w:t>
            </w:r>
            <w:r w:rsidRPr="000E0F90">
              <w:rPr>
                <w:rFonts w:ascii="Arial" w:hAnsi="Arial" w:cs="Arial"/>
                <w:color w:val="000000" w:themeColor="text1"/>
                <w:sz w:val="20"/>
              </w:rPr>
              <w:fldChar w:fldCharType="end"/>
            </w:r>
            <w:r w:rsidRPr="000E0F90">
              <w:rPr>
                <w:rFonts w:ascii="Arial" w:hAnsi="Arial" w:cs="Arial"/>
                <w:color w:val="000000" w:themeColor="text1"/>
                <w:sz w:val="20"/>
              </w:rPr>
              <w:t xml:space="preserve">. Reducir la utilización en forma progresiva de combustibles fósiles </w:t>
            </w:r>
            <w:r w:rsidRPr="000E0F90">
              <w:rPr>
                <w:rFonts w:ascii="Arial" w:hAnsi="Arial" w:cs="Arial"/>
                <w:color w:val="000000" w:themeColor="text1"/>
                <w:sz w:val="20"/>
              </w:rPr>
              <w:fldChar w:fldCharType="begin" w:fldLock="1"/>
            </w:r>
            <w:r w:rsidRPr="000E0F90">
              <w:rPr>
                <w:rFonts w:ascii="Arial" w:hAnsi="Arial" w:cs="Arial"/>
                <w:color w:val="000000" w:themeColor="text1"/>
                <w:sz w:val="20"/>
              </w:rPr>
              <w:instrText>ADDIN CSL_CITATION { "citationItems" : [ { "id" : "ITEM-1", "itemData" : { "ISSN" : "1993-3800", "abstract" : "New Urbanism New Urbanism is an urban design movement, which arose in the USA in the early 1980s, promoting walkable, mixed-use neighbourhoods and transit-oriented development, seeking to end suburban sprawl and promote community. Characteristics include narrow streets, wide sidewalks and higher densities, qualities which we can all find in the European cities. Green Urbanism Green Urbanism is a conceptual model for zero-emission and zero-waste urban design, which arose in the 1990s, promoting compact energy-efficient urban development, seeking to transform and re-engineer existing city districts and regenerate the post-industrial city centre. It promotes the development of socially and environmentally sustainable city districts. This paper will first look at the timeline of important publications that have been published on sustainable design and have emerged from different schools of thought, to exemplify how gradually the notion of Green Urbanism evolved. It then identifies the intertwined principles for achieving Green Urbanism.", "author" : [ { "dropping-particle" : "", "family" : "Lehmann", "given" : "Steffen", "non-dropping-particle" : "", "parse-names" : false, "suffix" : "" } ], "container-title" : "Survey And Perspectives Integrating Environment &amp; Society", "id" : "ITEM-1", "issue" : "October", "issued" : { "date-parts" : [ [ "2010" ] ] }, "page" : "Art. 6", "title" : "Green Urbanism: Formulating a Series of Holistic Principles.", "type" : "article-journal", "volume" : "3" }, "uris" : [ "http://www.mendeley.com/documents/?uuid=7b43f80a-d8ec-4748-a9dc-ee203f8b89d7" ] } ], "mendeley" : { "formattedCitation" : "(Lehmann, 2010)", "plainTextFormattedCitation" : "(Lehmann, 2010)", "previouslyFormattedCitation" : "(Lehmann, 2010)" }, "properties" : { "noteIndex" : 0 }, "schema" : "https://github.com/citation-style-language/schema/raw/master/csl-citation.json" }</w:instrText>
            </w:r>
            <w:r w:rsidRPr="000E0F90">
              <w:rPr>
                <w:rFonts w:ascii="Arial" w:hAnsi="Arial" w:cs="Arial"/>
                <w:color w:val="000000" w:themeColor="text1"/>
                <w:sz w:val="20"/>
              </w:rPr>
              <w:fldChar w:fldCharType="separate"/>
            </w:r>
            <w:r w:rsidRPr="000E0F90">
              <w:rPr>
                <w:rFonts w:ascii="Arial" w:hAnsi="Arial" w:cs="Arial"/>
                <w:noProof/>
                <w:color w:val="000000" w:themeColor="text1"/>
                <w:sz w:val="20"/>
              </w:rPr>
              <w:t>(Lehmann, 2010)</w:t>
            </w:r>
            <w:r w:rsidRPr="000E0F90">
              <w:rPr>
                <w:rFonts w:ascii="Arial" w:hAnsi="Arial" w:cs="Arial"/>
                <w:color w:val="000000" w:themeColor="text1"/>
                <w:sz w:val="20"/>
              </w:rPr>
              <w:fldChar w:fldCharType="end"/>
            </w:r>
            <w:r w:rsidRPr="000E0F90">
              <w:rPr>
                <w:rFonts w:ascii="Arial" w:hAnsi="Arial" w:cs="Arial"/>
                <w:color w:val="000000" w:themeColor="text1"/>
                <w:sz w:val="20"/>
              </w:rPr>
              <w:t>.</w:t>
            </w:r>
          </w:p>
        </w:tc>
      </w:tr>
      <w:tr w:rsidR="00EC548B" w:rsidRPr="000E0F90" w:rsidTr="002A21E4">
        <w:trPr>
          <w:trHeight w:val="540"/>
        </w:trPr>
        <w:tc>
          <w:tcPr>
            <w:tcW w:w="2835" w:type="dxa"/>
            <w:vMerge/>
            <w:tcBorders>
              <w:top w:val="nil"/>
              <w:bottom w:val="nil"/>
              <w:right w:val="nil"/>
            </w:tcBorders>
          </w:tcPr>
          <w:p w:rsidR="00EC548B" w:rsidRPr="000E0F90" w:rsidRDefault="00EC548B" w:rsidP="00F47423">
            <w:pPr>
              <w:jc w:val="right"/>
              <w:rPr>
                <w:rFonts w:ascii="Arial" w:hAnsi="Arial" w:cs="Arial"/>
                <w:color w:val="000000" w:themeColor="text1"/>
                <w:sz w:val="20"/>
              </w:rPr>
            </w:pPr>
          </w:p>
        </w:tc>
        <w:tc>
          <w:tcPr>
            <w:tcW w:w="5920" w:type="dxa"/>
            <w:tcBorders>
              <w:top w:val="nil"/>
              <w:left w:val="nil"/>
              <w:bottom w:val="nil"/>
            </w:tcBorders>
            <w:vAlign w:val="bottom"/>
          </w:tcPr>
          <w:p w:rsidR="00EC548B" w:rsidRPr="000E0F90" w:rsidRDefault="00EC548B" w:rsidP="00F10A5D">
            <w:pPr>
              <w:spacing w:after="0" w:line="240" w:lineRule="auto"/>
              <w:rPr>
                <w:rFonts w:ascii="Arial" w:hAnsi="Arial" w:cs="Arial"/>
                <w:color w:val="000000" w:themeColor="text1"/>
                <w:sz w:val="20"/>
              </w:rPr>
            </w:pPr>
            <w:r w:rsidRPr="000E0F90">
              <w:rPr>
                <w:rFonts w:ascii="Arial" w:hAnsi="Arial" w:cs="Arial"/>
                <w:color w:val="000000" w:themeColor="text1"/>
                <w:sz w:val="20"/>
              </w:rPr>
              <w:t xml:space="preserve">Autoabastecer el territorio de energía (consumidor productor de energía) </w:t>
            </w:r>
            <w:r w:rsidRPr="000E0F90">
              <w:rPr>
                <w:rFonts w:ascii="Arial" w:hAnsi="Arial" w:cs="Arial"/>
                <w:color w:val="000000" w:themeColor="text1"/>
                <w:sz w:val="20"/>
              </w:rPr>
              <w:fldChar w:fldCharType="begin" w:fldLock="1"/>
            </w:r>
            <w:r w:rsidRPr="000E0F90">
              <w:rPr>
                <w:rFonts w:ascii="Arial" w:hAnsi="Arial" w:cs="Arial"/>
                <w:color w:val="000000" w:themeColor="text1"/>
                <w:sz w:val="20"/>
              </w:rPr>
              <w:instrText>ADDIN CSL_CITATION { "citationItems" : [ { "id" : "ITEM-1", "itemData" : { "ISSN" : "1993-3800", "abstract" : "New Urbanism New Urbanism is an urban design movement, which arose in the USA in the early 1980s, promoting walkable, mixed-use neighbourhoods and transit-oriented development, seeking to end suburban sprawl and promote community. Characteristics include narrow streets, wide sidewalks and higher densities, qualities which we can all find in the European cities. Green Urbanism Green Urbanism is a conceptual model for zero-emission and zero-waste urban design, which arose in the 1990s, promoting compact energy-efficient urban development, seeking to transform and re-engineer existing city districts and regenerate the post-industrial city centre. It promotes the development of socially and environmentally sustainable city districts. This paper will first look at the timeline of important publications that have been published on sustainable design and have emerged from different schools of thought, to exemplify how gradually the notion of Green Urbanism evolved. It then identifies the intertwined principles for achieving Green Urbanism.", "author" : [ { "dropping-particle" : "", "family" : "Lehmann", "given" : "Steffen", "non-dropping-particle" : "", "parse-names" : false, "suffix" : "" } ], "container-title" : "Survey And Perspectives Integrating Environment &amp; Society", "id" : "ITEM-1", "issue" : "October", "issued" : { "date-parts" : [ [ "2010" ] ] }, "page" : "Art. 6", "title" : "Green Urbanism: Formulating a Series of Holistic Principles.", "type" : "article-journal", "volume" : "3" }, "uris" : [ "http://www.mendeley.com/documents/?uuid=7b43f80a-d8ec-4748-a9dc-ee203f8b89d7" ] } ], "mendeley" : { "formattedCitation" : "(Lehmann, 2010)", "plainTextFormattedCitation" : "(Lehmann, 2010)", "previouslyFormattedCitation" : "(Lehmann, 2010)" }, "properties" : { "noteIndex" : 0 }, "schema" : "https://github.com/citation-style-language/schema/raw/master/csl-citation.json" }</w:instrText>
            </w:r>
            <w:r w:rsidRPr="000E0F90">
              <w:rPr>
                <w:rFonts w:ascii="Arial" w:hAnsi="Arial" w:cs="Arial"/>
                <w:color w:val="000000" w:themeColor="text1"/>
                <w:sz w:val="20"/>
              </w:rPr>
              <w:fldChar w:fldCharType="separate"/>
            </w:r>
            <w:r w:rsidRPr="000E0F90">
              <w:rPr>
                <w:rFonts w:ascii="Arial" w:hAnsi="Arial" w:cs="Arial"/>
                <w:noProof/>
                <w:color w:val="000000" w:themeColor="text1"/>
                <w:sz w:val="20"/>
              </w:rPr>
              <w:t>(Lehmann, 2010)</w:t>
            </w:r>
            <w:r w:rsidRPr="000E0F90">
              <w:rPr>
                <w:rFonts w:ascii="Arial" w:hAnsi="Arial" w:cs="Arial"/>
                <w:color w:val="000000" w:themeColor="text1"/>
                <w:sz w:val="20"/>
              </w:rPr>
              <w:fldChar w:fldCharType="end"/>
            </w:r>
            <w:r w:rsidRPr="000E0F90">
              <w:rPr>
                <w:rFonts w:ascii="Arial" w:hAnsi="Arial" w:cs="Arial"/>
                <w:color w:val="000000" w:themeColor="text1"/>
                <w:sz w:val="20"/>
              </w:rPr>
              <w:t xml:space="preserve"> Territorios productores de energía (Luederitz et al., 2013)</w:t>
            </w:r>
          </w:p>
        </w:tc>
      </w:tr>
      <w:tr w:rsidR="00EC548B" w:rsidRPr="000E0F90" w:rsidTr="002A21E4">
        <w:trPr>
          <w:trHeight w:val="540"/>
        </w:trPr>
        <w:tc>
          <w:tcPr>
            <w:tcW w:w="2835" w:type="dxa"/>
            <w:vMerge/>
            <w:tcBorders>
              <w:top w:val="nil"/>
              <w:bottom w:val="nil"/>
              <w:right w:val="nil"/>
            </w:tcBorders>
            <w:vAlign w:val="bottom"/>
          </w:tcPr>
          <w:p w:rsidR="00EC548B" w:rsidRPr="000E0F90" w:rsidRDefault="00EC548B" w:rsidP="00F47423">
            <w:pPr>
              <w:jc w:val="right"/>
              <w:rPr>
                <w:rFonts w:ascii="Arial" w:hAnsi="Arial" w:cs="Arial"/>
                <w:color w:val="000000" w:themeColor="text1"/>
                <w:sz w:val="20"/>
              </w:rPr>
            </w:pPr>
          </w:p>
        </w:tc>
        <w:tc>
          <w:tcPr>
            <w:tcW w:w="5920" w:type="dxa"/>
            <w:tcBorders>
              <w:top w:val="nil"/>
              <w:left w:val="nil"/>
              <w:bottom w:val="nil"/>
            </w:tcBorders>
          </w:tcPr>
          <w:p w:rsidR="00EC548B" w:rsidRPr="000E0F90" w:rsidRDefault="00EC548B" w:rsidP="00F10A5D">
            <w:pPr>
              <w:spacing w:after="0" w:line="240" w:lineRule="auto"/>
              <w:rPr>
                <w:rFonts w:ascii="Arial" w:hAnsi="Arial" w:cs="Arial"/>
                <w:color w:val="000000" w:themeColor="text1"/>
                <w:sz w:val="20"/>
              </w:rPr>
            </w:pPr>
            <w:r w:rsidRPr="000E0F90">
              <w:rPr>
                <w:rFonts w:ascii="Arial" w:hAnsi="Arial" w:cs="Arial"/>
                <w:color w:val="000000" w:themeColor="text1"/>
                <w:sz w:val="20"/>
              </w:rPr>
              <w:t xml:space="preserve">Reducir el uso neto de agua (sin afectar la disponibilidad de agua para las funciones ecosistémicas y necesidades humanas), reutilizar el agua (colección de aguas lluvias y reciclaje de agua), mejorar calidad de aguas (Gaudreau &amp; Gibson, 2010) </w:t>
            </w:r>
            <w:r w:rsidRPr="000E0F90">
              <w:rPr>
                <w:rFonts w:ascii="Arial" w:hAnsi="Arial" w:cs="Arial"/>
                <w:color w:val="000000" w:themeColor="text1"/>
                <w:sz w:val="20"/>
              </w:rPr>
              <w:fldChar w:fldCharType="begin" w:fldLock="1"/>
            </w:r>
            <w:r w:rsidRPr="000E0F90">
              <w:rPr>
                <w:rFonts w:ascii="Arial" w:hAnsi="Arial" w:cs="Arial"/>
                <w:color w:val="000000" w:themeColor="text1"/>
                <w:sz w:val="20"/>
              </w:rPr>
              <w:instrText>ADDIN CSL_CITATION { "citationItems" : [ { "id" : "ITEM-1", "itemData" : { "DOI" : "10.1016/j.landurbplan.2013.06.002", "ISBN" : "0169-2046", "ISSN" : "01692046", "abstract" : "The proportion of urban population is increasing globally. Climate change, biodiversity loss, and environmental pollution are leading to the urgent need to increase sustainable development of and through cities and their components. Encouraging and enabling sustainable lifestyles of urban inhabitants can be fostered by developing sustainable urban neighborhoods as the nuclei of cities. Numerous approaches exist that define principles for guiding sustainable development processes of urban neighborhoods. However, it remains unclear if these approaches really consider the core objectives that should be achieved and key actions that are involved to move toward sustainability. This study represents the first quantitative review that evaluates the principles for sustainable urban neighborhood development based on the available literature. We thus (i) identify promising approaches that present principles close to core criteria for sustainability and (ii) provide starting points for developing a more robust set of principles by bringing together the examined literature. Furthermore (iii), sustainability aspects that are insufficiently covered are highlighted. Based on the findings (iv) a road map is outlined to encourage further research on the elaboration of a sufficient set of principles for sustainable urban neighborhood development. \u00a9 2013 Elsevier B.V.", "author" : [ { "dropping-particle" : "", "family" : "Luederitz", "given" : "Christopher", "non-dropping-particle" : "", "parse-names" : false, "suffix" : "" }, { "dropping-particle" : "", "family" : "Lang", "given" : "Daniel J.", "non-dropping-particle" : "", "parse-names" : false, "suffix" : "" }, { "dropping-particle" : "", "family" : "Wehrden", "given" : "Henrik", "non-dropping-particle" : "Von", "parse-names" : false, "suffix" : "" } ], "container-title" : "Landscape and Urban Planning", "id" : "ITEM-1", "issued" : { "date-parts" : [ [ "2013" ] ] }, "page" : "40-52", "publisher" : "Elsevier B.V.", "title" : "A systematic review of guiding principles for sustainable urban neighborhood development", "type" : "article-journal", "volume" : "118" }, "uris" : [ "http://www.mendeley.com/documents/?uuid=6bcfcece-dda2-466f-b77d-29fdaec204ad" ] } ], "mendeley" : { "formattedCitation" : "(Luederitz et al., 2013)", "plainTextFormattedCitation" : "(Luederitz et al., 2013)", "previouslyFormattedCitation" : "(Luederitz et al., 2013)" }, "properties" : { "noteIndex" : 0 }, "schema" : "https://github.com/citation-style-language/schema/raw/master/csl-citation.json" }</w:instrText>
            </w:r>
            <w:r w:rsidRPr="000E0F90">
              <w:rPr>
                <w:rFonts w:ascii="Arial" w:hAnsi="Arial" w:cs="Arial"/>
                <w:color w:val="000000" w:themeColor="text1"/>
                <w:sz w:val="20"/>
              </w:rPr>
              <w:fldChar w:fldCharType="separate"/>
            </w:r>
            <w:r w:rsidRPr="000E0F90">
              <w:rPr>
                <w:rFonts w:ascii="Arial" w:hAnsi="Arial" w:cs="Arial"/>
                <w:noProof/>
                <w:color w:val="000000" w:themeColor="text1"/>
                <w:sz w:val="20"/>
              </w:rPr>
              <w:t>(Luederitz et al., 2013)</w:t>
            </w:r>
            <w:r w:rsidRPr="000E0F90">
              <w:rPr>
                <w:rFonts w:ascii="Arial" w:hAnsi="Arial" w:cs="Arial"/>
                <w:color w:val="000000" w:themeColor="text1"/>
                <w:sz w:val="20"/>
              </w:rPr>
              <w:fldChar w:fldCharType="end"/>
            </w:r>
          </w:p>
        </w:tc>
      </w:tr>
      <w:tr w:rsidR="00EC548B" w:rsidRPr="000E0F90" w:rsidTr="002A21E4">
        <w:trPr>
          <w:trHeight w:val="480"/>
        </w:trPr>
        <w:tc>
          <w:tcPr>
            <w:tcW w:w="2835" w:type="dxa"/>
            <w:vMerge/>
            <w:tcBorders>
              <w:top w:val="nil"/>
              <w:bottom w:val="nil"/>
              <w:right w:val="nil"/>
            </w:tcBorders>
          </w:tcPr>
          <w:p w:rsidR="00EC548B" w:rsidRPr="000E0F90" w:rsidRDefault="00EC548B" w:rsidP="00F47423">
            <w:pPr>
              <w:jc w:val="right"/>
              <w:rPr>
                <w:rFonts w:ascii="Arial" w:hAnsi="Arial" w:cs="Arial"/>
                <w:color w:val="000000" w:themeColor="text1"/>
                <w:sz w:val="20"/>
              </w:rPr>
            </w:pPr>
          </w:p>
        </w:tc>
        <w:tc>
          <w:tcPr>
            <w:tcW w:w="5920" w:type="dxa"/>
            <w:tcBorders>
              <w:top w:val="nil"/>
              <w:left w:val="nil"/>
              <w:bottom w:val="nil"/>
            </w:tcBorders>
            <w:vAlign w:val="bottom"/>
          </w:tcPr>
          <w:p w:rsidR="00EC548B" w:rsidRPr="000E0F90" w:rsidRDefault="00EC548B" w:rsidP="00F10A5D">
            <w:pPr>
              <w:spacing w:after="0" w:line="240" w:lineRule="auto"/>
              <w:rPr>
                <w:rFonts w:ascii="Arial" w:hAnsi="Arial" w:cs="Arial"/>
                <w:color w:val="000000" w:themeColor="text1"/>
                <w:sz w:val="20"/>
              </w:rPr>
            </w:pPr>
            <w:r w:rsidRPr="000E0F90">
              <w:rPr>
                <w:rFonts w:ascii="Arial" w:hAnsi="Arial" w:cs="Arial"/>
                <w:color w:val="000000" w:themeColor="text1"/>
                <w:sz w:val="20"/>
              </w:rPr>
              <w:t xml:space="preserve">Utilizar el agua en forma eficiente y reutilizarla, al igual que promover la conservación del recurso  en las operaciones mineras </w:t>
            </w:r>
            <w:r w:rsidRPr="000E0F90">
              <w:rPr>
                <w:rFonts w:ascii="Arial" w:hAnsi="Arial" w:cs="Arial"/>
                <w:color w:val="000000" w:themeColor="text1"/>
                <w:sz w:val="20"/>
              </w:rPr>
              <w:fldChar w:fldCharType="begin" w:fldLock="1"/>
            </w:r>
            <w:r w:rsidRPr="000E0F90">
              <w:rPr>
                <w:rFonts w:ascii="Arial" w:hAnsi="Arial" w:cs="Arial"/>
                <w:color w:val="000000" w:themeColor="text1"/>
                <w:sz w:val="20"/>
              </w:rPr>
              <w:instrText>ADDIN CSL_CITATION { "citationItems" : [ { "id" : "ITEM-1", "itemData" : { "DOI" : "10.1016/S0959-6526(03)00075-1", "ISBN" : "4414836891", "ISSN" : "09596526", "author" : [ { "dropping-particle" : "", "family" : "Azapagic", "given" : "Adisa", "non-dropping-particle" : "", "parse-names" : false, "suffix" : "" } ], "container-title" : "Journal of Cleaner Production", "id" : "ITEM-1", "issue" : "6", "issued" : { "date-parts" : [ [ "2004", "8" ] ] }, "page" : "639-662", "title" : "Developing a framework for sustainable development indicators for the mining and minerals industry", "type" : "article-journal", "volume" : "12" }, "uris" : [ "http://www.mendeley.com/documents/?uuid=a36976cf-2e0f-4c41-bd50-7ef9e97ed91f" ] } ], "mendeley" : { "formattedCitation" : "(Azapagic, 2004)", "plainTextFormattedCitation" : "(Azapagic, 2004)", "previouslyFormattedCitation" : "(Azapagic, 2004)" }, "properties" : { "noteIndex" : 0 }, "schema" : "https://github.com/citation-style-language/schema/raw/master/csl-citation.json" }</w:instrText>
            </w:r>
            <w:r w:rsidRPr="000E0F90">
              <w:rPr>
                <w:rFonts w:ascii="Arial" w:hAnsi="Arial" w:cs="Arial"/>
                <w:color w:val="000000" w:themeColor="text1"/>
                <w:sz w:val="20"/>
              </w:rPr>
              <w:fldChar w:fldCharType="separate"/>
            </w:r>
            <w:r w:rsidRPr="000E0F90">
              <w:rPr>
                <w:rFonts w:ascii="Arial" w:hAnsi="Arial" w:cs="Arial"/>
                <w:noProof/>
                <w:color w:val="000000" w:themeColor="text1"/>
                <w:sz w:val="20"/>
              </w:rPr>
              <w:t>(Azapagic, 2004)</w:t>
            </w:r>
            <w:r w:rsidRPr="000E0F90">
              <w:rPr>
                <w:rFonts w:ascii="Arial" w:hAnsi="Arial" w:cs="Arial"/>
                <w:color w:val="000000" w:themeColor="text1"/>
                <w:sz w:val="20"/>
              </w:rPr>
              <w:fldChar w:fldCharType="end"/>
            </w:r>
            <w:r w:rsidRPr="000E0F90">
              <w:rPr>
                <w:rFonts w:ascii="Arial" w:hAnsi="Arial" w:cs="Arial"/>
                <w:color w:val="000000" w:themeColor="text1"/>
                <w:sz w:val="20"/>
              </w:rPr>
              <w:t xml:space="preserve"> </w:t>
            </w:r>
            <w:r w:rsidRPr="000E0F90">
              <w:rPr>
                <w:rFonts w:ascii="Arial" w:hAnsi="Arial" w:cs="Arial"/>
                <w:color w:val="000000" w:themeColor="text1"/>
                <w:sz w:val="20"/>
              </w:rPr>
              <w:fldChar w:fldCharType="begin" w:fldLock="1"/>
            </w:r>
            <w:r w:rsidRPr="000E0F90">
              <w:rPr>
                <w:rFonts w:ascii="Arial" w:hAnsi="Arial" w:cs="Arial"/>
                <w:color w:val="000000" w:themeColor="text1"/>
                <w:sz w:val="20"/>
              </w:rPr>
              <w:instrText>ADDIN CSL_CITATION { "citationItems" : [ { "id" : "ITEM-1", "itemData" : { "DOI" : "10.1016/j.jclepro.2017.03.047", "ISBN" : "9789289347945", "ISSN" : "09596526", "abstract" : "The mining industry has a major impact on society - from an economic, environmental and social perspective and due to a vast number of criteria. Which criteria should be given priority depends on where the mining operations take place. This paper's focus on the Nordic mining industry is partly due to the positive economic trend that the industry is currently experiencing and partly because very little research has been conducted on how the European mining industry addresses sustainability. The purpose of this study is therefore to examine the Nordic mining industry's sustainability practices and to develop guidelines for such efforts. The research methods used in the study include a literature review, a content analysis of sustainability reports, a review of existing sustainability initiatives, guidelines and tools, a stakeholder survey and interviews with mining company officials. Based on the findings, sustainability criteria guidelines for the Nordic mining industry are suggested in the areas of corporate governance, fair operating practices, economic aspects, human rights, labour practices, society and the environment. The content of the guidelines is discussed in the light of the sustainability practices performed by the studied mining companies.", "author" : [ { "dropping-particle" : "", "family" : "Ran\u00e4ngen", "given" : "Helena", "non-dropping-particle" : "", "parse-names" : false, "suffix" : "" }, { "dropping-particle" : "", "family" : "Lindman", "given" : "\u00c5sa", "non-dropping-particle" : "", "parse-names" : false, "suffix" : "" } ], "container-title" : "Journal of Cleaner Production", "id" : "ITEM-1", "issued" : { "date-parts" : [ [ "2017" ] ] }, "page" : "43-52", "title" : "A path towards sustainability for the Nordic mining industry", "type" : "article-journal", "volume" : "151" }, "uris" : [ "http://www.mendeley.com/documents/?uuid=6c35c3e3-ee0c-4b28-8acc-e8d00b36d33a" ] } ], "mendeley" : { "formattedCitation" : "(Ran\u00e4ngen &amp; Lindman, 2017)", "plainTextFormattedCitation" : "(Ran\u00e4ngen &amp; Lindman, 2017)", "previouslyFormattedCitation" : "(Ran\u00e4ngen &amp; Lindman, 2017)" }, "properties" : { "noteIndex" : 0 }, "schema" : "https://github.com/citation-style-language/schema/raw/master/csl-citation.json" }</w:instrText>
            </w:r>
            <w:r w:rsidRPr="000E0F90">
              <w:rPr>
                <w:rFonts w:ascii="Arial" w:hAnsi="Arial" w:cs="Arial"/>
                <w:color w:val="000000" w:themeColor="text1"/>
                <w:sz w:val="20"/>
              </w:rPr>
              <w:fldChar w:fldCharType="separate"/>
            </w:r>
            <w:r w:rsidRPr="000E0F90">
              <w:rPr>
                <w:rFonts w:ascii="Arial" w:hAnsi="Arial" w:cs="Arial"/>
                <w:noProof/>
                <w:color w:val="000000" w:themeColor="text1"/>
                <w:sz w:val="20"/>
              </w:rPr>
              <w:t>(Ranängen &amp; Lindman, 2017)</w:t>
            </w:r>
            <w:r w:rsidRPr="000E0F90">
              <w:rPr>
                <w:rFonts w:ascii="Arial" w:hAnsi="Arial" w:cs="Arial"/>
                <w:color w:val="000000" w:themeColor="text1"/>
                <w:sz w:val="20"/>
              </w:rPr>
              <w:fldChar w:fldCharType="end"/>
            </w:r>
            <w:r w:rsidRPr="000E0F90">
              <w:rPr>
                <w:rFonts w:ascii="Arial" w:hAnsi="Arial" w:cs="Arial"/>
                <w:color w:val="000000" w:themeColor="text1"/>
                <w:sz w:val="20"/>
              </w:rPr>
              <w:t>.</w:t>
            </w:r>
          </w:p>
        </w:tc>
      </w:tr>
      <w:tr w:rsidR="00EC548B" w:rsidRPr="000E0F90" w:rsidTr="002A21E4">
        <w:trPr>
          <w:trHeight w:val="70"/>
        </w:trPr>
        <w:tc>
          <w:tcPr>
            <w:tcW w:w="2835" w:type="dxa"/>
            <w:vMerge/>
            <w:tcBorders>
              <w:top w:val="nil"/>
              <w:bottom w:val="nil"/>
              <w:right w:val="nil"/>
            </w:tcBorders>
          </w:tcPr>
          <w:p w:rsidR="00EC548B" w:rsidRPr="000E0F90" w:rsidRDefault="00EC548B" w:rsidP="00F47423">
            <w:pPr>
              <w:jc w:val="right"/>
              <w:rPr>
                <w:rFonts w:ascii="Arial" w:hAnsi="Arial" w:cs="Arial"/>
                <w:b/>
                <w:color w:val="000000" w:themeColor="text1"/>
                <w:sz w:val="20"/>
              </w:rPr>
            </w:pPr>
          </w:p>
        </w:tc>
        <w:tc>
          <w:tcPr>
            <w:tcW w:w="5920" w:type="dxa"/>
            <w:tcBorders>
              <w:top w:val="nil"/>
              <w:left w:val="nil"/>
              <w:bottom w:val="nil"/>
            </w:tcBorders>
          </w:tcPr>
          <w:p w:rsidR="00EC548B" w:rsidRPr="000E0F90" w:rsidRDefault="00EC548B" w:rsidP="00F10A5D">
            <w:pPr>
              <w:spacing w:after="0" w:line="240" w:lineRule="auto"/>
              <w:rPr>
                <w:rFonts w:ascii="Arial" w:hAnsi="Arial" w:cs="Arial"/>
                <w:color w:val="000000" w:themeColor="text1"/>
                <w:sz w:val="20"/>
              </w:rPr>
            </w:pPr>
            <w:r w:rsidRPr="000E0F90">
              <w:rPr>
                <w:rFonts w:ascii="Arial" w:hAnsi="Arial" w:cs="Arial"/>
                <w:color w:val="000000" w:themeColor="text1"/>
                <w:sz w:val="20"/>
              </w:rPr>
              <w:t>Emplear el mejor diseño para reducir las demandas de energía, agua  (reducir el uso de recursos por unidad de beneficio) (Luederitz et al., 2013)</w:t>
            </w:r>
          </w:p>
        </w:tc>
      </w:tr>
      <w:tr w:rsidR="00EC548B" w:rsidRPr="000E0F90" w:rsidTr="002A21E4">
        <w:trPr>
          <w:trHeight w:val="70"/>
        </w:trPr>
        <w:tc>
          <w:tcPr>
            <w:tcW w:w="2835" w:type="dxa"/>
            <w:vMerge/>
            <w:tcBorders>
              <w:top w:val="nil"/>
              <w:bottom w:val="nil"/>
              <w:right w:val="nil"/>
            </w:tcBorders>
          </w:tcPr>
          <w:p w:rsidR="00EC548B" w:rsidRPr="000E0F90" w:rsidRDefault="00EC548B" w:rsidP="00F47423">
            <w:pPr>
              <w:jc w:val="right"/>
              <w:rPr>
                <w:rFonts w:ascii="Arial" w:hAnsi="Arial" w:cs="Arial"/>
                <w:b/>
                <w:color w:val="000000" w:themeColor="text1"/>
                <w:sz w:val="20"/>
              </w:rPr>
            </w:pPr>
          </w:p>
        </w:tc>
        <w:tc>
          <w:tcPr>
            <w:tcW w:w="5920" w:type="dxa"/>
            <w:tcBorders>
              <w:top w:val="nil"/>
              <w:left w:val="nil"/>
              <w:bottom w:val="nil"/>
            </w:tcBorders>
            <w:vAlign w:val="bottom"/>
          </w:tcPr>
          <w:p w:rsidR="00EC548B" w:rsidRPr="000E0F90" w:rsidRDefault="00EC548B" w:rsidP="00F10A5D">
            <w:pPr>
              <w:spacing w:after="0" w:line="240" w:lineRule="auto"/>
              <w:rPr>
                <w:rFonts w:ascii="Arial" w:hAnsi="Arial" w:cs="Arial"/>
                <w:color w:val="000000" w:themeColor="text1"/>
                <w:sz w:val="20"/>
              </w:rPr>
            </w:pPr>
            <w:r w:rsidRPr="000E0F90">
              <w:rPr>
                <w:rFonts w:ascii="Arial" w:hAnsi="Arial" w:cs="Arial"/>
                <w:color w:val="000000" w:themeColor="text1"/>
                <w:sz w:val="20"/>
              </w:rPr>
              <w:t xml:space="preserve">Crear diversas alternativas de vivienda e infraestructura, que fomenten la habitabilidad de la comunidad y la eficiencia de las actividades económicas locales  </w:t>
            </w:r>
            <w:r w:rsidRPr="000E0F90">
              <w:rPr>
                <w:rFonts w:ascii="Arial" w:hAnsi="Arial" w:cs="Arial"/>
                <w:color w:val="000000" w:themeColor="text1"/>
                <w:sz w:val="20"/>
              </w:rPr>
              <w:fldChar w:fldCharType="begin" w:fldLock="1"/>
            </w:r>
            <w:r w:rsidRPr="000E0F90">
              <w:rPr>
                <w:rFonts w:ascii="Arial" w:hAnsi="Arial" w:cs="Arial"/>
                <w:color w:val="000000" w:themeColor="text1"/>
                <w:sz w:val="20"/>
              </w:rPr>
              <w:instrText>ADDIN CSL_CITATION { "citationItems" : [ { "id" : "ITEM-1", "itemData" : { "DOI" : "10.1080/01944360008976081", "ISBN" : "0194-4363", "ISSN" : "01944363", "PMID" : "2989497", "abstract" : "A set of six principles are set forth that define and operationalize the concept of sustainable development. Using these six principles, a sample of 30 comprehensive plans was evaluated to determine how well their policies support sustainable development. Findings indicate no significant differences in how extensively sustainability principles are supported between the plans that state an intention to integrate sustainable development and those that do not. In addition, these plans do not provide balanced support of all six sustainability principles, as they support some principles significantly more than others.", "author" : [ { "dropping-particle" : "", "family" : "Berke", "given" : "Philip R", "non-dropping-particle" : "", "parse-names" : false, "suffix" : "" }, { "dropping-particle" : "", "family" : "Conroy", "given" : "Maria Manta", "non-dropping-particle" : "", "parse-names" : false, "suffix" : "" } ], "container-title" : "American Planning Association.Journal of the American Planning Association", "id" : "ITEM-1", "issue" : "September", "issued" : { "date-parts" : [ [ "2000" ] ] }, "page" : "21", "title" : "Are we planning for sustainable development?", "type" : "article-journal", "volume" : "66" }, "uris" : [ "http://www.mendeley.com/documents/?uuid=9c8f081f-71c5-4194-83b6-25e26c52bc06" ] } ], "mendeley" : { "formattedCitation" : "(Berke &amp; Conroy, 2000)", "plainTextFormattedCitation" : "(Berke &amp; Conroy, 2000)", "previouslyFormattedCitation" : "(Berke &amp; Conroy, 2000)" }, "properties" : { "noteIndex" : 0 }, "schema" : "https://github.com/citation-style-language/schema/raw/master/csl-citation.json" }</w:instrText>
            </w:r>
            <w:r w:rsidRPr="000E0F90">
              <w:rPr>
                <w:rFonts w:ascii="Arial" w:hAnsi="Arial" w:cs="Arial"/>
                <w:color w:val="000000" w:themeColor="text1"/>
                <w:sz w:val="20"/>
              </w:rPr>
              <w:fldChar w:fldCharType="separate"/>
            </w:r>
            <w:r w:rsidRPr="000E0F90">
              <w:rPr>
                <w:rFonts w:ascii="Arial" w:hAnsi="Arial" w:cs="Arial"/>
                <w:noProof/>
                <w:color w:val="000000" w:themeColor="text1"/>
                <w:sz w:val="20"/>
              </w:rPr>
              <w:t>(Berke &amp; Conroy, 2000)</w:t>
            </w:r>
            <w:r w:rsidRPr="000E0F90">
              <w:rPr>
                <w:rFonts w:ascii="Arial" w:hAnsi="Arial" w:cs="Arial"/>
                <w:color w:val="000000" w:themeColor="text1"/>
                <w:sz w:val="20"/>
              </w:rPr>
              <w:fldChar w:fldCharType="end"/>
            </w:r>
          </w:p>
        </w:tc>
      </w:tr>
      <w:tr w:rsidR="00EC548B" w:rsidRPr="000E0F90" w:rsidTr="002A21E4">
        <w:trPr>
          <w:trHeight w:val="70"/>
        </w:trPr>
        <w:tc>
          <w:tcPr>
            <w:tcW w:w="2835" w:type="dxa"/>
            <w:vMerge/>
            <w:tcBorders>
              <w:top w:val="nil"/>
              <w:bottom w:val="nil"/>
              <w:right w:val="nil"/>
            </w:tcBorders>
          </w:tcPr>
          <w:p w:rsidR="00EC548B" w:rsidRPr="000E0F90" w:rsidRDefault="00EC548B" w:rsidP="00F47423">
            <w:pPr>
              <w:jc w:val="right"/>
              <w:rPr>
                <w:rFonts w:ascii="Arial" w:hAnsi="Arial" w:cs="Arial"/>
                <w:b/>
                <w:color w:val="000000" w:themeColor="text1"/>
                <w:sz w:val="20"/>
              </w:rPr>
            </w:pPr>
          </w:p>
        </w:tc>
        <w:tc>
          <w:tcPr>
            <w:tcW w:w="5920" w:type="dxa"/>
            <w:tcBorders>
              <w:top w:val="nil"/>
              <w:left w:val="nil"/>
              <w:bottom w:val="nil"/>
            </w:tcBorders>
          </w:tcPr>
          <w:p w:rsidR="00EC548B" w:rsidRPr="000E0F90" w:rsidRDefault="00EC548B" w:rsidP="00F10A5D">
            <w:pPr>
              <w:spacing w:after="0" w:line="240" w:lineRule="auto"/>
              <w:rPr>
                <w:rFonts w:ascii="Arial" w:hAnsi="Arial" w:cs="Arial"/>
                <w:color w:val="000000" w:themeColor="text1"/>
                <w:sz w:val="20"/>
              </w:rPr>
            </w:pPr>
            <w:r w:rsidRPr="000E0F90">
              <w:rPr>
                <w:rFonts w:ascii="Arial" w:hAnsi="Arial" w:cs="Arial"/>
                <w:color w:val="000000" w:themeColor="text1"/>
                <w:sz w:val="20"/>
              </w:rPr>
              <w:t xml:space="preserve">Utilizar materiales con baja carga energética (Luederitz et al., 2013) Materiales locales y sostenibles con menos energía incorporada </w:t>
            </w:r>
            <w:r w:rsidRPr="000E0F90">
              <w:rPr>
                <w:rFonts w:ascii="Arial" w:hAnsi="Arial" w:cs="Arial"/>
                <w:color w:val="000000" w:themeColor="text1"/>
                <w:sz w:val="20"/>
              </w:rPr>
              <w:fldChar w:fldCharType="begin" w:fldLock="1"/>
            </w:r>
            <w:r w:rsidRPr="000E0F90">
              <w:rPr>
                <w:rFonts w:ascii="Arial" w:hAnsi="Arial" w:cs="Arial"/>
                <w:color w:val="000000" w:themeColor="text1"/>
                <w:sz w:val="20"/>
              </w:rPr>
              <w:instrText>ADDIN CSL_CITATION { "citationItems" : [ { "id" : "ITEM-1", "itemData" : { "ISSN" : "1993-3800", "abstract" : "New Urbanism New Urbanism is an urban design movement, which arose in the USA in the early 1980s, promoting walkable, mixed-use neighbourhoods and transit-oriented development, seeking to end suburban sprawl and promote community. Characteristics include narrow streets, wide sidewalks and higher densities, qualities which we can all find in the European cities. Green Urbanism Green Urbanism is a conceptual model for zero-emission and zero-waste urban design, which arose in the 1990s, promoting compact energy-efficient urban development, seeking to transform and re-engineer existing city districts and regenerate the post-industrial city centre. It promotes the development of socially and environmentally sustainable city districts. This paper will first look at the timeline of important publications that have been published on sustainable design and have emerged from different schools of thought, to exemplify how gradually the notion of Green Urbanism evolved. It then identifies the intertwined principles for achieving Green Urbanism.", "author" : [ { "dropping-particle" : "", "family" : "Lehmann", "given" : "Steffen", "non-dropping-particle" : "", "parse-names" : false, "suffix" : "" } ], "container-title" : "Survey And Perspectives Integrating Environment &amp; Society", "id" : "ITEM-1", "issue" : "October", "issued" : { "date-parts" : [ [ "2010" ] ] }, "page" : "Art. 6", "title" : "Green Urbanism: Formulating a Series of Holistic Principles.", "type" : "article-journal", "volume" : "3" }, "uris" : [ "http://www.mendeley.com/documents/?uuid=7b43f80a-d8ec-4748-a9dc-ee203f8b89d7" ] } ], "mendeley" : { "formattedCitation" : "(Lehmann, 2010)", "plainTextFormattedCitation" : "(Lehmann, 2010)", "previouslyFormattedCitation" : "(Lehmann, 2010)" }, "properties" : { "noteIndex" : 0 }, "schema" : "https://github.com/citation-style-language/schema/raw/master/csl-citation.json" }</w:instrText>
            </w:r>
            <w:r w:rsidRPr="000E0F90">
              <w:rPr>
                <w:rFonts w:ascii="Arial" w:hAnsi="Arial" w:cs="Arial"/>
                <w:color w:val="000000" w:themeColor="text1"/>
                <w:sz w:val="20"/>
              </w:rPr>
              <w:fldChar w:fldCharType="separate"/>
            </w:r>
            <w:r w:rsidRPr="000E0F90">
              <w:rPr>
                <w:rFonts w:ascii="Arial" w:hAnsi="Arial" w:cs="Arial"/>
                <w:noProof/>
                <w:color w:val="000000" w:themeColor="text1"/>
                <w:sz w:val="20"/>
              </w:rPr>
              <w:t>(Lehmann, 2010)</w:t>
            </w:r>
            <w:r w:rsidRPr="000E0F90">
              <w:rPr>
                <w:rFonts w:ascii="Arial" w:hAnsi="Arial" w:cs="Arial"/>
                <w:color w:val="000000" w:themeColor="text1"/>
                <w:sz w:val="20"/>
              </w:rPr>
              <w:fldChar w:fldCharType="end"/>
            </w:r>
          </w:p>
        </w:tc>
      </w:tr>
      <w:tr w:rsidR="00EC548B" w:rsidRPr="000E0F90" w:rsidTr="002A21E4">
        <w:trPr>
          <w:trHeight w:val="70"/>
        </w:trPr>
        <w:tc>
          <w:tcPr>
            <w:tcW w:w="2835" w:type="dxa"/>
            <w:vMerge/>
            <w:tcBorders>
              <w:top w:val="nil"/>
              <w:bottom w:val="nil"/>
              <w:right w:val="nil"/>
            </w:tcBorders>
          </w:tcPr>
          <w:p w:rsidR="00EC548B" w:rsidRPr="000E0F90" w:rsidRDefault="00EC548B" w:rsidP="00F47423">
            <w:pPr>
              <w:jc w:val="right"/>
              <w:rPr>
                <w:rFonts w:ascii="Arial" w:hAnsi="Arial" w:cs="Arial"/>
                <w:color w:val="000000" w:themeColor="text1"/>
                <w:sz w:val="20"/>
              </w:rPr>
            </w:pPr>
          </w:p>
        </w:tc>
        <w:tc>
          <w:tcPr>
            <w:tcW w:w="5920" w:type="dxa"/>
            <w:tcBorders>
              <w:top w:val="nil"/>
              <w:left w:val="nil"/>
              <w:bottom w:val="nil"/>
            </w:tcBorders>
            <w:vAlign w:val="bottom"/>
          </w:tcPr>
          <w:p w:rsidR="00EC548B" w:rsidRPr="000E0F90" w:rsidRDefault="00EC548B" w:rsidP="00F10A5D">
            <w:pPr>
              <w:spacing w:after="0" w:line="240" w:lineRule="auto"/>
              <w:rPr>
                <w:rFonts w:ascii="Arial" w:hAnsi="Arial" w:cs="Arial"/>
                <w:color w:val="000000" w:themeColor="text1"/>
                <w:sz w:val="20"/>
              </w:rPr>
            </w:pPr>
            <w:r w:rsidRPr="000E0F90">
              <w:rPr>
                <w:rFonts w:ascii="Arial" w:hAnsi="Arial" w:cs="Arial"/>
                <w:color w:val="000000" w:themeColor="text1"/>
                <w:sz w:val="20"/>
              </w:rPr>
              <w:t xml:space="preserve">Reusar, renovar o reciclar estructuras existentes y materiales desechados (Luederitz et al., 2013) </w:t>
            </w:r>
            <w:r w:rsidRPr="000E0F90">
              <w:rPr>
                <w:rFonts w:ascii="Arial" w:hAnsi="Arial" w:cs="Arial"/>
                <w:color w:val="000000" w:themeColor="text1"/>
                <w:sz w:val="20"/>
              </w:rPr>
              <w:fldChar w:fldCharType="begin" w:fldLock="1"/>
            </w:r>
            <w:r w:rsidRPr="000E0F90">
              <w:rPr>
                <w:rFonts w:ascii="Arial" w:hAnsi="Arial" w:cs="Arial"/>
                <w:color w:val="000000" w:themeColor="text1"/>
                <w:sz w:val="20"/>
              </w:rPr>
              <w:instrText>ADDIN CSL_CITATION { "citationItems" : [ { "id" : "ITEM-1", "itemData" : { "ISBN" : "8483201437", "author" : [ { "dropping-particle" : "", "family" : "Cemat", "given" : "Conferencia Europea de Ministros responsables de ordenaci\u00f3n del Territorio", "non-dropping-particle" : "", "parse-names" : false, "suffix" : "" } ], "container-title" : "Conferencia Europea de Ministros responsables de ordenaci\u00f3n del territorio", "id" : "ITEM-1", "issued" : { "date-parts" : [ [ "2000" ] ] }, "title" : "Principios Directores para el Desarrollo Territorial Sostenible del Continente Europeo", "type" : "book" }, "uris" : [ "http://www.mendeley.com/documents/?uuid=01924405-bee1-4e7a-a357-b7f836b2e137" ] } ], "mendeley" : { "formattedCitation" : "(Cemat, 2000)", "plainTextFormattedCitation" : "(Cemat, 2000)", "previouslyFormattedCitation" : "(Cemat, 2000)" }, "properties" : { "noteIndex" : 0 }, "schema" : "https://github.com/citation-style-language/schema/raw/master/csl-citation.json" }</w:instrText>
            </w:r>
            <w:r w:rsidRPr="000E0F90">
              <w:rPr>
                <w:rFonts w:ascii="Arial" w:hAnsi="Arial" w:cs="Arial"/>
                <w:color w:val="000000" w:themeColor="text1"/>
                <w:sz w:val="20"/>
              </w:rPr>
              <w:fldChar w:fldCharType="separate"/>
            </w:r>
            <w:r w:rsidRPr="000E0F90">
              <w:rPr>
                <w:rFonts w:ascii="Arial" w:hAnsi="Arial" w:cs="Arial"/>
                <w:noProof/>
                <w:color w:val="000000" w:themeColor="text1"/>
                <w:sz w:val="20"/>
              </w:rPr>
              <w:t>(Cemat, 2000)</w:t>
            </w:r>
            <w:r w:rsidRPr="000E0F90">
              <w:rPr>
                <w:rFonts w:ascii="Arial" w:hAnsi="Arial" w:cs="Arial"/>
                <w:color w:val="000000" w:themeColor="text1"/>
                <w:sz w:val="20"/>
              </w:rPr>
              <w:fldChar w:fldCharType="end"/>
            </w:r>
          </w:p>
        </w:tc>
      </w:tr>
      <w:tr w:rsidR="00EC548B" w:rsidRPr="000E0F90" w:rsidTr="002A21E4">
        <w:trPr>
          <w:trHeight w:val="70"/>
        </w:trPr>
        <w:tc>
          <w:tcPr>
            <w:tcW w:w="2835" w:type="dxa"/>
            <w:vMerge/>
            <w:tcBorders>
              <w:top w:val="nil"/>
              <w:bottom w:val="nil"/>
              <w:right w:val="nil"/>
            </w:tcBorders>
          </w:tcPr>
          <w:p w:rsidR="00EC548B" w:rsidRPr="000E0F90" w:rsidRDefault="00EC548B" w:rsidP="00604276">
            <w:pPr>
              <w:spacing w:after="0" w:line="240" w:lineRule="auto"/>
              <w:rPr>
                <w:rFonts w:ascii="Arial" w:hAnsi="Arial" w:cs="Arial"/>
                <w:b/>
                <w:color w:val="000000" w:themeColor="text1"/>
                <w:sz w:val="20"/>
              </w:rPr>
            </w:pPr>
          </w:p>
        </w:tc>
        <w:tc>
          <w:tcPr>
            <w:tcW w:w="5920" w:type="dxa"/>
            <w:tcBorders>
              <w:top w:val="nil"/>
              <w:left w:val="nil"/>
              <w:bottom w:val="nil"/>
            </w:tcBorders>
            <w:vAlign w:val="bottom"/>
          </w:tcPr>
          <w:p w:rsidR="00EC548B" w:rsidRPr="000E0F90" w:rsidRDefault="00EC548B" w:rsidP="00F10A5D">
            <w:pPr>
              <w:spacing w:after="0" w:line="240" w:lineRule="auto"/>
              <w:rPr>
                <w:rFonts w:ascii="Arial" w:hAnsi="Arial" w:cs="Arial"/>
                <w:color w:val="000000" w:themeColor="text1"/>
                <w:sz w:val="20"/>
              </w:rPr>
            </w:pPr>
            <w:r w:rsidRPr="000E0F90">
              <w:rPr>
                <w:rFonts w:ascii="Arial" w:hAnsi="Arial" w:cs="Arial"/>
                <w:color w:val="000000" w:themeColor="text1"/>
                <w:sz w:val="20"/>
              </w:rPr>
              <w:t xml:space="preserve">Reutilizar y realizar un uso eficiente de los recursos minerales extraídos, como medida de mantener el stock disponible en el tiempo </w:t>
            </w:r>
            <w:r w:rsidRPr="000E0F90">
              <w:rPr>
                <w:rFonts w:ascii="Arial" w:hAnsi="Arial" w:cs="Arial"/>
                <w:color w:val="000000" w:themeColor="text1"/>
                <w:sz w:val="20"/>
              </w:rPr>
              <w:fldChar w:fldCharType="begin" w:fldLock="1"/>
            </w:r>
            <w:r w:rsidRPr="000E0F90">
              <w:rPr>
                <w:rFonts w:ascii="Arial" w:hAnsi="Arial" w:cs="Arial"/>
                <w:color w:val="000000" w:themeColor="text1"/>
                <w:sz w:val="20"/>
              </w:rPr>
              <w:instrText>ADDIN CSL_CITATION { "citationItems" : [ { "id" : "ITEM-1", "itemData" : { "DOI" : "10.1016/S0959-6526(03)00075-1", "ISBN" : "4414836891", "ISSN" : "09596526", "author" : [ { "dropping-particle" : "", "family" : "Azapagic", "given" : "Adisa", "non-dropping-particle" : "", "parse-names" : false, "suffix" : "" } ], "container-title" : "Journal of Cleaner Production", "id" : "ITEM-1", "issue" : "6", "issued" : { "date-parts" : [ [ "2004", "8" ] ] }, "page" : "639-662", "title" : "Developing a framework for sustainable development indicators for the mining and minerals industry", "type" : "article-journal", "volume" : "12" }, "uris" : [ "http://www.mendeley.com/documents/?uuid=a36976cf-2e0f-4c41-bd50-7ef9e97ed91f" ] } ], "mendeley" : { "formattedCitation" : "(Azapagic, 2004)", "plainTextFormattedCitation" : "(Azapagic, 2004)", "previouslyFormattedCitation" : "(Azapagic, 2004)" }, "properties" : { "noteIndex" : 0 }, "schema" : "https://github.com/citation-style-language/schema/raw/master/csl-citation.json" }</w:instrText>
            </w:r>
            <w:r w:rsidRPr="000E0F90">
              <w:rPr>
                <w:rFonts w:ascii="Arial" w:hAnsi="Arial" w:cs="Arial"/>
                <w:color w:val="000000" w:themeColor="text1"/>
                <w:sz w:val="20"/>
              </w:rPr>
              <w:fldChar w:fldCharType="separate"/>
            </w:r>
            <w:r w:rsidRPr="000E0F90">
              <w:rPr>
                <w:rFonts w:ascii="Arial" w:hAnsi="Arial" w:cs="Arial"/>
                <w:noProof/>
                <w:color w:val="000000" w:themeColor="text1"/>
                <w:sz w:val="20"/>
              </w:rPr>
              <w:t>(Azapagic, 2004)</w:t>
            </w:r>
            <w:r w:rsidRPr="000E0F90">
              <w:rPr>
                <w:rFonts w:ascii="Arial" w:hAnsi="Arial" w:cs="Arial"/>
                <w:color w:val="000000" w:themeColor="text1"/>
                <w:sz w:val="20"/>
              </w:rPr>
              <w:fldChar w:fldCharType="end"/>
            </w:r>
          </w:p>
        </w:tc>
      </w:tr>
      <w:tr w:rsidR="00EC548B" w:rsidRPr="000E0F90" w:rsidTr="002A21E4">
        <w:trPr>
          <w:trHeight w:val="337"/>
        </w:trPr>
        <w:tc>
          <w:tcPr>
            <w:tcW w:w="2835" w:type="dxa"/>
            <w:vMerge/>
            <w:tcBorders>
              <w:top w:val="nil"/>
              <w:bottom w:val="nil"/>
              <w:right w:val="nil"/>
            </w:tcBorders>
          </w:tcPr>
          <w:p w:rsidR="00EC548B" w:rsidRPr="000E0F90" w:rsidRDefault="00EC548B" w:rsidP="00A830A6">
            <w:pPr>
              <w:spacing w:after="0" w:line="240" w:lineRule="auto"/>
              <w:rPr>
                <w:rFonts w:ascii="Arial" w:hAnsi="Arial" w:cs="Arial"/>
                <w:b/>
                <w:color w:val="000000" w:themeColor="text1"/>
                <w:sz w:val="20"/>
              </w:rPr>
            </w:pPr>
          </w:p>
        </w:tc>
        <w:tc>
          <w:tcPr>
            <w:tcW w:w="5920" w:type="dxa"/>
            <w:tcBorders>
              <w:top w:val="nil"/>
              <w:left w:val="nil"/>
              <w:bottom w:val="nil"/>
            </w:tcBorders>
            <w:vAlign w:val="bottom"/>
          </w:tcPr>
          <w:p w:rsidR="00EC548B" w:rsidRPr="000E0F90" w:rsidRDefault="00EC548B" w:rsidP="00F10A5D">
            <w:pPr>
              <w:spacing w:after="0" w:line="240" w:lineRule="auto"/>
              <w:rPr>
                <w:rFonts w:ascii="Arial" w:hAnsi="Arial" w:cs="Arial"/>
                <w:color w:val="000000" w:themeColor="text1"/>
                <w:sz w:val="20"/>
                <w:szCs w:val="20"/>
              </w:rPr>
            </w:pPr>
            <w:r w:rsidRPr="000E0F90">
              <w:rPr>
                <w:rFonts w:ascii="Arial" w:hAnsi="Arial" w:cs="Arial"/>
                <w:color w:val="000000" w:themeColor="text1"/>
                <w:sz w:val="20"/>
                <w:szCs w:val="20"/>
              </w:rPr>
              <w:t xml:space="preserve">Hacer uso de características regionales, reducir cadenas de alimentación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"DOI" : "10.1016/j.landurbplan.2013.06.002", "ISBN" : "0169-2046", "ISSN" : "01692046", "abstract" : "The proportion of urban population is increasing globally. Climate change, biodiversity loss, and environmental pollution are leading to the urgent need to increase sustainable development of and through cities and their components. Encouraging and enabling sustainable lifestyles of urban inhabitants can be fostered by developing sustainable urban neighborhoods as the nuclei of cities. Numerous approaches exist that define principles for guiding sustainable development processes of urban neighborhoods. However, it remains unclear if these approaches really consider the core objectives that should be achieved and key actions that are involved to move toward sustainability. This study represents the first quantitative review that evaluates the principles for sustainable urban neighborhood development based on the available literature. We thus (i) identify promising approaches that present principles close to core criteria for sustainability and (ii) provide starting points for developing a more robust set of principles by bringing together the examined literature. Furthermore (iii), sustainability aspects that are insufficiently covered are highlighted. Based on the findings (iv) a road map is outlined to encourage further research on the elaboration of a sufficient set of principles for sustainable urban neighborhood development. \u00a9 2013 Elsevier B.V.", "author" : [ { "dropping-particle" : "", "family" : "Luederitz", "given" : "Christopher", "non-dropping-particle" : "", "parse-names" : false, "suffix" : "" }, { "dropping-particle" : "", "family" : "Lang", "given" : "Daniel J.", "non-dropping-particle" : "", "parse-names" : false, "suffix" : "" }, { "dropping-particle" : "", "family" : "Wehrden", "given" : "Henrik", "non-dropping-particle" : "Von", "parse-names" : false, "suffix" : "" } ], "container-title" : "Landscape and Urban Planning", "id" : "ITEM-1", "issued" : { "date-parts" : [ [ "2013" ] ] }, "page" : "40-52", "publisher" : "Elsevier B.V.", "title" : "A systematic review of guiding principles for sustainable urban neighborhood development", "type" : "article-journal", "volume" : "118" }, "uris" : [ "http://www.mendeley.com/documents/?uuid=6bcfcece-dda2-466f-b77d-29fdaec204ad" ] } ], "mendeley" : { "formattedCitation" : "(Luederitz et al., 2013)", "plainTextFormattedCitation" : "(Luederitz et al., 2013)", "previouslyFormattedCitation" : "(Luederitz et al., 2013)"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(Luederitz et al., 2013)</w:t>
            </w:r>
            <w:r w:rsidRPr="000E0F90">
              <w:rPr>
                <w:rFonts w:ascii="Arial" w:hAnsi="Arial" w:cs="Arial"/>
                <w:color w:val="000000" w:themeColor="text1"/>
                <w:sz w:val="20"/>
                <w:szCs w:val="20"/>
              </w:rPr>
              <w:fldChar w:fldCharType="end"/>
            </w:r>
            <w:r w:rsidRPr="000E0F90">
              <w:rPr>
                <w:rFonts w:ascii="Arial" w:hAnsi="Arial" w:cs="Arial"/>
                <w:color w:val="000000" w:themeColor="text1"/>
                <w:sz w:val="20"/>
              </w:rPr>
              <w:t xml:space="preserve"> Fomentar la alimentación local y cadenas de suministro cortas </w:t>
            </w:r>
            <w:r w:rsidRPr="000E0F90">
              <w:rPr>
                <w:rFonts w:ascii="Arial" w:hAnsi="Arial" w:cs="Arial"/>
                <w:color w:val="000000" w:themeColor="text1"/>
                <w:sz w:val="20"/>
              </w:rPr>
              <w:fldChar w:fldCharType="begin" w:fldLock="1"/>
            </w:r>
            <w:r w:rsidRPr="000E0F90">
              <w:rPr>
                <w:rFonts w:ascii="Arial" w:hAnsi="Arial" w:cs="Arial"/>
                <w:color w:val="000000" w:themeColor="text1"/>
                <w:sz w:val="20"/>
              </w:rPr>
              <w:instrText>ADDIN CSL_CITATION { "citationItems" : [ { "id" : "ITEM-1", "itemData" : { "ISSN" : "1993-3800", "abstract" : "New Urbanism New Urbanism is an urban design movement, which arose in the USA in the early 1980s, promoting walkable, mixed-use neighbourhoods and transit-oriented development, seeking to end suburban sprawl and promote community. Characteristics include narrow streets, wide sidewalks and higher densities, qualities which we can all find in the European cities. Green Urbanism Green Urbanism is a conceptual model for zero-emission and zero-waste urban design, which arose in the 1990s, promoting compact energy-efficient urban development, seeking to transform and re-engineer existing city districts and regenerate the post-industrial city centre. It promotes the development of socially and environmentally sustainable city districts. This paper will first look at the timeline of important publications that have been published on sustainable design and have emerged from different schools of thought, to exemplify how gradually the notion of Green Urbanism evolved. It then identifies the intertwined principles for achieving Green Urbanism.", "author" : [ { "dropping-particle" : "", "family" : "Lehmann", "given" : "Steffen", "non-dropping-particle" : "", "parse-names" : false, "suffix" : "" } ], "container-title" : "Survey And Perspectives Integrating Environment &amp; Society", "id" : "ITEM-1", "issue" : "October", "issued" : { "date-parts" : [ [ "2010" ] ] }, "page" : "Art. 6", "title" : "Green Urbanism: Formulating a Series of Holistic Principles.", "type" : "article-journal", "volume" : "3" }, "uris" : [ "http://www.mendeley.com/documents/?uuid=7b43f80a-d8ec-4748-a9dc-ee203f8b89d7" ] } ], "mendeley" : { "formattedCitation" : "(Lehmann, 2010)", "plainTextFormattedCitation" : "(Lehmann, 2010)", "previouslyFormattedCitation" : "(Lehmann, 2010)" }, "properties" : { "noteIndex" : 0 }, "schema" : "https://github.com/citation-style-language/schema/raw/master/csl-citation.json" }</w:instrText>
            </w:r>
            <w:r w:rsidRPr="000E0F90">
              <w:rPr>
                <w:rFonts w:ascii="Arial" w:hAnsi="Arial" w:cs="Arial"/>
                <w:color w:val="000000" w:themeColor="text1"/>
                <w:sz w:val="20"/>
              </w:rPr>
              <w:fldChar w:fldCharType="separate"/>
            </w:r>
            <w:r w:rsidRPr="000E0F90">
              <w:rPr>
                <w:rFonts w:ascii="Arial" w:hAnsi="Arial" w:cs="Arial"/>
                <w:noProof/>
                <w:color w:val="000000" w:themeColor="text1"/>
                <w:sz w:val="20"/>
              </w:rPr>
              <w:t>(Lehmann, 2010)</w:t>
            </w:r>
            <w:r w:rsidRPr="000E0F90">
              <w:rPr>
                <w:rFonts w:ascii="Arial" w:hAnsi="Arial" w:cs="Arial"/>
                <w:color w:val="000000" w:themeColor="text1"/>
                <w:sz w:val="20"/>
              </w:rPr>
              <w:fldChar w:fldCharType="end"/>
            </w:r>
            <w:r w:rsidRPr="000E0F90">
              <w:rPr>
                <w:rFonts w:ascii="Arial" w:hAnsi="Arial" w:cs="Arial"/>
                <w:color w:val="000000" w:themeColor="text1"/>
                <w:sz w:val="20"/>
              </w:rPr>
              <w:t xml:space="preserve">. Proveer servicios y amenidades a cortas distancias </w:t>
            </w:r>
            <w:r w:rsidRPr="000E0F90">
              <w:rPr>
                <w:rFonts w:ascii="Arial" w:hAnsi="Arial" w:cs="Arial"/>
                <w:color w:val="000000" w:themeColor="text1"/>
                <w:sz w:val="20"/>
              </w:rPr>
              <w:fldChar w:fldCharType="begin" w:fldLock="1"/>
            </w:r>
            <w:r w:rsidRPr="000E0F90">
              <w:rPr>
                <w:rFonts w:ascii="Arial" w:hAnsi="Arial" w:cs="Arial"/>
                <w:color w:val="000000" w:themeColor="text1"/>
                <w:sz w:val="20"/>
              </w:rPr>
              <w:instrText>ADDIN CSL_CITATION { "citationItems" : [ { "id" : "ITEM-1", "itemData" : { "DOI" : "10.1016/j.landurbplan.2013.06.002", "ISBN" : "0169-2046", "ISSN" : "01692046", "abstract" : "The proportion of urban population is increasing globally. Climate change, biodiversity loss, and environmental pollution are leading to the urgent need to increase sustainable development of and through cities and their components. Encouraging and enabling sustainable lifestyles of urban inhabitants can be fostered by developing sustainable urban neighborhoods as the nuclei of cities. Numerous approaches exist that define principles for guiding sustainable development processes of urban neighborhoods. However, it remains unclear if these approaches really consider the core objectives that should be achieved and key actions that are involved to move toward sustainability. This study represents the first quantitative review that evaluates the principles for sustainable urban neighborhood development based on the available literature. We thus (i) identify promising approaches that present principles close to core criteria for sustainability and (ii) provide starting points for developing a more robust set of principles by bringing together the examined literature. Furthermore (iii), sustainability aspects that are insufficiently covered are highlighted. Based on the findings (iv) a road map is outlined to encourage further research on the elaboration of a sufficient set of principles for sustainable urban neighborhood development. \u00a9 2013 Elsevier B.V.", "author" : [ { "dropping-particle" : "", "family" : "Luederitz", "given" : "Christopher", "non-dropping-particle" : "", "parse-names" : false, "suffix" : "" }, { "dropping-particle" : "", "family" : "Lang", "given" : "Daniel J.", "non-dropping-particle" : "", "parse-names" : false, "suffix" : "" }, { "dropping-particle" : "", "family" : "Wehrden", "given" : "Henrik", "non-dropping-particle" : "Von", "parse-names" : false, "suffix" : "" } ], "container-title" : "Landscape and Urban Planning", "id" : "ITEM-1", "issued" : { "date-parts" : [ [ "2013" ] ] }, "page" : "40-52", "publisher" : "Elsevier B.V.", "title" : "A systematic review of guiding principles for sustainable urban neighborhood development", "type" : "article-journal", "volume" : "118" }, "uris" : [ "http://www.mendeley.com/documents/?uuid=6bcfcece-dda2-466f-b77d-29fdaec204ad" ] } ], "mendeley" : { "formattedCitation" : "(Luederitz et al., 2013)", "plainTextFormattedCitation" : "(Luederitz et al., 2013)", "previouslyFormattedCitation" : "(Luederitz et al., 2013)" }, "properties" : { "noteIndex" : 0 }, "schema" : "https://github.com/citation-style-language/schema/raw/master/csl-citation.json" }</w:instrText>
            </w:r>
            <w:r w:rsidRPr="000E0F90">
              <w:rPr>
                <w:rFonts w:ascii="Arial" w:hAnsi="Arial" w:cs="Arial"/>
                <w:color w:val="000000" w:themeColor="text1"/>
                <w:sz w:val="20"/>
              </w:rPr>
              <w:fldChar w:fldCharType="separate"/>
            </w:r>
            <w:r w:rsidRPr="000E0F90">
              <w:rPr>
                <w:rFonts w:ascii="Arial" w:hAnsi="Arial" w:cs="Arial"/>
                <w:noProof/>
                <w:color w:val="000000" w:themeColor="text1"/>
                <w:sz w:val="20"/>
              </w:rPr>
              <w:t>(Luederitz et al., 2013)</w:t>
            </w:r>
            <w:r w:rsidRPr="000E0F90">
              <w:rPr>
                <w:rFonts w:ascii="Arial" w:hAnsi="Arial" w:cs="Arial"/>
                <w:color w:val="000000" w:themeColor="text1"/>
                <w:sz w:val="20"/>
              </w:rPr>
              <w:fldChar w:fldCharType="end"/>
            </w:r>
            <w:r w:rsidRPr="000E0F90">
              <w:rPr>
                <w:rFonts w:ascii="Arial" w:hAnsi="Arial" w:cs="Arial"/>
                <w:color w:val="000000" w:themeColor="text1"/>
                <w:sz w:val="20"/>
              </w:rPr>
              <w:t>.</w:t>
            </w:r>
          </w:p>
        </w:tc>
      </w:tr>
      <w:tr w:rsidR="00EC548B" w:rsidRPr="000E0F90" w:rsidTr="002A21E4">
        <w:trPr>
          <w:trHeight w:val="703"/>
        </w:trPr>
        <w:tc>
          <w:tcPr>
            <w:tcW w:w="2835" w:type="dxa"/>
            <w:vMerge/>
            <w:tcBorders>
              <w:top w:val="nil"/>
              <w:bottom w:val="nil"/>
              <w:right w:val="nil"/>
            </w:tcBorders>
          </w:tcPr>
          <w:p w:rsidR="00EC548B" w:rsidRPr="000E0F90" w:rsidRDefault="00EC548B" w:rsidP="000A0238">
            <w:pPr>
              <w:spacing w:after="0" w:line="240" w:lineRule="auto"/>
              <w:rPr>
                <w:rFonts w:ascii="Arial" w:hAnsi="Arial" w:cs="Arial"/>
                <w:b/>
                <w:color w:val="000000" w:themeColor="text1"/>
                <w:sz w:val="20"/>
              </w:rPr>
            </w:pPr>
          </w:p>
        </w:tc>
        <w:tc>
          <w:tcPr>
            <w:tcW w:w="5920" w:type="dxa"/>
            <w:tcBorders>
              <w:top w:val="nil"/>
              <w:left w:val="nil"/>
              <w:bottom w:val="nil"/>
            </w:tcBorders>
            <w:vAlign w:val="bottom"/>
          </w:tcPr>
          <w:p w:rsidR="00EC548B" w:rsidRPr="000E0F90" w:rsidRDefault="00EC548B" w:rsidP="00F10A5D">
            <w:pPr>
              <w:spacing w:after="0" w:line="240" w:lineRule="auto"/>
              <w:rPr>
                <w:rFonts w:ascii="Arial" w:hAnsi="Arial" w:cs="Arial"/>
                <w:color w:val="000000" w:themeColor="text1"/>
                <w:sz w:val="20"/>
              </w:rPr>
            </w:pPr>
            <w:r w:rsidRPr="000E0F90">
              <w:rPr>
                <w:rFonts w:ascii="Arial" w:hAnsi="Arial" w:cs="Arial"/>
                <w:color w:val="000000" w:themeColor="text1"/>
                <w:sz w:val="20"/>
              </w:rPr>
              <w:t xml:space="preserve">Reducir desplazamiento total de la actividad minera, correspondiente a insumos productivos, recursos naturales (i.e. agua), trabajadores (i.e. fly in fly out), productos minerales y desechos de la actividad </w:t>
            </w:r>
            <w:r w:rsidRPr="000E0F90">
              <w:rPr>
                <w:rFonts w:ascii="Arial" w:hAnsi="Arial" w:cs="Arial"/>
                <w:color w:val="000000" w:themeColor="text1"/>
                <w:sz w:val="20"/>
              </w:rPr>
              <w:fldChar w:fldCharType="begin" w:fldLock="1"/>
            </w:r>
            <w:r w:rsidRPr="000E0F90">
              <w:rPr>
                <w:rFonts w:ascii="Arial" w:hAnsi="Arial" w:cs="Arial"/>
                <w:color w:val="000000" w:themeColor="text1"/>
                <w:sz w:val="20"/>
              </w:rPr>
              <w:instrText>ADDIN CSL_CITATION { "citationItems" : [ { "id" : "ITEM-1", "itemData" : { "DOI" : "10.1016/S0959-6526(03)00075-1", "ISBN" : "4414836891", "ISSN" : "09596526", "author" : [ { "dropping-particle" : "", "family" : "Azapagic", "given" : "Adisa", "non-dropping-particle" : "", "parse-names" : false, "suffix" : "" } ], "container-title" : "Journal of Cleaner Production", "id" : "ITEM-1", "issue" : "6", "issued" : { "date-parts" : [ [ "2004", "8" ] ] }, "page" : "639-662", "title" : "Developing a framework for sustainable development indicators for the mining and minerals industry", "type" : "article-journal", "volume" : "12" }, "uris" : [ "http://www.mendeley.com/documents/?uuid=a36976cf-2e0f-4c41-bd50-7ef9e97ed91f" ] } ], "mendeley" : { "formattedCitation" : "(Azapagic, 2004)", "plainTextFormattedCitation" : "(Azapagic, 2004)", "previouslyFormattedCitation" : "(Azapagic, 2004)" }, "properties" : { "noteIndex" : 0 }, "schema" : "https://github.com/citation-style-language/schema/raw/master/csl-citation.json" }</w:instrText>
            </w:r>
            <w:r w:rsidRPr="000E0F90">
              <w:rPr>
                <w:rFonts w:ascii="Arial" w:hAnsi="Arial" w:cs="Arial"/>
                <w:color w:val="000000" w:themeColor="text1"/>
                <w:sz w:val="20"/>
              </w:rPr>
              <w:fldChar w:fldCharType="separate"/>
            </w:r>
            <w:r w:rsidRPr="000E0F90">
              <w:rPr>
                <w:rFonts w:ascii="Arial" w:hAnsi="Arial" w:cs="Arial"/>
                <w:noProof/>
                <w:color w:val="000000" w:themeColor="text1"/>
                <w:sz w:val="20"/>
              </w:rPr>
              <w:t>(Azapagic, 2004)</w:t>
            </w:r>
            <w:r w:rsidRPr="000E0F90">
              <w:rPr>
                <w:rFonts w:ascii="Arial" w:hAnsi="Arial" w:cs="Arial"/>
                <w:color w:val="000000" w:themeColor="text1"/>
                <w:sz w:val="20"/>
              </w:rPr>
              <w:fldChar w:fldCharType="end"/>
            </w:r>
          </w:p>
        </w:tc>
      </w:tr>
      <w:tr w:rsidR="007649DE" w:rsidRPr="000E0F90" w:rsidTr="002A21E4">
        <w:trPr>
          <w:trHeight w:val="337"/>
        </w:trPr>
        <w:tc>
          <w:tcPr>
            <w:tcW w:w="2835" w:type="dxa"/>
            <w:vMerge w:val="restart"/>
            <w:tcBorders>
              <w:top w:val="nil"/>
              <w:bottom w:val="nil"/>
              <w:right w:val="nil"/>
            </w:tcBorders>
          </w:tcPr>
          <w:p w:rsidR="007649DE" w:rsidRPr="000E0F90" w:rsidRDefault="007649DE" w:rsidP="000A0238">
            <w:pPr>
              <w:spacing w:after="0" w:line="240" w:lineRule="auto"/>
              <w:rPr>
                <w:rFonts w:ascii="Arial" w:hAnsi="Arial" w:cs="Arial"/>
                <w:color w:val="000000" w:themeColor="text1"/>
                <w:sz w:val="20"/>
              </w:rPr>
            </w:pPr>
            <w:r w:rsidRPr="000E0F90">
              <w:rPr>
                <w:rFonts w:ascii="Arial" w:hAnsi="Arial" w:cs="Arial"/>
                <w:b/>
                <w:color w:val="000000" w:themeColor="text1"/>
                <w:sz w:val="20"/>
              </w:rPr>
              <w:t>Minimizar la generación de desechos, emisiones  y su descarga al medio ambiente, ajustarlos a la capacidad de asimilación de la naturaleza</w:t>
            </w:r>
            <w:r w:rsidRPr="000E0F90">
              <w:rPr>
                <w:rFonts w:ascii="Arial" w:hAnsi="Arial" w:cs="Arial"/>
                <w:color w:val="000000" w:themeColor="text1"/>
                <w:sz w:val="20"/>
              </w:rPr>
              <w:t xml:space="preserve"> </w:t>
            </w:r>
            <w:r w:rsidRPr="000E0F90">
              <w:rPr>
                <w:rFonts w:ascii="Arial" w:hAnsi="Arial" w:cs="Arial"/>
                <w:color w:val="000000" w:themeColor="text1"/>
                <w:sz w:val="20"/>
              </w:rPr>
              <w:fldChar w:fldCharType="begin" w:fldLock="1"/>
            </w:r>
            <w:r w:rsidRPr="000E0F90">
              <w:rPr>
                <w:rFonts w:ascii="Arial" w:hAnsi="Arial" w:cs="Arial"/>
                <w:color w:val="000000" w:themeColor="text1"/>
                <w:sz w:val="20"/>
              </w:rPr>
              <w:instrText>ADDIN CSL_CITATION { "citationItems" : [ { "id" : "ITEM-1", "itemData" : { "author" : [ { "dropping-particle" : "", "family" : "Morrison-saunders", "given" : "Angus", "non-dropping-particle" : "", "parse-names" : false, "suffix" : "" }, { "dropping-particle" : "", "family" : "Hodgson", "given" : "Nicole", "non-dropping-particle" : "", "parse-names" : false, "suffix" : "" } ], "container-title" : "Assessment", "id" : "ITEM-1", "issue" : "September", "issued" : { "date-parts" : [ [ "2009" ] ] }, "page" : "1-6", "title" : "Applying Sustainability Principles in Practice : Guidance for Assessing Individual Proposals", "type" : "article-journal" }, "uris" : [ "http://www.mendeley.com/documents/?uuid=8eac9b1a-a579-4134-9969-a97b9c129d7b" ] } ], "mendeley" : { "formattedCitation" : "(Morrison-saunders &amp; Hodgson, 2009)", "plainTextFormattedCitation" : "(Morrison-saunders &amp; Hodgson, 2009)", "previouslyFormattedCitation" : "(Morrison-saunders &amp; Hodgson, 2009)" }, "properties" : { "noteIndex" : 0 }, "schema" : "https://github.com/citation-style-language/schema/raw/master/csl-citation.json" }</w:instrText>
            </w:r>
            <w:r w:rsidRPr="000E0F90">
              <w:rPr>
                <w:rFonts w:ascii="Arial" w:hAnsi="Arial" w:cs="Arial"/>
                <w:color w:val="000000" w:themeColor="text1"/>
                <w:sz w:val="20"/>
              </w:rPr>
              <w:fldChar w:fldCharType="separate"/>
            </w:r>
            <w:r w:rsidRPr="000E0F90">
              <w:rPr>
                <w:rFonts w:ascii="Arial" w:hAnsi="Arial" w:cs="Arial"/>
                <w:noProof/>
                <w:color w:val="000000" w:themeColor="text1"/>
                <w:sz w:val="20"/>
              </w:rPr>
              <w:t>(Morrison-saunders &amp; Hodgson, 2009)</w:t>
            </w:r>
            <w:r w:rsidRPr="000E0F90">
              <w:rPr>
                <w:rFonts w:ascii="Arial" w:hAnsi="Arial" w:cs="Arial"/>
                <w:color w:val="000000" w:themeColor="text1"/>
                <w:sz w:val="20"/>
              </w:rPr>
              <w:fldChar w:fldCharType="end"/>
            </w:r>
            <w:r w:rsidRPr="000E0F90">
              <w:rPr>
                <w:rFonts w:ascii="Arial" w:hAnsi="Arial" w:cs="Arial"/>
                <w:color w:val="000000" w:themeColor="text1"/>
                <w:sz w:val="20"/>
              </w:rPr>
              <w:t xml:space="preserve"> </w:t>
            </w:r>
            <w:r w:rsidRPr="000E0F90">
              <w:rPr>
                <w:rFonts w:ascii="Arial" w:hAnsi="Arial" w:cs="Arial"/>
                <w:color w:val="000000" w:themeColor="text1"/>
                <w:sz w:val="20"/>
              </w:rPr>
              <w:fldChar w:fldCharType="begin" w:fldLock="1"/>
            </w:r>
            <w:r w:rsidRPr="000E0F90">
              <w:rPr>
                <w:rFonts w:ascii="Arial" w:hAnsi="Arial" w:cs="Arial"/>
                <w:color w:val="000000" w:themeColor="text1"/>
                <w:sz w:val="20"/>
              </w:rPr>
              <w:instrText>ADDIN CSL_CITATION { "citationItems" : [ { "id" : "ITEM-1", "itemData" : { "DOI" : "10.1016/j.eiar.2012.12.004", "ISBN" : "0195-9255", "ISSN" : "01959255", "abstract" : "This paper presents a framework for analysing the degree of consideration of sustainability principles in Strategic environmental assessment (SEA), and demonstrates its application to a sample of SEA of Italian urban plans. The framework is based on Gibson's (2006) sustainability principles, which are linked to a number of guidance criteria and eventually to review questions, resulting from an extensive literature review. A total of 71 questions are included in the framework, which gives particular emphasis to key concepts, such as intragenerational and intergenerational equity. The framework was applied to review the Environmental Report of the urban plans of 15 major Italian cities. The results of this review show that, even if sustainability is commonly considered as a pivotal concept, there is still work to be done in order to effectively integrate sustainability principles into SEA. In particular, most of the attention is given to mitigation and compensation measures, rather than to actual attempts to propose more sustainable planning decisions in the first place. Concerning the proposed framework of analysis, further research is required to clarify equity concerns and particularly to identify suitable indicators for operationalizing the concepts of intra/inter-generational equity in decision-making. ?? 2012 Elsevier Inc.", "author" : [ { "dropping-particle" : "", "family" : "Lamorgese", "given" : "Lydia", "non-dropping-particle" : "", "parse-names" : false, "suffix" : "" }, { "dropping-particle" : "", "family" : "Geneletti", "given" : "Davide", "non-dropping-particle" : "", "parse-names" : false, "suffix" : "" } ], "container-title" : "Environmental Impact Assessment Review", "id" : "ITEM-1", "issued" : { "date-parts" : [ [ "2013" ] ] }, "page" : "116-126", "publisher" : "Elsevier Inc.", "title" : "Sustainability principles in strategic environmental assessment: A framework for analysis and examples from Italian urban planning", "type" : "article-journal", "volume" : "42" }, "uris" : [ "http://www.mendeley.com/documents/?uuid=50281d85-3e46-42bb-9a5c-be11d8f3b1d0" ] } ], "mendeley" : { "formattedCitation" : "(Lamorgese &amp; Geneletti, 2013)", "plainTextFormattedCitation" : "(Lamorgese &amp; Geneletti, 2013)", "previouslyFormattedCitation" : "(Lamorgese &amp; Geneletti, 2013)" }, "properties" : { "noteIndex" : 0 }, "schema" : "https://github.com/citation-style-language/schema/raw/master/csl-citation.json" }</w:instrText>
            </w:r>
            <w:r w:rsidRPr="000E0F90">
              <w:rPr>
                <w:rFonts w:ascii="Arial" w:hAnsi="Arial" w:cs="Arial"/>
                <w:color w:val="000000" w:themeColor="text1"/>
                <w:sz w:val="20"/>
              </w:rPr>
              <w:fldChar w:fldCharType="separate"/>
            </w:r>
            <w:r w:rsidRPr="000E0F90">
              <w:rPr>
                <w:rFonts w:ascii="Arial" w:hAnsi="Arial" w:cs="Arial"/>
                <w:noProof/>
                <w:color w:val="000000" w:themeColor="text1"/>
                <w:sz w:val="20"/>
              </w:rPr>
              <w:t>(Lamorgese &amp; Geneletti, 2013)</w:t>
            </w:r>
            <w:r w:rsidRPr="000E0F90">
              <w:rPr>
                <w:rFonts w:ascii="Arial" w:hAnsi="Arial" w:cs="Arial"/>
                <w:color w:val="000000" w:themeColor="text1"/>
                <w:sz w:val="20"/>
              </w:rPr>
              <w:fldChar w:fldCharType="end"/>
            </w:r>
            <w:r w:rsidRPr="000E0F90">
              <w:rPr>
                <w:rFonts w:ascii="Arial" w:hAnsi="Arial" w:cs="Arial"/>
                <w:color w:val="000000" w:themeColor="text1"/>
                <w:sz w:val="20"/>
              </w:rPr>
              <w:t xml:space="preserve">, </w:t>
            </w:r>
            <w:r w:rsidRPr="000E0F90">
              <w:rPr>
                <w:rFonts w:ascii="Arial" w:hAnsi="Arial" w:cs="Arial"/>
                <w:color w:val="000000" w:themeColor="text1"/>
                <w:sz w:val="20"/>
              </w:rPr>
              <w:fldChar w:fldCharType="begin" w:fldLock="1"/>
            </w:r>
            <w:r w:rsidRPr="000E0F90">
              <w:rPr>
                <w:rFonts w:ascii="Arial" w:hAnsi="Arial" w:cs="Arial"/>
                <w:color w:val="000000" w:themeColor="text1"/>
                <w:sz w:val="20"/>
              </w:rPr>
              <w:instrText>ADDIN CSL_CITATION { "citationItems" : [ { "id" : "ITEM-1", "itemData" : { "DOI" : "10.1080/01944360008976081", "ISBN" : "0194-4363", "ISSN" : "01944363", "PMID" : "2989497", "abstract" : "A set of six principles are set forth that define and operationalize the concept of sustainable development. Using these six principles, a sample of 30 comprehensive plans was evaluated to determine how well their policies support sustainable development. Findings indicate no significant differences in how extensively sustainability principles are supported between the plans that state an intention to integrate sustainable development and those that do not. In addition, these plans do not provide balanced support of all six sustainability principles, as they support some principles significantly more than others.", "author" : [ { "dropping-particle" : "", "family" : "Berke", "given" : "Philip R", "non-dropping-particle" : "", "parse-names" : false, "suffix" : "" }, { "dropping-particle" : "", "family" : "Conroy", "given" : "Maria Manta", "non-dropping-particle" : "", "parse-names" : false, "suffix" : "" } ], "container-title" : "American Planning Association.Journal of the American Planning Association", "id" : "ITEM-1", "issue" : "September", "issued" : { "date-parts" : [ [ "2000" ] ] }, "page" : "21", "title" : "Are we planning for sustainable development?", "type" : "article-journal", "volume" : "66" }, "uris" : [ "http://www.mendeley.com/documents/?uuid=9c8f081f-71c5-4194-83b6-25e26c52bc06" ] } ], "mendeley" : { "formattedCitation" : "(Berke &amp; Conroy, 2000)", "plainTextFormattedCitation" : "(Berke &amp; Conroy, 2000)", "previouslyFormattedCitation" : "(Berke &amp; Conroy, 2000)" }, "properties" : { "noteIndex" : 0 }, "schema" : "https://github.com/citation-style-language/schema/raw/master/csl-citation.json" }</w:instrText>
            </w:r>
            <w:r w:rsidRPr="000E0F90">
              <w:rPr>
                <w:rFonts w:ascii="Arial" w:hAnsi="Arial" w:cs="Arial"/>
                <w:color w:val="000000" w:themeColor="text1"/>
                <w:sz w:val="20"/>
              </w:rPr>
              <w:fldChar w:fldCharType="separate"/>
            </w:r>
            <w:r w:rsidRPr="000E0F90">
              <w:rPr>
                <w:rFonts w:ascii="Arial" w:hAnsi="Arial" w:cs="Arial"/>
                <w:noProof/>
                <w:color w:val="000000" w:themeColor="text1"/>
                <w:sz w:val="20"/>
              </w:rPr>
              <w:t>(Berke &amp; Conroy, 2000)</w:t>
            </w:r>
            <w:r w:rsidRPr="000E0F90">
              <w:rPr>
                <w:rFonts w:ascii="Arial" w:hAnsi="Arial" w:cs="Arial"/>
                <w:color w:val="000000" w:themeColor="text1"/>
                <w:sz w:val="20"/>
              </w:rPr>
              <w:fldChar w:fldCharType="end"/>
            </w:r>
          </w:p>
        </w:tc>
        <w:tc>
          <w:tcPr>
            <w:tcW w:w="5920" w:type="dxa"/>
            <w:tcBorders>
              <w:top w:val="nil"/>
              <w:left w:val="nil"/>
              <w:bottom w:val="nil"/>
            </w:tcBorders>
          </w:tcPr>
          <w:p w:rsidR="007649DE" w:rsidRPr="000E0F90" w:rsidRDefault="007649DE" w:rsidP="000A0238">
            <w:pPr>
              <w:tabs>
                <w:tab w:val="left" w:pos="930"/>
              </w:tabs>
              <w:spacing w:after="0" w:line="240" w:lineRule="auto"/>
              <w:rPr>
                <w:rFonts w:ascii="Arial" w:hAnsi="Arial" w:cs="Arial"/>
                <w:color w:val="000000" w:themeColor="text1"/>
                <w:sz w:val="20"/>
                <w:szCs w:val="20"/>
              </w:rPr>
            </w:pPr>
            <w:r w:rsidRPr="000E0F90">
              <w:rPr>
                <w:rFonts w:ascii="Arial" w:hAnsi="Arial" w:cs="Arial"/>
                <w:color w:val="000000" w:themeColor="text1"/>
                <w:sz w:val="20"/>
                <w:szCs w:val="20"/>
              </w:rPr>
              <w:t xml:space="preserve">Establecer límites a la capacidad de asimilar, dispersar, absorber, neutralizar y reciclar los desechos, de forma que no se ocasionen alteraciones en otras funciones o formas de vida </w:t>
            </w:r>
            <w:r w:rsidRPr="000E0F90">
              <w:rPr>
                <w:rFonts w:ascii="Arial" w:hAnsi="Arial" w:cs="Arial"/>
                <w:b/>
                <w:color w:val="000000" w:themeColor="text1"/>
                <w:sz w:val="20"/>
                <w:szCs w:val="20"/>
              </w:rPr>
              <w:t xml:space="preserve"> </w:t>
            </w:r>
            <w:r w:rsidRPr="000E0F90">
              <w:rPr>
                <w:rFonts w:ascii="Arial" w:hAnsi="Arial" w:cs="Arial"/>
                <w:b/>
                <w:color w:val="000000" w:themeColor="text1"/>
                <w:sz w:val="20"/>
                <w:szCs w:val="20"/>
              </w:rPr>
              <w:fldChar w:fldCharType="begin" w:fldLock="1"/>
            </w:r>
            <w:r w:rsidRPr="000E0F90">
              <w:rPr>
                <w:rFonts w:ascii="Arial" w:hAnsi="Arial" w:cs="Arial"/>
                <w:b/>
                <w:color w:val="000000" w:themeColor="text1"/>
                <w:sz w:val="20"/>
                <w:szCs w:val="20"/>
              </w:rPr>
              <w:instrText>ADDIN CSL_CITATION { "citationItems" : [ { "id" : "ITEM-1", "itemData" : { "DOI" : "10.1016/S0921-8009(02)00272-0", "ISBN" : "0921-8009", "ISSN" : "09218009", "PMID" : "23", "abstract" : "This paper develops a methodology for identifying that natural capital - called critical natural capital (CNC) - the maintenance of which is essential for environmental sustainability. By consideration of the characteristics of natural capital, of the environmental functions that these characteristics enable natural capital to perform and of the importance of these functions to humans and the biosphere, it shows how sustainability standards in respect of these environmental functions may be derived. The difference between the current situation and these standards is termed the sustainability gap. The methodology that emerges from bringing these ideas together into a single analytical framework enables policy makers to identify the extent of current unsustainability, the principal causes of it, the elements and processes of natural capital (the CNC) which need to be maintained or restored to close the sustainability gap and the costs of so doing. The framework should therefore be of use in identifying priorities and policies for moving towards environmental sustainability. ?? 2002 Published by Elsevier Science B.V.", "author" : [ { "dropping-particle" : "", "family" : "Ekins", "given" : "Paul", "non-dropping-particle" : "", "parse-names" : false, "suffix" : "" }, { "dropping-particle" : "", "family" : "Simon", "given" : "Sandrine", "non-dropping-particle" : "", "parse-names" : false, "suffix" : "" }, { "dropping-particle" : "", "family" : "Deutsch", "given" : "Lisa", "non-dropping-particle" : "", "parse-names" : false, "suffix" : "" }, { "dropping-particle" : "", "family" : "Folke", "given" : "Carl", "non-dropping-particle" : "", "parse-names" : false, "suffix" : "" }, { "dropping-particle" : "", "family" : "Groot", "given" : "Rudolf", "non-dropping-particle" : "De", "parse-names" : false, "suffix" : "" } ], "container-title" : "Ecological Economics", "id" : "ITEM-1", "issued" : { "date-parts" : [ [ "2003" ] ] }, "page" : "165-185", "title" : "A framework for the practical application of the concepts of critical natural capital and strong sustainability", "type" : "article-journal", "volume" : "44" }, "uris" : [ "http://www.mendeley.com/documents/?uuid=5ab0dee7-4e2a-402b-a4ce-62606789c9e2" ] } ], "mendeley" : { "formattedCitation" : "(Ekins et al., 2003)", "plainTextFormattedCitation" : "(Ekins et al., 2003)", "previouslyFormattedCitation" : "(Ekins et al., 2003)" }, "properties" : { "noteIndex" : 0 }, "schema" : "https://github.com/citation-style-language/schema/raw/master/csl-citation.json" }</w:instrText>
            </w:r>
            <w:r w:rsidRPr="000E0F90">
              <w:rPr>
                <w:rFonts w:ascii="Arial" w:hAnsi="Arial" w:cs="Arial"/>
                <w:b/>
                <w:color w:val="000000" w:themeColor="text1"/>
                <w:sz w:val="20"/>
                <w:szCs w:val="20"/>
              </w:rPr>
              <w:fldChar w:fldCharType="separate"/>
            </w:r>
            <w:r w:rsidRPr="000E0F90">
              <w:rPr>
                <w:rFonts w:ascii="Arial" w:hAnsi="Arial" w:cs="Arial"/>
                <w:noProof/>
                <w:color w:val="000000" w:themeColor="text1"/>
                <w:sz w:val="20"/>
                <w:szCs w:val="20"/>
              </w:rPr>
              <w:t>(Ekins et al., 2003)</w:t>
            </w:r>
            <w:r w:rsidRPr="000E0F90">
              <w:rPr>
                <w:rFonts w:ascii="Arial" w:hAnsi="Arial" w:cs="Arial"/>
                <w:b/>
                <w:color w:val="000000" w:themeColor="text1"/>
                <w:sz w:val="20"/>
                <w:szCs w:val="20"/>
              </w:rPr>
              <w:fldChar w:fldCharType="end"/>
            </w:r>
            <w:r w:rsidRPr="000E0F90">
              <w:rPr>
                <w:rFonts w:ascii="Arial" w:hAnsi="Arial" w:cs="Arial"/>
                <w:color w:val="000000" w:themeColor="text1"/>
                <w:sz w:val="20"/>
                <w:szCs w:val="20"/>
              </w:rPr>
              <w:t xml:space="preserve"> </w:t>
            </w:r>
            <w:r w:rsidRPr="000E0F90">
              <w:rPr>
                <w:rFonts w:ascii="Arial" w:hAnsi="Arial" w:cs="Arial"/>
                <w:color w:val="000000" w:themeColor="text1"/>
                <w:sz w:val="20"/>
                <w:szCs w:val="20"/>
              </w:rPr>
              <w:fldChar w:fldCharType="begin" w:fldLock="1"/>
            </w:r>
            <w:r w:rsidRPr="000E0F90">
              <w:rPr>
                <w:rFonts w:ascii="Arial" w:hAnsi="Arial" w:cs="Arial"/>
                <w:color w:val="000000" w:themeColor="text1"/>
                <w:sz w:val="20"/>
                <w:szCs w:val="20"/>
              </w:rPr>
              <w:instrText>ADDIN CSL_CITATION { "citationItems" : [ { "id" : "ITEM-1", "itemData" : { "DOI" : "10.1080/01944360008976081", "ISBN" : "0194-4363", "ISSN" : "01944363", "PMID" : "2989497", "abstract" : "A set of six principles are set forth that define and operationalize the concept of sustainable development. Using these six principles, a sample of 30 comprehensive plans was evaluated to determine how well their policies support sustainable development. Findings indicate no significant differences in how extensively sustainability principles are supported between the plans that state an intention to integrate sustainable development and those that do not. In addition, these plans do not provide balanced support of all six sustainability principles, as they support some principles significantly more than others.", "author" : [ { "dropping-particle" : "", "family" : "Berke", "given" : "Philip R", "non-dropping-particle" : "", "parse-names" : false, "suffix" : "" }, { "dropping-particle" : "", "family" : "Conroy", "given" : "Maria Manta", "non-dropping-particle" : "", "parse-names" : false, "suffix" : "" } ], "container-title" : "American Planning Association.Journal of the American Planning Association", "id" : "ITEM-1", "issue" : "September", "issued" : { "date-parts" : [ [ "2000" ] ] }, "page" : "21", "title" : "Are we planning for sustainable development?", "type" : "article-journal", "volume" : "66" }, "uris" : [ "http://www.mendeley.com/documents/?uuid=9c8f081f-71c5-4194-83b6-25e26c52bc06" ] } ], "mendeley" : { "formattedCitation" : "(Berke &amp; Conroy, 2000)", "plainTextFormattedCitation" : "(Berke &amp; Conroy, 2000)", "previouslyFormattedCitation" : "(Berke &amp; Conroy, 2000)" }, "properties" : { "noteIndex" : 0 }, "schema" : "https://github.com/citation-style-language/schema/raw/master/csl-citation.json" }</w:instrText>
            </w:r>
            <w:r w:rsidRPr="000E0F90">
              <w:rPr>
                <w:rFonts w:ascii="Arial" w:hAnsi="Arial" w:cs="Arial"/>
                <w:color w:val="000000" w:themeColor="text1"/>
                <w:sz w:val="20"/>
                <w:szCs w:val="20"/>
              </w:rPr>
              <w:fldChar w:fldCharType="separate"/>
            </w:r>
            <w:r w:rsidRPr="000E0F90">
              <w:rPr>
                <w:rFonts w:ascii="Arial" w:hAnsi="Arial" w:cs="Arial"/>
                <w:noProof/>
                <w:color w:val="000000" w:themeColor="text1"/>
                <w:sz w:val="20"/>
                <w:szCs w:val="20"/>
              </w:rPr>
              <w:t>(Berke &amp; Conroy, 2000)</w:t>
            </w:r>
            <w:r w:rsidRPr="000E0F90">
              <w:rPr>
                <w:rFonts w:ascii="Arial" w:hAnsi="Arial" w:cs="Arial"/>
                <w:color w:val="000000" w:themeColor="text1"/>
                <w:sz w:val="20"/>
                <w:szCs w:val="20"/>
              </w:rPr>
              <w:fldChar w:fldCharType="end"/>
            </w:r>
          </w:p>
        </w:tc>
      </w:tr>
      <w:tr w:rsidR="007649DE" w:rsidRPr="000E0F90" w:rsidTr="002A21E4">
        <w:trPr>
          <w:trHeight w:val="337"/>
        </w:trPr>
        <w:tc>
          <w:tcPr>
            <w:tcW w:w="2835" w:type="dxa"/>
            <w:vMerge/>
            <w:tcBorders>
              <w:top w:val="nil"/>
              <w:right w:val="nil"/>
            </w:tcBorders>
          </w:tcPr>
          <w:p w:rsidR="007649DE" w:rsidRPr="000E0F90" w:rsidRDefault="007649DE" w:rsidP="000A0238">
            <w:pPr>
              <w:spacing w:after="0" w:line="240" w:lineRule="auto"/>
              <w:rPr>
                <w:rFonts w:ascii="Arial" w:hAnsi="Arial" w:cs="Arial"/>
                <w:color w:val="000000" w:themeColor="text1"/>
                <w:sz w:val="20"/>
              </w:rPr>
            </w:pPr>
          </w:p>
        </w:tc>
        <w:tc>
          <w:tcPr>
            <w:tcW w:w="5920" w:type="dxa"/>
            <w:tcBorders>
              <w:top w:val="nil"/>
              <w:left w:val="nil"/>
            </w:tcBorders>
          </w:tcPr>
          <w:p w:rsidR="007649DE" w:rsidRPr="000E0F90" w:rsidRDefault="007649DE" w:rsidP="000A0238">
            <w:pPr>
              <w:spacing w:after="0" w:line="240" w:lineRule="auto"/>
              <w:rPr>
                <w:rFonts w:ascii="Arial" w:hAnsi="Arial" w:cs="Arial"/>
                <w:color w:val="000000" w:themeColor="text1"/>
                <w:sz w:val="20"/>
              </w:rPr>
            </w:pPr>
            <w:r w:rsidRPr="000E0F90">
              <w:rPr>
                <w:rFonts w:ascii="Arial" w:hAnsi="Arial" w:cs="Arial"/>
                <w:color w:val="000000" w:themeColor="text1"/>
                <w:sz w:val="20"/>
              </w:rPr>
              <w:t xml:space="preserve">Reducir la contaminación al medio, minimizar la descarga de materiales tóxicos y reducir la generación de desechos y emisiones </w:t>
            </w:r>
            <w:r w:rsidRPr="000E0F90">
              <w:rPr>
                <w:rFonts w:ascii="Arial" w:hAnsi="Arial" w:cs="Arial"/>
                <w:color w:val="000000" w:themeColor="text1"/>
                <w:sz w:val="20"/>
              </w:rPr>
              <w:fldChar w:fldCharType="begin" w:fldLock="1"/>
            </w:r>
            <w:r w:rsidRPr="000E0F90">
              <w:rPr>
                <w:rFonts w:ascii="Arial" w:hAnsi="Arial" w:cs="Arial"/>
                <w:color w:val="000000" w:themeColor="text1"/>
                <w:sz w:val="20"/>
              </w:rPr>
              <w:instrText>ADDIN CSL_CITATION { "citationItems" : [ { "id" : "ITEM-1", "itemData" : { "DOI" : "10.1016/j.landurbplan.2013.06.002", "ISBN" : "0169-2046", "ISSN" : "01692046", "abstract" : "The proportion of urban population is increasing globally. Climate change, biodiversity loss, and environmental pollution are leading to the urgent need to increase sustainable development of and through cities and their components. Encouraging and enabling sustainable lifestyles of urban inhabitants can be fostered by developing sustainable urban neighborhoods as the nuclei of cities. Numerous approaches exist that define principles for guiding sustainable development processes of urban neighborhoods. However, it remains unclear if these approaches really consider the core objectives that should be achieved and key actions that are involved to move toward sustainability. This study represents the first quantitative review that evaluates the principles for sustainable urban neighborhood development based on the available literature. We thus (i) identify promising approaches that present principles close to core criteria for sustainability and (ii) provide starting points for developing a more robust set of principles by bringing together the examined literature. Furthermore (iii), sustainability aspects that are insufficiently covered are highlighted. Based on the findings (iv) a road map is outlined to encourage further research on the elaboration of a sufficient set of principles for sustainable urban neighborhood development. \u00a9 2013 Elsevier B.V.", "author" : [ { "dropping-particle" : "", "family" : "Luederitz", "given" : "Christopher", "non-dropping-particle" : "", "parse-names" : false, "suffix" : "" }, { "dropping-particle" : "", "family" : "Lang", "given" : "Daniel J.", "non-dropping-particle" : "", "parse-names" : false, "suffix" : "" }, { "dropping-particle" : "", "family" : "Wehrden", "given" : "Henrik", "non-dropping-particle" : "Von", "parse-names" : false, "suffix" : "" } ], "container-title" : "Landscape and Urban Planning", "id" : "ITEM-1", "issued" : { "date-parts" : [ [ "2013" ] ] }, "page" : "40-52", "publisher" : "Elsevier B.V.", "title" : "A systematic review of guiding principles for sustainable urban neighborhood development", "type" : "article-journal", "volume" : "118" }, "uris" : [ "http://www.mendeley.com/documents/?uuid=6bcfcece-dda2-466f-b77d-29fdaec204ad" ] } ], "mendeley" : { "formattedCitation" : "(Luederitz et al., 2013)", "plainTextFormattedCitation" : "(Luederitz et al., 2013)", "previouslyFormattedCitation" : "(Luederitz et al., 2013)" }, "properties" : { "noteIndex" : 0 }, "schema" : "https://github.com/citation-style-language/schema/raw/master/csl-citation.json" }</w:instrText>
            </w:r>
            <w:r w:rsidRPr="000E0F90">
              <w:rPr>
                <w:rFonts w:ascii="Arial" w:hAnsi="Arial" w:cs="Arial"/>
                <w:color w:val="000000" w:themeColor="text1"/>
                <w:sz w:val="20"/>
              </w:rPr>
              <w:fldChar w:fldCharType="separate"/>
            </w:r>
            <w:r w:rsidRPr="000E0F90">
              <w:rPr>
                <w:rFonts w:ascii="Arial" w:hAnsi="Arial" w:cs="Arial"/>
                <w:noProof/>
                <w:color w:val="000000" w:themeColor="text1"/>
                <w:sz w:val="20"/>
              </w:rPr>
              <w:t>(Luederitz et al., 2013)</w:t>
            </w:r>
            <w:r w:rsidRPr="000E0F90">
              <w:rPr>
                <w:rFonts w:ascii="Arial" w:hAnsi="Arial" w:cs="Arial"/>
                <w:color w:val="000000" w:themeColor="text1"/>
                <w:sz w:val="20"/>
              </w:rPr>
              <w:fldChar w:fldCharType="end"/>
            </w:r>
            <w:r w:rsidRPr="000E0F90">
              <w:rPr>
                <w:rFonts w:ascii="Arial" w:hAnsi="Arial" w:cs="Arial"/>
                <w:color w:val="000000" w:themeColor="text1"/>
                <w:sz w:val="20"/>
              </w:rPr>
              <w:t xml:space="preserve">. Prevenir la descarga de contaminantes al suelo, agua y atmósfera </w:t>
            </w:r>
            <w:r w:rsidRPr="000E0F90">
              <w:rPr>
                <w:rFonts w:ascii="Arial" w:hAnsi="Arial" w:cs="Arial"/>
                <w:color w:val="000000" w:themeColor="text1"/>
                <w:sz w:val="20"/>
              </w:rPr>
              <w:fldChar w:fldCharType="begin" w:fldLock="1"/>
            </w:r>
            <w:r w:rsidRPr="000E0F90">
              <w:rPr>
                <w:rFonts w:ascii="Arial" w:hAnsi="Arial" w:cs="Arial"/>
                <w:color w:val="000000" w:themeColor="text1"/>
                <w:sz w:val="20"/>
              </w:rPr>
              <w:instrText>ADDIN CSL_CITATION { "citationItems" : [ { "id" : "ITEM-1", "itemData" : { "DOI" : "10.1016/j.eiar.2012.12.004", "ISBN" : "0195-9255", "ISSN" : "01959255", "abstract" : "This paper presents a framework for analysing the degree of consideration of sustainability principles in Strategic environmental assessment (SEA), and demonstrates its application to a sample of SEA of Italian urban plans. The framework is based on Gibson's (2006) sustainability principles, which are linked to a number of guidance criteria and eventually to review questions, resulting from an extensive literature review. A total of 71 questions are included in the framework, which gives particular emphasis to key concepts, such as intragenerational and intergenerational equity. The framework was applied to review the Environmental Report of the urban plans of 15 major Italian cities. The results of this review show that, even if sustainability is commonly considered as a pivotal concept, there is still work to be done in order to effectively integrate sustainability principles into SEA. In particular, most of the attention is given to mitigation and compensation measures, rather than to actual attempts to propose more sustainable planning decisions in the first place. Concerning the proposed framework of analysis, further research is required to clarify equity concerns and particularly to identify suitable indicators for operationalizing the concepts of intra/inter-generational equity in decision-making. ?? 2012 Elsevier Inc.", "author" : [ { "dropping-particle" : "", "family" : "Lamorgese", "given" : "Lydia", "non-dropping-particle" : "", "parse-names" : false, "suffix" : "" }, { "dropping-particle" : "", "family" : "Geneletti", "given" : "Davide", "non-dropping-particle" : "", "parse-names" : false, "suffix" : "" } ], "container-title" : "Environmental Impact Assessment Review", "id" : "ITEM-1", "issued" : { "date-parts" : [ [ "2013" ] ] }, "page" : "116-126", "publisher" : "Elsevier Inc.", "title" : "Sustainability principles in strategic environmental assessment: A framework for analysis and examples from Italian urban planning", "type" : "article-journal", "volume" : "42" }, "uris" : [ "http://www.mendeley.com/documents/?uuid=50281d85-3e46-42bb-9a5c-be11d8f3b1d0" ] } ], "mendeley" : { "formattedCitation" : "(Lamorgese &amp; Geneletti, 2013)", "plainTextFormattedCitation" : "(Lamorgese &amp; Geneletti, 2013)", "previouslyFormattedCitation" : "(Lamorgese &amp; Geneletti, 2013)" }, "properties" : { "noteIndex" : 0 }, "schema" : "https://github.com/citation-style-language/schema/raw/master/csl-citation.json" }</w:instrText>
            </w:r>
            <w:r w:rsidRPr="000E0F90">
              <w:rPr>
                <w:rFonts w:ascii="Arial" w:hAnsi="Arial" w:cs="Arial"/>
                <w:color w:val="000000" w:themeColor="text1"/>
                <w:sz w:val="20"/>
              </w:rPr>
              <w:fldChar w:fldCharType="separate"/>
            </w:r>
            <w:r w:rsidRPr="000E0F90">
              <w:rPr>
                <w:rFonts w:ascii="Arial" w:hAnsi="Arial" w:cs="Arial"/>
                <w:noProof/>
                <w:color w:val="000000" w:themeColor="text1"/>
                <w:sz w:val="20"/>
              </w:rPr>
              <w:t>(Lamorgese &amp; Geneletti, 2013)</w:t>
            </w:r>
            <w:r w:rsidRPr="000E0F90">
              <w:rPr>
                <w:rFonts w:ascii="Arial" w:hAnsi="Arial" w:cs="Arial"/>
                <w:color w:val="000000" w:themeColor="text1"/>
                <w:sz w:val="20"/>
              </w:rPr>
              <w:fldChar w:fldCharType="end"/>
            </w:r>
          </w:p>
        </w:tc>
      </w:tr>
    </w:tbl>
    <w:p w:rsidR="00B4209B" w:rsidRPr="000E0F90" w:rsidRDefault="00B4209B">
      <w:pPr>
        <w:jc w:val="left"/>
        <w:rPr>
          <w:rFonts w:ascii="Arial" w:hAnsi="Arial" w:cs="Arial"/>
          <w:color w:val="000000" w:themeColor="text1"/>
        </w:rPr>
      </w:pPr>
    </w:p>
    <w:p w:rsidR="00EC548B" w:rsidRPr="000E0F90" w:rsidRDefault="00EC548B">
      <w:pPr>
        <w:jc w:val="left"/>
        <w:rPr>
          <w:rFonts w:ascii="Arial" w:hAnsi="Arial" w:cs="Arial"/>
          <w:color w:val="000000" w:themeColor="text1"/>
        </w:rPr>
      </w:pPr>
      <w:r w:rsidRPr="000E0F90">
        <w:rPr>
          <w:rFonts w:ascii="Arial" w:hAnsi="Arial" w:cs="Arial"/>
          <w:color w:val="000000" w:themeColor="text1"/>
        </w:rPr>
        <w:br w:type="page"/>
      </w:r>
    </w:p>
    <w:p w:rsidR="001C1F79" w:rsidRPr="000E0F90" w:rsidRDefault="00E0505F" w:rsidP="008D6193">
      <w:pPr>
        <w:pStyle w:val="Ttulo4"/>
        <w:spacing w:line="360" w:lineRule="auto"/>
        <w:rPr>
          <w:rFonts w:ascii="Arial" w:hAnsi="Arial" w:cs="Arial"/>
          <w:color w:val="000000" w:themeColor="text1"/>
        </w:rPr>
      </w:pPr>
      <w:bookmarkStart w:id="24" w:name="_Toc474855676"/>
      <w:r>
        <w:rPr>
          <w:rFonts w:ascii="Arial" w:hAnsi="Arial" w:cs="Arial"/>
          <w:color w:val="000000" w:themeColor="text1"/>
        </w:rPr>
        <w:lastRenderedPageBreak/>
        <w:t>Criterios</w:t>
      </w:r>
      <w:r w:rsidR="00B307B3" w:rsidRPr="000E0F90">
        <w:rPr>
          <w:rFonts w:ascii="Arial" w:hAnsi="Arial" w:cs="Arial"/>
          <w:color w:val="000000" w:themeColor="text1"/>
        </w:rPr>
        <w:t xml:space="preserve"> </w:t>
      </w:r>
      <w:r w:rsidR="005E3A6E">
        <w:rPr>
          <w:rFonts w:ascii="Arial" w:hAnsi="Arial" w:cs="Arial"/>
          <w:color w:val="000000" w:themeColor="text1"/>
        </w:rPr>
        <w:t>para el</w:t>
      </w:r>
      <w:r w:rsidR="00B307B3" w:rsidRPr="000E0F90">
        <w:rPr>
          <w:rFonts w:ascii="Arial" w:hAnsi="Arial" w:cs="Arial"/>
          <w:color w:val="000000" w:themeColor="text1"/>
        </w:rPr>
        <w:t xml:space="preserve"> principio de </w:t>
      </w:r>
      <w:r w:rsidR="001C1F79" w:rsidRPr="000E0F90">
        <w:rPr>
          <w:rFonts w:ascii="Arial" w:hAnsi="Arial" w:cs="Arial"/>
          <w:color w:val="000000" w:themeColor="text1"/>
        </w:rPr>
        <w:t xml:space="preserve">Civilidad y Gobernanza </w:t>
      </w:r>
      <w:bookmarkEnd w:id="24"/>
    </w:p>
    <w:p w:rsidR="00B307B3" w:rsidRPr="000E0F90" w:rsidRDefault="008D6193" w:rsidP="008D6193">
      <w:pPr>
        <w:spacing w:line="360" w:lineRule="auto"/>
        <w:rPr>
          <w:rFonts w:ascii="Arial" w:hAnsi="Arial" w:cs="Arial"/>
          <w:color w:val="000000" w:themeColor="text1"/>
        </w:rPr>
      </w:pPr>
      <w:r>
        <w:rPr>
          <w:rFonts w:ascii="Arial" w:hAnsi="Arial" w:cs="Arial"/>
          <w:color w:val="000000" w:themeColor="text1"/>
        </w:rPr>
        <w:t>E</w:t>
      </w:r>
      <w:r w:rsidR="00B307B3" w:rsidRPr="000E0F90">
        <w:rPr>
          <w:rFonts w:ascii="Arial" w:hAnsi="Arial" w:cs="Arial"/>
          <w:color w:val="000000" w:themeColor="text1"/>
        </w:rPr>
        <w:t xml:space="preserve">n relación los principios de Gobernanza y Civilidad, se identificaron los siguientes </w:t>
      </w:r>
      <w:r w:rsidR="00E0505F">
        <w:rPr>
          <w:rFonts w:ascii="Arial" w:hAnsi="Arial" w:cs="Arial"/>
          <w:color w:val="000000" w:themeColor="text1"/>
        </w:rPr>
        <w:t>criterios</w:t>
      </w:r>
      <w:r w:rsidR="00B307B3" w:rsidRPr="000E0F90">
        <w:rPr>
          <w:rFonts w:ascii="Arial" w:hAnsi="Arial" w:cs="Arial"/>
          <w:color w:val="000000" w:themeColor="text1"/>
        </w:rPr>
        <w:t xml:space="preserve"> que pueden ser aplicados en el ámbito territorial</w:t>
      </w:r>
      <w:r w:rsidR="00033D5F" w:rsidRPr="000E0F90">
        <w:rPr>
          <w:rFonts w:ascii="Arial" w:hAnsi="Arial" w:cs="Arial"/>
          <w:color w:val="000000" w:themeColor="text1"/>
        </w:rPr>
        <w:t xml:space="preserve"> minero</w:t>
      </w:r>
      <w:r w:rsidR="006B15AA" w:rsidRPr="000E0F90">
        <w:rPr>
          <w:rFonts w:ascii="Arial" w:hAnsi="Arial" w:cs="Arial"/>
          <w:color w:val="000000" w:themeColor="text1"/>
        </w:rPr>
        <w:t xml:space="preserve"> (Cuadro 8)</w:t>
      </w:r>
      <w:r w:rsidR="00B307B3" w:rsidRPr="000E0F90">
        <w:rPr>
          <w:rFonts w:ascii="Arial" w:hAnsi="Arial" w:cs="Arial"/>
          <w:color w:val="000000" w:themeColor="text1"/>
        </w:rPr>
        <w:t>.</w:t>
      </w:r>
    </w:p>
    <w:p w:rsidR="004155A2" w:rsidRPr="000E0F90" w:rsidRDefault="006B15AA" w:rsidP="008D6193">
      <w:pPr>
        <w:pStyle w:val="Epgrafe"/>
        <w:spacing w:after="0" w:line="360" w:lineRule="auto"/>
        <w:rPr>
          <w:rFonts w:ascii="Arial" w:hAnsi="Arial" w:cs="Arial"/>
          <w:b w:val="0"/>
          <w:color w:val="000000" w:themeColor="text1"/>
          <w:sz w:val="22"/>
        </w:rPr>
      </w:pPr>
      <w:r w:rsidRPr="000E0F90">
        <w:rPr>
          <w:rFonts w:ascii="Arial" w:hAnsi="Arial" w:cs="Arial"/>
          <w:b w:val="0"/>
          <w:color w:val="000000" w:themeColor="text1"/>
          <w:sz w:val="22"/>
        </w:rPr>
        <w:t xml:space="preserve">Cuadro </w:t>
      </w:r>
      <w:r w:rsidRPr="000E0F90">
        <w:rPr>
          <w:rFonts w:ascii="Arial" w:hAnsi="Arial" w:cs="Arial"/>
          <w:b w:val="0"/>
          <w:color w:val="000000" w:themeColor="text1"/>
          <w:sz w:val="22"/>
        </w:rPr>
        <w:fldChar w:fldCharType="begin"/>
      </w:r>
      <w:r w:rsidRPr="000E0F90">
        <w:rPr>
          <w:rFonts w:ascii="Arial" w:hAnsi="Arial" w:cs="Arial"/>
          <w:b w:val="0"/>
          <w:color w:val="000000" w:themeColor="text1"/>
          <w:sz w:val="22"/>
        </w:rPr>
        <w:instrText xml:space="preserve"> SEQ Cuadro \* ARABIC </w:instrText>
      </w:r>
      <w:r w:rsidRPr="000E0F90">
        <w:rPr>
          <w:rFonts w:ascii="Arial" w:hAnsi="Arial" w:cs="Arial"/>
          <w:b w:val="0"/>
          <w:color w:val="000000" w:themeColor="text1"/>
          <w:sz w:val="22"/>
        </w:rPr>
        <w:fldChar w:fldCharType="separate"/>
      </w:r>
      <w:r w:rsidR="00225844">
        <w:rPr>
          <w:rFonts w:ascii="Arial" w:hAnsi="Arial" w:cs="Arial"/>
          <w:b w:val="0"/>
          <w:noProof/>
          <w:color w:val="000000" w:themeColor="text1"/>
          <w:sz w:val="22"/>
        </w:rPr>
        <w:t>8</w:t>
      </w:r>
      <w:r w:rsidRPr="000E0F90">
        <w:rPr>
          <w:rFonts w:ascii="Arial" w:hAnsi="Arial" w:cs="Arial"/>
          <w:b w:val="0"/>
          <w:color w:val="000000" w:themeColor="text1"/>
          <w:sz w:val="22"/>
        </w:rPr>
        <w:fldChar w:fldCharType="end"/>
      </w:r>
      <w:r w:rsidR="004155A2" w:rsidRPr="000E0F90">
        <w:rPr>
          <w:rFonts w:ascii="Arial" w:hAnsi="Arial" w:cs="Arial"/>
          <w:b w:val="0"/>
          <w:color w:val="000000" w:themeColor="text1"/>
          <w:sz w:val="22"/>
        </w:rPr>
        <w:t xml:space="preserve">: </w:t>
      </w:r>
      <w:r w:rsidR="00E0505F">
        <w:rPr>
          <w:rFonts w:ascii="Arial" w:hAnsi="Arial" w:cs="Arial"/>
          <w:b w:val="0"/>
          <w:color w:val="000000" w:themeColor="text1"/>
          <w:sz w:val="22"/>
        </w:rPr>
        <w:t>Criterios</w:t>
      </w:r>
      <w:r w:rsidR="004155A2" w:rsidRPr="000E0F90">
        <w:rPr>
          <w:rFonts w:ascii="Arial" w:hAnsi="Arial" w:cs="Arial"/>
          <w:b w:val="0"/>
          <w:color w:val="000000" w:themeColor="text1"/>
          <w:sz w:val="22"/>
        </w:rPr>
        <w:t xml:space="preserve"> </w:t>
      </w:r>
      <w:r w:rsidR="00950F10" w:rsidRPr="000E0F90">
        <w:rPr>
          <w:rFonts w:ascii="Arial" w:hAnsi="Arial" w:cs="Arial"/>
          <w:b w:val="0"/>
          <w:color w:val="000000" w:themeColor="text1"/>
          <w:sz w:val="22"/>
        </w:rPr>
        <w:t xml:space="preserve">identificados para </w:t>
      </w:r>
      <w:r w:rsidR="009D5ADA" w:rsidRPr="000E0F90">
        <w:rPr>
          <w:rFonts w:ascii="Arial" w:hAnsi="Arial" w:cs="Arial"/>
          <w:b w:val="0"/>
          <w:color w:val="000000" w:themeColor="text1"/>
          <w:sz w:val="22"/>
        </w:rPr>
        <w:t>estructurar</w:t>
      </w:r>
      <w:r w:rsidR="00950F10" w:rsidRPr="000E0F90">
        <w:rPr>
          <w:rFonts w:ascii="Arial" w:hAnsi="Arial" w:cs="Arial"/>
          <w:b w:val="0"/>
          <w:color w:val="000000" w:themeColor="text1"/>
          <w:sz w:val="22"/>
        </w:rPr>
        <w:t xml:space="preserve"> el</w:t>
      </w:r>
      <w:r w:rsidR="004155A2" w:rsidRPr="000E0F90">
        <w:rPr>
          <w:rFonts w:ascii="Arial" w:hAnsi="Arial" w:cs="Arial"/>
          <w:b w:val="0"/>
          <w:color w:val="000000" w:themeColor="text1"/>
          <w:sz w:val="22"/>
        </w:rPr>
        <w:t xml:space="preserve"> principio de Civilidad y Gobernanza a territorios mineros</w:t>
      </w:r>
    </w:p>
    <w:tbl>
      <w:tblPr>
        <w:tblW w:w="0" w:type="auto"/>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2925"/>
        <w:gridCol w:w="5845"/>
      </w:tblGrid>
      <w:tr w:rsidR="00C901F3" w:rsidRPr="000E0F90" w:rsidTr="002A21E4">
        <w:tc>
          <w:tcPr>
            <w:tcW w:w="8770" w:type="dxa"/>
            <w:gridSpan w:val="2"/>
            <w:shd w:val="clear" w:color="auto" w:fill="D9D9D9" w:themeFill="background1" w:themeFillShade="D9"/>
          </w:tcPr>
          <w:p w:rsidR="00C901F3" w:rsidRPr="000E0F90" w:rsidRDefault="002A21E4" w:rsidP="00353519">
            <w:pPr>
              <w:spacing w:after="0" w:line="240" w:lineRule="auto"/>
              <w:rPr>
                <w:rFonts w:ascii="Arial" w:hAnsi="Arial" w:cs="Arial"/>
                <w:b/>
                <w:color w:val="000000" w:themeColor="text1"/>
                <w:sz w:val="20"/>
              </w:rPr>
            </w:pPr>
            <w:r w:rsidRPr="000E0F90">
              <w:rPr>
                <w:rFonts w:ascii="Arial" w:hAnsi="Arial" w:cs="Arial"/>
                <w:b/>
                <w:color w:val="000000" w:themeColor="text1"/>
                <w:sz w:val="20"/>
              </w:rPr>
              <w:t>Civilidad y gobernanza</w:t>
            </w:r>
          </w:p>
        </w:tc>
      </w:tr>
      <w:tr w:rsidR="00B307B3" w:rsidRPr="000E0F90" w:rsidTr="00C901F3">
        <w:tc>
          <w:tcPr>
            <w:tcW w:w="8770" w:type="dxa"/>
            <w:gridSpan w:val="2"/>
            <w:tcBorders>
              <w:bottom w:val="single" w:sz="4" w:space="0" w:color="auto"/>
            </w:tcBorders>
          </w:tcPr>
          <w:p w:rsidR="00B307B3" w:rsidRPr="000E0F90" w:rsidRDefault="00950F10" w:rsidP="00353519">
            <w:pPr>
              <w:spacing w:after="0" w:line="240" w:lineRule="auto"/>
              <w:rPr>
                <w:rFonts w:ascii="Arial" w:hAnsi="Arial" w:cs="Arial"/>
                <w:i/>
                <w:color w:val="000000" w:themeColor="text1"/>
                <w:sz w:val="20"/>
              </w:rPr>
            </w:pPr>
            <w:r w:rsidRPr="000E0F90">
              <w:rPr>
                <w:rFonts w:ascii="Arial" w:hAnsi="Arial" w:cs="Arial"/>
                <w:i/>
                <w:color w:val="000000" w:themeColor="text1"/>
                <w:sz w:val="20"/>
              </w:rPr>
              <w:t xml:space="preserve">Construir la capacidad, motivación e interés de los individuos, comunidades y otras colectividades en los procesos de toma de decisión  </w:t>
            </w:r>
            <w:r w:rsidR="00B307B3" w:rsidRPr="000E0F90">
              <w:rPr>
                <w:rFonts w:ascii="Arial" w:hAnsi="Arial" w:cs="Arial"/>
                <w:i/>
                <w:color w:val="000000" w:themeColor="text1"/>
                <w:sz w:val="20"/>
              </w:rPr>
              <w:t xml:space="preserve">Asegurar que los procesos de toma de decisión se basan en participación activa, </w:t>
            </w:r>
            <w:r w:rsidRPr="000E0F90">
              <w:rPr>
                <w:rFonts w:ascii="Arial" w:hAnsi="Arial" w:cs="Arial"/>
                <w:i/>
                <w:color w:val="000000" w:themeColor="text1"/>
                <w:sz w:val="20"/>
              </w:rPr>
              <w:t xml:space="preserve">informada, </w:t>
            </w:r>
            <w:r w:rsidR="00B307B3" w:rsidRPr="000E0F90">
              <w:rPr>
                <w:rFonts w:ascii="Arial" w:hAnsi="Arial" w:cs="Arial"/>
                <w:i/>
                <w:color w:val="000000" w:themeColor="text1"/>
                <w:sz w:val="20"/>
              </w:rPr>
              <w:t xml:space="preserve">inclusiva, </w:t>
            </w:r>
            <w:r w:rsidR="00DF1222" w:rsidRPr="000E0F90">
              <w:rPr>
                <w:rFonts w:ascii="Arial" w:hAnsi="Arial" w:cs="Arial"/>
                <w:i/>
                <w:color w:val="000000" w:themeColor="text1"/>
                <w:sz w:val="20"/>
              </w:rPr>
              <w:t>abierta</w:t>
            </w:r>
            <w:r w:rsidR="00B307B3" w:rsidRPr="000E0F90">
              <w:rPr>
                <w:rFonts w:ascii="Arial" w:hAnsi="Arial" w:cs="Arial"/>
                <w:i/>
                <w:color w:val="000000" w:themeColor="text1"/>
                <w:sz w:val="20"/>
              </w:rPr>
              <w:t xml:space="preserve"> y transparente, de forma que la opinión de todos los individuos y colectividades pueda ser escuchado</w:t>
            </w:r>
            <w:r w:rsidR="00DF1222" w:rsidRPr="000E0F90">
              <w:rPr>
                <w:rFonts w:ascii="Arial" w:hAnsi="Arial" w:cs="Arial"/>
                <w:i/>
                <w:color w:val="000000" w:themeColor="text1"/>
                <w:sz w:val="20"/>
              </w:rPr>
              <w:t>, dando mayor atención al fomento de interés recíproco y responsabilidad colectiva.</w:t>
            </w:r>
            <w:r w:rsidRPr="000E0F90">
              <w:rPr>
                <w:rFonts w:ascii="Arial" w:hAnsi="Arial" w:cs="Arial"/>
                <w:i/>
                <w:color w:val="000000" w:themeColor="text1"/>
                <w:sz w:val="20"/>
              </w:rPr>
              <w:t xml:space="preserve"> </w:t>
            </w:r>
            <w:r w:rsidRPr="000E0F90">
              <w:rPr>
                <w:rFonts w:ascii="Arial" w:hAnsi="Arial" w:cs="Arial"/>
                <w:i/>
                <w:color w:val="000000" w:themeColor="text1"/>
                <w:sz w:val="20"/>
              </w:rPr>
              <w:fldChar w:fldCharType="begin" w:fldLock="1"/>
            </w:r>
            <w:r w:rsidR="00493C7D" w:rsidRPr="000E0F90">
              <w:rPr>
                <w:rFonts w:ascii="Arial" w:hAnsi="Arial" w:cs="Arial"/>
                <w:i/>
                <w:color w:val="000000" w:themeColor="text1"/>
                <w:sz w:val="20"/>
              </w:rPr>
              <w:instrText>ADDIN CSL_CITATION { "citationItems" : [ { "id" : "ITEM-1", "itemData" : { "ISBN" : "9781844070503", "author" : [ { "dropping-particle" : "", "family" : "Gibson", "given" : "Robert B.", "non-dropping-particle" : "", "parse-names" : false, "suffix" : "" } ], "id" : "ITEM-1", "issued" : { "date-parts" : [ [ "2005" ] ] }, "page" : "269", "publisher" : "Earthscan", "title" : "Sustainability Assessment. Criteria, Processes and Applications", "type" : "book" }, "uris" : [ "http://www.mendeley.com/documents/?uuid=566b52ab-35b0-4a0c-b91f-1bf25d523ac7" ] }, { "id" : "ITEM-2", "itemData" : { "author" : [ { "dropping-particle" : "", "family" : "Morrison-saunders", "given" : "Angus", "non-dropping-particle" : "", "parse-names" : false, "suffix" : "" }, { "dropping-particle" : "", "family" : "Hodgson", "given" : "Nicole", "non-dropping-particle" : "", "parse-names" : false, "suffix" : "" } ], "container-title" : "Assessment", "id" : "ITEM-2", "issue" : "September", "issued" : { "date-parts" : [ [ "2009" ] ] }, "page" : "1-6", "title" : "Applying Sustainability Principles in Practice : Guidance for Assessing Individual Proposals", "type" : "article-journal" }, "uris" : [ "http://www.mendeley.com/documents/?uuid=8eac9b1a-a579-4134-9969-a97b9c129d7b" ] }, { "id" : "ITEM-3", "itemData" : { "DOI" : "10.1016/j.landurbplan.2013.06.002", "ISBN" : "0169-2046", "ISSN" : "01692046", "abstract" : "The proportion of urban population is increasing globally. Climate change, biodiversity loss, and environmental pollution are leading to the urgent need to increase sustainable development of and through cities and their components. Encouraging and enabling sustainable lifestyles of urban inhabitants can be fostered by developing sustainable urban neighborhoods as the nuclei of cities. Numerous approaches exist that define principles for guiding sustainable development processes of urban neighborhoods. However, it remains unclear if these approaches really consider the core objectives that should be achieved and key actions that are involved to move toward sustainability. This study represents the first quantitative review that evaluates the principles for sustainable urban neighborhood development based on the available literature. We thus (i) identify promising approaches that present principles close to core criteria for sustainability and (ii) provide starting points for developing a more robust set of principles by bringing together the examined literature. Furthermore (iii), sustainability aspects that are insufficiently covered are highlighted. Based on the findings (iv) a road map is outlined to encourage further research on the elaboration of a sufficient set of principles for sustainable urban neighborhood development. \u00a9 2013 Elsevier B.V.", "author" : [ { "dropping-particle" : "", "family" : "Luederitz", "given" : "Christopher", "non-dropping-particle" : "", "parse-names" : false, "suffix" : "" }, { "dropping-particle" : "", "family" : "Lang", "given" : "Daniel J.", "non-dropping-particle" : "", "parse-names" : false, "suffix" : "" }, { "dropping-particle" : "", "family" : "Wehrden", "given" : "Henrik", "non-dropping-particle" : "Von", "parse-names" : false, "suffix" : "" } ], "container-title" : "Landscape and Urban Planning", "id" : "ITEM-3", "issued" : { "date-parts" : [ [ "2013" ] ] }, "page" : "40-52", "publisher" : "Elsevier B.V.", "title" : "A systematic review of guiding principles for sustainable urban neighborhood development", "type" : "article-journal", "volume" : "118" }, "uris" : [ "http://www.mendeley.com/documents/?uuid=6bcfcece-dda2-466f-b77d-29fdaec204ad" ] } ], "mendeley" : { "formattedCitation" : "(Gibson, 2005; Luederitz et al., 2013; Morrison-saunders &amp; Hodgson, 2009)", "plainTextFormattedCitation" : "(Gibson, 2005; Luederitz et al., 2013; Morrison-saunders &amp; Hodgson, 2009)", "previouslyFormattedCitation" : "(Gibson, 2005; Luederitz et al., 2013; Morrison-saunders &amp; Hodgson, 2009)" }, "properties" : { "noteIndex" : 0 }, "schema" : "https://github.com/citation-style-language/schema/raw/master/csl-citation.json" }</w:instrText>
            </w:r>
            <w:r w:rsidRPr="000E0F90">
              <w:rPr>
                <w:rFonts w:ascii="Arial" w:hAnsi="Arial" w:cs="Arial"/>
                <w:i/>
                <w:color w:val="000000" w:themeColor="text1"/>
                <w:sz w:val="20"/>
              </w:rPr>
              <w:fldChar w:fldCharType="separate"/>
            </w:r>
            <w:r w:rsidRPr="000E0F90">
              <w:rPr>
                <w:rFonts w:ascii="Arial" w:hAnsi="Arial" w:cs="Arial"/>
                <w:noProof/>
                <w:color w:val="000000" w:themeColor="text1"/>
                <w:sz w:val="20"/>
              </w:rPr>
              <w:t>(Gibson, 2005; Luederitz et al., 2013; Morrison-saunders &amp; Hodgson, 2009)</w:t>
            </w:r>
            <w:r w:rsidRPr="000E0F90">
              <w:rPr>
                <w:rFonts w:ascii="Arial" w:hAnsi="Arial" w:cs="Arial"/>
                <w:i/>
                <w:color w:val="000000" w:themeColor="text1"/>
                <w:sz w:val="20"/>
              </w:rPr>
              <w:fldChar w:fldCharType="end"/>
            </w:r>
            <w:r w:rsidRPr="000E0F90">
              <w:rPr>
                <w:rFonts w:ascii="Arial" w:hAnsi="Arial" w:cs="Arial"/>
                <w:i/>
                <w:color w:val="000000" w:themeColor="text1"/>
                <w:sz w:val="20"/>
              </w:rPr>
              <w:t>.</w:t>
            </w:r>
          </w:p>
        </w:tc>
      </w:tr>
      <w:tr w:rsidR="00B307B3" w:rsidRPr="00AF6811" w:rsidTr="002A21E4">
        <w:tc>
          <w:tcPr>
            <w:tcW w:w="2925" w:type="dxa"/>
            <w:tcBorders>
              <w:bottom w:val="single" w:sz="4" w:space="0" w:color="auto"/>
              <w:right w:val="nil"/>
            </w:tcBorders>
            <w:shd w:val="clear" w:color="auto" w:fill="D9D9D9" w:themeFill="background1" w:themeFillShade="D9"/>
          </w:tcPr>
          <w:p w:rsidR="00B307B3" w:rsidRPr="00AF6811" w:rsidRDefault="00AC278D" w:rsidP="00353519">
            <w:pPr>
              <w:spacing w:after="0" w:line="240" w:lineRule="auto"/>
              <w:rPr>
                <w:rFonts w:ascii="Arial" w:hAnsi="Arial" w:cs="Arial"/>
                <w:b/>
                <w:color w:val="000000" w:themeColor="text1"/>
                <w:sz w:val="20"/>
              </w:rPr>
            </w:pPr>
            <w:r w:rsidRPr="00AF6811">
              <w:rPr>
                <w:rFonts w:ascii="Arial" w:hAnsi="Arial" w:cs="Arial"/>
                <w:b/>
                <w:color w:val="000000" w:themeColor="text1"/>
                <w:sz w:val="20"/>
              </w:rPr>
              <w:t>Criterio</w:t>
            </w:r>
          </w:p>
        </w:tc>
        <w:tc>
          <w:tcPr>
            <w:tcW w:w="5845" w:type="dxa"/>
            <w:tcBorders>
              <w:left w:val="nil"/>
              <w:bottom w:val="single" w:sz="4" w:space="0" w:color="auto"/>
            </w:tcBorders>
            <w:shd w:val="clear" w:color="auto" w:fill="D9D9D9" w:themeFill="background1" w:themeFillShade="D9"/>
          </w:tcPr>
          <w:p w:rsidR="00B307B3" w:rsidRPr="00AF6811" w:rsidRDefault="00AC278D" w:rsidP="00353519">
            <w:pPr>
              <w:spacing w:after="0" w:line="240" w:lineRule="auto"/>
              <w:rPr>
                <w:rFonts w:ascii="Arial" w:hAnsi="Arial" w:cs="Arial"/>
                <w:b/>
                <w:color w:val="000000" w:themeColor="text1"/>
                <w:sz w:val="20"/>
              </w:rPr>
            </w:pPr>
            <w:r w:rsidRPr="00AF6811">
              <w:rPr>
                <w:rFonts w:ascii="Arial" w:hAnsi="Arial" w:cs="Arial"/>
                <w:b/>
                <w:color w:val="000000" w:themeColor="text1"/>
                <w:sz w:val="20"/>
              </w:rPr>
              <w:t>Acción</w:t>
            </w:r>
          </w:p>
        </w:tc>
      </w:tr>
      <w:tr w:rsidR="00EF17C4" w:rsidRPr="00AF6811" w:rsidTr="002A21E4">
        <w:tc>
          <w:tcPr>
            <w:tcW w:w="2925" w:type="dxa"/>
            <w:vMerge w:val="restart"/>
            <w:tcBorders>
              <w:bottom w:val="nil"/>
              <w:right w:val="nil"/>
            </w:tcBorders>
          </w:tcPr>
          <w:p w:rsidR="00EF17C4" w:rsidRPr="00AF6811" w:rsidRDefault="00EF17C4" w:rsidP="00353519">
            <w:pPr>
              <w:spacing w:after="0" w:line="240" w:lineRule="auto"/>
              <w:rPr>
                <w:rFonts w:ascii="Arial" w:hAnsi="Arial" w:cs="Arial"/>
                <w:b/>
                <w:color w:val="000000" w:themeColor="text1"/>
                <w:sz w:val="20"/>
              </w:rPr>
            </w:pPr>
            <w:r w:rsidRPr="00AF6811">
              <w:rPr>
                <w:rFonts w:ascii="Arial" w:hAnsi="Arial" w:cs="Arial"/>
                <w:b/>
                <w:color w:val="000000" w:themeColor="text1"/>
                <w:sz w:val="20"/>
              </w:rPr>
              <w:t xml:space="preserve">Procesos de toma de decisión abiertos,  transparentes  y con participación pública activa comprometiendo comunidades y actores relevantes </w:t>
            </w:r>
            <w:r w:rsidRPr="00AF6811">
              <w:rPr>
                <w:rFonts w:ascii="Arial" w:hAnsi="Arial" w:cs="Arial"/>
                <w:b/>
                <w:color w:val="000000" w:themeColor="text1"/>
                <w:sz w:val="20"/>
              </w:rPr>
              <w:fldChar w:fldCharType="begin" w:fldLock="1"/>
            </w:r>
            <w:r w:rsidRPr="00AF6811">
              <w:rPr>
                <w:rFonts w:ascii="Arial" w:hAnsi="Arial" w:cs="Arial"/>
                <w:b/>
                <w:color w:val="000000" w:themeColor="text1"/>
                <w:sz w:val="20"/>
              </w:rPr>
              <w:instrText>ADDIN CSL_CITATION { "citationItems" : [ { "id" : "ITEM-1", "itemData" : { "author" : [ { "dropping-particle" : "", "family" : "Morrison-saunders", "given" : "Angus", "non-dropping-particle" : "", "parse-names" : false, "suffix" : "" }, { "dropping-particle" : "", "family" : "Hodgson", "given" : "Nicole", "non-dropping-particle" : "", "parse-names" : false, "suffix" : "" } ], "container-title" : "Assessment", "id" : "ITEM-1", "issue" : "September", "issued" : { "date-parts" : [ [ "2009" ] ] }, "page" : "1-6", "title" : "Applying Sustainability Principles in Practice : Guidance for Assessing Individual Proposals", "type" : "article-journal" }, "uris" : [ "http://www.mendeley.com/documents/?uuid=8eac9b1a-a579-4134-9969-a97b9c129d7b" ] } ], "mendeley" : { "formattedCitation" : "(Morrison-saunders &amp; Hodgson, 2009)", "plainTextFormattedCitation" : "(Morrison-saunders &amp; Hodgson, 2009)", "previouslyFormattedCitation" : "(Morrison-saunders &amp; Hodgson, 2009)" }, "properties" : { "noteIndex" : 0 }, "schema" : "https://github.com/citation-style-language/schema/raw/master/csl-citation.json" }</w:instrText>
            </w:r>
            <w:r w:rsidRPr="00AF6811">
              <w:rPr>
                <w:rFonts w:ascii="Arial" w:hAnsi="Arial" w:cs="Arial"/>
                <w:b/>
                <w:color w:val="000000" w:themeColor="text1"/>
                <w:sz w:val="20"/>
              </w:rPr>
              <w:fldChar w:fldCharType="separate"/>
            </w:r>
            <w:r w:rsidRPr="00AF6811">
              <w:rPr>
                <w:rFonts w:ascii="Arial" w:hAnsi="Arial" w:cs="Arial"/>
                <w:b/>
                <w:noProof/>
                <w:color w:val="000000" w:themeColor="text1"/>
                <w:sz w:val="20"/>
              </w:rPr>
              <w:t>(Morrison-saunders &amp; Hodgson, 2009)</w:t>
            </w:r>
            <w:r w:rsidRPr="00AF6811">
              <w:rPr>
                <w:rFonts w:ascii="Arial" w:hAnsi="Arial" w:cs="Arial"/>
                <w:b/>
                <w:color w:val="000000" w:themeColor="text1"/>
                <w:sz w:val="20"/>
              </w:rPr>
              <w:fldChar w:fldCharType="end"/>
            </w:r>
            <w:r w:rsidRPr="00AF6811">
              <w:rPr>
                <w:rFonts w:ascii="Arial" w:hAnsi="Arial" w:cs="Arial"/>
                <w:b/>
                <w:color w:val="000000" w:themeColor="text1"/>
                <w:sz w:val="20"/>
              </w:rPr>
              <w:t xml:space="preserve"> </w:t>
            </w:r>
            <w:r w:rsidRPr="00AF6811">
              <w:rPr>
                <w:rFonts w:ascii="Arial" w:hAnsi="Arial" w:cs="Arial"/>
                <w:b/>
                <w:color w:val="000000" w:themeColor="text1"/>
                <w:sz w:val="20"/>
              </w:rPr>
              <w:fldChar w:fldCharType="begin" w:fldLock="1"/>
            </w:r>
            <w:r w:rsidRPr="00AF6811">
              <w:rPr>
                <w:rFonts w:ascii="Arial" w:hAnsi="Arial" w:cs="Arial"/>
                <w:b/>
                <w:color w:val="000000" w:themeColor="text1"/>
                <w:sz w:val="20"/>
              </w:rPr>
              <w:instrText>ADDIN CSL_CITATION { "citationItems" : [ { "id" : "ITEM-1", "itemData" : { "DOI" : "10.1016/j.landurbplan.2013.06.002", "ISBN" : "0169-2046", "ISSN" : "01692046", "abstract" : "The proportion of urban population is increasing globally. Climate change, biodiversity loss, and environmental pollution are leading to the urgent need to increase sustainable development of and through cities and their components. Encouraging and enabling sustainable lifestyles of urban inhabitants can be fostered by developing sustainable urban neighborhoods as the nuclei of cities. Numerous approaches exist that define principles for guiding sustainable development processes of urban neighborhoods. However, it remains unclear if these approaches really consider the core objectives that should be achieved and key actions that are involved to move toward sustainability. This study represents the first quantitative review that evaluates the principles for sustainable urban neighborhood development based on the available literature. We thus (i) identify promising approaches that present principles close to core criteria for sustainability and (ii) provide starting points for developing a more robust set of principles by bringing together the examined literature. Furthermore (iii), sustainability aspects that are insufficiently covered are highlighted. Based on the findings (iv) a road map is outlined to encourage further research on the elaboration of a sufficient set of principles for sustainable urban neighborhood development. \u00a9 2013 Elsevier B.V.", "author" : [ { "dropping-particle" : "", "family" : "Luederitz", "given" : "Christopher", "non-dropping-particle" : "", "parse-names" : false, "suffix" : "" }, { "dropping-particle" : "", "family" : "Lang", "given" : "Daniel J.", "non-dropping-particle" : "", "parse-names" : false, "suffix" : "" }, { "dropping-particle" : "", "family" : "Wehrden", "given" : "Henrik", "non-dropping-particle" : "Von", "parse-names" : false, "suffix" : "" } ], "container-title" : "Landscape and Urban Planning", "id" : "ITEM-1", "issued" : { "date-parts" : [ [ "2013" ] ] }, "page" : "40-52", "publisher" : "Elsevier B.V.", "title" : "A systematic review of guiding principles for sustainable urban neighborhood development", "type" : "article-journal", "volume" : "118" }, "uris" : [ "http://www.mendeley.com/documents/?uuid=6bcfcece-dda2-466f-b77d-29fdaec204ad" ] } ], "mendeley" : { "formattedCitation" : "(Luederitz et al., 2013)", "plainTextFormattedCitation" : "(Luederitz et al., 2013)", "previouslyFormattedCitation" : "(Luederitz et al., 2013)" }, "properties" : { "noteIndex" : 0 }, "schema" : "https://github.com/citation-style-language/schema/raw/master/csl-citation.json" }</w:instrText>
            </w:r>
            <w:r w:rsidRPr="00AF6811">
              <w:rPr>
                <w:rFonts w:ascii="Arial" w:hAnsi="Arial" w:cs="Arial"/>
                <w:b/>
                <w:color w:val="000000" w:themeColor="text1"/>
                <w:sz w:val="20"/>
              </w:rPr>
              <w:fldChar w:fldCharType="separate"/>
            </w:r>
            <w:r w:rsidRPr="00AF6811">
              <w:rPr>
                <w:rFonts w:ascii="Arial" w:hAnsi="Arial" w:cs="Arial"/>
                <w:b/>
                <w:noProof/>
                <w:color w:val="000000" w:themeColor="text1"/>
                <w:sz w:val="20"/>
              </w:rPr>
              <w:t>(Luederitz et al., 2013)</w:t>
            </w:r>
            <w:r w:rsidRPr="00AF6811">
              <w:rPr>
                <w:rFonts w:ascii="Arial" w:hAnsi="Arial" w:cs="Arial"/>
                <w:b/>
                <w:color w:val="000000" w:themeColor="text1"/>
                <w:sz w:val="20"/>
              </w:rPr>
              <w:fldChar w:fldCharType="end"/>
            </w:r>
            <w:r w:rsidRPr="00AF6811">
              <w:rPr>
                <w:rFonts w:ascii="Arial" w:hAnsi="Arial" w:cs="Arial"/>
                <w:b/>
                <w:color w:val="000000" w:themeColor="text1"/>
                <w:sz w:val="20"/>
              </w:rPr>
              <w:t xml:space="preserve"> </w:t>
            </w:r>
          </w:p>
        </w:tc>
        <w:tc>
          <w:tcPr>
            <w:tcW w:w="5845" w:type="dxa"/>
            <w:tcBorders>
              <w:left w:val="nil"/>
              <w:bottom w:val="nil"/>
            </w:tcBorders>
          </w:tcPr>
          <w:p w:rsidR="00EF17C4" w:rsidRPr="00CC033B" w:rsidRDefault="00EF17C4" w:rsidP="00F47423">
            <w:pPr>
              <w:spacing w:after="0" w:line="240" w:lineRule="auto"/>
              <w:rPr>
                <w:rFonts w:ascii="Arial" w:hAnsi="Arial" w:cs="Arial"/>
                <w:color w:val="000000" w:themeColor="text1"/>
                <w:sz w:val="20"/>
              </w:rPr>
            </w:pPr>
            <w:r w:rsidRPr="00CC033B">
              <w:rPr>
                <w:rFonts w:ascii="Arial" w:hAnsi="Arial" w:cs="Arial"/>
                <w:color w:val="000000" w:themeColor="text1"/>
                <w:sz w:val="20"/>
              </w:rPr>
              <w:t xml:space="preserve">Todos los miembros de la comunidad tienen </w:t>
            </w:r>
            <w:r w:rsidR="00F47423" w:rsidRPr="00CC033B">
              <w:rPr>
                <w:rFonts w:ascii="Arial" w:hAnsi="Arial" w:cs="Arial"/>
                <w:color w:val="000000" w:themeColor="text1"/>
                <w:sz w:val="20"/>
              </w:rPr>
              <w:t>la oportunidad de discutir</w:t>
            </w:r>
            <w:r w:rsidRPr="00CC033B">
              <w:rPr>
                <w:rFonts w:ascii="Arial" w:hAnsi="Arial" w:cs="Arial"/>
                <w:color w:val="000000" w:themeColor="text1"/>
                <w:sz w:val="20"/>
              </w:rPr>
              <w:t xml:space="preserve"> las propuestas, siendo sus visiones </w:t>
            </w:r>
            <w:r w:rsidRPr="00CC033B">
              <w:rPr>
                <w:rFonts w:ascii="Arial" w:hAnsi="Arial" w:cs="Arial"/>
                <w:color w:val="000000" w:themeColor="text1"/>
                <w:sz w:val="20"/>
                <w:szCs w:val="20"/>
              </w:rPr>
              <w:t xml:space="preserve">necesidades, valores y expectativas </w:t>
            </w:r>
            <w:r w:rsidRPr="00CC033B">
              <w:rPr>
                <w:rFonts w:ascii="Arial" w:hAnsi="Arial" w:cs="Arial"/>
                <w:color w:val="000000" w:themeColor="text1"/>
                <w:sz w:val="20"/>
              </w:rPr>
              <w:t xml:space="preserve">tomadas en consideración </w:t>
            </w:r>
            <w:r w:rsidRPr="00CC033B">
              <w:rPr>
                <w:rFonts w:ascii="Arial" w:hAnsi="Arial" w:cs="Arial"/>
                <w:color w:val="000000" w:themeColor="text1"/>
                <w:sz w:val="20"/>
              </w:rPr>
              <w:fldChar w:fldCharType="begin" w:fldLock="1"/>
            </w:r>
            <w:r w:rsidRPr="00CC033B">
              <w:rPr>
                <w:rFonts w:ascii="Arial" w:hAnsi="Arial" w:cs="Arial"/>
                <w:color w:val="000000" w:themeColor="text1"/>
                <w:sz w:val="20"/>
              </w:rPr>
              <w:instrText>ADDIN CSL_CITATION { "citationItems" : [ { "id" : "ITEM-1", "itemData" : { "DOI" : "10.1016/j.eiar.2012.12.004", "ISBN" : "0195-9255", "ISSN" : "01959255", "abstract" : "This paper presents a framework for analysing the degree of consideration of sustainability principles in Strategic environmental assessment (SEA), and demonstrates its application to a sample of SEA of Italian urban plans. The framework is based on Gibson's (2006) sustainability principles, which are linked to a number of guidance criteria and eventually to review questions, resulting from an extensive literature review. A total of 71 questions are included in the framework, which gives particular emphasis to key concepts, such as intragenerational and intergenerational equity. The framework was applied to review the Environmental Report of the urban plans of 15 major Italian cities. The results of this review show that, even if sustainability is commonly considered as a pivotal concept, there is still work to be done in order to effectively integrate sustainability principles into SEA. In particular, most of the attention is given to mitigation and compensation measures, rather than to actual attempts to propose more sustainable planning decisions in the first place. Concerning the proposed framework of analysis, further research is required to clarify equity concerns and particularly to identify suitable indicators for operationalizing the concepts of intra/inter-generational equity in decision-making. ?? 2012 Elsevier Inc.", "author" : [ { "dropping-particle" : "", "family" : "Lamorgese", "given" : "Lydia", "non-dropping-particle" : "", "parse-names" : false, "suffix" : "" }, { "dropping-particle" : "", "family" : "Geneletti", "given" : "Davide", "non-dropping-particle" : "", "parse-names" : false, "suffix" : "" } ], "container-title" : "Environmental Impact Assessment Review", "id" : "ITEM-1", "issued" : { "date-parts" : [ [ "2013" ] ] }, "page" : "116-126", "publisher" : "Elsevier Inc.", "title" : "Sustainability principles in strategic environmental assessment: A framework for analysis and examples from Italian urban planning", "type" : "article-journal", "volume" : "42" }, "uris" : [ "http://www.mendeley.com/documents/?uuid=50281d85-3e46-42bb-9a5c-be11d8f3b1d0" ] } ], "mendeley" : { "formattedCitation" : "(Lamorgese &amp; Geneletti, 2013)", "plainTextFormattedCitation" : "(Lamorgese &amp; Geneletti, 2013)", "previouslyFormattedCitation" : "(Lamorgese &amp; Geneletti, 2013)" }, "properties" : { "noteIndex" : 0 }, "schema" : "https://github.com/citation-style-language/schema/raw/master/csl-citation.json" }</w:instrText>
            </w:r>
            <w:r w:rsidRPr="00CC033B">
              <w:rPr>
                <w:rFonts w:ascii="Arial" w:hAnsi="Arial" w:cs="Arial"/>
                <w:color w:val="000000" w:themeColor="text1"/>
                <w:sz w:val="20"/>
              </w:rPr>
              <w:fldChar w:fldCharType="separate"/>
            </w:r>
            <w:r w:rsidRPr="00CC033B">
              <w:rPr>
                <w:rFonts w:ascii="Arial" w:hAnsi="Arial" w:cs="Arial"/>
                <w:noProof/>
                <w:color w:val="000000" w:themeColor="text1"/>
                <w:sz w:val="20"/>
              </w:rPr>
              <w:t>(Lamorgese &amp; Geneletti, 2013)</w:t>
            </w:r>
            <w:r w:rsidRPr="00CC033B">
              <w:rPr>
                <w:rFonts w:ascii="Arial" w:hAnsi="Arial" w:cs="Arial"/>
                <w:color w:val="000000" w:themeColor="text1"/>
                <w:sz w:val="20"/>
              </w:rPr>
              <w:fldChar w:fldCharType="end"/>
            </w:r>
            <w:r w:rsidR="002F31FE" w:rsidRPr="00CC033B">
              <w:rPr>
                <w:rFonts w:ascii="Arial" w:hAnsi="Arial" w:cs="Arial"/>
                <w:color w:val="000000" w:themeColor="text1"/>
                <w:sz w:val="20"/>
              </w:rPr>
              <w:t xml:space="preserve">. </w:t>
            </w:r>
            <w:r w:rsidR="00F47423" w:rsidRPr="00CC033B">
              <w:rPr>
                <w:rFonts w:ascii="Arial" w:hAnsi="Arial" w:cs="Arial"/>
                <w:color w:val="000000" w:themeColor="text1"/>
                <w:sz w:val="20"/>
              </w:rPr>
              <w:t xml:space="preserve">En particular en temas que influencias sus formas de vida </w:t>
            </w:r>
            <w:r w:rsidR="00F47423" w:rsidRPr="00CC033B">
              <w:rPr>
                <w:rFonts w:ascii="Arial" w:hAnsi="Arial" w:cs="Arial"/>
                <w:color w:val="000000" w:themeColor="text1"/>
                <w:sz w:val="20"/>
              </w:rPr>
              <w:fldChar w:fldCharType="begin" w:fldLock="1"/>
            </w:r>
            <w:r w:rsidR="00F47423" w:rsidRPr="00CC033B">
              <w:rPr>
                <w:rFonts w:ascii="Arial" w:hAnsi="Arial" w:cs="Arial"/>
                <w:color w:val="000000" w:themeColor="text1"/>
                <w:sz w:val="20"/>
              </w:rPr>
              <w:instrText>ADDIN CSL_CITATION { "citationItems" : [ { "id" : "ITEM-1", "itemData" : { "DOI" : "10.1016/S0959-6526(03)00075-1", "ISBN" : "4414836891", "ISSN" : "09596526", "author" : [ { "dropping-particle" : "", "family" : "Azapagic", "given" : "Adisa", "non-dropping-particle" : "", "parse-names" : false, "suffix" : "" } ], "container-title" : "Journal of Cleaner Production", "id" : "ITEM-1", "issue" : "6", "issued" : { "date-parts" : [ [ "2004", "8" ] ] }, "page" : "639-662", "title" : "Developing a framework for sustainable development indicators for the mining and minerals industry", "type" : "article-journal", "volume" : "12" }, "uris" : [ "http://www.mendeley.com/documents/?uuid=a36976cf-2e0f-4c41-bd50-7ef9e97ed91f" ] } ], "mendeley" : { "formattedCitation" : "(Azapagic, 2004)", "plainTextFormattedCitation" : "(Azapagic, 2004)", "previouslyFormattedCitation" : "(Azapagic, 2004)" }, "properties" : { "noteIndex" : 0 }, "schema" : "https://github.com/citation-style-language/schema/raw/master/csl-citation.json" }</w:instrText>
            </w:r>
            <w:r w:rsidR="00F47423" w:rsidRPr="00CC033B">
              <w:rPr>
                <w:rFonts w:ascii="Arial" w:hAnsi="Arial" w:cs="Arial"/>
                <w:color w:val="000000" w:themeColor="text1"/>
                <w:sz w:val="20"/>
              </w:rPr>
              <w:fldChar w:fldCharType="separate"/>
            </w:r>
            <w:r w:rsidR="00F47423" w:rsidRPr="00CC033B">
              <w:rPr>
                <w:rFonts w:ascii="Arial" w:hAnsi="Arial" w:cs="Arial"/>
                <w:noProof/>
                <w:color w:val="000000" w:themeColor="text1"/>
                <w:sz w:val="20"/>
              </w:rPr>
              <w:t>(Azapagic, 2004)</w:t>
            </w:r>
            <w:r w:rsidR="00F47423" w:rsidRPr="00CC033B">
              <w:rPr>
                <w:rFonts w:ascii="Arial" w:hAnsi="Arial" w:cs="Arial"/>
                <w:color w:val="000000" w:themeColor="text1"/>
                <w:sz w:val="20"/>
              </w:rPr>
              <w:fldChar w:fldCharType="end"/>
            </w:r>
          </w:p>
        </w:tc>
      </w:tr>
      <w:tr w:rsidR="00EF17C4" w:rsidRPr="00AF6811" w:rsidTr="002A21E4">
        <w:tc>
          <w:tcPr>
            <w:tcW w:w="2925" w:type="dxa"/>
            <w:vMerge/>
            <w:tcBorders>
              <w:top w:val="nil"/>
              <w:bottom w:val="nil"/>
              <w:right w:val="nil"/>
            </w:tcBorders>
            <w:vAlign w:val="bottom"/>
          </w:tcPr>
          <w:p w:rsidR="00EF17C4" w:rsidRPr="00AF6811" w:rsidRDefault="00EF17C4" w:rsidP="00353519">
            <w:pPr>
              <w:spacing w:after="0" w:line="240" w:lineRule="auto"/>
              <w:rPr>
                <w:rFonts w:ascii="Arial" w:hAnsi="Arial" w:cs="Arial"/>
                <w:color w:val="000000" w:themeColor="text1"/>
                <w:sz w:val="20"/>
              </w:rPr>
            </w:pPr>
          </w:p>
        </w:tc>
        <w:tc>
          <w:tcPr>
            <w:tcW w:w="5845" w:type="dxa"/>
            <w:tcBorders>
              <w:top w:val="nil"/>
              <w:left w:val="nil"/>
              <w:bottom w:val="nil"/>
            </w:tcBorders>
            <w:vAlign w:val="bottom"/>
          </w:tcPr>
          <w:p w:rsidR="00EF17C4" w:rsidRPr="00CC033B" w:rsidRDefault="00EF17C4" w:rsidP="00353519">
            <w:pPr>
              <w:spacing w:after="0" w:line="240" w:lineRule="auto"/>
              <w:rPr>
                <w:rFonts w:ascii="Arial" w:hAnsi="Arial" w:cs="Arial"/>
                <w:color w:val="000000" w:themeColor="text1"/>
                <w:sz w:val="20"/>
              </w:rPr>
            </w:pPr>
            <w:r w:rsidRPr="00CC033B">
              <w:rPr>
                <w:rFonts w:ascii="Arial" w:hAnsi="Arial" w:cs="Arial"/>
                <w:color w:val="000000" w:themeColor="text1"/>
                <w:sz w:val="20"/>
              </w:rPr>
              <w:t xml:space="preserve">Derecho de acceso a la información y participación en los procesos de toma de decisión públicos </w:t>
            </w:r>
            <w:r w:rsidRPr="00CC033B">
              <w:rPr>
                <w:rFonts w:ascii="Arial" w:hAnsi="Arial" w:cs="Arial"/>
                <w:color w:val="000000" w:themeColor="text1"/>
                <w:sz w:val="20"/>
              </w:rPr>
              <w:fldChar w:fldCharType="begin" w:fldLock="1"/>
            </w:r>
            <w:r w:rsidRPr="00CC033B">
              <w:rPr>
                <w:rFonts w:ascii="Arial" w:hAnsi="Arial" w:cs="Arial"/>
                <w:color w:val="000000" w:themeColor="text1"/>
                <w:sz w:val="20"/>
              </w:rPr>
              <w:instrText>ADDIN CSL_CITATION { "citationItems" : [ { "id" : "ITEM-1", "itemData" : { "DOI" : "10.1016/j.eiar.2012.12.004", "ISBN" : "0195-9255", "ISSN" : "01959255", "abstract" : "This paper presents a framework for analysing the degree of consideration of sustainability principles in Strategic environmental assessment (SEA), and demonstrates its application to a sample of SEA of Italian urban plans. The framework is based on Gibson's (2006) sustainability principles, which are linked to a number of guidance criteria and eventually to review questions, resulting from an extensive literature review. A total of 71 questions are included in the framework, which gives particular emphasis to key concepts, such as intragenerational and intergenerational equity. The framework was applied to review the Environmental Report of the urban plans of 15 major Italian cities. The results of this review show that, even if sustainability is commonly considered as a pivotal concept, there is still work to be done in order to effectively integrate sustainability principles into SEA. In particular, most of the attention is given to mitigation and compensation measures, rather than to actual attempts to propose more sustainable planning decisions in the first place. Concerning the proposed framework of analysis, further research is required to clarify equity concerns and particularly to identify suitable indicators for operationalizing the concepts of intra/inter-generational equity in decision-making. ?? 2012 Elsevier Inc.", "author" : [ { "dropping-particle" : "", "family" : "Lamorgese", "given" : "Lydia", "non-dropping-particle" : "", "parse-names" : false, "suffix" : "" }, { "dropping-particle" : "", "family" : "Geneletti", "given" : "Davide", "non-dropping-particle" : "", "parse-names" : false, "suffix" : "" } ], "container-title" : "Environmental Impact Assessment Review", "id" : "ITEM-1", "issued" : { "date-parts" : [ [ "2013" ] ] }, "page" : "116-126", "publisher" : "Elsevier Inc.", "title" : "Sustainability principles in strategic environmental assessment: A framework for analysis and examples from Italian urban planning", "type" : "article-journal", "volume" : "42" }, "uris" : [ "http://www.mendeley.com/documents/?uuid=50281d85-3e46-42bb-9a5c-be11d8f3b1d0" ] } ], "mendeley" : { "formattedCitation" : "(Lamorgese &amp; Geneletti, 2013)", "plainTextFormattedCitation" : "(Lamorgese &amp; Geneletti, 2013)", "previouslyFormattedCitation" : "(Lamorgese &amp; Geneletti, 2013)" }, "properties" : { "noteIndex" : 0 }, "schema" : "https://github.com/citation-style-language/schema/raw/master/csl-citation.json" }</w:instrText>
            </w:r>
            <w:r w:rsidRPr="00CC033B">
              <w:rPr>
                <w:rFonts w:ascii="Arial" w:hAnsi="Arial" w:cs="Arial"/>
                <w:color w:val="000000" w:themeColor="text1"/>
                <w:sz w:val="20"/>
              </w:rPr>
              <w:fldChar w:fldCharType="separate"/>
            </w:r>
            <w:r w:rsidRPr="00CC033B">
              <w:rPr>
                <w:rFonts w:ascii="Arial" w:hAnsi="Arial" w:cs="Arial"/>
                <w:noProof/>
                <w:color w:val="000000" w:themeColor="text1"/>
                <w:sz w:val="20"/>
              </w:rPr>
              <w:t>(Lamorgese &amp; Geneletti, 2013)</w:t>
            </w:r>
            <w:r w:rsidRPr="00CC033B">
              <w:rPr>
                <w:rFonts w:ascii="Arial" w:hAnsi="Arial" w:cs="Arial"/>
                <w:color w:val="000000" w:themeColor="text1"/>
                <w:sz w:val="20"/>
              </w:rPr>
              <w:fldChar w:fldCharType="end"/>
            </w:r>
            <w:r w:rsidR="00F47423" w:rsidRPr="00CC033B">
              <w:rPr>
                <w:rFonts w:ascii="Arial" w:hAnsi="Arial" w:cs="Arial"/>
                <w:color w:val="000000" w:themeColor="text1"/>
                <w:sz w:val="20"/>
              </w:rPr>
              <w:t xml:space="preserve"> Deliberaciones más abiertas e informadas </w:t>
            </w:r>
            <w:r w:rsidR="00F47423" w:rsidRPr="00CC033B">
              <w:rPr>
                <w:rFonts w:ascii="Arial" w:hAnsi="Arial" w:cs="Arial"/>
                <w:color w:val="000000" w:themeColor="text1"/>
                <w:sz w:val="20"/>
              </w:rPr>
              <w:fldChar w:fldCharType="begin" w:fldLock="1"/>
            </w:r>
            <w:r w:rsidR="00F47423" w:rsidRPr="00CC033B">
              <w:rPr>
                <w:rFonts w:ascii="Arial" w:hAnsi="Arial" w:cs="Arial"/>
                <w:color w:val="000000" w:themeColor="text1"/>
                <w:sz w:val="20"/>
              </w:rPr>
              <w:instrText>ADDIN CSL_CITATION { "citationItems" : [ { "id" : "ITEM-1", "itemData" : { "ISBN" : "9781844070503", "author" : [ { "dropping-particle" : "", "family" : "Gibson", "given" : "Robert B.", "non-dropping-particle" : "", "parse-names" : false, "suffix" : "" } ], "id" : "ITEM-1", "issued" : { "date-parts" : [ [ "2005" ] ] }, "page" : "269", "publisher" : "Earthscan", "title" : "Sustainability Assessment. Criteria, Processes and Applications", "type" : "book" }, "uris" : [ "http://www.mendeley.com/documents/?uuid=566b52ab-35b0-4a0c-b91f-1bf25d523ac7" ] } ], "mendeley" : { "formattedCitation" : "(Gibson, 2005)", "plainTextFormattedCitation" : "(Gibson, 2005)", "previouslyFormattedCitation" : "(Gibson, 2005)" }, "properties" : { "noteIndex" : 0 }, "schema" : "https://github.com/citation-style-language/schema/raw/master/csl-citation.json" }</w:instrText>
            </w:r>
            <w:r w:rsidR="00F47423" w:rsidRPr="00CC033B">
              <w:rPr>
                <w:rFonts w:ascii="Arial" w:hAnsi="Arial" w:cs="Arial"/>
                <w:color w:val="000000" w:themeColor="text1"/>
                <w:sz w:val="20"/>
              </w:rPr>
              <w:fldChar w:fldCharType="separate"/>
            </w:r>
            <w:r w:rsidR="00F47423" w:rsidRPr="00CC033B">
              <w:rPr>
                <w:rFonts w:ascii="Arial" w:hAnsi="Arial" w:cs="Arial"/>
                <w:noProof/>
                <w:color w:val="000000" w:themeColor="text1"/>
                <w:sz w:val="20"/>
              </w:rPr>
              <w:t>(Gibson, 2005)</w:t>
            </w:r>
            <w:r w:rsidR="00F47423" w:rsidRPr="00CC033B">
              <w:rPr>
                <w:rFonts w:ascii="Arial" w:hAnsi="Arial" w:cs="Arial"/>
                <w:color w:val="000000" w:themeColor="text1"/>
                <w:sz w:val="20"/>
              </w:rPr>
              <w:fldChar w:fldCharType="end"/>
            </w:r>
            <w:r w:rsidR="00F47423" w:rsidRPr="00CC033B">
              <w:rPr>
                <w:rFonts w:ascii="Arial" w:hAnsi="Arial" w:cs="Arial"/>
                <w:color w:val="000000" w:themeColor="text1"/>
                <w:sz w:val="20"/>
              </w:rPr>
              <w:t>.</w:t>
            </w:r>
          </w:p>
        </w:tc>
      </w:tr>
      <w:tr w:rsidR="00EF17C4" w:rsidRPr="00AF6811" w:rsidTr="002A21E4">
        <w:tc>
          <w:tcPr>
            <w:tcW w:w="2925" w:type="dxa"/>
            <w:vMerge/>
            <w:tcBorders>
              <w:top w:val="nil"/>
              <w:bottom w:val="nil"/>
              <w:right w:val="nil"/>
            </w:tcBorders>
          </w:tcPr>
          <w:p w:rsidR="00EF17C4" w:rsidRPr="00AF6811" w:rsidRDefault="00EF17C4" w:rsidP="00353519">
            <w:pPr>
              <w:spacing w:after="0" w:line="240" w:lineRule="auto"/>
              <w:rPr>
                <w:rFonts w:ascii="Arial" w:hAnsi="Arial" w:cs="Arial"/>
                <w:color w:val="000000" w:themeColor="text1"/>
                <w:sz w:val="20"/>
              </w:rPr>
            </w:pPr>
          </w:p>
        </w:tc>
        <w:tc>
          <w:tcPr>
            <w:tcW w:w="5845" w:type="dxa"/>
            <w:tcBorders>
              <w:top w:val="nil"/>
              <w:left w:val="nil"/>
              <w:bottom w:val="nil"/>
            </w:tcBorders>
          </w:tcPr>
          <w:p w:rsidR="00EF17C4" w:rsidRPr="00CC033B" w:rsidRDefault="00EF17C4" w:rsidP="00353519">
            <w:pPr>
              <w:spacing w:after="0" w:line="240" w:lineRule="auto"/>
              <w:rPr>
                <w:rFonts w:ascii="Arial" w:hAnsi="Arial" w:cs="Arial"/>
                <w:color w:val="000000" w:themeColor="text1"/>
                <w:sz w:val="20"/>
              </w:rPr>
            </w:pPr>
            <w:r w:rsidRPr="00CC033B">
              <w:rPr>
                <w:rFonts w:ascii="Arial" w:hAnsi="Arial" w:cs="Arial"/>
                <w:color w:val="000000" w:themeColor="text1"/>
                <w:sz w:val="20"/>
              </w:rPr>
              <w:t xml:space="preserve">Comprometer a las comunidades y privados en la visión futura, planificación y desarrollo del área propuesta </w:t>
            </w:r>
            <w:r w:rsidRPr="00CC033B">
              <w:rPr>
                <w:rFonts w:ascii="Arial" w:hAnsi="Arial" w:cs="Arial"/>
                <w:color w:val="000000" w:themeColor="text1"/>
                <w:sz w:val="20"/>
              </w:rPr>
              <w:fldChar w:fldCharType="begin" w:fldLock="1"/>
            </w:r>
            <w:r w:rsidRPr="00CC033B">
              <w:rPr>
                <w:rFonts w:ascii="Arial" w:hAnsi="Arial" w:cs="Arial"/>
                <w:color w:val="000000" w:themeColor="text1"/>
                <w:sz w:val="20"/>
              </w:rPr>
              <w:instrText>ADDIN CSL_CITATION { "citationItems" : [ { "id" : "ITEM-1", "itemData" : { "author" : [ { "dropping-particle" : "", "family" : "Morrison-saunders", "given" : "Angus", "non-dropping-particle" : "", "parse-names" : false, "suffix" : "" }, { "dropping-particle" : "", "family" : "Hodgson", "given" : "Nicole", "non-dropping-particle" : "", "parse-names" : false, "suffix" : "" } ], "container-title" : "Assessment", "id" : "ITEM-1", "issue" : "September", "issued" : { "date-parts" : [ [ "2009" ] ] }, "page" : "1-6", "title" : "Applying Sustainability Principles in Practice : Guidance for Assessing Individual Proposals", "type" : "article-journal" }, "uris" : [ "http://www.mendeley.com/documents/?uuid=8eac9b1a-a579-4134-9969-a97b9c129d7b" ] } ], "mendeley" : { "formattedCitation" : "(Morrison-saunders &amp; Hodgson, 2009)", "plainTextFormattedCitation" : "(Morrison-saunders &amp; Hodgson, 2009)", "previouslyFormattedCitation" : "(Morrison-saunders &amp; Hodgson, 2009)" }, "properties" : { "noteIndex" : 0 }, "schema" : "https://github.com/citation-style-language/schema/raw/master/csl-citation.json" }</w:instrText>
            </w:r>
            <w:r w:rsidRPr="00CC033B">
              <w:rPr>
                <w:rFonts w:ascii="Arial" w:hAnsi="Arial" w:cs="Arial"/>
                <w:color w:val="000000" w:themeColor="text1"/>
                <w:sz w:val="20"/>
              </w:rPr>
              <w:fldChar w:fldCharType="separate"/>
            </w:r>
            <w:r w:rsidRPr="00CC033B">
              <w:rPr>
                <w:rFonts w:ascii="Arial" w:hAnsi="Arial" w:cs="Arial"/>
                <w:noProof/>
                <w:color w:val="000000" w:themeColor="text1"/>
                <w:sz w:val="20"/>
              </w:rPr>
              <w:t>(Morrison-saunders &amp; Hodgson, 2009)</w:t>
            </w:r>
            <w:r w:rsidRPr="00CC033B">
              <w:rPr>
                <w:rFonts w:ascii="Arial" w:hAnsi="Arial" w:cs="Arial"/>
                <w:color w:val="000000" w:themeColor="text1"/>
                <w:sz w:val="20"/>
              </w:rPr>
              <w:fldChar w:fldCharType="end"/>
            </w:r>
          </w:p>
        </w:tc>
      </w:tr>
      <w:tr w:rsidR="00EF17C4" w:rsidRPr="00AF6811" w:rsidTr="002A21E4">
        <w:tc>
          <w:tcPr>
            <w:tcW w:w="2925" w:type="dxa"/>
            <w:vMerge/>
            <w:tcBorders>
              <w:top w:val="nil"/>
              <w:bottom w:val="nil"/>
              <w:right w:val="nil"/>
            </w:tcBorders>
          </w:tcPr>
          <w:p w:rsidR="00EF17C4" w:rsidRPr="00AF6811" w:rsidRDefault="00EF17C4" w:rsidP="00353519">
            <w:pPr>
              <w:spacing w:after="0" w:line="240" w:lineRule="auto"/>
              <w:rPr>
                <w:rFonts w:ascii="Arial" w:hAnsi="Arial" w:cs="Arial"/>
                <w:color w:val="000000" w:themeColor="text1"/>
                <w:sz w:val="20"/>
              </w:rPr>
            </w:pPr>
          </w:p>
        </w:tc>
        <w:tc>
          <w:tcPr>
            <w:tcW w:w="5845" w:type="dxa"/>
            <w:tcBorders>
              <w:top w:val="nil"/>
              <w:left w:val="nil"/>
              <w:bottom w:val="nil"/>
            </w:tcBorders>
          </w:tcPr>
          <w:p w:rsidR="00EF17C4" w:rsidRPr="00CC033B" w:rsidRDefault="00EF17C4" w:rsidP="00353519">
            <w:pPr>
              <w:spacing w:after="0" w:line="240" w:lineRule="auto"/>
              <w:rPr>
                <w:rFonts w:ascii="Arial" w:hAnsi="Arial" w:cs="Arial"/>
                <w:color w:val="000000" w:themeColor="text1"/>
                <w:sz w:val="20"/>
              </w:rPr>
            </w:pPr>
            <w:r w:rsidRPr="00CC033B">
              <w:rPr>
                <w:rFonts w:ascii="Arial" w:hAnsi="Arial" w:cs="Arial"/>
                <w:color w:val="000000" w:themeColor="text1"/>
                <w:sz w:val="20"/>
              </w:rPr>
              <w:t xml:space="preserve">Establecer objetivos de desarrollo claros y evitar desarrollos que generen daños irreversibles </w:t>
            </w:r>
            <w:r w:rsidRPr="00CC033B">
              <w:rPr>
                <w:rFonts w:ascii="Arial" w:hAnsi="Arial" w:cs="Arial"/>
                <w:color w:val="000000" w:themeColor="text1"/>
                <w:sz w:val="20"/>
              </w:rPr>
              <w:fldChar w:fldCharType="begin" w:fldLock="1"/>
            </w:r>
            <w:r w:rsidRPr="00CC033B">
              <w:rPr>
                <w:rFonts w:ascii="Arial" w:hAnsi="Arial" w:cs="Arial"/>
                <w:color w:val="000000" w:themeColor="text1"/>
                <w:sz w:val="20"/>
              </w:rPr>
              <w:instrText>ADDIN CSL_CITATION { "citationItems" : [ { "id" : "ITEM-1", "itemData" : { "DOI" : "10.1016/j.landurbplan.2013.06.002", "ISBN" : "0169-2046", "ISSN" : "01692046", "abstract" : "The proportion of urban population is increasing globally. Climate change, biodiversity loss, and environmental pollution are leading to the urgent need to increase sustainable development of and through cities and their components. Encouraging and enabling sustainable lifestyles of urban inhabitants can be fostered by developing sustainable urban neighborhoods as the nuclei of cities. Numerous approaches exist that define principles for guiding sustainable development processes of urban neighborhoods. However, it remains unclear if these approaches really consider the core objectives that should be achieved and key actions that are involved to move toward sustainability. This study represents the first quantitative review that evaluates the principles for sustainable urban neighborhood development based on the available literature. We thus (i) identify promising approaches that present principles close to core criteria for sustainability and (ii) provide starting points for developing a more robust set of principles by bringing together the examined literature. Furthermore (iii), sustainability aspects that are insufficiently covered are highlighted. Based on the findings (iv) a road map is outlined to encourage further research on the elaboration of a sufficient set of principles for sustainable urban neighborhood development. \u00a9 2013 Elsevier B.V.", "author" : [ { "dropping-particle" : "", "family" : "Luederitz", "given" : "Christopher", "non-dropping-particle" : "", "parse-names" : false, "suffix" : "" }, { "dropping-particle" : "", "family" : "Lang", "given" : "Daniel J.", "non-dropping-particle" : "", "parse-names" : false, "suffix" : "" }, { "dropping-particle" : "", "family" : "Wehrden", "given" : "Henrik", "non-dropping-particle" : "Von", "parse-names" : false, "suffix" : "" } ], "container-title" : "Landscape and Urban Planning", "id" : "ITEM-1", "issued" : { "date-parts" : [ [ "2013" ] ] }, "page" : "40-52", "publisher" : "Elsevier B.V.", "title" : "A systematic review of guiding principles for sustainable urban neighborhood development", "type" : "article-journal", "volume" : "118" }, "uris" : [ "http://www.mendeley.com/documents/?uuid=6bcfcece-dda2-466f-b77d-29fdaec204ad" ] } ], "mendeley" : { "formattedCitation" : "(Luederitz et al., 2013)", "plainTextFormattedCitation" : "(Luederitz et al., 2013)", "previouslyFormattedCitation" : "(Luederitz et al., 2013)" }, "properties" : { "noteIndex" : 0 }, "schema" : "https://github.com/citation-style-language/schema/raw/master/csl-citation.json" }</w:instrText>
            </w:r>
            <w:r w:rsidRPr="00CC033B">
              <w:rPr>
                <w:rFonts w:ascii="Arial" w:hAnsi="Arial" w:cs="Arial"/>
                <w:color w:val="000000" w:themeColor="text1"/>
                <w:sz w:val="20"/>
              </w:rPr>
              <w:fldChar w:fldCharType="separate"/>
            </w:r>
            <w:r w:rsidRPr="00CC033B">
              <w:rPr>
                <w:rFonts w:ascii="Arial" w:hAnsi="Arial" w:cs="Arial"/>
                <w:noProof/>
                <w:color w:val="000000" w:themeColor="text1"/>
                <w:sz w:val="20"/>
              </w:rPr>
              <w:t>(Luederitz et al., 2013)</w:t>
            </w:r>
            <w:r w:rsidRPr="00CC033B">
              <w:rPr>
                <w:rFonts w:ascii="Arial" w:hAnsi="Arial" w:cs="Arial"/>
                <w:color w:val="000000" w:themeColor="text1"/>
                <w:sz w:val="20"/>
              </w:rPr>
              <w:fldChar w:fldCharType="end"/>
            </w:r>
          </w:p>
        </w:tc>
      </w:tr>
      <w:tr w:rsidR="00EF3D39" w:rsidRPr="00AF6811" w:rsidTr="002A21E4">
        <w:tc>
          <w:tcPr>
            <w:tcW w:w="2925" w:type="dxa"/>
            <w:vMerge w:val="restart"/>
            <w:tcBorders>
              <w:top w:val="nil"/>
              <w:bottom w:val="nil"/>
              <w:right w:val="nil"/>
            </w:tcBorders>
          </w:tcPr>
          <w:p w:rsidR="00EF3D39" w:rsidRPr="00AF6811" w:rsidRDefault="00EF3D39" w:rsidP="002F31FE">
            <w:pPr>
              <w:spacing w:after="0" w:line="240" w:lineRule="auto"/>
              <w:rPr>
                <w:rFonts w:ascii="Arial" w:hAnsi="Arial" w:cs="Arial"/>
                <w:color w:val="000000" w:themeColor="text1"/>
                <w:sz w:val="20"/>
              </w:rPr>
            </w:pPr>
            <w:r w:rsidRPr="00AF6811">
              <w:rPr>
                <w:rFonts w:ascii="Arial" w:hAnsi="Arial" w:cs="Arial"/>
                <w:b/>
                <w:color w:val="000000" w:themeColor="text1"/>
                <w:sz w:val="20"/>
              </w:rPr>
              <w:t>Evitar inequidades en la capacidad de las personas para influenciar decisiones que afectan su medioambiente</w:t>
            </w:r>
            <w:r w:rsidRPr="00AF6811">
              <w:rPr>
                <w:rFonts w:ascii="Arial" w:hAnsi="Arial" w:cs="Arial"/>
                <w:color w:val="000000" w:themeColor="text1"/>
                <w:sz w:val="20"/>
              </w:rPr>
              <w:t xml:space="preserve"> (Lamorgese &amp; Geneletti, 2013); </w:t>
            </w:r>
          </w:p>
        </w:tc>
        <w:tc>
          <w:tcPr>
            <w:tcW w:w="5845" w:type="dxa"/>
            <w:tcBorders>
              <w:top w:val="nil"/>
              <w:left w:val="nil"/>
              <w:bottom w:val="nil"/>
            </w:tcBorders>
            <w:vAlign w:val="bottom"/>
          </w:tcPr>
          <w:p w:rsidR="00EF3D39" w:rsidRPr="00CC033B" w:rsidRDefault="00EF3D39" w:rsidP="00353519">
            <w:pPr>
              <w:spacing w:after="0" w:line="240" w:lineRule="auto"/>
              <w:rPr>
                <w:rFonts w:ascii="Arial" w:hAnsi="Arial" w:cs="Arial"/>
                <w:color w:val="000000" w:themeColor="text1"/>
                <w:sz w:val="20"/>
              </w:rPr>
            </w:pPr>
            <w:r w:rsidRPr="00CC033B">
              <w:rPr>
                <w:rFonts w:ascii="Arial" w:hAnsi="Arial" w:cs="Arial"/>
                <w:color w:val="000000" w:themeColor="text1"/>
                <w:sz w:val="20"/>
              </w:rPr>
              <w:t xml:space="preserve">Fortalecer la capacidad de los participantes para involucrarse activamente en las deliberaciones y asuntos públicos de tomas de decisión </w:t>
            </w:r>
            <w:r w:rsidRPr="00CC033B">
              <w:rPr>
                <w:rFonts w:ascii="Arial" w:hAnsi="Arial" w:cs="Arial"/>
                <w:color w:val="000000" w:themeColor="text1"/>
                <w:sz w:val="20"/>
              </w:rPr>
              <w:fldChar w:fldCharType="begin" w:fldLock="1"/>
            </w:r>
            <w:r w:rsidRPr="00CC033B">
              <w:rPr>
                <w:rFonts w:ascii="Arial" w:hAnsi="Arial" w:cs="Arial"/>
                <w:color w:val="000000" w:themeColor="text1"/>
                <w:sz w:val="20"/>
              </w:rPr>
              <w:instrText>ADDIN CSL_CITATION { "citationItems" : [ { "id" : "ITEM-1", "itemData" : { "DOI" : "10.3152/146155110X12772982841122", "ISSN" : "1461-5517", "abstract" : "Assessments today need to help reverse trends towards deeper unsustainability and address the unavoidable interconnections, feedbacks and uncertainties that typify complex socio-ecological systems at all scales. To illustrate one promising approach, this paper describes a modest effort to integrate understandings from Gibson et al\u2019s approach to sustainability assessment with the Resilience Alliance\u2019s applications of complex systems thinking into a suite of systems and sustainability based criteria. The integrated sustainability\u2013resilience criteria were used to assess an existing small-scale biodiesel operation on Barbados that involves waste management, public health, transportation, energy security and community involvement considerations. The assessment revealed that the main benefit of this biodiesel project is in social learning rather than enhancing energy security and waste management, and the best ways of enhancing the project lie in larger scale policy initiatives. The findings suggest that the use of a sustainability\u2013resilience approach can contribute insights unlikely to emerge from more narrowly focused assessments.", "author" : [ { "dropping-particle" : "", "family" : "Gaudreau", "given" : "Kyrke", "non-dropping-particle" : "", "parse-names" : false, "suffix" : "" }, { "dropping-particle" : "", "family" : "Gibson", "given" : "Robert B.", "non-dropping-particle" : "", "parse-names" : false, "suffix" : "" } ], "container-title" : "Impact Assessment and Project Appraisal", "id" : "ITEM-1", "issue" : "December", "issued" : { "date-parts" : [ [ "2010" ] ] }, "page" : "233-243", "title" : "Illustrating integrated sustainability and resilience based assessments: a small-scale biodiesel project in Barbados", "type" : "article-journal", "volume" : "28" }, "uris" : [ "http://www.mendeley.com/documents/?uuid=fee76635-1433-4c27-9c85-bbbf459c7e59" ] } ], "mendeley" : { "formattedCitation" : "(Gaudreau &amp; Gibson, 2010)", "plainTextFormattedCitation" : "(Gaudreau &amp; Gibson, 2010)", "previouslyFormattedCitation" : "(Gaudreau &amp; Gibson, 2010)" }, "properties" : { "noteIndex" : 0 }, "schema" : "https://github.com/citation-style-language/schema/raw/master/csl-citation.json" }</w:instrText>
            </w:r>
            <w:r w:rsidRPr="00CC033B">
              <w:rPr>
                <w:rFonts w:ascii="Arial" w:hAnsi="Arial" w:cs="Arial"/>
                <w:color w:val="000000" w:themeColor="text1"/>
                <w:sz w:val="20"/>
              </w:rPr>
              <w:fldChar w:fldCharType="separate"/>
            </w:r>
            <w:r w:rsidRPr="00CC033B">
              <w:rPr>
                <w:rFonts w:ascii="Arial" w:hAnsi="Arial" w:cs="Arial"/>
                <w:noProof/>
                <w:color w:val="000000" w:themeColor="text1"/>
                <w:sz w:val="20"/>
              </w:rPr>
              <w:t>(Gaudreau &amp; Gibson, 2010)</w:t>
            </w:r>
            <w:r w:rsidRPr="00CC033B">
              <w:rPr>
                <w:rFonts w:ascii="Arial" w:hAnsi="Arial" w:cs="Arial"/>
                <w:color w:val="000000" w:themeColor="text1"/>
                <w:sz w:val="20"/>
              </w:rPr>
              <w:fldChar w:fldCharType="end"/>
            </w:r>
            <w:r w:rsidRPr="00CC033B">
              <w:rPr>
                <w:rFonts w:ascii="Arial" w:hAnsi="Arial" w:cs="Arial"/>
                <w:color w:val="000000" w:themeColor="text1"/>
                <w:sz w:val="20"/>
              </w:rPr>
              <w:t xml:space="preserve"> Fomentar educación y entendimiento de las características ambientales </w:t>
            </w:r>
            <w:r w:rsidRPr="00CC033B">
              <w:rPr>
                <w:rFonts w:ascii="Arial" w:hAnsi="Arial" w:cs="Arial"/>
                <w:color w:val="000000" w:themeColor="text1"/>
                <w:sz w:val="20"/>
              </w:rPr>
              <w:fldChar w:fldCharType="begin" w:fldLock="1"/>
            </w:r>
            <w:r w:rsidRPr="00CC033B">
              <w:rPr>
                <w:rFonts w:ascii="Arial" w:hAnsi="Arial" w:cs="Arial"/>
                <w:color w:val="000000" w:themeColor="text1"/>
                <w:sz w:val="20"/>
              </w:rPr>
              <w:instrText>ADDIN CSL_CITATION { "citationItems" : [ { "id" : "ITEM-1", "itemData" : { "DOI" : "10.1016/j.landurbplan.2013.06.002", "ISBN" : "0169-2046", "ISSN" : "01692046", "abstract" : "The proportion of urban population is increasing globally. Climate change, biodiversity loss, and environmental pollution are leading to the urgent need to increase sustainable development of and through cities and their components. Encouraging and enabling sustainable lifestyles of urban inhabitants can be fostered by developing sustainable urban neighborhoods as the nuclei of cities. Numerous approaches exist that define principles for guiding sustainable development processes of urban neighborhoods. However, it remains unclear if these approaches really consider the core objectives that should be achieved and key actions that are involved to move toward sustainability. This study represents the first quantitative review that evaluates the principles for sustainable urban neighborhood development based on the available literature. We thus (i) identify promising approaches that present principles close to core criteria for sustainability and (ii) provide starting points for developing a more robust set of principles by bringing together the examined literature. Furthermore (iii), sustainability aspects that are insufficiently covered are highlighted. Based on the findings (iv) a road map is outlined to encourage further research on the elaboration of a sufficient set of principles for sustainable urban neighborhood development. \u00a9 2013 Elsevier B.V.", "author" : [ { "dropping-particle" : "", "family" : "Luederitz", "given" : "Christopher", "non-dropping-particle" : "", "parse-names" : false, "suffix" : "" }, { "dropping-particle" : "", "family" : "Lang", "given" : "Daniel J.", "non-dropping-particle" : "", "parse-names" : false, "suffix" : "" }, { "dropping-particle" : "", "family" : "Wehrden", "given" : "Henrik", "non-dropping-particle" : "Von", "parse-names" : false, "suffix" : "" } ], "container-title" : "Landscape and Urban Planning", "id" : "ITEM-1", "issued" : { "date-parts" : [ [ "2013" ] ] }, "page" : "40-52", "publisher" : "Elsevier B.V.", "title" : "A systematic review of guiding principles for sustainable urban neighborhood development", "type" : "article-journal", "volume" : "118" }, "uris" : [ "http://www.mendeley.com/documents/?uuid=6bcfcece-dda2-466f-b77d-29fdaec204ad" ] } ], "mendeley" : { "formattedCitation" : "(Luederitz et al., 2013)", "plainTextFormattedCitation" : "(Luederitz et al., 2013)", "previouslyFormattedCitation" : "(Luederitz et al., 2013)" }, "properties" : { "noteIndex" : 0 }, "schema" : "https://github.com/citation-style-language/schema/raw/master/csl-citation.json" }</w:instrText>
            </w:r>
            <w:r w:rsidRPr="00CC033B">
              <w:rPr>
                <w:rFonts w:ascii="Arial" w:hAnsi="Arial" w:cs="Arial"/>
                <w:color w:val="000000" w:themeColor="text1"/>
                <w:sz w:val="20"/>
              </w:rPr>
              <w:fldChar w:fldCharType="separate"/>
            </w:r>
            <w:r w:rsidRPr="00CC033B">
              <w:rPr>
                <w:rFonts w:ascii="Arial" w:hAnsi="Arial" w:cs="Arial"/>
                <w:noProof/>
                <w:color w:val="000000" w:themeColor="text1"/>
                <w:sz w:val="20"/>
              </w:rPr>
              <w:t>(Luederitz et al., 2013)</w:t>
            </w:r>
            <w:r w:rsidRPr="00CC033B">
              <w:rPr>
                <w:rFonts w:ascii="Arial" w:hAnsi="Arial" w:cs="Arial"/>
                <w:color w:val="000000" w:themeColor="text1"/>
                <w:sz w:val="20"/>
              </w:rPr>
              <w:fldChar w:fldCharType="end"/>
            </w:r>
            <w:r w:rsidRPr="00CC033B">
              <w:rPr>
                <w:rFonts w:ascii="Arial" w:hAnsi="Arial" w:cs="Arial"/>
                <w:color w:val="000000" w:themeColor="text1"/>
                <w:sz w:val="20"/>
              </w:rPr>
              <w:t xml:space="preserve"> </w:t>
            </w:r>
          </w:p>
        </w:tc>
      </w:tr>
      <w:tr w:rsidR="00EF3D39" w:rsidRPr="00AF6811" w:rsidTr="002A21E4">
        <w:tc>
          <w:tcPr>
            <w:tcW w:w="2925" w:type="dxa"/>
            <w:vMerge/>
            <w:tcBorders>
              <w:top w:val="nil"/>
              <w:bottom w:val="nil"/>
              <w:right w:val="nil"/>
            </w:tcBorders>
          </w:tcPr>
          <w:p w:rsidR="00EF3D39" w:rsidRPr="00AF6811" w:rsidRDefault="00EF3D39" w:rsidP="00353519">
            <w:pPr>
              <w:spacing w:after="0" w:line="240" w:lineRule="auto"/>
              <w:rPr>
                <w:rFonts w:ascii="Arial" w:hAnsi="Arial" w:cs="Arial"/>
                <w:color w:val="000000" w:themeColor="text1"/>
                <w:sz w:val="20"/>
              </w:rPr>
            </w:pPr>
          </w:p>
        </w:tc>
        <w:tc>
          <w:tcPr>
            <w:tcW w:w="5845" w:type="dxa"/>
            <w:tcBorders>
              <w:top w:val="nil"/>
              <w:left w:val="nil"/>
              <w:bottom w:val="nil"/>
            </w:tcBorders>
            <w:vAlign w:val="bottom"/>
          </w:tcPr>
          <w:p w:rsidR="00EF3D39" w:rsidRPr="00CC033B" w:rsidRDefault="00EF3D39" w:rsidP="00EF3D39">
            <w:pPr>
              <w:spacing w:after="0" w:line="240" w:lineRule="auto"/>
              <w:rPr>
                <w:rFonts w:ascii="Arial" w:hAnsi="Arial" w:cs="Arial"/>
                <w:color w:val="000000" w:themeColor="text1"/>
                <w:sz w:val="20"/>
              </w:rPr>
            </w:pPr>
            <w:r w:rsidRPr="00CC033B">
              <w:rPr>
                <w:rFonts w:ascii="Arial" w:hAnsi="Arial" w:cs="Arial"/>
                <w:color w:val="000000" w:themeColor="text1"/>
                <w:sz w:val="20"/>
              </w:rPr>
              <w:t xml:space="preserve">Incorporar actores neutrales (i.e. expertos, academia, etc.) a los procesos de toma de decisión, podría traducirse en mayor confianza para los actores locales </w:t>
            </w:r>
            <w:r w:rsidRPr="00CC033B">
              <w:rPr>
                <w:rFonts w:ascii="Arial" w:hAnsi="Arial" w:cs="Arial"/>
                <w:color w:val="000000" w:themeColor="text1"/>
                <w:sz w:val="20"/>
              </w:rPr>
              <w:fldChar w:fldCharType="begin" w:fldLock="1"/>
            </w:r>
            <w:r w:rsidRPr="00CC033B">
              <w:rPr>
                <w:rFonts w:ascii="Arial" w:hAnsi="Arial" w:cs="Arial"/>
                <w:color w:val="000000" w:themeColor="text1"/>
                <w:sz w:val="20"/>
              </w:rPr>
              <w:instrText>ADDIN CSL_CITATION { "citationItems" : [ { "id" : "ITEM-1", "itemData" : { "DOI" : "10.1016/j.jenvman.2011.05.008", "ISBN" : "0301-4797", "ISSN" : "03014797", "PMID" : "21641109", "abstract" : "The main objective of this paper is to present a critical analysis of the stakeholder participation process within the Environmental Impact Assessment System in Chile, after ca. 14 years of being enforced. This analysis is sustained by the description and analysis of the stakeholder participation possibilities in a representative rural area of North-Central Chile. The Environmental Basis Act 19300, enacted in 1994, considers the participation of the local community in the environmental impact assessment of new projects. However, this possibility is very limited and difficult to exert, often resulting in frustration for the participants. This is due to a number of reasons, such as the imbalance of resources and knowledge among the majority of participating communities and project proponents, the complexity and administrative and legal constraints to participation, and the dominant interest of the Central Government in approving investments, specifically in energy and natural resources related projects, which generate wealth and jobs. Also, the State's rush to develop Internet-based communication and management systems has built a barrier for poor, traditional communities. This factor is clearly reflected in the case study considered. Results show that there is generally a significant lack of knowledge about institutions and participation tools. From this base, we intend to raise concern on these selected aspects that could be addressed to improve the effectiveness of the existing framework, both in Chile and in other developing countries, where immature environmental impact assessment and public management systems face similar pressures in relation to the sustainable use of their natural resources. Finally, some basic steps are proposed in order to make the community participation an effective tool for sustainable development. ?? 2011 Elsevier Ltd.", "author" : [ { "dropping-particle" : "", "family" : "Lostarnau", "given" : "Carla", "non-dropping-particle" : "", "parse-names" : false, "suffix" : "" }, { "dropping-particle" : "", "family" : "Oyarz\u00fan", "given" : "Jorge", "non-dropping-particle" : "", "parse-names" : false, "suffix" : "" }, { "dropping-particle" : "", "family" : "Maturana", "given" : "Hugo", "non-dropping-particle" : "", "parse-names" : false, "suffix" : "" }, { "dropping-particle" : "", "family" : "Soto", "given" : "Guido", "non-dropping-particle" : "", "parse-names" : false, "suffix" : "" }, { "dropping-particle" : "", "family" : "Se\u00f1oret", "given" : "Michelle", "non-dropping-particle" : "", "parse-names" : false, "suffix" : "" }, { "dropping-particle" : "", "family" : "Soto", "given" : "Manuel", "non-dropping-particle" : "", "parse-names" : false, "suffix" : "" }, { "dropping-particle" : "", "family" : "R\u00f6tting", "given" : "Tobias S.", "non-dropping-particle" : "", "parse-names" : false, "suffix" : "" }, { "dropping-particle" : "", "family" : "Amezaga", "given" : "Jaime M.", "non-dropping-particle" : "", "parse-names" : false, "suffix" : "" }, { "dropping-particle" : "", "family" : "Oyarz\u00fan", "given" : "Ricardo", "non-dropping-particle" : "", "parse-names" : false, "suffix" : "" } ], "container-title" : "Journal of Environmental Management", "id" : "ITEM-1", "issue" : "10", "issued" : { "date-parts" : [ [ "2011" ] ] }, "page" : "2470-2478", "publisher" : "Elsevier Ltd", "title" : "Stakeholder participation within the public environmental system in Chile: Major gaps between theory and practice", "type" : "article-journal", "volume" : "92" }, "uris" : [ "http://www.mendeley.com/documents/?uuid=9e462189-3202-4589-988f-598505affede" ] } ], "mendeley" : { "formattedCitation" : "(Lostarnau et al., 2011)", "plainTextFormattedCitation" : "(Lostarnau et al., 2011)", "previouslyFormattedCitation" : "(Lostarnau et al., 2011)" }, "properties" : { "noteIndex" : 0 }, "schema" : "https://github.com/citation-style-language/schema/raw/master/csl-citation.json" }</w:instrText>
            </w:r>
            <w:r w:rsidRPr="00CC033B">
              <w:rPr>
                <w:rFonts w:ascii="Arial" w:hAnsi="Arial" w:cs="Arial"/>
                <w:color w:val="000000" w:themeColor="text1"/>
                <w:sz w:val="20"/>
              </w:rPr>
              <w:fldChar w:fldCharType="separate"/>
            </w:r>
            <w:r w:rsidRPr="00CC033B">
              <w:rPr>
                <w:rFonts w:ascii="Arial" w:hAnsi="Arial" w:cs="Arial"/>
                <w:noProof/>
                <w:color w:val="000000" w:themeColor="text1"/>
                <w:sz w:val="20"/>
              </w:rPr>
              <w:t>(Lostarnau et al., 2011)</w:t>
            </w:r>
            <w:r w:rsidRPr="00CC033B">
              <w:rPr>
                <w:rFonts w:ascii="Arial" w:hAnsi="Arial" w:cs="Arial"/>
                <w:color w:val="000000" w:themeColor="text1"/>
                <w:sz w:val="20"/>
              </w:rPr>
              <w:fldChar w:fldCharType="end"/>
            </w:r>
          </w:p>
        </w:tc>
      </w:tr>
      <w:tr w:rsidR="00EF3D39" w:rsidRPr="00AF6811" w:rsidTr="002A21E4">
        <w:tc>
          <w:tcPr>
            <w:tcW w:w="2925" w:type="dxa"/>
            <w:vMerge/>
            <w:tcBorders>
              <w:top w:val="nil"/>
              <w:bottom w:val="nil"/>
              <w:right w:val="nil"/>
            </w:tcBorders>
            <w:vAlign w:val="bottom"/>
          </w:tcPr>
          <w:p w:rsidR="00EF3D39" w:rsidRPr="00AF6811" w:rsidRDefault="00EF3D39" w:rsidP="00946B04">
            <w:pPr>
              <w:spacing w:after="0" w:line="240" w:lineRule="auto"/>
              <w:rPr>
                <w:rFonts w:ascii="Arial" w:hAnsi="Arial" w:cs="Arial"/>
                <w:color w:val="000000" w:themeColor="text1"/>
                <w:sz w:val="20"/>
              </w:rPr>
            </w:pPr>
          </w:p>
        </w:tc>
        <w:tc>
          <w:tcPr>
            <w:tcW w:w="5845" w:type="dxa"/>
            <w:tcBorders>
              <w:top w:val="nil"/>
              <w:left w:val="nil"/>
              <w:bottom w:val="nil"/>
            </w:tcBorders>
            <w:vAlign w:val="bottom"/>
          </w:tcPr>
          <w:p w:rsidR="00EF3D39" w:rsidRPr="00CC033B" w:rsidRDefault="00EF3D39" w:rsidP="00946B04">
            <w:pPr>
              <w:spacing w:after="0" w:line="240" w:lineRule="auto"/>
              <w:rPr>
                <w:rFonts w:ascii="Arial" w:hAnsi="Arial" w:cs="Arial"/>
                <w:color w:val="000000" w:themeColor="text1"/>
                <w:sz w:val="20"/>
              </w:rPr>
            </w:pPr>
            <w:r w:rsidRPr="00CC033B">
              <w:rPr>
                <w:rFonts w:ascii="Arial" w:hAnsi="Arial" w:cs="Arial"/>
                <w:color w:val="000000" w:themeColor="text1"/>
                <w:sz w:val="20"/>
              </w:rPr>
              <w:t xml:space="preserve">Representar en forma directa los intereses de grupos desaventajados o </w:t>
            </w:r>
            <w:r w:rsidR="00DE6813" w:rsidRPr="00CC033B">
              <w:rPr>
                <w:rFonts w:ascii="Arial" w:hAnsi="Arial" w:cs="Arial"/>
                <w:color w:val="000000" w:themeColor="text1"/>
                <w:sz w:val="20"/>
              </w:rPr>
              <w:t>invisibilizados</w:t>
            </w:r>
            <w:r w:rsidRPr="00CC033B">
              <w:rPr>
                <w:rFonts w:ascii="Arial" w:hAnsi="Arial" w:cs="Arial"/>
                <w:color w:val="000000" w:themeColor="text1"/>
                <w:sz w:val="20"/>
              </w:rPr>
              <w:t xml:space="preserve"> en los procesos de toma de decisión </w:t>
            </w:r>
            <w:r w:rsidRPr="00CC033B">
              <w:rPr>
                <w:rFonts w:ascii="Arial" w:hAnsi="Arial" w:cs="Arial"/>
                <w:color w:val="000000" w:themeColor="text1"/>
                <w:sz w:val="20"/>
              </w:rPr>
              <w:fldChar w:fldCharType="begin" w:fldLock="1"/>
            </w:r>
            <w:r w:rsidRPr="00CC033B">
              <w:rPr>
                <w:rFonts w:ascii="Arial" w:hAnsi="Arial" w:cs="Arial"/>
                <w:color w:val="000000" w:themeColor="text1"/>
                <w:sz w:val="20"/>
              </w:rPr>
              <w:instrText>ADDIN CSL_CITATION { "citationItems" : [ { "id" : "ITEM-1", "itemData" : { "DOI" : "10.3152/146155110X12772982841122", "ISSN" : "1461-5517", "abstract" : "Assessments today need to help reverse trends towards deeper unsustainability and address the unavoidable interconnections, feedbacks and uncertainties that typify complex socio-ecological systems at all scales. To illustrate one promising approach, this paper describes a modest effort to integrate understandings from Gibson et al\u2019s approach to sustainability assessment with the Resilience Alliance\u2019s applications of complex systems thinking into a suite of systems and sustainability based criteria. The integrated sustainability\u2013resilience criteria were used to assess an existing small-scale biodiesel operation on Barbados that involves waste management, public health, transportation, energy security and community involvement considerations. The assessment revealed that the main benefit of this biodiesel project is in social learning rather than enhancing energy security and waste management, and the best ways of enhancing the project lie in larger scale policy initiatives. The findings suggest that the use of a sustainability\u2013resilience approach can contribute insights unlikely to emerge from more narrowly focused assessments.", "author" : [ { "dropping-particle" : "", "family" : "Gaudreau", "given" : "Kyrke", "non-dropping-particle" : "", "parse-names" : false, "suffix" : "" }, { "dropping-particle" : "", "family" : "Gibson", "given" : "Robert B.", "non-dropping-particle" : "", "parse-names" : false, "suffix" : "" } ], "container-title" : "Impact Assessment and Project Appraisal", "id" : "ITEM-1", "issue" : "December", "issued" : { "date-parts" : [ [ "2010" ] ] }, "page" : "233-243", "title" : "Illustrating integrated sustainability and resilience based assessments: a small-scale biodiesel project in Barbados", "type" : "article-journal", "volume" : "28" }, "uris" : [ "http://www.mendeley.com/documents/?uuid=fee76635-1433-4c27-9c85-bbbf459c7e59" ] }, { "id" : "ITEM-2", "itemData" : { "DOI" : "10.1016/j.landurbplan.2013.06.002", "ISBN" : "0169-2046", "ISSN" : "01692046", "abstract" : "The proportion of urban population is increasing globally. Climate change, biodiversity loss, and environmental pollution are leading to the urgent need to increase sustainable development of and through cities and their components. Encouraging and enabling sustainable lifestyles of urban inhabitants can be fostered by developing sustainable urban neighborhoods as the nuclei of cities. Numerous approaches exist that define principles for guiding sustainable development processes of urban neighborhoods. However, it remains unclear if these approaches really consider the core objectives that should be achieved and key actions that are involved to move toward sustainability. This study represents the first quantitative review that evaluates the principles for sustainable urban neighborhood development based on the available literature. We thus (i) identify promising approaches that present principles close to core criteria for sustainability and (ii) provide starting points for developing a more robust set of principles by bringing together the examined literature. Furthermore (iii), sustainability aspects that are insufficiently covered are highlighted. Based on the findings (iv) a road map is outlined to encourage further research on the elaboration of a sufficient set of principles for sustainable urban neighborhood development. \u00a9 2013 Elsevier B.V.", "author" : [ { "dropping-particle" : "", "family" : "Luederitz", "given" : "Christopher", "non-dropping-particle" : "", "parse-names" : false, "suffix" : "" }, { "dropping-particle" : "", "family" : "Lang", "given" : "Daniel J.", "non-dropping-particle" : "", "parse-names" : false, "suffix" : "" }, { "dropping-particle" : "", "family" : "Wehrden", "given" : "Henrik", "non-dropping-particle" : "Von", "parse-names" : false, "suffix" : "" } ], "container-title" : "Landscape and Urban Planning", "id" : "ITEM-2", "issued" : { "date-parts" : [ [ "2013" ] ] }, "page" : "40-52", "publisher" : "Elsevier B.V.", "title" : "A systematic review of guiding principles for sustainable urban neighborhood development", "type" : "article-journal", "volume" : "118" }, "uris" : [ "http://www.mendeley.com/documents/?uuid=6bcfcece-dda2-466f-b77d-29fdaec204ad" ] } ], "mendeley" : { "formattedCitation" : "(Gaudreau &amp; Gibson, 2010; Luederitz et al., 2013)", "plainTextFormattedCitation" : "(Gaudreau &amp; Gibson, 2010; Luederitz et al., 2013)", "previouslyFormattedCitation" : "(Gaudreau &amp; Gibson, 2010; Luederitz et al., 2013)" }, "properties" : { "noteIndex" : 0 }, "schema" : "https://github.com/citation-style-language/schema/raw/master/csl-citation.json" }</w:instrText>
            </w:r>
            <w:r w:rsidRPr="00CC033B">
              <w:rPr>
                <w:rFonts w:ascii="Arial" w:hAnsi="Arial" w:cs="Arial"/>
                <w:color w:val="000000" w:themeColor="text1"/>
                <w:sz w:val="20"/>
              </w:rPr>
              <w:fldChar w:fldCharType="separate"/>
            </w:r>
            <w:r w:rsidRPr="00CC033B">
              <w:rPr>
                <w:rFonts w:ascii="Arial" w:hAnsi="Arial" w:cs="Arial"/>
                <w:noProof/>
                <w:color w:val="000000" w:themeColor="text1"/>
                <w:sz w:val="20"/>
              </w:rPr>
              <w:t>(Gaudreau &amp; Gibson, 2010; Luederitz et al., 2013)</w:t>
            </w:r>
            <w:r w:rsidRPr="00CC033B">
              <w:rPr>
                <w:rFonts w:ascii="Arial" w:hAnsi="Arial" w:cs="Arial"/>
                <w:color w:val="000000" w:themeColor="text1"/>
                <w:sz w:val="20"/>
              </w:rPr>
              <w:fldChar w:fldCharType="end"/>
            </w:r>
            <w:r w:rsidRPr="00CC033B">
              <w:rPr>
                <w:rFonts w:ascii="Arial" w:hAnsi="Arial" w:cs="Arial"/>
                <w:color w:val="000000" w:themeColor="text1"/>
                <w:sz w:val="20"/>
              </w:rPr>
              <w:t>.</w:t>
            </w:r>
          </w:p>
        </w:tc>
      </w:tr>
      <w:tr w:rsidR="00EF3D39" w:rsidRPr="00AF6811" w:rsidTr="002A21E4">
        <w:tc>
          <w:tcPr>
            <w:tcW w:w="2925" w:type="dxa"/>
            <w:vMerge w:val="restart"/>
            <w:tcBorders>
              <w:top w:val="nil"/>
              <w:bottom w:val="nil"/>
              <w:right w:val="nil"/>
            </w:tcBorders>
          </w:tcPr>
          <w:p w:rsidR="00EF3D39" w:rsidRPr="00AF6811" w:rsidRDefault="00EF3D39" w:rsidP="00353519">
            <w:pPr>
              <w:spacing w:after="0" w:line="240" w:lineRule="auto"/>
              <w:rPr>
                <w:rFonts w:ascii="Arial" w:hAnsi="Arial" w:cs="Arial"/>
                <w:b/>
                <w:color w:val="000000" w:themeColor="text1"/>
                <w:sz w:val="20"/>
              </w:rPr>
            </w:pPr>
            <w:r w:rsidRPr="00AF6811">
              <w:rPr>
                <w:rFonts w:ascii="Arial" w:hAnsi="Arial" w:cs="Arial"/>
                <w:b/>
                <w:iCs/>
                <w:color w:val="000000" w:themeColor="text1"/>
                <w:sz w:val="20"/>
                <w:szCs w:val="20"/>
              </w:rPr>
              <w:t xml:space="preserve">Fomentar el interés y participación de todos los actores </w:t>
            </w:r>
            <w:r w:rsidRPr="00AF6811">
              <w:rPr>
                <w:rFonts w:ascii="Arial" w:hAnsi="Arial" w:cs="Arial"/>
                <w:b/>
                <w:color w:val="000000" w:themeColor="text1"/>
                <w:sz w:val="20"/>
              </w:rPr>
              <w:t>territoriales</w:t>
            </w:r>
            <w:r w:rsidRPr="00AF6811">
              <w:rPr>
                <w:rFonts w:ascii="Arial" w:hAnsi="Arial" w:cs="Arial"/>
                <w:b/>
                <w:iCs/>
                <w:color w:val="000000" w:themeColor="text1"/>
                <w:sz w:val="20"/>
                <w:szCs w:val="20"/>
              </w:rPr>
              <w:t>, en la toma de decisión así como incentivando la responsabilidad colectiva (Luederitz et al., 2013)</w:t>
            </w:r>
            <w:r w:rsidRPr="00AF6811">
              <w:rPr>
                <w:rFonts w:ascii="Arial" w:hAnsi="Arial" w:cs="Arial"/>
                <w:b/>
                <w:color w:val="000000" w:themeColor="text1"/>
                <w:sz w:val="20"/>
              </w:rPr>
              <w:t xml:space="preserve"> </w:t>
            </w:r>
            <w:r w:rsidRPr="00AF6811">
              <w:rPr>
                <w:rFonts w:ascii="Arial" w:hAnsi="Arial" w:cs="Arial"/>
                <w:b/>
                <w:color w:val="000000" w:themeColor="text1"/>
                <w:sz w:val="20"/>
              </w:rPr>
              <w:fldChar w:fldCharType="begin" w:fldLock="1"/>
            </w:r>
            <w:r w:rsidRPr="00AF6811">
              <w:rPr>
                <w:rFonts w:ascii="Arial" w:hAnsi="Arial" w:cs="Arial"/>
                <w:b/>
                <w:color w:val="000000" w:themeColor="text1"/>
                <w:sz w:val="20"/>
              </w:rPr>
              <w:instrText>ADDIN CSL_CITATION { "citationItems" : [ { "id" : "ITEM-1", "itemData" : { "ISBN" : "9781844070503", "author" : [ { "dropping-particle" : "", "family" : "Gibson", "given" : "Robert B.", "non-dropping-particle" : "", "parse-names" : false, "suffix" : "" } ], "id" : "ITEM-1", "issued" : { "date-parts" : [ [ "2005" ] ] }, "page" : "269", "publisher" : "Earthscan", "title" : "Sustainability Assessment. Criteria, Processes and Applications", "type" : "book" }, "uris" : [ "http://www.mendeley.com/documents/?uuid=566b52ab-35b0-4a0c-b91f-1bf25d523ac7" ] } ], "mendeley" : { "formattedCitation" : "(Gibson, 2005)", "plainTextFormattedCitation" : "(Gibson, 2005)", "previouslyFormattedCitation" : "(Gibson, 2005)" }, "properties" : { "noteIndex" : 0 }, "schema" : "https://github.com/citation-style-language/schema/raw/master/csl-citation.json" }</w:instrText>
            </w:r>
            <w:r w:rsidRPr="00AF6811">
              <w:rPr>
                <w:rFonts w:ascii="Arial" w:hAnsi="Arial" w:cs="Arial"/>
                <w:b/>
                <w:color w:val="000000" w:themeColor="text1"/>
                <w:sz w:val="20"/>
              </w:rPr>
              <w:fldChar w:fldCharType="separate"/>
            </w:r>
            <w:r w:rsidRPr="00AF6811">
              <w:rPr>
                <w:rFonts w:ascii="Arial" w:hAnsi="Arial" w:cs="Arial"/>
                <w:b/>
                <w:noProof/>
                <w:color w:val="000000" w:themeColor="text1"/>
                <w:sz w:val="20"/>
              </w:rPr>
              <w:t>(Gibson, 2005)</w:t>
            </w:r>
            <w:r w:rsidRPr="00AF6811">
              <w:rPr>
                <w:rFonts w:ascii="Arial" w:hAnsi="Arial" w:cs="Arial"/>
                <w:b/>
                <w:color w:val="000000" w:themeColor="text1"/>
                <w:sz w:val="20"/>
              </w:rPr>
              <w:fldChar w:fldCharType="end"/>
            </w:r>
          </w:p>
        </w:tc>
        <w:tc>
          <w:tcPr>
            <w:tcW w:w="5845" w:type="dxa"/>
            <w:tcBorders>
              <w:top w:val="nil"/>
              <w:left w:val="nil"/>
              <w:bottom w:val="nil"/>
            </w:tcBorders>
            <w:vAlign w:val="bottom"/>
          </w:tcPr>
          <w:p w:rsidR="00EF3D39" w:rsidRPr="00CC033B" w:rsidRDefault="00EF3D39" w:rsidP="00245D29">
            <w:pPr>
              <w:spacing w:after="0" w:line="240" w:lineRule="auto"/>
              <w:rPr>
                <w:rFonts w:ascii="Arial" w:hAnsi="Arial" w:cs="Arial"/>
                <w:i/>
                <w:iCs/>
                <w:color w:val="000000" w:themeColor="text1"/>
                <w:sz w:val="20"/>
                <w:szCs w:val="20"/>
              </w:rPr>
            </w:pPr>
            <w:r w:rsidRPr="00CC033B">
              <w:rPr>
                <w:rFonts w:ascii="Arial" w:hAnsi="Arial" w:cs="Arial"/>
                <w:color w:val="000000" w:themeColor="text1"/>
                <w:sz w:val="20"/>
              </w:rPr>
              <w:t xml:space="preserve">Fomentar la preocupación social de los ciudadanos a través de la formulación de problemas y soluciones, oportunidades para crear o fortalecer relaciones de aprendizaje mutuo y asistencia  y sensibilidad a los grupos desaventajados </w:t>
            </w:r>
            <w:r w:rsidRPr="00CC033B">
              <w:rPr>
                <w:rFonts w:ascii="Arial" w:hAnsi="Arial" w:cs="Arial"/>
                <w:color w:val="000000" w:themeColor="text1"/>
                <w:sz w:val="20"/>
              </w:rPr>
              <w:fldChar w:fldCharType="begin" w:fldLock="1"/>
            </w:r>
            <w:r w:rsidRPr="00CC033B">
              <w:rPr>
                <w:rFonts w:ascii="Arial" w:hAnsi="Arial" w:cs="Arial"/>
                <w:color w:val="000000" w:themeColor="text1"/>
                <w:sz w:val="20"/>
              </w:rPr>
              <w:instrText>ADDIN CSL_CITATION { "citationItems" : [ { "id" : "ITEM-1", "itemData" : { "DOI" : "10.3152/146155110X12772982841122", "ISSN" : "1461-5517", "abstract" : "Assessments today need to help reverse trends towards deeper unsustainability and address the unavoidable interconnections, feedbacks and uncertainties that typify complex socio-ecological systems at all scales. To illustrate one promising approach, this paper describes a modest effort to integrate understandings from Gibson et al\u2019s approach to sustainability assessment with the Resilience Alliance\u2019s applications of complex systems thinking into a suite of systems and sustainability based criteria. The integrated sustainability\u2013resilience criteria were used to assess an existing small-scale biodiesel operation on Barbados that involves waste management, public health, transportation, energy security and community involvement considerations. The assessment revealed that the main benefit of this biodiesel project is in social learning rather than enhancing energy security and waste management, and the best ways of enhancing the project lie in larger scale policy initiatives. The findings suggest that the use of a sustainability\u2013resilience approach can contribute insights unlikely to emerge from more narrowly focused assessments.", "author" : [ { "dropping-particle" : "", "family" : "Gaudreau", "given" : "Kyrke", "non-dropping-particle" : "", "parse-names" : false, "suffix" : "" }, { "dropping-particle" : "", "family" : "Gibson", "given" : "Robert B.", "non-dropping-particle" : "", "parse-names" : false, "suffix" : "" } ], "container-title" : "Impact Assessment and Project Appraisal", "id" : "ITEM-1", "issue" : "December", "issued" : { "date-parts" : [ [ "2010" ] ] }, "page" : "233-243", "title" : "Illustrating integrated sustainability and resilience based assessments: a small-scale biodiesel project in Barbados", "type" : "article-journal", "volume" : "28" }, "uris" : [ "http://www.mendeley.com/documents/?uuid=fee76635-1433-4c27-9c85-bbbf459c7e59" ] } ], "mendeley" : { "formattedCitation" : "(Gaudreau &amp; Gibson, 2010)", "plainTextFormattedCitation" : "(Gaudreau &amp; Gibson, 2010)", "previouslyFormattedCitation" : "(Gaudreau &amp; Gibson, 2010)" }, "properties" : { "noteIndex" : 0 }, "schema" : "https://github.com/citation-style-language/schema/raw/master/csl-citation.json" }</w:instrText>
            </w:r>
            <w:r w:rsidRPr="00CC033B">
              <w:rPr>
                <w:rFonts w:ascii="Arial" w:hAnsi="Arial" w:cs="Arial"/>
                <w:color w:val="000000" w:themeColor="text1"/>
                <w:sz w:val="20"/>
              </w:rPr>
              <w:fldChar w:fldCharType="separate"/>
            </w:r>
            <w:r w:rsidRPr="00CC033B">
              <w:rPr>
                <w:rFonts w:ascii="Arial" w:hAnsi="Arial" w:cs="Arial"/>
                <w:noProof/>
                <w:color w:val="000000" w:themeColor="text1"/>
                <w:sz w:val="20"/>
              </w:rPr>
              <w:t>(Gaudreau &amp; Gibson, 2010)</w:t>
            </w:r>
            <w:r w:rsidRPr="00CC033B">
              <w:rPr>
                <w:rFonts w:ascii="Arial" w:hAnsi="Arial" w:cs="Arial"/>
                <w:color w:val="000000" w:themeColor="text1"/>
                <w:sz w:val="20"/>
              </w:rPr>
              <w:fldChar w:fldCharType="end"/>
            </w:r>
          </w:p>
        </w:tc>
      </w:tr>
      <w:tr w:rsidR="00EF3D39" w:rsidRPr="00AF6811" w:rsidTr="002A21E4">
        <w:tc>
          <w:tcPr>
            <w:tcW w:w="2925" w:type="dxa"/>
            <w:vMerge/>
            <w:tcBorders>
              <w:top w:val="nil"/>
              <w:bottom w:val="nil"/>
              <w:right w:val="nil"/>
            </w:tcBorders>
          </w:tcPr>
          <w:p w:rsidR="00EF3D39" w:rsidRPr="00AF6811" w:rsidRDefault="00EF3D39" w:rsidP="00353519">
            <w:pPr>
              <w:spacing w:after="0" w:line="240" w:lineRule="auto"/>
              <w:rPr>
                <w:rFonts w:ascii="Arial" w:hAnsi="Arial" w:cs="Arial"/>
                <w:color w:val="000000" w:themeColor="text1"/>
                <w:sz w:val="20"/>
              </w:rPr>
            </w:pPr>
          </w:p>
        </w:tc>
        <w:tc>
          <w:tcPr>
            <w:tcW w:w="5845" w:type="dxa"/>
            <w:tcBorders>
              <w:top w:val="nil"/>
              <w:left w:val="nil"/>
              <w:bottom w:val="nil"/>
            </w:tcBorders>
            <w:vAlign w:val="bottom"/>
          </w:tcPr>
          <w:p w:rsidR="00EF3D39" w:rsidRPr="00CC033B" w:rsidRDefault="00EF3D39" w:rsidP="00245D29">
            <w:pPr>
              <w:spacing w:after="0" w:line="240" w:lineRule="auto"/>
              <w:rPr>
                <w:rFonts w:ascii="Arial" w:hAnsi="Arial" w:cs="Arial"/>
                <w:color w:val="000000" w:themeColor="text1"/>
                <w:sz w:val="20"/>
              </w:rPr>
            </w:pPr>
            <w:r w:rsidRPr="00CC033B">
              <w:rPr>
                <w:rFonts w:ascii="Arial" w:hAnsi="Arial" w:cs="Arial"/>
                <w:color w:val="000000" w:themeColor="text1"/>
                <w:sz w:val="20"/>
              </w:rPr>
              <w:t xml:space="preserve">Fomentar la preocupación ecológica de los ciudadanos, en relación a funciones ecosistémicas y capacidades y valores asociados </w:t>
            </w:r>
            <w:r w:rsidRPr="00CC033B">
              <w:rPr>
                <w:rFonts w:ascii="Arial" w:hAnsi="Arial" w:cs="Arial"/>
                <w:color w:val="000000" w:themeColor="text1"/>
                <w:sz w:val="20"/>
              </w:rPr>
              <w:fldChar w:fldCharType="begin" w:fldLock="1"/>
            </w:r>
            <w:r w:rsidRPr="00CC033B">
              <w:rPr>
                <w:rFonts w:ascii="Arial" w:hAnsi="Arial" w:cs="Arial"/>
                <w:color w:val="000000" w:themeColor="text1"/>
                <w:sz w:val="20"/>
              </w:rPr>
              <w:instrText>ADDIN CSL_CITATION { "citationItems" : [ { "id" : "ITEM-1", "itemData" : { "DOI" : "10.3152/146155110X12772982841122", "ISSN" : "1461-5517", "abstract" : "Assessments today need to help reverse trends towards deeper unsustainability and address the unavoidable interconnections, feedbacks and uncertainties that typify complex socio-ecological systems at all scales. To illustrate one promising approach, this paper describes a modest effort to integrate understandings from Gibson et al\u2019s approach to sustainability assessment with the Resilience Alliance\u2019s applications of complex systems thinking into a suite of systems and sustainability based criteria. The integrated sustainability\u2013resilience criteria were used to assess an existing small-scale biodiesel operation on Barbados that involves waste management, public health, transportation, energy security and community involvement considerations. The assessment revealed that the main benefit of this biodiesel project is in social learning rather than enhancing energy security and waste management, and the best ways of enhancing the project lie in larger scale policy initiatives. The findings suggest that the use of a sustainability\u2013resilience approach can contribute insights unlikely to emerge from more narrowly focused assessments.", "author" : [ { "dropping-particle" : "", "family" : "Gaudreau", "given" : "Kyrke", "non-dropping-particle" : "", "parse-names" : false, "suffix" : "" }, { "dropping-particle" : "", "family" : "Gibson", "given" : "Robert B.", "non-dropping-particle" : "", "parse-names" : false, "suffix" : "" } ], "container-title" : "Impact Assessment and Project Appraisal", "id" : "ITEM-1", "issue" : "December", "issued" : { "date-parts" : [ [ "2010" ] ] }, "page" : "233-243", "title" : "Illustrating integrated sustainability and resilience based assessments: a small-scale biodiesel project in Barbados", "type" : "article-journal", "volume" : "28" }, "uris" : [ "http://www.mendeley.com/documents/?uuid=fee76635-1433-4c27-9c85-bbbf459c7e59" ] } ], "mendeley" : { "formattedCitation" : "(Gaudreau &amp; Gibson, 2010)", "plainTextFormattedCitation" : "(Gaudreau &amp; Gibson, 2010)", "previouslyFormattedCitation" : "(Gaudreau &amp; Gibson, 2010)" }, "properties" : { "noteIndex" : 0 }, "schema" : "https://github.com/citation-style-language/schema/raw/master/csl-citation.json" }</w:instrText>
            </w:r>
            <w:r w:rsidRPr="00CC033B">
              <w:rPr>
                <w:rFonts w:ascii="Arial" w:hAnsi="Arial" w:cs="Arial"/>
                <w:color w:val="000000" w:themeColor="text1"/>
                <w:sz w:val="20"/>
              </w:rPr>
              <w:fldChar w:fldCharType="separate"/>
            </w:r>
            <w:r w:rsidRPr="00CC033B">
              <w:rPr>
                <w:rFonts w:ascii="Arial" w:hAnsi="Arial" w:cs="Arial"/>
                <w:noProof/>
                <w:color w:val="000000" w:themeColor="text1"/>
                <w:sz w:val="20"/>
              </w:rPr>
              <w:t>(Gaudreau &amp; Gibson, 2010)</w:t>
            </w:r>
            <w:r w:rsidRPr="00CC033B">
              <w:rPr>
                <w:rFonts w:ascii="Arial" w:hAnsi="Arial" w:cs="Arial"/>
                <w:color w:val="000000" w:themeColor="text1"/>
                <w:sz w:val="20"/>
              </w:rPr>
              <w:fldChar w:fldCharType="end"/>
            </w:r>
          </w:p>
        </w:tc>
      </w:tr>
      <w:tr w:rsidR="00EF3D39" w:rsidRPr="00AF6811" w:rsidTr="002A21E4">
        <w:tc>
          <w:tcPr>
            <w:tcW w:w="2925" w:type="dxa"/>
            <w:vMerge/>
            <w:tcBorders>
              <w:top w:val="nil"/>
              <w:right w:val="nil"/>
            </w:tcBorders>
          </w:tcPr>
          <w:p w:rsidR="00EF3D39" w:rsidRPr="00AF6811" w:rsidRDefault="00EF3D39" w:rsidP="00353519">
            <w:pPr>
              <w:spacing w:after="0" w:line="240" w:lineRule="auto"/>
              <w:rPr>
                <w:rFonts w:ascii="Arial" w:hAnsi="Arial" w:cs="Arial"/>
                <w:color w:val="000000" w:themeColor="text1"/>
                <w:sz w:val="20"/>
              </w:rPr>
            </w:pPr>
          </w:p>
        </w:tc>
        <w:tc>
          <w:tcPr>
            <w:tcW w:w="5845" w:type="dxa"/>
            <w:tcBorders>
              <w:top w:val="nil"/>
              <w:left w:val="nil"/>
            </w:tcBorders>
            <w:vAlign w:val="bottom"/>
          </w:tcPr>
          <w:p w:rsidR="00EF3D39" w:rsidRPr="00AF6811" w:rsidRDefault="00EF3D39" w:rsidP="00353519">
            <w:pPr>
              <w:spacing w:after="0" w:line="240" w:lineRule="auto"/>
              <w:rPr>
                <w:rFonts w:ascii="Arial" w:hAnsi="Arial" w:cs="Arial"/>
                <w:color w:val="000000" w:themeColor="text1"/>
                <w:sz w:val="20"/>
              </w:rPr>
            </w:pPr>
            <w:r w:rsidRPr="00AF6811">
              <w:rPr>
                <w:rFonts w:ascii="Arial" w:hAnsi="Arial" w:cs="Arial"/>
                <w:color w:val="000000" w:themeColor="text1"/>
                <w:sz w:val="20"/>
              </w:rPr>
              <w:t xml:space="preserve">Fomentar la responsabilidad social de los participantes de mercados </w:t>
            </w:r>
            <w:r w:rsidRPr="00AF6811">
              <w:rPr>
                <w:rFonts w:ascii="Arial" w:hAnsi="Arial" w:cs="Arial"/>
                <w:color w:val="000000" w:themeColor="text1"/>
                <w:sz w:val="20"/>
              </w:rPr>
              <w:fldChar w:fldCharType="begin" w:fldLock="1"/>
            </w:r>
            <w:r w:rsidRPr="00AF6811">
              <w:rPr>
                <w:rFonts w:ascii="Arial" w:hAnsi="Arial" w:cs="Arial"/>
                <w:color w:val="000000" w:themeColor="text1"/>
                <w:sz w:val="20"/>
              </w:rPr>
              <w:instrText>ADDIN CSL_CITATION { "citationItems" : [ { "id" : "ITEM-1", "itemData" : { "DOI" : "10.3152/146155110X12772982841122", "ISSN" : "1461-5517", "abstract" : "Assessments today need to help reverse trends towards deeper unsustainability and address the unavoidable interconnections, feedbacks and uncertainties that typify complex socio-ecological systems at all scales. To illustrate one promising approach, this paper describes a modest effort to integrate understandings from Gibson et al\u2019s approach to sustainability assessment with the Resilience Alliance\u2019s applications of complex systems thinking into a suite of systems and sustainability based criteria. The integrated sustainability\u2013resilience criteria were used to assess an existing small-scale biodiesel operation on Barbados that involves waste management, public health, transportation, energy security and community involvement considerations. The assessment revealed that the main benefit of this biodiesel project is in social learning rather than enhancing energy security and waste management, and the best ways of enhancing the project lie in larger scale policy initiatives. The findings suggest that the use of a sustainability\u2013resilience approach can contribute insights unlikely to emerge from more narrowly focused assessments.", "author" : [ { "dropping-particle" : "", "family" : "Gaudreau", "given" : "Kyrke", "non-dropping-particle" : "", "parse-names" : false, "suffix" : "" }, { "dropping-particle" : "", "family" : "Gibson", "given" : "Robert B.", "non-dropping-particle" : "", "parse-names" : false, "suffix" : "" } ], "container-title" : "Impact Assessment and Project Appraisal", "id" : "ITEM-1", "issue" : "December", "issued" : { "date-parts" : [ [ "2010" ] ] }, "page" : "233-243", "title" : "Illustrating integrated sustainability and resilience based assessments: a small-scale biodiesel project in Barbados", "type" : "article-journal", "volume" : "28" }, "uris" : [ "http://www.mendeley.com/documents/?uuid=fee76635-1433-4c27-9c85-bbbf459c7e59" ] } ], "mendeley" : { "formattedCitation" : "(Gaudreau &amp; Gibson, 2010)", "plainTextFormattedCitation" : "(Gaudreau &amp; Gibson, 2010)", "previouslyFormattedCitation" : "(Gaudreau &amp; Gibson, 2010)" }, "properties" : { "noteIndex" : 0 }, "schema" : "https://github.com/citation-style-language/schema/raw/master/csl-citation.json" }</w:instrText>
            </w:r>
            <w:r w:rsidRPr="00AF6811">
              <w:rPr>
                <w:rFonts w:ascii="Arial" w:hAnsi="Arial" w:cs="Arial"/>
                <w:color w:val="000000" w:themeColor="text1"/>
                <w:sz w:val="20"/>
              </w:rPr>
              <w:fldChar w:fldCharType="separate"/>
            </w:r>
            <w:r w:rsidRPr="00AF6811">
              <w:rPr>
                <w:rFonts w:ascii="Arial" w:hAnsi="Arial" w:cs="Arial"/>
                <w:noProof/>
                <w:color w:val="000000" w:themeColor="text1"/>
                <w:sz w:val="20"/>
              </w:rPr>
              <w:t>(Gaudreau &amp; Gibson, 2010)</w:t>
            </w:r>
            <w:r w:rsidRPr="00AF6811">
              <w:rPr>
                <w:rFonts w:ascii="Arial" w:hAnsi="Arial" w:cs="Arial"/>
                <w:color w:val="000000" w:themeColor="text1"/>
                <w:sz w:val="20"/>
              </w:rPr>
              <w:fldChar w:fldCharType="end"/>
            </w:r>
          </w:p>
        </w:tc>
      </w:tr>
    </w:tbl>
    <w:p w:rsidR="00256241" w:rsidRPr="00AF6811" w:rsidRDefault="00256241" w:rsidP="00A31A6C">
      <w:pPr>
        <w:spacing w:before="240"/>
        <w:rPr>
          <w:rFonts w:ascii="Arial" w:hAnsi="Arial" w:cs="Arial"/>
          <w:color w:val="000000" w:themeColor="text1"/>
        </w:rPr>
      </w:pPr>
    </w:p>
    <w:p w:rsidR="001C1F79" w:rsidRPr="00AF6811" w:rsidRDefault="00E0505F" w:rsidP="008D6193">
      <w:pPr>
        <w:pStyle w:val="Ttulo4"/>
        <w:spacing w:line="360" w:lineRule="auto"/>
        <w:rPr>
          <w:rFonts w:ascii="Arial" w:hAnsi="Arial" w:cs="Arial"/>
          <w:color w:val="000000" w:themeColor="text1"/>
        </w:rPr>
      </w:pPr>
      <w:bookmarkStart w:id="25" w:name="_Toc474855677"/>
      <w:r>
        <w:rPr>
          <w:rFonts w:ascii="Arial" w:hAnsi="Arial" w:cs="Arial"/>
          <w:color w:val="000000" w:themeColor="text1"/>
        </w:rPr>
        <w:lastRenderedPageBreak/>
        <w:t>Criterios</w:t>
      </w:r>
      <w:r w:rsidR="005E3A6E">
        <w:rPr>
          <w:rFonts w:ascii="Arial" w:hAnsi="Arial" w:cs="Arial"/>
          <w:color w:val="000000" w:themeColor="text1"/>
        </w:rPr>
        <w:t xml:space="preserve"> para el</w:t>
      </w:r>
      <w:r w:rsidR="00B307B3" w:rsidRPr="00AF6811">
        <w:rPr>
          <w:rFonts w:ascii="Arial" w:hAnsi="Arial" w:cs="Arial"/>
          <w:color w:val="000000" w:themeColor="text1"/>
        </w:rPr>
        <w:t xml:space="preserve"> principio </w:t>
      </w:r>
      <w:r w:rsidR="002B546D">
        <w:rPr>
          <w:rFonts w:ascii="Arial" w:hAnsi="Arial" w:cs="Arial"/>
          <w:color w:val="000000" w:themeColor="text1"/>
        </w:rPr>
        <w:t>Precaución y Adaptación</w:t>
      </w:r>
      <w:r w:rsidR="001C1F79" w:rsidRPr="00AF6811">
        <w:rPr>
          <w:rFonts w:ascii="Arial" w:hAnsi="Arial" w:cs="Arial"/>
          <w:color w:val="000000" w:themeColor="text1"/>
        </w:rPr>
        <w:t>:</w:t>
      </w:r>
      <w:bookmarkEnd w:id="25"/>
      <w:r w:rsidR="001C1F79" w:rsidRPr="00AF6811">
        <w:rPr>
          <w:rFonts w:ascii="Arial" w:hAnsi="Arial" w:cs="Arial"/>
          <w:color w:val="000000" w:themeColor="text1"/>
        </w:rPr>
        <w:t xml:space="preserve"> </w:t>
      </w:r>
    </w:p>
    <w:p w:rsidR="00B307B3" w:rsidRPr="00AF6811" w:rsidRDefault="008D6193" w:rsidP="008D6193">
      <w:pPr>
        <w:spacing w:line="360" w:lineRule="auto"/>
        <w:rPr>
          <w:rFonts w:ascii="Arial" w:hAnsi="Arial" w:cs="Arial"/>
          <w:color w:val="000000" w:themeColor="text1"/>
        </w:rPr>
      </w:pPr>
      <w:r>
        <w:rPr>
          <w:rFonts w:ascii="Arial" w:hAnsi="Arial" w:cs="Arial"/>
          <w:color w:val="000000" w:themeColor="text1"/>
        </w:rPr>
        <w:t>E</w:t>
      </w:r>
      <w:r w:rsidRPr="00AF6811">
        <w:rPr>
          <w:rFonts w:ascii="Arial" w:hAnsi="Arial" w:cs="Arial"/>
          <w:color w:val="000000" w:themeColor="text1"/>
        </w:rPr>
        <w:t>n relación a la Precaución y Adaptación</w:t>
      </w:r>
      <w:r w:rsidR="00B307B3" w:rsidRPr="00AF6811">
        <w:rPr>
          <w:rFonts w:ascii="Arial" w:hAnsi="Arial" w:cs="Arial"/>
          <w:color w:val="000000" w:themeColor="text1"/>
        </w:rPr>
        <w:t xml:space="preserve">, se identificaron los siguientes </w:t>
      </w:r>
      <w:r w:rsidR="00E0505F">
        <w:rPr>
          <w:rFonts w:ascii="Arial" w:hAnsi="Arial" w:cs="Arial"/>
          <w:color w:val="000000" w:themeColor="text1"/>
        </w:rPr>
        <w:t>criterios</w:t>
      </w:r>
      <w:r w:rsidR="00B307B3" w:rsidRPr="00AF6811">
        <w:rPr>
          <w:rFonts w:ascii="Arial" w:hAnsi="Arial" w:cs="Arial"/>
          <w:color w:val="000000" w:themeColor="text1"/>
        </w:rPr>
        <w:t xml:space="preserve"> que pueden ser aplicados en </w:t>
      </w:r>
      <w:r w:rsidR="004155A2" w:rsidRPr="00AF6811">
        <w:rPr>
          <w:rFonts w:ascii="Arial" w:hAnsi="Arial" w:cs="Arial"/>
          <w:color w:val="000000" w:themeColor="text1"/>
        </w:rPr>
        <w:t>el ámbito territorial</w:t>
      </w:r>
      <w:r w:rsidR="00D7212C" w:rsidRPr="00AF6811">
        <w:rPr>
          <w:rFonts w:ascii="Arial" w:hAnsi="Arial" w:cs="Arial"/>
          <w:color w:val="000000" w:themeColor="text1"/>
        </w:rPr>
        <w:t xml:space="preserve"> </w:t>
      </w:r>
      <w:r w:rsidR="006B15AA" w:rsidRPr="00AF6811">
        <w:rPr>
          <w:rFonts w:ascii="Arial" w:hAnsi="Arial" w:cs="Arial"/>
          <w:color w:val="000000" w:themeColor="text1"/>
        </w:rPr>
        <w:t>(Cuadro 9).</w:t>
      </w:r>
    </w:p>
    <w:p w:rsidR="004155A2" w:rsidRPr="00AF6811" w:rsidRDefault="006B15AA" w:rsidP="008D6193">
      <w:pPr>
        <w:pStyle w:val="Epgrafe"/>
        <w:spacing w:after="0" w:line="360" w:lineRule="auto"/>
        <w:rPr>
          <w:rFonts w:ascii="Arial" w:hAnsi="Arial" w:cs="Arial"/>
          <w:b w:val="0"/>
          <w:color w:val="000000" w:themeColor="text1"/>
          <w:sz w:val="22"/>
        </w:rPr>
      </w:pPr>
      <w:r w:rsidRPr="00AF6811">
        <w:rPr>
          <w:rFonts w:ascii="Arial" w:hAnsi="Arial" w:cs="Arial"/>
          <w:b w:val="0"/>
          <w:color w:val="000000" w:themeColor="text1"/>
          <w:sz w:val="22"/>
        </w:rPr>
        <w:t xml:space="preserve">Cuadro </w:t>
      </w:r>
      <w:r w:rsidRPr="00AF6811">
        <w:rPr>
          <w:rFonts w:ascii="Arial" w:hAnsi="Arial" w:cs="Arial"/>
          <w:b w:val="0"/>
          <w:color w:val="000000" w:themeColor="text1"/>
          <w:sz w:val="22"/>
        </w:rPr>
        <w:fldChar w:fldCharType="begin"/>
      </w:r>
      <w:r w:rsidRPr="00AF6811">
        <w:rPr>
          <w:rFonts w:ascii="Arial" w:hAnsi="Arial" w:cs="Arial"/>
          <w:b w:val="0"/>
          <w:color w:val="000000" w:themeColor="text1"/>
          <w:sz w:val="22"/>
        </w:rPr>
        <w:instrText xml:space="preserve"> SEQ Cuadro \* ARABIC </w:instrText>
      </w:r>
      <w:r w:rsidRPr="00AF6811">
        <w:rPr>
          <w:rFonts w:ascii="Arial" w:hAnsi="Arial" w:cs="Arial"/>
          <w:b w:val="0"/>
          <w:color w:val="000000" w:themeColor="text1"/>
          <w:sz w:val="22"/>
        </w:rPr>
        <w:fldChar w:fldCharType="separate"/>
      </w:r>
      <w:r w:rsidR="00225844">
        <w:rPr>
          <w:rFonts w:ascii="Arial" w:hAnsi="Arial" w:cs="Arial"/>
          <w:b w:val="0"/>
          <w:noProof/>
          <w:color w:val="000000" w:themeColor="text1"/>
          <w:sz w:val="22"/>
        </w:rPr>
        <w:t>9</w:t>
      </w:r>
      <w:r w:rsidRPr="00AF6811">
        <w:rPr>
          <w:rFonts w:ascii="Arial" w:hAnsi="Arial" w:cs="Arial"/>
          <w:b w:val="0"/>
          <w:color w:val="000000" w:themeColor="text1"/>
          <w:sz w:val="22"/>
        </w:rPr>
        <w:fldChar w:fldCharType="end"/>
      </w:r>
      <w:r w:rsidR="00A44A80" w:rsidRPr="00AF6811">
        <w:rPr>
          <w:rFonts w:ascii="Arial" w:hAnsi="Arial" w:cs="Arial"/>
          <w:b w:val="0"/>
          <w:color w:val="000000" w:themeColor="text1"/>
          <w:sz w:val="22"/>
        </w:rPr>
        <w:t xml:space="preserve">: </w:t>
      </w:r>
      <w:r w:rsidR="00E0505F">
        <w:rPr>
          <w:rFonts w:ascii="Arial" w:hAnsi="Arial" w:cs="Arial"/>
          <w:b w:val="0"/>
          <w:color w:val="000000" w:themeColor="text1"/>
          <w:sz w:val="22"/>
        </w:rPr>
        <w:t>Criterios</w:t>
      </w:r>
      <w:r w:rsidR="009D5ADA" w:rsidRPr="00AF6811">
        <w:rPr>
          <w:rFonts w:ascii="Arial" w:hAnsi="Arial" w:cs="Arial"/>
          <w:b w:val="0"/>
          <w:color w:val="000000" w:themeColor="text1"/>
          <w:sz w:val="22"/>
        </w:rPr>
        <w:t xml:space="preserve"> identificados para estructurar</w:t>
      </w:r>
      <w:r w:rsidR="002B546D">
        <w:rPr>
          <w:rFonts w:ascii="Arial" w:hAnsi="Arial" w:cs="Arial"/>
          <w:b w:val="0"/>
          <w:color w:val="000000" w:themeColor="text1"/>
          <w:sz w:val="22"/>
        </w:rPr>
        <w:t xml:space="preserve"> el principio Precaución y</w:t>
      </w:r>
      <w:r w:rsidR="00A44A80" w:rsidRPr="00AF6811">
        <w:rPr>
          <w:rFonts w:ascii="Arial" w:hAnsi="Arial" w:cs="Arial"/>
          <w:b w:val="0"/>
          <w:color w:val="000000" w:themeColor="text1"/>
          <w:sz w:val="22"/>
        </w:rPr>
        <w:t xml:space="preserve"> Adaptación a territorios mineros</w:t>
      </w:r>
    </w:p>
    <w:tbl>
      <w:tblPr>
        <w:tblW w:w="0" w:type="auto"/>
        <w:tblBorders>
          <w:top w:val="single" w:sz="4" w:space="0" w:color="auto"/>
          <w:bottom w:val="single" w:sz="4" w:space="0" w:color="auto"/>
          <w:insideH w:val="single" w:sz="4" w:space="0" w:color="auto"/>
        </w:tblBorders>
        <w:tblLook w:val="04A0" w:firstRow="1" w:lastRow="0" w:firstColumn="1" w:lastColumn="0" w:noHBand="0" w:noVBand="1"/>
      </w:tblPr>
      <w:tblGrid>
        <w:gridCol w:w="3118"/>
        <w:gridCol w:w="5495"/>
      </w:tblGrid>
      <w:tr w:rsidR="00C901F3" w:rsidRPr="00AF6811" w:rsidTr="002A21E4">
        <w:tc>
          <w:tcPr>
            <w:tcW w:w="8613" w:type="dxa"/>
            <w:gridSpan w:val="2"/>
            <w:shd w:val="clear" w:color="auto" w:fill="D9D9D9" w:themeFill="background1" w:themeFillShade="D9"/>
          </w:tcPr>
          <w:p w:rsidR="00C901F3" w:rsidRPr="00AF6811" w:rsidRDefault="002A21E4" w:rsidP="002B546D">
            <w:pPr>
              <w:spacing w:after="0" w:line="240" w:lineRule="auto"/>
              <w:rPr>
                <w:rFonts w:ascii="Arial" w:hAnsi="Arial" w:cs="Arial"/>
                <w:b/>
                <w:color w:val="000000" w:themeColor="text1"/>
                <w:sz w:val="20"/>
              </w:rPr>
            </w:pPr>
            <w:r w:rsidRPr="00AF6811">
              <w:rPr>
                <w:rFonts w:ascii="Arial" w:hAnsi="Arial" w:cs="Arial"/>
                <w:b/>
                <w:color w:val="000000" w:themeColor="text1"/>
                <w:sz w:val="20"/>
              </w:rPr>
              <w:t>Prec</w:t>
            </w:r>
            <w:r>
              <w:rPr>
                <w:rFonts w:ascii="Arial" w:hAnsi="Arial" w:cs="Arial"/>
                <w:b/>
                <w:color w:val="000000" w:themeColor="text1"/>
                <w:sz w:val="20"/>
              </w:rPr>
              <w:t>aución y</w:t>
            </w:r>
            <w:r w:rsidRPr="00AF6811">
              <w:rPr>
                <w:rFonts w:ascii="Arial" w:hAnsi="Arial" w:cs="Arial"/>
                <w:b/>
                <w:color w:val="000000" w:themeColor="text1"/>
                <w:sz w:val="20"/>
              </w:rPr>
              <w:t xml:space="preserve"> adaptación </w:t>
            </w:r>
          </w:p>
        </w:tc>
      </w:tr>
      <w:tr w:rsidR="00B307B3" w:rsidRPr="00AF6811" w:rsidTr="00C901F3">
        <w:tc>
          <w:tcPr>
            <w:tcW w:w="8613" w:type="dxa"/>
            <w:gridSpan w:val="2"/>
          </w:tcPr>
          <w:p w:rsidR="00B307B3" w:rsidRPr="002B546D" w:rsidRDefault="00B307B3" w:rsidP="007936A4">
            <w:pPr>
              <w:spacing w:after="0" w:line="240" w:lineRule="auto"/>
              <w:rPr>
                <w:rFonts w:ascii="Arial" w:hAnsi="Arial" w:cs="Arial"/>
                <w:b/>
                <w:i/>
                <w:color w:val="000000" w:themeColor="text1"/>
                <w:sz w:val="20"/>
              </w:rPr>
            </w:pPr>
            <w:r w:rsidRPr="002B546D">
              <w:rPr>
                <w:rFonts w:ascii="Arial" w:hAnsi="Arial" w:cs="Arial"/>
                <w:i/>
                <w:color w:val="000000" w:themeColor="text1"/>
                <w:sz w:val="20"/>
              </w:rPr>
              <w:t>Respetar la incertidumbre, evitar riesgos escasamente entendidos de daño serio o irreversible a las bases de la sostenibilidad, planificar para aprender, diseñar para sorprender y gestionar para la adaptación</w:t>
            </w:r>
            <w:r w:rsidR="002B546D" w:rsidRPr="002B546D">
              <w:rPr>
                <w:rFonts w:ascii="Arial" w:hAnsi="Arial" w:cs="Arial"/>
                <w:i/>
                <w:color w:val="000000" w:themeColor="text1"/>
                <w:sz w:val="20"/>
              </w:rPr>
              <w:t xml:space="preserve"> </w:t>
            </w:r>
            <w:r w:rsidR="002B546D" w:rsidRPr="002B546D">
              <w:rPr>
                <w:rFonts w:ascii="Arial" w:hAnsi="Arial" w:cs="Arial"/>
                <w:i/>
                <w:color w:val="000000" w:themeColor="text1"/>
                <w:sz w:val="20"/>
                <w:szCs w:val="20"/>
              </w:rPr>
              <w:t xml:space="preserve"> (Gibson, 2006)</w:t>
            </w:r>
          </w:p>
        </w:tc>
      </w:tr>
      <w:tr w:rsidR="00AC278D" w:rsidRPr="00AF6811" w:rsidTr="002A21E4">
        <w:tc>
          <w:tcPr>
            <w:tcW w:w="3118" w:type="dxa"/>
            <w:tcBorders>
              <w:bottom w:val="single" w:sz="4" w:space="0" w:color="auto"/>
            </w:tcBorders>
            <w:shd w:val="clear" w:color="auto" w:fill="D9D9D9" w:themeFill="background1" w:themeFillShade="D9"/>
          </w:tcPr>
          <w:p w:rsidR="00AC278D" w:rsidRPr="00AF6811" w:rsidRDefault="00AC278D" w:rsidP="006D0697">
            <w:pPr>
              <w:spacing w:after="0" w:line="240" w:lineRule="auto"/>
              <w:rPr>
                <w:rFonts w:ascii="Arial" w:hAnsi="Arial" w:cs="Arial"/>
                <w:b/>
                <w:color w:val="000000" w:themeColor="text1"/>
                <w:sz w:val="20"/>
              </w:rPr>
            </w:pPr>
            <w:r w:rsidRPr="00AF6811">
              <w:rPr>
                <w:rFonts w:ascii="Arial" w:hAnsi="Arial" w:cs="Arial"/>
                <w:b/>
                <w:color w:val="000000" w:themeColor="text1"/>
                <w:sz w:val="20"/>
              </w:rPr>
              <w:t>Criterio</w:t>
            </w:r>
          </w:p>
        </w:tc>
        <w:tc>
          <w:tcPr>
            <w:tcW w:w="5495" w:type="dxa"/>
            <w:tcBorders>
              <w:bottom w:val="single" w:sz="4" w:space="0" w:color="auto"/>
            </w:tcBorders>
            <w:shd w:val="clear" w:color="auto" w:fill="D9D9D9" w:themeFill="background1" w:themeFillShade="D9"/>
          </w:tcPr>
          <w:p w:rsidR="00AC278D" w:rsidRPr="00AF6811" w:rsidRDefault="00AC278D" w:rsidP="006D0697">
            <w:pPr>
              <w:spacing w:after="0" w:line="240" w:lineRule="auto"/>
              <w:rPr>
                <w:rFonts w:ascii="Arial" w:hAnsi="Arial" w:cs="Arial"/>
                <w:b/>
                <w:color w:val="000000" w:themeColor="text1"/>
                <w:sz w:val="20"/>
              </w:rPr>
            </w:pPr>
            <w:r w:rsidRPr="00AF6811">
              <w:rPr>
                <w:rFonts w:ascii="Arial" w:hAnsi="Arial" w:cs="Arial"/>
                <w:b/>
                <w:color w:val="000000" w:themeColor="text1"/>
                <w:sz w:val="20"/>
              </w:rPr>
              <w:t>Acción</w:t>
            </w:r>
          </w:p>
        </w:tc>
      </w:tr>
      <w:tr w:rsidR="009779D1" w:rsidRPr="00AF6811" w:rsidTr="002A21E4">
        <w:tc>
          <w:tcPr>
            <w:tcW w:w="3118" w:type="dxa"/>
            <w:vMerge w:val="restart"/>
            <w:tcBorders>
              <w:bottom w:val="nil"/>
            </w:tcBorders>
          </w:tcPr>
          <w:p w:rsidR="009779D1" w:rsidRPr="00AF6811" w:rsidRDefault="009779D1" w:rsidP="007936A4">
            <w:pPr>
              <w:spacing w:after="0" w:line="240" w:lineRule="auto"/>
              <w:rPr>
                <w:rFonts w:ascii="Arial" w:hAnsi="Arial" w:cs="Arial"/>
                <w:b/>
                <w:color w:val="000000" w:themeColor="text1"/>
                <w:sz w:val="20"/>
              </w:rPr>
            </w:pPr>
            <w:r w:rsidRPr="00AF6811">
              <w:rPr>
                <w:rFonts w:ascii="Arial" w:hAnsi="Arial" w:cs="Arial"/>
                <w:b/>
                <w:color w:val="000000" w:themeColor="text1"/>
                <w:sz w:val="20"/>
              </w:rPr>
              <w:t xml:space="preserve">Preferir la precaución, actuar con cautela en aspectos disputados o inciertos de propuestas de desarrollo </w:t>
            </w:r>
            <w:r w:rsidRPr="00AF6811">
              <w:rPr>
                <w:rFonts w:ascii="Arial" w:hAnsi="Arial" w:cs="Arial"/>
                <w:b/>
                <w:color w:val="000000" w:themeColor="text1"/>
                <w:sz w:val="20"/>
              </w:rPr>
              <w:fldChar w:fldCharType="begin" w:fldLock="1"/>
            </w:r>
            <w:r w:rsidRPr="00AF6811">
              <w:rPr>
                <w:rFonts w:ascii="Arial" w:hAnsi="Arial" w:cs="Arial"/>
                <w:b/>
                <w:color w:val="000000" w:themeColor="text1"/>
                <w:sz w:val="20"/>
              </w:rPr>
              <w:instrText>ADDIN CSL_CITATION { "citationItems" : [ { "id" : "ITEM-1", "itemData" : { "author" : [ { "dropping-particle" : "", "family" : "Morrison-saunders", "given" : "Angus", "non-dropping-particle" : "", "parse-names" : false, "suffix" : "" }, { "dropping-particle" : "", "family" : "Hodgson", "given" : "Nicole", "non-dropping-particle" : "", "parse-names" : false, "suffix" : "" } ], "container-title" : "Assessment", "id" : "ITEM-1", "issue" : "September", "issued" : { "date-parts" : [ [ "2009" ] ] }, "page" : "1-6", "title" : "Applying Sustainability Principles in Practice : Guidance for Assessing Individual Proposals", "type" : "article-journal" }, "uris" : [ "http://www.mendeley.com/documents/?uuid=8eac9b1a-a579-4134-9969-a97b9c129d7b" ] } ], "mendeley" : { "formattedCitation" : "(Morrison-saunders &amp; Hodgson, 2009)", "plainTextFormattedCitation" : "(Morrison-saunders &amp; Hodgson, 2009)", "previouslyFormattedCitation" : "(Morrison-saunders &amp; Hodgson, 2009)" }, "properties" : { "noteIndex" : 0 }, "schema" : "https://github.com/citation-style-language/schema/raw/master/csl-citation.json" }</w:instrText>
            </w:r>
            <w:r w:rsidRPr="00AF6811">
              <w:rPr>
                <w:rFonts w:ascii="Arial" w:hAnsi="Arial" w:cs="Arial"/>
                <w:b/>
                <w:color w:val="000000" w:themeColor="text1"/>
                <w:sz w:val="20"/>
              </w:rPr>
              <w:fldChar w:fldCharType="separate"/>
            </w:r>
            <w:r w:rsidRPr="00AF6811">
              <w:rPr>
                <w:rFonts w:ascii="Arial" w:hAnsi="Arial" w:cs="Arial"/>
                <w:b/>
                <w:noProof/>
                <w:color w:val="000000" w:themeColor="text1"/>
                <w:sz w:val="20"/>
              </w:rPr>
              <w:t>(Morrison-saunders &amp; Hodgson, 2009)</w:t>
            </w:r>
            <w:r w:rsidRPr="00AF6811">
              <w:rPr>
                <w:rFonts w:ascii="Arial" w:hAnsi="Arial" w:cs="Arial"/>
                <w:b/>
                <w:color w:val="000000" w:themeColor="text1"/>
                <w:sz w:val="20"/>
              </w:rPr>
              <w:fldChar w:fldCharType="end"/>
            </w:r>
          </w:p>
        </w:tc>
        <w:tc>
          <w:tcPr>
            <w:tcW w:w="5495" w:type="dxa"/>
            <w:tcBorders>
              <w:bottom w:val="nil"/>
            </w:tcBorders>
            <w:vAlign w:val="bottom"/>
          </w:tcPr>
          <w:p w:rsidR="009779D1" w:rsidRPr="00AF6811" w:rsidRDefault="009779D1" w:rsidP="007452A2">
            <w:pPr>
              <w:spacing w:after="0" w:line="240" w:lineRule="auto"/>
              <w:rPr>
                <w:rFonts w:ascii="Arial" w:hAnsi="Arial" w:cs="Arial"/>
                <w:color w:val="000000" w:themeColor="text1"/>
                <w:sz w:val="20"/>
              </w:rPr>
            </w:pPr>
            <w:r w:rsidRPr="00AF6811">
              <w:rPr>
                <w:rFonts w:ascii="Arial" w:hAnsi="Arial" w:cs="Arial"/>
                <w:color w:val="000000" w:themeColor="text1"/>
                <w:sz w:val="20"/>
              </w:rPr>
              <w:t xml:space="preserve">Actividades que impliquen la posibilidad de efectos irreversibles y duraderos, casos en que los riesgos superen los beneficios, y daño excesivo a la salud humana y ecosistemas deben ser consideradas como insostenibles </w:t>
            </w:r>
            <w:r w:rsidRPr="00AF6811">
              <w:rPr>
                <w:rFonts w:ascii="Arial" w:hAnsi="Arial" w:cs="Arial"/>
                <w:color w:val="000000" w:themeColor="text1"/>
                <w:sz w:val="20"/>
              </w:rPr>
              <w:fldChar w:fldCharType="begin" w:fldLock="1"/>
            </w:r>
            <w:r w:rsidRPr="00AF6811">
              <w:rPr>
                <w:rFonts w:ascii="Arial" w:hAnsi="Arial" w:cs="Arial"/>
                <w:color w:val="000000" w:themeColor="text1"/>
                <w:sz w:val="20"/>
              </w:rPr>
              <w:instrText>ADDIN CSL_CITATION { "citationItems" : [ { "id" : "ITEM-1", "itemData" : { "DOI" : "10.1016/S0921-8009(02)00272-0", "ISBN" : "0921-8009", "ISSN" : "09218009", "PMID" : "23", "abstract" : "This paper develops a methodology for identifying that natural capital - called critical natural capital (CNC) - the maintenance of which is essential for environmental sustainability. By consideration of the characteristics of natural capital, of the environmental functions that these characteristics enable natural capital to perform and of the importance of these functions to humans and the biosphere, it shows how sustainability standards in respect of these environmental functions may be derived. The difference between the current situation and these standards is termed the sustainability gap. The methodology that emerges from bringing these ideas together into a single analytical framework enables policy makers to identify the extent of current unsustainability, the principal causes of it, the elements and processes of natural capital (the CNC) which need to be maintained or restored to close the sustainability gap and the costs of so doing. The framework should therefore be of use in identifying priorities and policies for moving towards environmental sustainability. ?? 2002 Published by Elsevier Science B.V.", "author" : [ { "dropping-particle" : "", "family" : "Ekins", "given" : "Paul", "non-dropping-particle" : "", "parse-names" : false, "suffix" : "" }, { "dropping-particle" : "", "family" : "Simon", "given" : "Sandrine", "non-dropping-particle" : "", "parse-names" : false, "suffix" : "" }, { "dropping-particle" : "", "family" : "Deutsch", "given" : "Lisa", "non-dropping-particle" : "", "parse-names" : false, "suffix" : "" }, { "dropping-particle" : "", "family" : "Folke", "given" : "Carl", "non-dropping-particle" : "", "parse-names" : false, "suffix" : "" }, { "dropping-particle" : "", "family" : "Groot", "given" : "Rudolf", "non-dropping-particle" : "De", "parse-names" : false, "suffix" : "" } ], "container-title" : "Ecological Economics", "id" : "ITEM-1", "issued" : { "date-parts" : [ [ "2003" ] ] }, "page" : "165-185", "title" : "A framework for the practical application of the concepts of critical natural capital and strong sustainability", "type" : "article-journal", "volume" : "44" }, "uris" : [ "http://www.mendeley.com/documents/?uuid=5ab0dee7-4e2a-402b-a4ce-62606789c9e2" ] } ], "mendeley" : { "formattedCitation" : "(Ekins et al., 2003)", "plainTextFormattedCitation" : "(Ekins et al., 2003)", "previouslyFormattedCitation" : "(Ekins et al., 2003)" }, "properties" : { "noteIndex" : 0 }, "schema" : "https://github.com/citation-style-language/schema/raw/master/csl-citation.json" }</w:instrText>
            </w:r>
            <w:r w:rsidRPr="00AF6811">
              <w:rPr>
                <w:rFonts w:ascii="Arial" w:hAnsi="Arial" w:cs="Arial"/>
                <w:color w:val="000000" w:themeColor="text1"/>
                <w:sz w:val="20"/>
              </w:rPr>
              <w:fldChar w:fldCharType="separate"/>
            </w:r>
            <w:r w:rsidRPr="00AF6811">
              <w:rPr>
                <w:rFonts w:ascii="Arial" w:hAnsi="Arial" w:cs="Arial"/>
                <w:noProof/>
                <w:color w:val="000000" w:themeColor="text1"/>
                <w:sz w:val="20"/>
              </w:rPr>
              <w:t>(Ekins et al., 2003)</w:t>
            </w:r>
            <w:r w:rsidRPr="00AF6811">
              <w:rPr>
                <w:rFonts w:ascii="Arial" w:hAnsi="Arial" w:cs="Arial"/>
                <w:color w:val="000000" w:themeColor="text1"/>
                <w:sz w:val="20"/>
              </w:rPr>
              <w:fldChar w:fldCharType="end"/>
            </w:r>
          </w:p>
        </w:tc>
      </w:tr>
      <w:tr w:rsidR="009779D1" w:rsidRPr="00AF6811" w:rsidTr="002A21E4">
        <w:tc>
          <w:tcPr>
            <w:tcW w:w="3118" w:type="dxa"/>
            <w:vMerge/>
            <w:tcBorders>
              <w:top w:val="nil"/>
              <w:bottom w:val="nil"/>
            </w:tcBorders>
          </w:tcPr>
          <w:p w:rsidR="009779D1" w:rsidRPr="00AF6811" w:rsidRDefault="009779D1" w:rsidP="007936A4">
            <w:pPr>
              <w:spacing w:after="0" w:line="240" w:lineRule="auto"/>
              <w:rPr>
                <w:rFonts w:ascii="Arial" w:hAnsi="Arial" w:cs="Arial"/>
                <w:b/>
                <w:color w:val="000000" w:themeColor="text1"/>
                <w:sz w:val="20"/>
              </w:rPr>
            </w:pPr>
          </w:p>
        </w:tc>
        <w:tc>
          <w:tcPr>
            <w:tcW w:w="5495" w:type="dxa"/>
            <w:tcBorders>
              <w:top w:val="nil"/>
              <w:bottom w:val="nil"/>
            </w:tcBorders>
          </w:tcPr>
          <w:p w:rsidR="009779D1" w:rsidRPr="00AF6811" w:rsidRDefault="009779D1" w:rsidP="00946B04">
            <w:pPr>
              <w:spacing w:after="0" w:line="240" w:lineRule="auto"/>
              <w:rPr>
                <w:rFonts w:ascii="Arial" w:hAnsi="Arial" w:cs="Arial"/>
                <w:color w:val="000000" w:themeColor="text1"/>
                <w:sz w:val="20"/>
              </w:rPr>
            </w:pPr>
            <w:r w:rsidRPr="00AF6811">
              <w:rPr>
                <w:rFonts w:ascii="Arial" w:hAnsi="Arial" w:cs="Arial"/>
                <w:color w:val="000000" w:themeColor="text1"/>
                <w:sz w:val="20"/>
              </w:rPr>
              <w:t xml:space="preserve">Considerar no proceder en propuestas de desarrollo donde coincide incertidumbre científica, irreversibilidad y pérdidas excesivas </w:t>
            </w:r>
            <w:r w:rsidRPr="00AF6811">
              <w:rPr>
                <w:rFonts w:ascii="Arial" w:hAnsi="Arial" w:cs="Arial"/>
                <w:color w:val="000000" w:themeColor="text1"/>
                <w:sz w:val="20"/>
              </w:rPr>
              <w:fldChar w:fldCharType="begin" w:fldLock="1"/>
            </w:r>
            <w:r w:rsidRPr="00AF6811">
              <w:rPr>
                <w:rFonts w:ascii="Arial" w:hAnsi="Arial" w:cs="Arial"/>
                <w:color w:val="000000" w:themeColor="text1"/>
                <w:sz w:val="20"/>
              </w:rPr>
              <w:instrText>ADDIN CSL_CITATION { "citationItems" : [ { "id" : "ITEM-1", "itemData" : { "DOI" : "10.1016/S0921-8009(02)00272-0", "ISBN" : "0921-8009", "ISSN" : "09218009", "PMID" : "23", "abstract" : "This paper develops a methodology for identifying that natural capital - called critical natural capital (CNC) - the maintenance of which is essential for environmental sustainability. By consideration of the characteristics of natural capital, of the environmental functions that these characteristics enable natural capital to perform and of the importance of these functions to humans and the biosphere, it shows how sustainability standards in respect of these environmental functions may be derived. The difference between the current situation and these standards is termed the sustainability gap. The methodology that emerges from bringing these ideas together into a single analytical framework enables policy makers to identify the extent of current unsustainability, the principal causes of it, the elements and processes of natural capital (the CNC) which need to be maintained or restored to close the sustainability gap and the costs of so doing. The framework should therefore be of use in identifying priorities and policies for moving towards environmental sustainability. ?? 2002 Published by Elsevier Science B.V.", "author" : [ { "dropping-particle" : "", "family" : "Ekins", "given" : "Paul", "non-dropping-particle" : "", "parse-names" : false, "suffix" : "" }, { "dropping-particle" : "", "family" : "Simon", "given" : "Sandrine", "non-dropping-particle" : "", "parse-names" : false, "suffix" : "" }, { "dropping-particle" : "", "family" : "Deutsch", "given" : "Lisa", "non-dropping-particle" : "", "parse-names" : false, "suffix" : "" }, { "dropping-particle" : "", "family" : "Folke", "given" : "Carl", "non-dropping-particle" : "", "parse-names" : false, "suffix" : "" }, { "dropping-particle" : "", "family" : "Groot", "given" : "Rudolf", "non-dropping-particle" : "De", "parse-names" : false, "suffix" : "" } ], "container-title" : "Ecological Economics", "id" : "ITEM-1", "issued" : { "date-parts" : [ [ "2003" ] ] }, "page" : "165-185", "title" : "A framework for the practical application of the concepts of critical natural capital and strong sustainability", "type" : "article-journal", "volume" : "44" }, "uris" : [ "http://www.mendeley.com/documents/?uuid=5ab0dee7-4e2a-402b-a4ce-62606789c9e2" ] } ], "mendeley" : { "formattedCitation" : "(Ekins et al., 2003)", "plainTextFormattedCitation" : "(Ekins et al., 2003)", "previouslyFormattedCitation" : "(Ekins et al., 2003)" }, "properties" : { "noteIndex" : 0 }, "schema" : "https://github.com/citation-style-language/schema/raw/master/csl-citation.json" }</w:instrText>
            </w:r>
            <w:r w:rsidRPr="00AF6811">
              <w:rPr>
                <w:rFonts w:ascii="Arial" w:hAnsi="Arial" w:cs="Arial"/>
                <w:color w:val="000000" w:themeColor="text1"/>
                <w:sz w:val="20"/>
              </w:rPr>
              <w:fldChar w:fldCharType="separate"/>
            </w:r>
            <w:r w:rsidRPr="00AF6811">
              <w:rPr>
                <w:rFonts w:ascii="Arial" w:hAnsi="Arial" w:cs="Arial"/>
                <w:noProof/>
                <w:color w:val="000000" w:themeColor="text1"/>
                <w:sz w:val="20"/>
              </w:rPr>
              <w:t>(Ekins et al., 2003)</w:t>
            </w:r>
            <w:r w:rsidRPr="00AF6811">
              <w:rPr>
                <w:rFonts w:ascii="Arial" w:hAnsi="Arial" w:cs="Arial"/>
                <w:color w:val="000000" w:themeColor="text1"/>
                <w:sz w:val="20"/>
              </w:rPr>
              <w:fldChar w:fldCharType="end"/>
            </w:r>
            <w:r w:rsidRPr="00AF6811">
              <w:rPr>
                <w:rFonts w:ascii="Arial" w:hAnsi="Arial" w:cs="Arial"/>
                <w:color w:val="000000" w:themeColor="text1"/>
                <w:sz w:val="20"/>
              </w:rPr>
              <w:t xml:space="preserve"> </w:t>
            </w:r>
            <w:r w:rsidRPr="00AF6811">
              <w:rPr>
                <w:rFonts w:ascii="Arial" w:hAnsi="Arial" w:cs="Arial"/>
                <w:color w:val="000000" w:themeColor="text1"/>
                <w:sz w:val="20"/>
              </w:rPr>
              <w:fldChar w:fldCharType="begin" w:fldLock="1"/>
            </w:r>
            <w:r w:rsidRPr="00AF6811">
              <w:rPr>
                <w:rFonts w:ascii="Arial" w:hAnsi="Arial" w:cs="Arial"/>
                <w:color w:val="000000" w:themeColor="text1"/>
                <w:sz w:val="20"/>
              </w:rPr>
              <w:instrText>ADDIN CSL_CITATION { "citationItems" : [ { "id" : "ITEM-1", "itemData" : { "author" : [ { "dropping-particle" : "", "family" : "Morrison-saunders", "given" : "Angus", "non-dropping-particle" : "", "parse-names" : false, "suffix" : "" }, { "dropping-particle" : "", "family" : "Hodgson", "given" : "Nicole", "non-dropping-particle" : "", "parse-names" : false, "suffix" : "" } ], "container-title" : "Assessment", "id" : "ITEM-1", "issue" : "September", "issued" : { "date-parts" : [ [ "2009" ] ] }, "page" : "1-6", "title" : "Applying Sustainability Principles in Practice : Guidance for Assessing Individual Proposals", "type" : "article-journal" }, "uris" : [ "http://www.mendeley.com/documents/?uuid=8eac9b1a-a579-4134-9969-a97b9c129d7b" ] } ], "mendeley" : { "formattedCitation" : "(Morrison-saunders &amp; Hodgson, 2009)", "plainTextFormattedCitation" : "(Morrison-saunders &amp; Hodgson, 2009)", "previouslyFormattedCitation" : "(Morrison-saunders &amp; Hodgson, 2009)" }, "properties" : { "noteIndex" : 0 }, "schema" : "https://github.com/citation-style-language/schema/raw/master/csl-citation.json" }</w:instrText>
            </w:r>
            <w:r w:rsidRPr="00AF6811">
              <w:rPr>
                <w:rFonts w:ascii="Arial" w:hAnsi="Arial" w:cs="Arial"/>
                <w:color w:val="000000" w:themeColor="text1"/>
                <w:sz w:val="20"/>
              </w:rPr>
              <w:fldChar w:fldCharType="separate"/>
            </w:r>
            <w:r w:rsidRPr="00AF6811">
              <w:rPr>
                <w:rFonts w:ascii="Arial" w:hAnsi="Arial" w:cs="Arial"/>
                <w:noProof/>
                <w:color w:val="000000" w:themeColor="text1"/>
                <w:sz w:val="20"/>
              </w:rPr>
              <w:t>(Morrison-saunders &amp; Hodgson, 2009)</w:t>
            </w:r>
            <w:r w:rsidRPr="00AF6811">
              <w:rPr>
                <w:rFonts w:ascii="Arial" w:hAnsi="Arial" w:cs="Arial"/>
                <w:color w:val="000000" w:themeColor="text1"/>
                <w:sz w:val="20"/>
              </w:rPr>
              <w:fldChar w:fldCharType="end"/>
            </w:r>
          </w:p>
        </w:tc>
      </w:tr>
      <w:tr w:rsidR="009779D1" w:rsidRPr="00AF6811" w:rsidTr="002A21E4">
        <w:tc>
          <w:tcPr>
            <w:tcW w:w="3118" w:type="dxa"/>
            <w:vMerge/>
            <w:tcBorders>
              <w:top w:val="nil"/>
              <w:bottom w:val="nil"/>
            </w:tcBorders>
            <w:vAlign w:val="bottom"/>
          </w:tcPr>
          <w:p w:rsidR="009779D1" w:rsidRPr="00AF6811" w:rsidRDefault="009779D1" w:rsidP="007936A4">
            <w:pPr>
              <w:spacing w:after="0" w:line="240" w:lineRule="auto"/>
              <w:rPr>
                <w:rFonts w:ascii="Arial" w:hAnsi="Arial" w:cs="Arial"/>
                <w:b/>
                <w:color w:val="000000" w:themeColor="text1"/>
                <w:sz w:val="20"/>
              </w:rPr>
            </w:pPr>
          </w:p>
        </w:tc>
        <w:tc>
          <w:tcPr>
            <w:tcW w:w="5495" w:type="dxa"/>
            <w:tcBorders>
              <w:top w:val="nil"/>
              <w:bottom w:val="nil"/>
            </w:tcBorders>
          </w:tcPr>
          <w:p w:rsidR="009779D1" w:rsidRPr="00AF6811" w:rsidRDefault="009779D1" w:rsidP="00946B04">
            <w:pPr>
              <w:spacing w:after="0" w:line="240" w:lineRule="auto"/>
              <w:rPr>
                <w:rFonts w:ascii="Arial" w:hAnsi="Arial" w:cs="Arial"/>
                <w:color w:val="000000" w:themeColor="text1"/>
                <w:sz w:val="20"/>
              </w:rPr>
            </w:pPr>
            <w:r w:rsidRPr="00AF6811">
              <w:rPr>
                <w:rFonts w:ascii="Arial" w:hAnsi="Arial" w:cs="Arial"/>
                <w:color w:val="000000" w:themeColor="text1"/>
                <w:sz w:val="20"/>
              </w:rPr>
              <w:t xml:space="preserve">Proceder con cautela en situaciones de riesgo, eligiendo la mejor alternativa dada la incertidumbre y escaso entendimiento y la potencialidad de los peligros (Gibson, 2005) (Bonilla et al, 2001). </w:t>
            </w:r>
          </w:p>
        </w:tc>
      </w:tr>
      <w:tr w:rsidR="009779D1" w:rsidRPr="00AF6811" w:rsidTr="002A21E4">
        <w:tc>
          <w:tcPr>
            <w:tcW w:w="3118" w:type="dxa"/>
            <w:vMerge/>
            <w:tcBorders>
              <w:top w:val="nil"/>
              <w:bottom w:val="nil"/>
            </w:tcBorders>
          </w:tcPr>
          <w:p w:rsidR="009779D1" w:rsidRPr="00AF6811" w:rsidRDefault="009779D1" w:rsidP="007936A4">
            <w:pPr>
              <w:spacing w:after="0" w:line="240" w:lineRule="auto"/>
              <w:rPr>
                <w:rFonts w:ascii="Arial" w:hAnsi="Arial" w:cs="Arial"/>
                <w:b/>
                <w:color w:val="000000" w:themeColor="text1"/>
                <w:sz w:val="20"/>
              </w:rPr>
            </w:pPr>
          </w:p>
        </w:tc>
        <w:tc>
          <w:tcPr>
            <w:tcW w:w="5495" w:type="dxa"/>
            <w:tcBorders>
              <w:top w:val="nil"/>
              <w:bottom w:val="nil"/>
            </w:tcBorders>
            <w:vAlign w:val="bottom"/>
          </w:tcPr>
          <w:p w:rsidR="009779D1" w:rsidRPr="00AF6811" w:rsidRDefault="009779D1" w:rsidP="00946B04">
            <w:pPr>
              <w:spacing w:after="0" w:line="240" w:lineRule="auto"/>
              <w:rPr>
                <w:rFonts w:ascii="Arial" w:hAnsi="Arial" w:cs="Arial"/>
                <w:color w:val="000000" w:themeColor="text1"/>
                <w:sz w:val="20"/>
              </w:rPr>
            </w:pPr>
            <w:r w:rsidRPr="00AF6811">
              <w:rPr>
                <w:rFonts w:ascii="Arial" w:hAnsi="Arial" w:cs="Arial"/>
                <w:color w:val="000000" w:themeColor="text1"/>
                <w:sz w:val="20"/>
              </w:rPr>
              <w:t xml:space="preserve">Manejar en forma clara y precisa los impactos negativos provocados </w:t>
            </w:r>
            <w:r w:rsidRPr="00AF6811">
              <w:rPr>
                <w:rFonts w:ascii="Arial" w:hAnsi="Arial" w:cs="Arial"/>
                <w:color w:val="000000" w:themeColor="text1"/>
                <w:sz w:val="20"/>
              </w:rPr>
              <w:fldChar w:fldCharType="begin" w:fldLock="1"/>
            </w:r>
            <w:r w:rsidRPr="00AF6811">
              <w:rPr>
                <w:rFonts w:ascii="Arial" w:hAnsi="Arial" w:cs="Arial"/>
                <w:color w:val="000000" w:themeColor="text1"/>
                <w:sz w:val="20"/>
              </w:rPr>
              <w:instrText>ADDIN CSL_CITATION { "citationItems" : [ { "id" : "ITEM-1", "itemData" : { "author" : [ { "dropping-particle" : "", "family" : "Morrison-saunders", "given" : "Angus", "non-dropping-particle" : "", "parse-names" : false, "suffix" : "" }, { "dropping-particle" : "", "family" : "Hodgson", "given" : "Nicole", "non-dropping-particle" : "", "parse-names" : false, "suffix" : "" } ], "container-title" : "Assessment", "id" : "ITEM-1", "issue" : "September", "issued" : { "date-parts" : [ [ "2009" ] ] }, "page" : "1-6", "title" : "Applying Sustainability Principles in Practice : Guidance for Assessing Individual Proposals", "type" : "article-journal" }, "uris" : [ "http://www.mendeley.com/documents/?uuid=8eac9b1a-a579-4134-9969-a97b9c129d7b" ] } ], "mendeley" : { "formattedCitation" : "(Morrison-saunders &amp; Hodgson, 2009)", "plainTextFormattedCitation" : "(Morrison-saunders &amp; Hodgson, 2009)", "previouslyFormattedCitation" : "(Morrison-saunders &amp; Hodgson, 2009)" }, "properties" : { "noteIndex" : 0 }, "schema" : "https://github.com/citation-style-language/schema/raw/master/csl-citation.json" }</w:instrText>
            </w:r>
            <w:r w:rsidRPr="00AF6811">
              <w:rPr>
                <w:rFonts w:ascii="Arial" w:hAnsi="Arial" w:cs="Arial"/>
                <w:color w:val="000000" w:themeColor="text1"/>
                <w:sz w:val="20"/>
              </w:rPr>
              <w:fldChar w:fldCharType="separate"/>
            </w:r>
            <w:r w:rsidRPr="00AF6811">
              <w:rPr>
                <w:rFonts w:ascii="Arial" w:hAnsi="Arial" w:cs="Arial"/>
                <w:noProof/>
                <w:color w:val="000000" w:themeColor="text1"/>
                <w:sz w:val="20"/>
              </w:rPr>
              <w:t>(Morrison-saunders &amp; Hodgson, 2009)</w:t>
            </w:r>
            <w:r w:rsidRPr="00AF6811">
              <w:rPr>
                <w:rFonts w:ascii="Arial" w:hAnsi="Arial" w:cs="Arial"/>
                <w:color w:val="000000" w:themeColor="text1"/>
                <w:sz w:val="20"/>
              </w:rPr>
              <w:fldChar w:fldCharType="end"/>
            </w:r>
          </w:p>
        </w:tc>
      </w:tr>
      <w:tr w:rsidR="009779D1" w:rsidRPr="00AF6811" w:rsidTr="002A21E4">
        <w:tc>
          <w:tcPr>
            <w:tcW w:w="3118" w:type="dxa"/>
            <w:vMerge w:val="restart"/>
            <w:tcBorders>
              <w:top w:val="nil"/>
              <w:bottom w:val="nil"/>
            </w:tcBorders>
          </w:tcPr>
          <w:p w:rsidR="009779D1" w:rsidRPr="00AF6811" w:rsidRDefault="009779D1" w:rsidP="009779D1">
            <w:pPr>
              <w:spacing w:after="0" w:line="240" w:lineRule="auto"/>
              <w:rPr>
                <w:rFonts w:ascii="Arial" w:hAnsi="Arial" w:cs="Arial"/>
                <w:b/>
                <w:color w:val="000000" w:themeColor="text1"/>
                <w:sz w:val="20"/>
              </w:rPr>
            </w:pPr>
            <w:r w:rsidRPr="00AF6811">
              <w:rPr>
                <w:rFonts w:ascii="Arial" w:hAnsi="Arial" w:cs="Arial"/>
                <w:b/>
                <w:color w:val="000000" w:themeColor="text1"/>
                <w:sz w:val="20"/>
              </w:rPr>
              <w:t xml:space="preserve">Territorios adaptables y resilientes para enfrentar cambios inadvertidos. Anticiparse y ajustarse a los cambios  </w:t>
            </w:r>
            <w:r w:rsidRPr="00AF6811">
              <w:rPr>
                <w:rFonts w:ascii="Arial" w:hAnsi="Arial" w:cs="Arial"/>
                <w:b/>
                <w:color w:val="000000" w:themeColor="text1"/>
                <w:sz w:val="20"/>
              </w:rPr>
              <w:fldChar w:fldCharType="begin" w:fldLock="1"/>
            </w:r>
            <w:r w:rsidRPr="00AF6811">
              <w:rPr>
                <w:rFonts w:ascii="Arial" w:hAnsi="Arial" w:cs="Arial"/>
                <w:b/>
                <w:color w:val="000000" w:themeColor="text1"/>
                <w:sz w:val="20"/>
              </w:rPr>
              <w:instrText>ADDIN CSL_CITATION { "citationItems" : [ { "id" : "ITEM-1", "itemData" : { "DOI" : "10.1080/19463138.2010.513772", "ISBN" : "1946-3138\\n1946-3146", "ISSN" : "1946-3138", "abstract" : "Justice is a core yet often ignored principle of sustainability. However, sustainability for some at the expense of others undermines the principles and practice of sustainability as a force for positive change. In this commentary, I argue that sustainability research and practice can benefit from a closer reading of environmental justice scholarship. At the same time, environmental justice can draw on sustainability principles of systems thinking, anticipatory action and environmental stewardship to strengthen its methods and approaches while broadening its constituency. Vulnerability science can bridge environmental justice and sustainability and can also benefit from the convergence of ideas, principles and practices of these fields.", "author" : [ { "dropping-particle" : "", "family" : "Boone", "given" : "Christopher G.", "non-dropping-particle" : "", "parse-names" : false, "suffix" : "" } ], "container-title" : "International Journal of Urban Sustainable Development", "id" : "ITEM-1", "issue" : "September", "issued" : { "date-parts" : [ [ "2010" ] ] }, "page" : "135-140", "title" : "Environmental justice, sustainability and vulnerability", "type" : "article-journal", "volume" : "2" }, "uris" : [ "http://www.mendeley.com/documents/?uuid=a32b72b3-6378-4bbb-91ab-28f1bee5fae8" ] } ], "mendeley" : { "formattedCitation" : "(Boone, 2010)", "plainTextFormattedCitation" : "(Boone, 2010)", "previouslyFormattedCitation" : "(Boone, 2010)" }, "properties" : { "noteIndex" : 0 }, "schema" : "https://github.com/citation-style-language/schema/raw/master/csl-citation.json" }</w:instrText>
            </w:r>
            <w:r w:rsidRPr="00AF6811">
              <w:rPr>
                <w:rFonts w:ascii="Arial" w:hAnsi="Arial" w:cs="Arial"/>
                <w:b/>
                <w:color w:val="000000" w:themeColor="text1"/>
                <w:sz w:val="20"/>
              </w:rPr>
              <w:fldChar w:fldCharType="separate"/>
            </w:r>
            <w:r w:rsidRPr="00AF6811">
              <w:rPr>
                <w:rFonts w:ascii="Arial" w:hAnsi="Arial" w:cs="Arial"/>
                <w:b/>
                <w:noProof/>
                <w:color w:val="000000" w:themeColor="text1"/>
                <w:sz w:val="20"/>
              </w:rPr>
              <w:t>(Boone, 2010)</w:t>
            </w:r>
            <w:r w:rsidRPr="00AF6811">
              <w:rPr>
                <w:rFonts w:ascii="Arial" w:hAnsi="Arial" w:cs="Arial"/>
                <w:b/>
                <w:color w:val="000000" w:themeColor="text1"/>
                <w:sz w:val="20"/>
              </w:rPr>
              <w:fldChar w:fldCharType="end"/>
            </w:r>
            <w:r w:rsidRPr="00AF6811">
              <w:rPr>
                <w:rFonts w:ascii="Arial" w:hAnsi="Arial" w:cs="Arial"/>
                <w:b/>
                <w:color w:val="000000" w:themeColor="text1"/>
                <w:sz w:val="18"/>
              </w:rPr>
              <w:t xml:space="preserve"> </w:t>
            </w:r>
            <w:r w:rsidRPr="00AF6811">
              <w:rPr>
                <w:rFonts w:ascii="Arial" w:hAnsi="Arial" w:cs="Arial"/>
                <w:b/>
                <w:color w:val="000000" w:themeColor="text1"/>
                <w:sz w:val="20"/>
              </w:rPr>
              <w:fldChar w:fldCharType="begin" w:fldLock="1"/>
            </w:r>
            <w:r w:rsidRPr="00AF6811">
              <w:rPr>
                <w:rFonts w:ascii="Arial" w:hAnsi="Arial" w:cs="Arial"/>
                <w:b/>
                <w:color w:val="000000" w:themeColor="text1"/>
                <w:sz w:val="20"/>
              </w:rPr>
              <w:instrText>ADDIN CSL_CITATION { "citationItems" : [ { "id" : "ITEM-1", "itemData" : { "DOI" : "10.1080/01944363.2010.508428", "ISBN" : "0194-4363", "ISSN" : "0194-4363", "abstract" : "Problem: Human and natural systems will probably have to adapt to climate change impacts, but this cannot be planned for using the traditional approach based on predictions because of the subject\u2019s great complexity, its planning horizon more than 50 years away, and uncertainty about the future climate and how effectively CO2 emissions will be reduced. Purpose: This article proposes a more appropriate basis for planning climate change adaptation. Anticipatory governance is a flexible decision framework that uses a wide range of possible futures to prepare for change and to guide current decisions toward maximizing future alternatives or minimizing future threats. Rather than trying to tame or ignore uncertainty, this approach explores uncertainty and its implications for current and future decision making. Methods: I review and summarize the literature on anticipatory governance and provide three case studies to demonstrate its application to climate change planning. Results and conclusions: Denver Water, New York City, and the City of Phoenix are all using scenarios to antici- pate the range of global climate changes that may impact their communities and to develop adaptation strategies to address these impacts. Each is developing a decision framework for implementing adaptation strategies incrementally based on n climate monitoring. An incremental approach minimizes the resources that must be allocated to address these risks and has allowed these cities to plan in spite of the high uncertainty associated with climate change science and social change. Takeaway for practice: The complex- ity, uncertainty, and distant planning horizon associated with climate change cannot be managed sufficiently for the traditional predict-and-plan approach to yield good decisions about the significant social and capital investments likely to be required for adaptation. To be successful, social institutions must embrace new methods that explore uncertainty and that provide strategic guidance for current and future decisions.", "author" : [ { "dropping-particle" : "", "family" : "Quay", "given" : "Ray", "non-dropping-particle" : "", "parse-names" : false, "suffix" : "" } ], "container-title" : "Journal of the American Planning Association", "id" : "ITEM-1", "issue" : "4", "issued" : { "date-parts" : [ [ "2010" ] ] }, "page" : "496-511", "title" : "Anticipatory Governance", "type" : "article-journal", "volume" : "76" }, "uris" : [ "http://www.mendeley.com/documents/?uuid=05f55d12-364e-415d-9436-61a7460e7d72" ] } ], "mendeley" : { "formattedCitation" : "(Quay, 2010)", "plainTextFormattedCitation" : "(Quay, 2010)", "previouslyFormattedCitation" : "(Quay, 2010)" }, "properties" : { "noteIndex" : 0 }, "schema" : "https://github.com/citation-style-language/schema/raw/master/csl-citation.json" }</w:instrText>
            </w:r>
            <w:r w:rsidRPr="00AF6811">
              <w:rPr>
                <w:rFonts w:ascii="Arial" w:hAnsi="Arial" w:cs="Arial"/>
                <w:b/>
                <w:color w:val="000000" w:themeColor="text1"/>
                <w:sz w:val="20"/>
              </w:rPr>
              <w:fldChar w:fldCharType="separate"/>
            </w:r>
            <w:r w:rsidRPr="00AF6811">
              <w:rPr>
                <w:rFonts w:ascii="Arial" w:hAnsi="Arial" w:cs="Arial"/>
                <w:b/>
                <w:noProof/>
                <w:color w:val="000000" w:themeColor="text1"/>
                <w:sz w:val="20"/>
              </w:rPr>
              <w:t>(Quay, 2010)</w:t>
            </w:r>
            <w:r w:rsidRPr="00AF6811">
              <w:rPr>
                <w:rFonts w:ascii="Arial" w:hAnsi="Arial" w:cs="Arial"/>
                <w:b/>
                <w:color w:val="000000" w:themeColor="text1"/>
                <w:sz w:val="20"/>
              </w:rPr>
              <w:fldChar w:fldCharType="end"/>
            </w:r>
            <w:r w:rsidRPr="00AF6811">
              <w:rPr>
                <w:rFonts w:ascii="Arial" w:hAnsi="Arial" w:cs="Arial"/>
                <w:b/>
                <w:color w:val="000000" w:themeColor="text1"/>
                <w:sz w:val="20"/>
              </w:rPr>
              <w:t xml:space="preserve"> </w:t>
            </w:r>
            <w:r w:rsidRPr="00AF6811">
              <w:rPr>
                <w:rFonts w:ascii="Arial" w:hAnsi="Arial" w:cs="Arial"/>
                <w:b/>
                <w:color w:val="000000" w:themeColor="text1"/>
                <w:sz w:val="20"/>
              </w:rPr>
              <w:fldChar w:fldCharType="begin" w:fldLock="1"/>
            </w:r>
            <w:r w:rsidRPr="00AF6811">
              <w:rPr>
                <w:rFonts w:ascii="Arial" w:hAnsi="Arial" w:cs="Arial"/>
                <w:b/>
                <w:color w:val="000000" w:themeColor="text1"/>
                <w:sz w:val="20"/>
              </w:rPr>
              <w:instrText>ADDIN CSL_CITATION { "citationItems" : [ { "id" : "ITEM-1", "itemData" : { "DOI" : "10.3152/146155110X12772982841122", "ISSN" : "1461-5517", "abstract" : "Assessments today need to help reverse trends towards deeper unsustainability and address the unavoidable interconnections, feedbacks and uncertainties that typify complex socio-ecological systems at all scales. To illustrate one promising approach, this paper describes a modest effort to integrate understandings from Gibson et al\u2019s approach to sustainability assessment with the Resilience Alliance\u2019s applications of complex systems thinking into a suite of systems and sustainability based criteria. The integrated sustainability\u2013resilience criteria were used to assess an existing small-scale biodiesel operation on Barbados that involves waste management, public health, transportation, energy security and community involvement considerations. The assessment revealed that the main benefit of this biodiesel project is in social learning rather than enhancing energy security and waste management, and the best ways of enhancing the project lie in larger scale policy initiatives. The findings suggest that the use of a sustainability\u2013resilience approach can contribute insights unlikely to emerge from more narrowly focused assessments.", "author" : [ { "dropping-particle" : "", "family" : "Gaudreau", "given" : "Kyrke", "non-dropping-particle" : "", "parse-names" : false, "suffix" : "" }, { "dropping-particle" : "", "family" : "Gibson", "given" : "Robert B.", "non-dropping-particle" : "", "parse-names" : false, "suffix" : "" } ], "container-title" : "Impact Assessment and Project Appraisal", "id" : "ITEM-1", "issue" : "December", "issued" : { "date-parts" : [ [ "2010" ] ] }, "page" : "233-243", "title" : "Illustrating integrated sustainability and resilience based assessments: a small-scale biodiesel project in Barbados", "type" : "article-journal", "volume" : "28" }, "uris" : [ "http://www.mendeley.com/documents/?uuid=fee76635-1433-4c27-9c85-bbbf459c7e59" ] } ], "mendeley" : { "formattedCitation" : "(Gaudreau &amp; Gibson, 2010)", "plainTextFormattedCitation" : "(Gaudreau &amp; Gibson, 2010)", "previouslyFormattedCitation" : "(Gaudreau &amp; Gibson, 2010)" }, "properties" : { "noteIndex" : 0 }, "schema" : "https://github.com/citation-style-language/schema/raw/master/csl-citation.json" }</w:instrText>
            </w:r>
            <w:r w:rsidRPr="00AF6811">
              <w:rPr>
                <w:rFonts w:ascii="Arial" w:hAnsi="Arial" w:cs="Arial"/>
                <w:b/>
                <w:color w:val="000000" w:themeColor="text1"/>
                <w:sz w:val="20"/>
              </w:rPr>
              <w:fldChar w:fldCharType="separate"/>
            </w:r>
            <w:r w:rsidRPr="00AF6811">
              <w:rPr>
                <w:rFonts w:ascii="Arial" w:hAnsi="Arial" w:cs="Arial"/>
                <w:b/>
                <w:noProof/>
                <w:color w:val="000000" w:themeColor="text1"/>
                <w:sz w:val="20"/>
              </w:rPr>
              <w:t>(Gaudreau &amp; Gibson, 2010)</w:t>
            </w:r>
            <w:r w:rsidRPr="00AF6811">
              <w:rPr>
                <w:rFonts w:ascii="Arial" w:hAnsi="Arial" w:cs="Arial"/>
                <w:b/>
                <w:color w:val="000000" w:themeColor="text1"/>
                <w:sz w:val="20"/>
              </w:rPr>
              <w:fldChar w:fldCharType="end"/>
            </w:r>
          </w:p>
        </w:tc>
        <w:tc>
          <w:tcPr>
            <w:tcW w:w="5495" w:type="dxa"/>
            <w:tcBorders>
              <w:top w:val="nil"/>
              <w:bottom w:val="nil"/>
            </w:tcBorders>
            <w:vAlign w:val="bottom"/>
          </w:tcPr>
          <w:p w:rsidR="009779D1" w:rsidRPr="00AF6811" w:rsidRDefault="009779D1" w:rsidP="007452A2">
            <w:pPr>
              <w:spacing w:after="0" w:line="240" w:lineRule="auto"/>
              <w:rPr>
                <w:rFonts w:ascii="Arial" w:hAnsi="Arial" w:cs="Arial"/>
                <w:color w:val="000000" w:themeColor="text1"/>
                <w:sz w:val="20"/>
              </w:rPr>
            </w:pPr>
            <w:r w:rsidRPr="00AF6811">
              <w:rPr>
                <w:rFonts w:ascii="Arial" w:hAnsi="Arial" w:cs="Arial"/>
                <w:color w:val="000000" w:themeColor="text1"/>
                <w:sz w:val="20"/>
              </w:rPr>
              <w:t xml:space="preserve">Preservar elementos fundacionales del territorio, como es la funcionalidad crucial de ecosistemas, la sobrevida humana y valores de comunidades </w:t>
            </w:r>
            <w:r w:rsidRPr="00AF6811">
              <w:rPr>
                <w:rFonts w:ascii="Arial" w:hAnsi="Arial" w:cs="Arial"/>
                <w:color w:val="000000" w:themeColor="text1"/>
                <w:sz w:val="20"/>
              </w:rPr>
              <w:fldChar w:fldCharType="begin" w:fldLock="1"/>
            </w:r>
            <w:r w:rsidRPr="00AF6811">
              <w:rPr>
                <w:rFonts w:ascii="Arial" w:hAnsi="Arial" w:cs="Arial"/>
                <w:color w:val="000000" w:themeColor="text1"/>
                <w:sz w:val="20"/>
              </w:rPr>
              <w:instrText>ADDIN CSL_CITATION { "citationItems" : [ { "id" : "ITEM-1", "itemData" : { "DOI" : "10.1016/j.landurbplan.2013.06.002", "ISBN" : "0169-2046", "ISSN" : "01692046", "abstract" : "The proportion of urban population is increasing globally. Climate change, biodiversity loss, and environmental pollution are leading to the urgent need to increase sustainable development of and through cities and their components. Encouraging and enabling sustainable lifestyles of urban inhabitants can be fostered by developing sustainable urban neighborhoods as the nuclei of cities. Numerous approaches exist that define principles for guiding sustainable development processes of urban neighborhoods. However, it remains unclear if these approaches really consider the core objectives that should be achieved and key actions that are involved to move toward sustainability. This study represents the first quantitative review that evaluates the principles for sustainable urban neighborhood development based on the available literature. We thus (i) identify promising approaches that present principles close to core criteria for sustainability and (ii) provide starting points for developing a more robust set of principles by bringing together the examined literature. Furthermore (iii), sustainability aspects that are insufficiently covered are highlighted. Based on the findings (iv) a road map is outlined to encourage further research on the elaboration of a sufficient set of principles for sustainable urban neighborhood development. \u00a9 2013 Elsevier B.V.", "author" : [ { "dropping-particle" : "", "family" : "Luederitz", "given" : "Christopher", "non-dropping-particle" : "", "parse-names" : false, "suffix" : "" }, { "dropping-particle" : "", "family" : "Lang", "given" : "Daniel J.", "non-dropping-particle" : "", "parse-names" : false, "suffix" : "" }, { "dropping-particle" : "", "family" : "Wehrden", "given" : "Henrik", "non-dropping-particle" : "Von", "parse-names" : false, "suffix" : "" } ], "container-title" : "Landscape and Urban Planning", "id" : "ITEM-1", "issued" : { "date-parts" : [ [ "2013" ] ] }, "page" : "40-52", "publisher" : "Elsevier B.V.", "title" : "A systematic review of guiding principles for sustainable urban neighborhood development", "type" : "article-journal", "volume" : "118" }, "uris" : [ "http://www.mendeley.com/documents/?uuid=6bcfcece-dda2-466f-b77d-29fdaec204ad" ] } ], "mendeley" : { "formattedCitation" : "(Luederitz et al., 2013)", "plainTextFormattedCitation" : "(Luederitz et al., 2013)", "previouslyFormattedCitation" : "(Luederitz et al., 2013)" }, "properties" : { "noteIndex" : 0 }, "schema" : "https://github.com/citation-style-language/schema/raw/master/csl-citation.json" }</w:instrText>
            </w:r>
            <w:r w:rsidRPr="00AF6811">
              <w:rPr>
                <w:rFonts w:ascii="Arial" w:hAnsi="Arial" w:cs="Arial"/>
                <w:color w:val="000000" w:themeColor="text1"/>
                <w:sz w:val="20"/>
              </w:rPr>
              <w:fldChar w:fldCharType="separate"/>
            </w:r>
            <w:r w:rsidRPr="00AF6811">
              <w:rPr>
                <w:rFonts w:ascii="Arial" w:hAnsi="Arial" w:cs="Arial"/>
                <w:noProof/>
                <w:color w:val="000000" w:themeColor="text1"/>
                <w:sz w:val="20"/>
              </w:rPr>
              <w:t>(Luederitz et al., 2013)</w:t>
            </w:r>
            <w:r w:rsidRPr="00AF6811">
              <w:rPr>
                <w:rFonts w:ascii="Arial" w:hAnsi="Arial" w:cs="Arial"/>
                <w:color w:val="000000" w:themeColor="text1"/>
                <w:sz w:val="20"/>
              </w:rPr>
              <w:fldChar w:fldCharType="end"/>
            </w:r>
            <w:r w:rsidRPr="00AF6811">
              <w:rPr>
                <w:rFonts w:ascii="Arial" w:hAnsi="Arial" w:cs="Arial"/>
                <w:color w:val="000000" w:themeColor="text1"/>
                <w:sz w:val="20"/>
              </w:rPr>
              <w:t>.</w:t>
            </w:r>
          </w:p>
        </w:tc>
      </w:tr>
      <w:tr w:rsidR="009779D1" w:rsidRPr="00AF6811" w:rsidTr="002A21E4">
        <w:tc>
          <w:tcPr>
            <w:tcW w:w="3118" w:type="dxa"/>
            <w:vMerge/>
            <w:tcBorders>
              <w:top w:val="nil"/>
              <w:bottom w:val="nil"/>
            </w:tcBorders>
          </w:tcPr>
          <w:p w:rsidR="009779D1" w:rsidRPr="00AF6811" w:rsidRDefault="009779D1" w:rsidP="009779D1">
            <w:pPr>
              <w:spacing w:after="0" w:line="240" w:lineRule="auto"/>
              <w:rPr>
                <w:rFonts w:ascii="Arial" w:hAnsi="Arial" w:cs="Arial"/>
                <w:b/>
                <w:color w:val="000000" w:themeColor="text1"/>
                <w:sz w:val="20"/>
              </w:rPr>
            </w:pPr>
          </w:p>
        </w:tc>
        <w:tc>
          <w:tcPr>
            <w:tcW w:w="5495" w:type="dxa"/>
            <w:tcBorders>
              <w:top w:val="nil"/>
              <w:bottom w:val="nil"/>
            </w:tcBorders>
            <w:vAlign w:val="bottom"/>
          </w:tcPr>
          <w:p w:rsidR="009779D1" w:rsidRPr="00AF6811" w:rsidRDefault="009779D1" w:rsidP="00783D1A">
            <w:pPr>
              <w:spacing w:after="0" w:line="240" w:lineRule="auto"/>
              <w:rPr>
                <w:rFonts w:ascii="Arial" w:hAnsi="Arial" w:cs="Arial"/>
                <w:color w:val="000000" w:themeColor="text1"/>
                <w:sz w:val="20"/>
              </w:rPr>
            </w:pPr>
            <w:r w:rsidRPr="00AF6811">
              <w:rPr>
                <w:rFonts w:ascii="Arial" w:hAnsi="Arial" w:cs="Arial"/>
                <w:color w:val="000000" w:themeColor="text1"/>
                <w:sz w:val="20"/>
              </w:rPr>
              <w:t xml:space="preserve">Salvaguardar las diversidad en todas las dimensiones, ecológicas, sociocultural, económica y tecnológicas </w:t>
            </w:r>
            <w:r w:rsidRPr="00AF6811">
              <w:rPr>
                <w:rFonts w:ascii="Arial" w:hAnsi="Arial" w:cs="Arial"/>
                <w:color w:val="000000" w:themeColor="text1"/>
                <w:sz w:val="20"/>
              </w:rPr>
              <w:fldChar w:fldCharType="begin" w:fldLock="1"/>
            </w:r>
            <w:r w:rsidRPr="00AF6811">
              <w:rPr>
                <w:rFonts w:ascii="Arial" w:hAnsi="Arial" w:cs="Arial"/>
                <w:color w:val="000000" w:themeColor="text1"/>
                <w:sz w:val="20"/>
              </w:rPr>
              <w:instrText>ADDIN CSL_CITATION { "citationItems" : [ { "id" : "ITEM-1", "itemData" : { "abstract" : "In this paper we examine and elaborate on the central elements of sustainable development and governance, considering their interrelations as they have emerged from the core themes in sustainable development discourses over the past decade and a half. We argue that sustainability is best viewed as a socially instituted process of adaptive change in which innovation is a necessary element. We discuss four key elements of governance for sustainability, which are integrated into the concept of transition management. The result is a conceptual framework for policy-making and action-taking aimed at progress towards sustainability", "author" : [ { "dropping-particle" : "", "family" : "Kemp", "given" : "R", "non-dropping-particle" : "", "parse-names" : false, "suffix" : "" }, { "dropping-particle" : "", "family" : "Parto", "given" : "S", "non-dropping-particle" : "", "parse-names" : false, "suffix" : "" }, { "dropping-particle" : "", "family" : "Gibson", "given" : "Rb", "non-dropping-particle" : "", "parse-names" : false, "suffix" : "" } ], "container-title" : "Internaional Journal of Sustainable Development", "id" : "ITEM-1", "issued" : { "date-parts" : [ [ "2005" ] ] }, "page" : "12-30", "title" : "Governance for sustainable development: moving from theory to practice", "type" : "article-journal", "volume" : "8" }, "uris" : [ "http://www.mendeley.com/documents/?uuid=a5871a9c-3dc6-467f-98c6-62d56fd4968d" ] } ], "mendeley" : { "formattedCitation" : "(Kemp et al., 2005)", "plainTextFormattedCitation" : "(Kemp et al., 2005)", "previouslyFormattedCitation" : "(Kemp et al., 2005)" }, "properties" : { "noteIndex" : 0 }, "schema" : "https://github.com/citation-style-language/schema/raw/master/csl-citation.json" }</w:instrText>
            </w:r>
            <w:r w:rsidRPr="00AF6811">
              <w:rPr>
                <w:rFonts w:ascii="Arial" w:hAnsi="Arial" w:cs="Arial"/>
                <w:color w:val="000000" w:themeColor="text1"/>
                <w:sz w:val="20"/>
              </w:rPr>
              <w:fldChar w:fldCharType="separate"/>
            </w:r>
            <w:r w:rsidRPr="00AF6811">
              <w:rPr>
                <w:rFonts w:ascii="Arial" w:hAnsi="Arial" w:cs="Arial"/>
                <w:noProof/>
                <w:color w:val="000000" w:themeColor="text1"/>
                <w:sz w:val="20"/>
              </w:rPr>
              <w:t>(Kemp et al., 2005)</w:t>
            </w:r>
            <w:r w:rsidRPr="00AF6811">
              <w:rPr>
                <w:rFonts w:ascii="Arial" w:hAnsi="Arial" w:cs="Arial"/>
                <w:color w:val="000000" w:themeColor="text1"/>
                <w:sz w:val="20"/>
              </w:rPr>
              <w:fldChar w:fldCharType="end"/>
            </w:r>
          </w:p>
        </w:tc>
      </w:tr>
      <w:tr w:rsidR="009779D1" w:rsidRPr="00AF6811" w:rsidTr="002A21E4">
        <w:tc>
          <w:tcPr>
            <w:tcW w:w="3118" w:type="dxa"/>
            <w:vMerge/>
            <w:tcBorders>
              <w:top w:val="nil"/>
              <w:bottom w:val="nil"/>
            </w:tcBorders>
          </w:tcPr>
          <w:p w:rsidR="009779D1" w:rsidRPr="00AF6811" w:rsidRDefault="009779D1" w:rsidP="007936A4">
            <w:pPr>
              <w:spacing w:after="0" w:line="240" w:lineRule="auto"/>
              <w:rPr>
                <w:rFonts w:ascii="Arial" w:hAnsi="Arial" w:cs="Arial"/>
                <w:b/>
                <w:color w:val="000000" w:themeColor="text1"/>
                <w:sz w:val="20"/>
              </w:rPr>
            </w:pPr>
          </w:p>
        </w:tc>
        <w:tc>
          <w:tcPr>
            <w:tcW w:w="5495" w:type="dxa"/>
            <w:tcBorders>
              <w:top w:val="nil"/>
              <w:bottom w:val="nil"/>
            </w:tcBorders>
            <w:vAlign w:val="bottom"/>
          </w:tcPr>
          <w:p w:rsidR="009779D1" w:rsidRPr="00AF6811" w:rsidRDefault="009779D1" w:rsidP="004D60E5">
            <w:pPr>
              <w:spacing w:after="0" w:line="240" w:lineRule="auto"/>
              <w:rPr>
                <w:rFonts w:ascii="Arial" w:hAnsi="Arial" w:cs="Arial"/>
                <w:color w:val="000000" w:themeColor="text1"/>
                <w:sz w:val="20"/>
              </w:rPr>
            </w:pPr>
            <w:r w:rsidRPr="00AF6811">
              <w:rPr>
                <w:rFonts w:ascii="Arial" w:hAnsi="Arial" w:cs="Arial"/>
                <w:color w:val="000000" w:themeColor="text1"/>
                <w:sz w:val="20"/>
              </w:rPr>
              <w:t xml:space="preserve">El modelo de desarrollo considera la mantención de capital natural disponible de recursos en el largo plazo </w:t>
            </w:r>
            <w:r w:rsidRPr="00AF6811">
              <w:rPr>
                <w:rFonts w:ascii="Arial" w:hAnsi="Arial" w:cs="Arial"/>
                <w:color w:val="000000" w:themeColor="text1"/>
                <w:sz w:val="20"/>
              </w:rPr>
              <w:fldChar w:fldCharType="begin" w:fldLock="1"/>
            </w:r>
            <w:r w:rsidRPr="00AF6811">
              <w:rPr>
                <w:rFonts w:ascii="Arial" w:hAnsi="Arial" w:cs="Arial"/>
                <w:color w:val="000000" w:themeColor="text1"/>
                <w:sz w:val="20"/>
              </w:rPr>
              <w:instrText>ADDIN CSL_CITATION { "citationItems" : [ { "id" : "ITEM-1", "itemData" : { "DOI" : "10.1016/j.eiar.2012.12.004", "ISBN" : "0195-9255", "ISSN" : "01959255", "abstract" : "This paper presents a framework for analysing the degree of consideration of sustainability principles in Strategic environmental assessment (SEA), and demonstrates its application to a sample of SEA of Italian urban plans. The framework is based on Gibson's (2006) sustainability principles, which are linked to a number of guidance criteria and eventually to review questions, resulting from an extensive literature review. A total of 71 questions are included in the framework, which gives particular emphasis to key concepts, such as intragenerational and intergenerational equity. The framework was applied to review the Environmental Report of the urban plans of 15 major Italian cities. The results of this review show that, even if sustainability is commonly considered as a pivotal concept, there is still work to be done in order to effectively integrate sustainability principles into SEA. In particular, most of the attention is given to mitigation and compensation measures, rather than to actual attempts to propose more sustainable planning decisions in the first place. Concerning the proposed framework of analysis, further research is required to clarify equity concerns and particularly to identify suitable indicators for operationalizing the concepts of intra/inter-generational equity in decision-making. ?? 2012 Elsevier Inc.", "author" : [ { "dropping-particle" : "", "family" : "Lamorgese", "given" : "Lydia", "non-dropping-particle" : "", "parse-names" : false, "suffix" : "" }, { "dropping-particle" : "", "family" : "Geneletti", "given" : "Davide", "non-dropping-particle" : "", "parse-names" : false, "suffix" : "" } ], "container-title" : "Environmental Impact Assessment Review", "id" : "ITEM-1", "issued" : { "date-parts" : [ [ "2013" ] ] }, "page" : "116-126", "publisher" : "Elsevier Inc.", "title" : "Sustainability principles in strategic environmental assessment: A framework for analysis and examples from Italian urban planning", "type" : "article-journal", "volume" : "42" }, "uris" : [ "http://www.mendeley.com/documents/?uuid=50281d85-3e46-42bb-9a5c-be11d8f3b1d0" ] } ], "mendeley" : { "formattedCitation" : "(Lamorgese &amp; Geneletti, 2013)", "plainTextFormattedCitation" : "(Lamorgese &amp; Geneletti, 2013)", "previouslyFormattedCitation" : "(Lamorgese &amp; Geneletti, 2013)" }, "properties" : { "noteIndex" : 0 }, "schema" : "https://github.com/citation-style-language/schema/raw/master/csl-citation.json" }</w:instrText>
            </w:r>
            <w:r w:rsidRPr="00AF6811">
              <w:rPr>
                <w:rFonts w:ascii="Arial" w:hAnsi="Arial" w:cs="Arial"/>
                <w:color w:val="000000" w:themeColor="text1"/>
                <w:sz w:val="20"/>
              </w:rPr>
              <w:fldChar w:fldCharType="separate"/>
            </w:r>
            <w:r w:rsidRPr="00AF6811">
              <w:rPr>
                <w:rFonts w:ascii="Arial" w:hAnsi="Arial" w:cs="Arial"/>
                <w:noProof/>
                <w:color w:val="000000" w:themeColor="text1"/>
                <w:sz w:val="20"/>
              </w:rPr>
              <w:t>(Lamorgese &amp; Geneletti, 2013)</w:t>
            </w:r>
            <w:r w:rsidRPr="00AF6811">
              <w:rPr>
                <w:rFonts w:ascii="Arial" w:hAnsi="Arial" w:cs="Arial"/>
                <w:color w:val="000000" w:themeColor="text1"/>
                <w:sz w:val="20"/>
              </w:rPr>
              <w:fldChar w:fldCharType="end"/>
            </w:r>
            <w:r w:rsidRPr="00AF6811">
              <w:rPr>
                <w:rFonts w:ascii="Arial" w:hAnsi="Arial" w:cs="Arial"/>
                <w:color w:val="000000" w:themeColor="text1"/>
                <w:sz w:val="20"/>
              </w:rPr>
              <w:t xml:space="preserve">. </w:t>
            </w:r>
          </w:p>
        </w:tc>
      </w:tr>
      <w:tr w:rsidR="009779D1" w:rsidRPr="00AF6811" w:rsidTr="002A21E4">
        <w:tc>
          <w:tcPr>
            <w:tcW w:w="3118" w:type="dxa"/>
            <w:vMerge/>
            <w:tcBorders>
              <w:top w:val="nil"/>
              <w:bottom w:val="nil"/>
            </w:tcBorders>
          </w:tcPr>
          <w:p w:rsidR="009779D1" w:rsidRPr="00AF6811" w:rsidRDefault="009779D1" w:rsidP="007936A4">
            <w:pPr>
              <w:spacing w:after="0" w:line="240" w:lineRule="auto"/>
              <w:rPr>
                <w:rFonts w:ascii="Arial" w:hAnsi="Arial" w:cs="Arial"/>
                <w:b/>
                <w:color w:val="000000" w:themeColor="text1"/>
                <w:sz w:val="20"/>
              </w:rPr>
            </w:pPr>
          </w:p>
        </w:tc>
        <w:tc>
          <w:tcPr>
            <w:tcW w:w="5495" w:type="dxa"/>
            <w:tcBorders>
              <w:top w:val="nil"/>
              <w:bottom w:val="nil"/>
            </w:tcBorders>
            <w:vAlign w:val="bottom"/>
          </w:tcPr>
          <w:p w:rsidR="009779D1" w:rsidRPr="00AF6811" w:rsidRDefault="009779D1" w:rsidP="00783D1A">
            <w:pPr>
              <w:spacing w:after="0" w:line="240" w:lineRule="auto"/>
              <w:rPr>
                <w:rFonts w:ascii="Arial" w:hAnsi="Arial" w:cs="Arial"/>
                <w:color w:val="000000" w:themeColor="text1"/>
                <w:sz w:val="20"/>
              </w:rPr>
            </w:pPr>
            <w:r w:rsidRPr="00AF6811">
              <w:rPr>
                <w:rFonts w:ascii="Arial" w:hAnsi="Arial" w:cs="Arial"/>
                <w:color w:val="000000" w:themeColor="text1"/>
                <w:sz w:val="20"/>
              </w:rPr>
              <w:t xml:space="preserve">Desarrollar un contexto y cultura de precaución y adaptación </w:t>
            </w:r>
            <w:r w:rsidRPr="00AF6811">
              <w:rPr>
                <w:rFonts w:ascii="Arial" w:hAnsi="Arial" w:cs="Arial"/>
                <w:color w:val="000000" w:themeColor="text1"/>
                <w:sz w:val="20"/>
              </w:rPr>
              <w:fldChar w:fldCharType="begin" w:fldLock="1"/>
            </w:r>
            <w:r w:rsidRPr="00AF6811">
              <w:rPr>
                <w:rFonts w:ascii="Arial" w:hAnsi="Arial" w:cs="Arial"/>
                <w:color w:val="000000" w:themeColor="text1"/>
                <w:sz w:val="20"/>
              </w:rPr>
              <w:instrText>ADDIN CSL_CITATION { "citationItems" : [ { "id" : "ITEM-1", "itemData" : { "DOI" : "10.3152/146155110X12772982841122", "ISSN" : "1461-5517", "abstract" : "Assessments today need to help reverse trends towards deeper unsustainability and address the unavoidable interconnections, feedbacks and uncertainties that typify complex socio-ecological systems at all scales. To illustrate one promising approach, this paper describes a modest effort to integrate understandings from Gibson et al\u2019s approach to sustainability assessment with the Resilience Alliance\u2019s applications of complex systems thinking into a suite of systems and sustainability based criteria. The integrated sustainability\u2013resilience criteria were used to assess an existing small-scale biodiesel operation on Barbados that involves waste management, public health, transportation, energy security and community involvement considerations. The assessment revealed that the main benefit of this biodiesel project is in social learning rather than enhancing energy security and waste management, and the best ways of enhancing the project lie in larger scale policy initiatives. The findings suggest that the use of a sustainability\u2013resilience approach can contribute insights unlikely to emerge from more narrowly focused assessments.", "author" : [ { "dropping-particle" : "", "family" : "Gaudreau", "given" : "Kyrke", "non-dropping-particle" : "", "parse-names" : false, "suffix" : "" }, { "dropping-particle" : "", "family" : "Gibson", "given" : "Robert B.", "non-dropping-particle" : "", "parse-names" : false, "suffix" : "" } ], "container-title" : "Impact Assessment and Project Appraisal", "id" : "ITEM-1", "issue" : "December", "issued" : { "date-parts" : [ [ "2010" ] ] }, "page" : "233-243", "title" : "Illustrating integrated sustainability and resilience based assessments: a small-scale biodiesel project in Barbados", "type" : "article-journal", "volume" : "28" }, "uris" : [ "http://www.mendeley.com/documents/?uuid=fee76635-1433-4c27-9c85-bbbf459c7e59" ] } ], "mendeley" : { "formattedCitation" : "(Gaudreau &amp; Gibson, 2010)", "plainTextFormattedCitation" : "(Gaudreau &amp; Gibson, 2010)", "previouslyFormattedCitation" : "(Gaudreau &amp; Gibson, 2010)" }, "properties" : { "noteIndex" : 0 }, "schema" : "https://github.com/citation-style-language/schema/raw/master/csl-citation.json" }</w:instrText>
            </w:r>
            <w:r w:rsidRPr="00AF6811">
              <w:rPr>
                <w:rFonts w:ascii="Arial" w:hAnsi="Arial" w:cs="Arial"/>
                <w:color w:val="000000" w:themeColor="text1"/>
                <w:sz w:val="20"/>
              </w:rPr>
              <w:fldChar w:fldCharType="separate"/>
            </w:r>
            <w:r w:rsidRPr="00AF6811">
              <w:rPr>
                <w:rFonts w:ascii="Arial" w:hAnsi="Arial" w:cs="Arial"/>
                <w:noProof/>
                <w:color w:val="000000" w:themeColor="text1"/>
                <w:sz w:val="20"/>
              </w:rPr>
              <w:t>(Gaudreau &amp; Gibson, 2010)</w:t>
            </w:r>
            <w:r w:rsidRPr="00AF6811">
              <w:rPr>
                <w:rFonts w:ascii="Arial" w:hAnsi="Arial" w:cs="Arial"/>
                <w:color w:val="000000" w:themeColor="text1"/>
                <w:sz w:val="20"/>
              </w:rPr>
              <w:fldChar w:fldCharType="end"/>
            </w:r>
          </w:p>
        </w:tc>
      </w:tr>
      <w:tr w:rsidR="009779D1" w:rsidRPr="00AF6811" w:rsidTr="002A21E4">
        <w:trPr>
          <w:trHeight w:val="694"/>
        </w:trPr>
        <w:tc>
          <w:tcPr>
            <w:tcW w:w="3118" w:type="dxa"/>
            <w:vMerge w:val="restart"/>
            <w:tcBorders>
              <w:top w:val="nil"/>
              <w:bottom w:val="nil"/>
            </w:tcBorders>
          </w:tcPr>
          <w:p w:rsidR="009779D1" w:rsidRPr="00AF6811" w:rsidRDefault="009779D1" w:rsidP="007452A2">
            <w:pPr>
              <w:spacing w:after="0" w:line="240" w:lineRule="auto"/>
              <w:rPr>
                <w:rFonts w:ascii="Arial" w:hAnsi="Arial" w:cs="Arial"/>
                <w:b/>
                <w:color w:val="000000" w:themeColor="text1"/>
                <w:sz w:val="20"/>
              </w:rPr>
            </w:pPr>
            <w:r w:rsidRPr="00AF6811">
              <w:rPr>
                <w:rFonts w:ascii="Arial" w:hAnsi="Arial" w:cs="Arial"/>
                <w:b/>
                <w:color w:val="000000" w:themeColor="text1"/>
                <w:sz w:val="20"/>
              </w:rPr>
              <w:t xml:space="preserve">Determinar las capacidades adaptativas y precautorias de los sistemas </w:t>
            </w:r>
            <w:r w:rsidRPr="00AF6811">
              <w:rPr>
                <w:rFonts w:ascii="Arial" w:hAnsi="Arial" w:cs="Arial"/>
                <w:b/>
                <w:color w:val="000000" w:themeColor="text1"/>
                <w:sz w:val="20"/>
              </w:rPr>
              <w:fldChar w:fldCharType="begin" w:fldLock="1"/>
            </w:r>
            <w:r w:rsidRPr="00AF6811">
              <w:rPr>
                <w:rFonts w:ascii="Arial" w:hAnsi="Arial" w:cs="Arial"/>
                <w:b/>
                <w:color w:val="000000" w:themeColor="text1"/>
                <w:sz w:val="20"/>
              </w:rPr>
              <w:instrText>ADDIN CSL_CITATION { "citationItems" : [ { "id" : "ITEM-1", "itemData" : { "DOI" : "10.3152/146155110X12772982841122", "ISSN" : "1461-5517", "abstract" : "Assessments today need to help reverse trends towards deeper unsustainability and address the unavoidable interconnections, feedbacks and uncertainties that typify complex socio-ecological systems at all scales. To illustrate one promising approach, this paper describes a modest effort to integrate understandings from Gibson et al\u2019s approach to sustainability assessment with the Resilience Alliance\u2019s applications of complex systems thinking into a suite of systems and sustainability based criteria. The integrated sustainability\u2013resilience criteria were used to assess an existing small-scale biodiesel operation on Barbados that involves waste management, public health, transportation, energy security and community involvement considerations. The assessment revealed that the main benefit of this biodiesel project is in social learning rather than enhancing energy security and waste management, and the best ways of enhancing the project lie in larger scale policy initiatives. The findings suggest that the use of a sustainability\u2013resilience approach can contribute insights unlikely to emerge from more narrowly focused assessments.", "author" : [ { "dropping-particle" : "", "family" : "Gaudreau", "given" : "Kyrke", "non-dropping-particle" : "", "parse-names" : false, "suffix" : "" }, { "dropping-particle" : "", "family" : "Gibson", "given" : "Robert B.", "non-dropping-particle" : "", "parse-names" : false, "suffix" : "" } ], "container-title" : "Impact Assessment and Project Appraisal", "id" : "ITEM-1", "issue" : "December", "issued" : { "date-parts" : [ [ "2010" ] ] }, "page" : "233-243", "title" : "Illustrating integrated sustainability and resilience based assessments: a small-scale biodiesel project in Barbados", "type" : "article-journal", "volume" : "28" }, "uris" : [ "http://www.mendeley.com/documents/?uuid=fee76635-1433-4c27-9c85-bbbf459c7e59" ] } ], "mendeley" : { "formattedCitation" : "(Gaudreau &amp; Gibson, 2010)", "plainTextFormattedCitation" : "(Gaudreau &amp; Gibson, 2010)", "previouslyFormattedCitation" : "(Gaudreau &amp; Gibson, 2010)" }, "properties" : { "noteIndex" : 0 }, "schema" : "https://github.com/citation-style-language/schema/raw/master/csl-citation.json" }</w:instrText>
            </w:r>
            <w:r w:rsidRPr="00AF6811">
              <w:rPr>
                <w:rFonts w:ascii="Arial" w:hAnsi="Arial" w:cs="Arial"/>
                <w:b/>
                <w:color w:val="000000" w:themeColor="text1"/>
                <w:sz w:val="20"/>
              </w:rPr>
              <w:fldChar w:fldCharType="separate"/>
            </w:r>
            <w:r w:rsidRPr="00AF6811">
              <w:rPr>
                <w:rFonts w:ascii="Arial" w:hAnsi="Arial" w:cs="Arial"/>
                <w:b/>
                <w:noProof/>
                <w:color w:val="000000" w:themeColor="text1"/>
                <w:sz w:val="20"/>
              </w:rPr>
              <w:t>(Gaudreau &amp; Gibson, 2010)</w:t>
            </w:r>
            <w:r w:rsidRPr="00AF6811">
              <w:rPr>
                <w:rFonts w:ascii="Arial" w:hAnsi="Arial" w:cs="Arial"/>
                <w:b/>
                <w:color w:val="000000" w:themeColor="text1"/>
                <w:sz w:val="20"/>
              </w:rPr>
              <w:fldChar w:fldCharType="end"/>
            </w:r>
          </w:p>
        </w:tc>
        <w:tc>
          <w:tcPr>
            <w:tcW w:w="5495" w:type="dxa"/>
            <w:tcBorders>
              <w:top w:val="nil"/>
              <w:bottom w:val="nil"/>
            </w:tcBorders>
            <w:vAlign w:val="bottom"/>
          </w:tcPr>
          <w:p w:rsidR="009779D1" w:rsidRPr="00AF6811" w:rsidRDefault="009779D1" w:rsidP="007452A2">
            <w:pPr>
              <w:spacing w:after="0" w:line="240" w:lineRule="auto"/>
              <w:rPr>
                <w:rFonts w:ascii="Arial" w:hAnsi="Arial" w:cs="Arial"/>
                <w:color w:val="000000" w:themeColor="text1"/>
                <w:sz w:val="20"/>
              </w:rPr>
            </w:pPr>
            <w:r w:rsidRPr="00AF6811">
              <w:rPr>
                <w:rFonts w:ascii="Arial" w:hAnsi="Arial" w:cs="Arial"/>
                <w:color w:val="000000" w:themeColor="text1"/>
                <w:sz w:val="20"/>
              </w:rPr>
              <w:t xml:space="preserve">Limites medioambientales definidos (capacidad de generación de recursos y asimilación de desechos) </w:t>
            </w:r>
            <w:r w:rsidRPr="00AF6811">
              <w:rPr>
                <w:rFonts w:ascii="Arial" w:hAnsi="Arial" w:cs="Arial"/>
                <w:color w:val="000000" w:themeColor="text1"/>
                <w:sz w:val="20"/>
              </w:rPr>
              <w:fldChar w:fldCharType="begin" w:fldLock="1"/>
            </w:r>
            <w:r w:rsidRPr="00AF6811">
              <w:rPr>
                <w:rFonts w:ascii="Arial" w:hAnsi="Arial" w:cs="Arial"/>
                <w:color w:val="000000" w:themeColor="text1"/>
                <w:sz w:val="20"/>
              </w:rPr>
              <w:instrText>ADDIN CSL_CITATION { "citationItems" : [ { "id" : "ITEM-1", "itemData" : { "DOI" : "10.1016/j.eiar.2012.12.004", "ISBN" : "0195-9255", "ISSN" : "01959255", "abstract" : "This paper presents a framework for analysing the degree of consideration of sustainability principles in Strategic environmental assessment (SEA), and demonstrates its application to a sample of SEA of Italian urban plans. The framework is based on Gibson's (2006) sustainability principles, which are linked to a number of guidance criteria and eventually to review questions, resulting from an extensive literature review. A total of 71 questions are included in the framework, which gives particular emphasis to key concepts, such as intragenerational and intergenerational equity. The framework was applied to review the Environmental Report of the urban plans of 15 major Italian cities. The results of this review show that, even if sustainability is commonly considered as a pivotal concept, there is still work to be done in order to effectively integrate sustainability principles into SEA. In particular, most of the attention is given to mitigation and compensation measures, rather than to actual attempts to propose more sustainable planning decisions in the first place. Concerning the proposed framework of analysis, further research is required to clarify equity concerns and particularly to identify suitable indicators for operationalizing the concepts of intra/inter-generational equity in decision-making. ?? 2012 Elsevier Inc.", "author" : [ { "dropping-particle" : "", "family" : "Lamorgese", "given" : "Lydia", "non-dropping-particle" : "", "parse-names" : false, "suffix" : "" }, { "dropping-particle" : "", "family" : "Geneletti", "given" : "Davide", "non-dropping-particle" : "", "parse-names" : false, "suffix" : "" } ], "container-title" : "Environmental Impact Assessment Review", "id" : "ITEM-1", "issued" : { "date-parts" : [ [ "2013" ] ] }, "page" : "116-126", "publisher" : "Elsevier Inc.", "title" : "Sustainability principles in strategic environmental assessment: A framework for analysis and examples from Italian urban planning", "type" : "article-journal", "volume" : "42" }, "uris" : [ "http://www.mendeley.com/documents/?uuid=50281d85-3e46-42bb-9a5c-be11d8f3b1d0" ] } ], "mendeley" : { "formattedCitation" : "(Lamorgese &amp; Geneletti, 2013)", "plainTextFormattedCitation" : "(Lamorgese &amp; Geneletti, 2013)", "previouslyFormattedCitation" : "(Lamorgese &amp; Geneletti, 2013)" }, "properties" : { "noteIndex" : 0 }, "schema" : "https://github.com/citation-style-language/schema/raw/master/csl-citation.json" }</w:instrText>
            </w:r>
            <w:r w:rsidRPr="00AF6811">
              <w:rPr>
                <w:rFonts w:ascii="Arial" w:hAnsi="Arial" w:cs="Arial"/>
                <w:color w:val="000000" w:themeColor="text1"/>
                <w:sz w:val="20"/>
              </w:rPr>
              <w:fldChar w:fldCharType="separate"/>
            </w:r>
            <w:r w:rsidRPr="00AF6811">
              <w:rPr>
                <w:rFonts w:ascii="Arial" w:hAnsi="Arial" w:cs="Arial"/>
                <w:noProof/>
                <w:color w:val="000000" w:themeColor="text1"/>
                <w:sz w:val="20"/>
              </w:rPr>
              <w:t>(Lamorgese &amp; Geneletti, 2013)</w:t>
            </w:r>
            <w:r w:rsidRPr="00AF6811">
              <w:rPr>
                <w:rFonts w:ascii="Arial" w:hAnsi="Arial" w:cs="Arial"/>
                <w:color w:val="000000" w:themeColor="text1"/>
                <w:sz w:val="20"/>
              </w:rPr>
              <w:fldChar w:fldCharType="end"/>
            </w:r>
            <w:r w:rsidRPr="00AF6811">
              <w:rPr>
                <w:rFonts w:ascii="Arial" w:hAnsi="Arial" w:cs="Arial"/>
                <w:color w:val="000000" w:themeColor="text1"/>
                <w:sz w:val="20"/>
              </w:rPr>
              <w:t xml:space="preserve">; </w:t>
            </w:r>
          </w:p>
        </w:tc>
      </w:tr>
      <w:tr w:rsidR="009779D1" w:rsidRPr="000E0F90" w:rsidTr="002A21E4">
        <w:trPr>
          <w:trHeight w:val="132"/>
        </w:trPr>
        <w:tc>
          <w:tcPr>
            <w:tcW w:w="3118" w:type="dxa"/>
            <w:vMerge/>
            <w:tcBorders>
              <w:top w:val="nil"/>
            </w:tcBorders>
            <w:vAlign w:val="bottom"/>
          </w:tcPr>
          <w:p w:rsidR="009779D1" w:rsidRPr="00AF6811" w:rsidRDefault="009779D1" w:rsidP="007936A4">
            <w:pPr>
              <w:spacing w:after="0" w:line="240" w:lineRule="auto"/>
              <w:rPr>
                <w:rFonts w:ascii="Arial" w:hAnsi="Arial" w:cs="Arial"/>
                <w:b/>
                <w:color w:val="000000" w:themeColor="text1"/>
                <w:sz w:val="20"/>
              </w:rPr>
            </w:pPr>
          </w:p>
        </w:tc>
        <w:tc>
          <w:tcPr>
            <w:tcW w:w="5495" w:type="dxa"/>
            <w:tcBorders>
              <w:top w:val="nil"/>
            </w:tcBorders>
          </w:tcPr>
          <w:p w:rsidR="009779D1" w:rsidRPr="000E0F90" w:rsidRDefault="009779D1" w:rsidP="007452A2">
            <w:pPr>
              <w:spacing w:after="0" w:line="240" w:lineRule="auto"/>
              <w:rPr>
                <w:rFonts w:ascii="Arial" w:hAnsi="Arial" w:cs="Arial"/>
                <w:color w:val="000000" w:themeColor="text1"/>
                <w:sz w:val="20"/>
              </w:rPr>
            </w:pPr>
            <w:r w:rsidRPr="00AF6811">
              <w:rPr>
                <w:rFonts w:ascii="Arial" w:hAnsi="Arial" w:cs="Arial"/>
                <w:color w:val="000000" w:themeColor="text1"/>
                <w:sz w:val="20"/>
              </w:rPr>
              <w:t xml:space="preserve">Desarrollar capacidad de monitorear cambios, en base a estado inicial </w:t>
            </w:r>
            <w:r w:rsidRPr="00AF6811">
              <w:rPr>
                <w:rFonts w:ascii="Arial" w:hAnsi="Arial" w:cs="Arial"/>
                <w:color w:val="000000" w:themeColor="text1"/>
                <w:sz w:val="20"/>
              </w:rPr>
              <w:fldChar w:fldCharType="begin" w:fldLock="1"/>
            </w:r>
            <w:r w:rsidRPr="00AF6811">
              <w:rPr>
                <w:rFonts w:ascii="Arial" w:hAnsi="Arial" w:cs="Arial"/>
                <w:color w:val="000000" w:themeColor="text1"/>
                <w:sz w:val="20"/>
              </w:rPr>
              <w:instrText>ADDIN CSL_CITATION { "citationItems" : [ { "id" : "ITEM-1", "itemData" : { "DOI" : "10.3152/146155110X12772982841122", "ISSN" : "1461-5517", "abstract" : "Assessments today need to help reverse trends towards deeper unsustainability and address the unavoidable interconnections, feedbacks and uncertainties that typify complex socio-ecological systems at all scales. To illustrate one promising approach, this paper describes a modest effort to integrate understandings from Gibson et al\u2019s approach to sustainability assessment with the Resilience Alliance\u2019s applications of complex systems thinking into a suite of systems and sustainability based criteria. The integrated sustainability\u2013resilience criteria were used to assess an existing small-scale biodiesel operation on Barbados that involves waste management, public health, transportation, energy security and community involvement considerations. The assessment revealed that the main benefit of this biodiesel project is in social learning rather than enhancing energy security and waste management, and the best ways of enhancing the project lie in larger scale policy initiatives. The findings suggest that the use of a sustainability\u2013resilience approach can contribute insights unlikely to emerge from more narrowly focused assessments.", "author" : [ { "dropping-particle" : "", "family" : "Gaudreau", "given" : "Kyrke", "non-dropping-particle" : "", "parse-names" : false, "suffix" : "" }, { "dropping-particle" : "", "family" : "Gibson", "given" : "Robert B.", "non-dropping-particle" : "", "parse-names" : false, "suffix" : "" } ], "container-title" : "Impact Assessment and Project Appraisal", "id" : "ITEM-1", "issue" : "December", "issued" : { "date-parts" : [ [ "2010" ] ] }, "page" : "233-243", "title" : "Illustrating integrated sustainability and resilience based assessments: a small-scale biodiesel project in Barbados", "type" : "article-journal", "volume" : "28" }, "uris" : [ "http://www.mendeley.com/documents/?uuid=fee76635-1433-4c27-9c85-bbbf459c7e59" ] } ], "mendeley" : { "formattedCitation" : "(Gaudreau &amp; Gibson, 2010)", "plainTextFormattedCitation" : "(Gaudreau &amp; Gibson, 2010)", "previouslyFormattedCitation" : "(Gaudreau &amp; Gibson, 2010)" }, "properties" : { "noteIndex" : 0 }, "schema" : "https://github.com/citation-style-language/schema/raw/master/csl-citation.json" }</w:instrText>
            </w:r>
            <w:r w:rsidRPr="00AF6811">
              <w:rPr>
                <w:rFonts w:ascii="Arial" w:hAnsi="Arial" w:cs="Arial"/>
                <w:color w:val="000000" w:themeColor="text1"/>
                <w:sz w:val="20"/>
              </w:rPr>
              <w:fldChar w:fldCharType="separate"/>
            </w:r>
            <w:r w:rsidRPr="00AF6811">
              <w:rPr>
                <w:rFonts w:ascii="Arial" w:hAnsi="Arial" w:cs="Arial"/>
                <w:noProof/>
                <w:color w:val="000000" w:themeColor="text1"/>
                <w:sz w:val="20"/>
              </w:rPr>
              <w:t>(Gaudreau &amp; Gibson, 2010)</w:t>
            </w:r>
            <w:r w:rsidRPr="00AF6811">
              <w:rPr>
                <w:rFonts w:ascii="Arial" w:hAnsi="Arial" w:cs="Arial"/>
                <w:color w:val="000000" w:themeColor="text1"/>
                <w:sz w:val="20"/>
              </w:rPr>
              <w:fldChar w:fldCharType="end"/>
            </w:r>
          </w:p>
        </w:tc>
      </w:tr>
    </w:tbl>
    <w:p w:rsidR="00705C4F" w:rsidRPr="000E0F90" w:rsidRDefault="00705C4F" w:rsidP="00A84EE6">
      <w:pPr>
        <w:tabs>
          <w:tab w:val="left" w:pos="2240"/>
        </w:tabs>
        <w:spacing w:before="240"/>
        <w:rPr>
          <w:rFonts w:ascii="Arial" w:hAnsi="Arial" w:cs="Arial"/>
          <w:color w:val="000000" w:themeColor="text1"/>
        </w:rPr>
      </w:pPr>
    </w:p>
    <w:p w:rsidR="00705C4F" w:rsidRPr="000E0F90" w:rsidRDefault="00705C4F">
      <w:pPr>
        <w:jc w:val="left"/>
        <w:rPr>
          <w:rFonts w:ascii="Arial" w:hAnsi="Arial" w:cs="Arial"/>
          <w:color w:val="000000" w:themeColor="text1"/>
        </w:rPr>
      </w:pPr>
      <w:r w:rsidRPr="000E0F90">
        <w:rPr>
          <w:rFonts w:ascii="Arial" w:hAnsi="Arial" w:cs="Arial"/>
          <w:color w:val="000000" w:themeColor="text1"/>
        </w:rPr>
        <w:br w:type="page"/>
      </w:r>
    </w:p>
    <w:p w:rsidR="0094450F" w:rsidRPr="000E0F90" w:rsidRDefault="00245048" w:rsidP="008D6193">
      <w:pPr>
        <w:pStyle w:val="Ttulo2"/>
        <w:spacing w:line="360" w:lineRule="auto"/>
        <w:rPr>
          <w:rFonts w:cs="Arial"/>
        </w:rPr>
      </w:pPr>
      <w:bookmarkStart w:id="26" w:name="_Toc488774915"/>
      <w:r w:rsidRPr="000E0F90">
        <w:rPr>
          <w:rFonts w:cs="Arial"/>
        </w:rPr>
        <w:lastRenderedPageBreak/>
        <w:t>Estudios de Caso de Territorios bajo estudio</w:t>
      </w:r>
      <w:bookmarkEnd w:id="26"/>
      <w:r w:rsidR="00385BD8" w:rsidRPr="000E0F90">
        <w:rPr>
          <w:rFonts w:cs="Arial"/>
        </w:rPr>
        <w:t xml:space="preserve"> </w:t>
      </w:r>
      <w:r w:rsidR="003367C9" w:rsidRPr="000E0F90">
        <w:rPr>
          <w:rFonts w:cs="Arial"/>
        </w:rPr>
        <w:t xml:space="preserve"> </w:t>
      </w:r>
    </w:p>
    <w:p w:rsidR="005648CA" w:rsidRPr="000E0F90" w:rsidRDefault="00794052" w:rsidP="008D6193">
      <w:pPr>
        <w:spacing w:before="240" w:line="360" w:lineRule="auto"/>
        <w:rPr>
          <w:rFonts w:ascii="Arial" w:hAnsi="Arial" w:cs="Arial"/>
          <w:color w:val="000000" w:themeColor="text1"/>
        </w:rPr>
      </w:pPr>
      <w:r w:rsidRPr="000E0F90">
        <w:rPr>
          <w:rFonts w:ascii="Arial" w:hAnsi="Arial" w:cs="Arial"/>
          <w:color w:val="000000" w:themeColor="text1"/>
        </w:rPr>
        <w:t xml:space="preserve">Se presenta una caracterización de los territorios bajo estudio, </w:t>
      </w:r>
      <w:r w:rsidR="007D1A59" w:rsidRPr="000E0F90">
        <w:rPr>
          <w:rFonts w:ascii="Arial" w:hAnsi="Arial" w:cs="Arial"/>
          <w:color w:val="000000" w:themeColor="text1"/>
        </w:rPr>
        <w:t>con la finalidad de establecer las limitantes y potencialidades</w:t>
      </w:r>
      <w:r w:rsidR="000361A6" w:rsidRPr="000E0F90">
        <w:rPr>
          <w:rFonts w:ascii="Arial" w:hAnsi="Arial" w:cs="Arial"/>
          <w:color w:val="000000" w:themeColor="text1"/>
        </w:rPr>
        <w:t xml:space="preserve"> que ofrece la m</w:t>
      </w:r>
      <w:r w:rsidR="007D1A59" w:rsidRPr="000E0F90">
        <w:rPr>
          <w:rFonts w:ascii="Arial" w:hAnsi="Arial" w:cs="Arial"/>
          <w:color w:val="000000" w:themeColor="text1"/>
        </w:rPr>
        <w:t xml:space="preserve">atriz de fondo, así como </w:t>
      </w:r>
      <w:r w:rsidR="000361A6" w:rsidRPr="000E0F90">
        <w:rPr>
          <w:rFonts w:ascii="Arial" w:hAnsi="Arial" w:cs="Arial"/>
          <w:color w:val="000000" w:themeColor="text1"/>
        </w:rPr>
        <w:t xml:space="preserve">el orden social, y la relación que se ha forjado históricamente entre ambos. </w:t>
      </w:r>
      <w:r w:rsidR="005648CA" w:rsidRPr="000E0F90">
        <w:rPr>
          <w:rFonts w:ascii="Arial" w:hAnsi="Arial" w:cs="Arial"/>
          <w:color w:val="000000" w:themeColor="text1"/>
        </w:rPr>
        <w:t>De forma de poder determinar la vocación de uso presente y ajustada a cada área de estudio</w:t>
      </w:r>
    </w:p>
    <w:p w:rsidR="007D1A59" w:rsidRPr="000E0F90" w:rsidRDefault="000361A6" w:rsidP="008D6193">
      <w:pPr>
        <w:spacing w:before="240" w:line="360" w:lineRule="auto"/>
        <w:rPr>
          <w:rFonts w:ascii="Arial" w:hAnsi="Arial" w:cs="Arial"/>
          <w:color w:val="000000" w:themeColor="text1"/>
        </w:rPr>
      </w:pPr>
      <w:r w:rsidRPr="000E0F90">
        <w:rPr>
          <w:rFonts w:ascii="Arial" w:hAnsi="Arial" w:cs="Arial"/>
          <w:color w:val="000000" w:themeColor="text1"/>
        </w:rPr>
        <w:t xml:space="preserve">Para ello se presenta: </w:t>
      </w:r>
    </w:p>
    <w:p w:rsidR="006E0BBC" w:rsidRPr="000E0F90" w:rsidRDefault="006E0BBC" w:rsidP="008D6193">
      <w:pPr>
        <w:pStyle w:val="Prrafodelista"/>
        <w:numPr>
          <w:ilvl w:val="0"/>
          <w:numId w:val="38"/>
        </w:numPr>
        <w:spacing w:before="240" w:line="360" w:lineRule="auto"/>
        <w:rPr>
          <w:rFonts w:ascii="Arial" w:hAnsi="Arial" w:cs="Arial"/>
          <w:color w:val="000000" w:themeColor="text1"/>
        </w:rPr>
      </w:pPr>
      <w:r w:rsidRPr="000E0F90">
        <w:rPr>
          <w:rFonts w:ascii="Arial" w:hAnsi="Arial" w:cs="Arial"/>
          <w:color w:val="000000" w:themeColor="text1"/>
        </w:rPr>
        <w:t>Información histórica, que permite identificar el legado medioambiental, cultural y económico del territorio, lo que permite entender el estado actual del territorio y guiar el desarrollo hacia la sostenibilidad.</w:t>
      </w:r>
    </w:p>
    <w:p w:rsidR="00794052" w:rsidRPr="000E0F90" w:rsidRDefault="000361A6" w:rsidP="008D6193">
      <w:pPr>
        <w:pStyle w:val="Prrafodelista"/>
        <w:numPr>
          <w:ilvl w:val="0"/>
          <w:numId w:val="38"/>
        </w:numPr>
        <w:spacing w:before="240" w:line="360" w:lineRule="auto"/>
        <w:rPr>
          <w:rFonts w:ascii="Arial" w:hAnsi="Arial" w:cs="Arial"/>
          <w:color w:val="000000" w:themeColor="text1"/>
        </w:rPr>
      </w:pPr>
      <w:r w:rsidRPr="000E0F90">
        <w:rPr>
          <w:rFonts w:ascii="Arial" w:hAnsi="Arial" w:cs="Arial"/>
          <w:color w:val="000000" w:themeColor="text1"/>
        </w:rPr>
        <w:t>I</w:t>
      </w:r>
      <w:r w:rsidR="00794052" w:rsidRPr="000E0F90">
        <w:rPr>
          <w:rFonts w:ascii="Arial" w:hAnsi="Arial" w:cs="Arial"/>
          <w:color w:val="000000" w:themeColor="text1"/>
        </w:rPr>
        <w:t xml:space="preserve">nformación de la biogeoestructura correspondiente a la definición de la ecorregión </w:t>
      </w:r>
      <w:r w:rsidR="007D1A59" w:rsidRPr="000E0F90">
        <w:rPr>
          <w:rFonts w:ascii="Arial" w:hAnsi="Arial" w:cs="Arial"/>
          <w:color w:val="000000" w:themeColor="text1"/>
        </w:rPr>
        <w:t>donde se encuentra cada región y comuna</w:t>
      </w:r>
      <w:r w:rsidR="00794052" w:rsidRPr="000E0F90">
        <w:rPr>
          <w:rFonts w:ascii="Arial" w:hAnsi="Arial" w:cs="Arial"/>
          <w:color w:val="000000" w:themeColor="text1"/>
        </w:rPr>
        <w:t xml:space="preserve">, así como variables físicas de clima, </w:t>
      </w:r>
      <w:r w:rsidR="007D1A59" w:rsidRPr="000E0F90">
        <w:rPr>
          <w:rFonts w:ascii="Arial" w:hAnsi="Arial" w:cs="Arial"/>
          <w:color w:val="000000" w:themeColor="text1"/>
        </w:rPr>
        <w:t>geoforma</w:t>
      </w:r>
      <w:r w:rsidR="00794052" w:rsidRPr="000E0F90">
        <w:rPr>
          <w:rFonts w:ascii="Arial" w:hAnsi="Arial" w:cs="Arial"/>
          <w:color w:val="000000" w:themeColor="text1"/>
        </w:rPr>
        <w:t xml:space="preserve"> y suelos, hidroestructura y biota y ecosistema, alcanzando un nivel de análisis comuna</w:t>
      </w:r>
      <w:r w:rsidR="007D1A59" w:rsidRPr="000E0F90">
        <w:rPr>
          <w:rFonts w:ascii="Arial" w:hAnsi="Arial" w:cs="Arial"/>
          <w:color w:val="000000" w:themeColor="text1"/>
        </w:rPr>
        <w:t>l</w:t>
      </w:r>
      <w:r w:rsidR="00794052" w:rsidRPr="000E0F90">
        <w:rPr>
          <w:rFonts w:ascii="Arial" w:hAnsi="Arial" w:cs="Arial"/>
          <w:color w:val="000000" w:themeColor="text1"/>
        </w:rPr>
        <w:t xml:space="preserve">. </w:t>
      </w:r>
    </w:p>
    <w:p w:rsidR="00794052" w:rsidRPr="000E0F90" w:rsidRDefault="000361A6" w:rsidP="008D6193">
      <w:pPr>
        <w:pStyle w:val="Prrafodelista"/>
        <w:numPr>
          <w:ilvl w:val="0"/>
          <w:numId w:val="38"/>
        </w:numPr>
        <w:spacing w:before="240" w:line="360" w:lineRule="auto"/>
        <w:rPr>
          <w:rFonts w:ascii="Arial" w:hAnsi="Arial" w:cs="Arial"/>
          <w:color w:val="000000" w:themeColor="text1"/>
        </w:rPr>
      </w:pPr>
      <w:r w:rsidRPr="000E0F90">
        <w:rPr>
          <w:rFonts w:ascii="Arial" w:hAnsi="Arial" w:cs="Arial"/>
          <w:color w:val="000000" w:themeColor="text1"/>
        </w:rPr>
        <w:t>I</w:t>
      </w:r>
      <w:r w:rsidR="00794052" w:rsidRPr="000E0F90">
        <w:rPr>
          <w:rFonts w:ascii="Arial" w:hAnsi="Arial" w:cs="Arial"/>
          <w:color w:val="000000" w:themeColor="text1"/>
        </w:rPr>
        <w:t>nformación de la socioestructura compuesta por datos socioeconómicos provenientes de fuentes de información oficial</w:t>
      </w:r>
      <w:r w:rsidR="007D1A59" w:rsidRPr="000E0F90">
        <w:rPr>
          <w:rFonts w:ascii="Arial" w:hAnsi="Arial" w:cs="Arial"/>
          <w:color w:val="000000" w:themeColor="text1"/>
        </w:rPr>
        <w:t>, alcanzando un nivel de análisis regional y comunal.</w:t>
      </w:r>
      <w:r w:rsidR="00794052" w:rsidRPr="000E0F90">
        <w:rPr>
          <w:rFonts w:ascii="Arial" w:hAnsi="Arial" w:cs="Arial"/>
          <w:color w:val="000000" w:themeColor="text1"/>
        </w:rPr>
        <w:t xml:space="preserve"> </w:t>
      </w:r>
    </w:p>
    <w:p w:rsidR="000554F8" w:rsidRPr="000E0F90" w:rsidRDefault="00794052" w:rsidP="008D6193">
      <w:pPr>
        <w:pStyle w:val="Prrafodelista"/>
        <w:numPr>
          <w:ilvl w:val="0"/>
          <w:numId w:val="38"/>
        </w:numPr>
        <w:spacing w:before="240" w:line="360" w:lineRule="auto"/>
        <w:rPr>
          <w:rFonts w:ascii="Arial" w:hAnsi="Arial" w:cs="Arial"/>
          <w:color w:val="000000" w:themeColor="text1"/>
        </w:rPr>
      </w:pPr>
      <w:r w:rsidRPr="000E0F90">
        <w:rPr>
          <w:rFonts w:ascii="Arial" w:hAnsi="Arial" w:cs="Arial"/>
          <w:color w:val="000000" w:themeColor="text1"/>
        </w:rPr>
        <w:t>Información proveniente de actores locales, correspondiente a los temas relevantes que emergen de la relación que establecen los actores sociales entre sí y con su territorio, la cual se</w:t>
      </w:r>
      <w:r w:rsidR="005648CA" w:rsidRPr="000E0F90">
        <w:rPr>
          <w:rFonts w:ascii="Arial" w:hAnsi="Arial" w:cs="Arial"/>
          <w:color w:val="000000" w:themeColor="text1"/>
        </w:rPr>
        <w:t xml:space="preserve"> ha forjado a través del tiempo</w:t>
      </w:r>
      <w:r w:rsidRPr="000E0F90">
        <w:rPr>
          <w:rFonts w:ascii="Arial" w:hAnsi="Arial" w:cs="Arial"/>
          <w:color w:val="000000" w:themeColor="text1"/>
        </w:rPr>
        <w:t>.</w:t>
      </w:r>
      <w:r w:rsidR="005648CA" w:rsidRPr="000E0F90">
        <w:rPr>
          <w:rFonts w:ascii="Arial" w:hAnsi="Arial" w:cs="Arial"/>
          <w:color w:val="000000" w:themeColor="text1"/>
        </w:rPr>
        <w:t xml:space="preserve"> </w:t>
      </w:r>
    </w:p>
    <w:p w:rsidR="00794052" w:rsidRPr="000E0F90" w:rsidRDefault="00794052" w:rsidP="008D6193">
      <w:pPr>
        <w:spacing w:before="240" w:line="360" w:lineRule="auto"/>
        <w:rPr>
          <w:rFonts w:ascii="Arial" w:hAnsi="Arial" w:cs="Arial"/>
          <w:color w:val="000000" w:themeColor="text1"/>
        </w:rPr>
      </w:pPr>
    </w:p>
    <w:p w:rsidR="00794052" w:rsidRPr="000E0F90" w:rsidRDefault="00794052" w:rsidP="008D6193">
      <w:pPr>
        <w:spacing w:before="240" w:line="360" w:lineRule="auto"/>
        <w:rPr>
          <w:rFonts w:ascii="Arial" w:hAnsi="Arial" w:cs="Arial"/>
          <w:color w:val="000000" w:themeColor="text1"/>
          <w:highlight w:val="yellow"/>
        </w:rPr>
      </w:pPr>
    </w:p>
    <w:p w:rsidR="006F61CA" w:rsidRPr="000E0F90" w:rsidRDefault="006F61CA" w:rsidP="008D6193">
      <w:pPr>
        <w:spacing w:line="360" w:lineRule="auto"/>
        <w:rPr>
          <w:rFonts w:ascii="Arial" w:hAnsi="Arial" w:cs="Arial"/>
          <w:noProof/>
          <w:color w:val="000000" w:themeColor="text1"/>
        </w:rPr>
      </w:pPr>
    </w:p>
    <w:p w:rsidR="006F61CA" w:rsidRPr="000E0F90" w:rsidRDefault="006F61CA" w:rsidP="008D6193">
      <w:pPr>
        <w:spacing w:line="360" w:lineRule="auto"/>
        <w:jc w:val="left"/>
        <w:rPr>
          <w:rFonts w:ascii="Arial" w:eastAsiaTheme="majorEastAsia" w:hAnsi="Arial" w:cs="Arial"/>
          <w:b/>
          <w:bCs/>
          <w:noProof/>
          <w:color w:val="000000" w:themeColor="text1"/>
        </w:rPr>
      </w:pPr>
      <w:r w:rsidRPr="000E0F90">
        <w:rPr>
          <w:rFonts w:ascii="Arial" w:hAnsi="Arial" w:cs="Arial"/>
          <w:noProof/>
          <w:color w:val="000000" w:themeColor="text1"/>
        </w:rPr>
        <w:br w:type="page"/>
      </w:r>
    </w:p>
    <w:p w:rsidR="00CC460B" w:rsidRPr="000E0F90" w:rsidRDefault="00CC460B" w:rsidP="008D6193">
      <w:pPr>
        <w:pStyle w:val="Ttulo3"/>
        <w:spacing w:line="360" w:lineRule="auto"/>
        <w:rPr>
          <w:rFonts w:ascii="Arial" w:hAnsi="Arial" w:cs="Arial"/>
        </w:rPr>
      </w:pPr>
      <w:r w:rsidRPr="000E0F90">
        <w:rPr>
          <w:rFonts w:ascii="Arial" w:hAnsi="Arial" w:cs="Arial"/>
        </w:rPr>
        <w:lastRenderedPageBreak/>
        <w:t xml:space="preserve">TERRITORIALIDAD </w:t>
      </w:r>
      <w:r w:rsidR="00064BA0" w:rsidRPr="000E0F90">
        <w:rPr>
          <w:rFonts w:ascii="Arial" w:hAnsi="Arial" w:cs="Arial"/>
        </w:rPr>
        <w:t xml:space="preserve">MINERA </w:t>
      </w:r>
      <w:r w:rsidRPr="000E0F90">
        <w:rPr>
          <w:rFonts w:ascii="Arial" w:hAnsi="Arial" w:cs="Arial"/>
        </w:rPr>
        <w:t xml:space="preserve">HISTÓRICA </w:t>
      </w:r>
    </w:p>
    <w:p w:rsidR="00CC460B" w:rsidRPr="000E0F90" w:rsidRDefault="00CC460B" w:rsidP="008D6193">
      <w:pPr>
        <w:spacing w:before="240" w:after="0" w:line="360" w:lineRule="auto"/>
        <w:rPr>
          <w:rFonts w:ascii="Arial" w:hAnsi="Arial" w:cs="Arial"/>
          <w:b/>
          <w:i/>
          <w:color w:val="000000" w:themeColor="text1"/>
        </w:rPr>
      </w:pPr>
      <w:r w:rsidRPr="000E0F90">
        <w:rPr>
          <w:rFonts w:ascii="Arial" w:hAnsi="Arial" w:cs="Arial"/>
          <w:b/>
          <w:i/>
          <w:color w:val="000000" w:themeColor="text1"/>
        </w:rPr>
        <w:t xml:space="preserve">Asentamientos indígenas </w:t>
      </w:r>
    </w:p>
    <w:p w:rsidR="00CC460B" w:rsidRPr="000E0F90" w:rsidRDefault="00CC460B" w:rsidP="008D6193">
      <w:pPr>
        <w:spacing w:line="360" w:lineRule="auto"/>
        <w:rPr>
          <w:rFonts w:ascii="Arial" w:hAnsi="Arial" w:cs="Arial"/>
          <w:color w:val="000000" w:themeColor="text1"/>
        </w:rPr>
      </w:pPr>
      <w:r w:rsidRPr="000E0F90">
        <w:rPr>
          <w:rFonts w:ascii="Arial" w:hAnsi="Arial" w:cs="Arial"/>
          <w:color w:val="000000" w:themeColor="text1"/>
        </w:rPr>
        <w:t xml:space="preserve">En relación a las primeras transformaciones territoriales de la tercera y cuarta región, se puede establecer que diversas poblaciones de nómades cazadores y recolectores provenientes del norte se ubicaron en los valles e interfluvios de los ríos, desde la cordillera a la costa, desde el año 8000 A.C., los cuales se caracterizaban por desplazarse en forma continua en el territorio </w:t>
      </w:r>
      <w:sdt>
        <w:sdtPr>
          <w:rPr>
            <w:rFonts w:ascii="Arial" w:hAnsi="Arial" w:cs="Arial"/>
            <w:color w:val="000000" w:themeColor="text1"/>
          </w:rPr>
          <w:id w:val="1709682065"/>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Cas03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(Castillo, 2003)</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w:t>
      </w:r>
      <w:sdt>
        <w:sdtPr>
          <w:rPr>
            <w:rFonts w:ascii="Arial" w:hAnsi="Arial" w:cs="Arial"/>
            <w:color w:val="000000" w:themeColor="text1"/>
          </w:rPr>
          <w:id w:val="850379918"/>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Amp78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(Ampuero, 1978)</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"author" : [ { "dropping-particle" : "", "family" : "Ampuero", "given" : "Gonzalo;", "non-dropping-particle" : "", "parse-names" : false, "suffix" : "" }, { "dropping-particle" : "", "family" : "Hidalgo", "given" : "Jorge", "non-dropping-particle" : "", "parse-names" : false, "suffix" : "" } ], "container-title" : "REvista de Antopolog\u00eda Chilena", "id" : "ITEM-1", "issued" : { "date-parts" : [ [ "1975" ] ] }, "page" : "87-124", "title" : "Estructura y proceso en la prehistoria y protohistoria del Norte Chico de Chile", "type" : "article-journal", "volume" : "5" }, "uris" : [ "http://www.mendeley.com/documents/?uuid=e08abe0e-8033-4508-995e-0189510839dd" ] } ], "mendeley" : { "formattedCitation" : "(Ampuero &amp; Hidalgo, 1975)", "plainTextFormattedCitation" : "(Ampuero &amp; Hidalgo, 1975)", "previouslyFormattedCitation" : "(Ampuero &amp; Hidalgo, 1975)"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(Ampuero &amp; Hidalgo, 1975)</w:t>
      </w:r>
      <w:r w:rsidRPr="000E0F90">
        <w:rPr>
          <w:rFonts w:ascii="Arial" w:hAnsi="Arial" w:cs="Arial"/>
          <w:color w:val="000000" w:themeColor="text1"/>
        </w:rPr>
        <w:fldChar w:fldCharType="end"/>
      </w:r>
      <w:r w:rsidRPr="000E0F90">
        <w:rPr>
          <w:rFonts w:ascii="Arial" w:hAnsi="Arial" w:cs="Arial"/>
          <w:color w:val="000000" w:themeColor="text1"/>
        </w:rPr>
        <w:t xml:space="preserve">. </w:t>
      </w:r>
    </w:p>
    <w:p w:rsidR="00CC460B" w:rsidRPr="000E0F90" w:rsidRDefault="00CC460B" w:rsidP="008D6193">
      <w:pPr>
        <w:spacing w:before="240" w:line="360" w:lineRule="auto"/>
        <w:rPr>
          <w:rFonts w:ascii="Arial" w:hAnsi="Arial" w:cs="Arial"/>
          <w:color w:val="000000" w:themeColor="text1"/>
        </w:rPr>
      </w:pPr>
      <w:r w:rsidRPr="000E0F90">
        <w:rPr>
          <w:rFonts w:ascii="Arial" w:hAnsi="Arial" w:cs="Arial"/>
          <w:color w:val="000000" w:themeColor="text1"/>
        </w:rPr>
        <w:t xml:space="preserve">Posteriormente se establece una cultura agro alfarera denominada Cultura Molle (300 a.C. a 800 d.C.), la cual manifestó un patrón de asentamiento agrícola y ganadero (rudimentario), estableciéndose </w:t>
      </w:r>
      <w:r w:rsidR="00780539" w:rsidRPr="000E0F90">
        <w:rPr>
          <w:rFonts w:ascii="Arial" w:hAnsi="Arial" w:cs="Arial"/>
          <w:color w:val="000000" w:themeColor="text1"/>
        </w:rPr>
        <w:t xml:space="preserve">tanto </w:t>
      </w:r>
      <w:r w:rsidRPr="000E0F90">
        <w:rPr>
          <w:rFonts w:ascii="Arial" w:hAnsi="Arial" w:cs="Arial"/>
          <w:color w:val="000000" w:themeColor="text1"/>
        </w:rPr>
        <w:t>en los valles</w:t>
      </w:r>
      <w:r w:rsidR="00780539" w:rsidRPr="000E0F90">
        <w:rPr>
          <w:rFonts w:ascii="Arial" w:hAnsi="Arial" w:cs="Arial"/>
          <w:color w:val="000000" w:themeColor="text1"/>
        </w:rPr>
        <w:t>, como la costa</w:t>
      </w:r>
      <w:r w:rsidRPr="000E0F90">
        <w:rPr>
          <w:rFonts w:ascii="Arial" w:hAnsi="Arial" w:cs="Arial"/>
          <w:color w:val="000000" w:themeColor="text1"/>
        </w:rPr>
        <w:t>; esta cultura desarrolló las primeras actividades alfareras, desarrollando también la metalurgia con cobre, oro y plata</w:t>
      </w:r>
      <w:sdt>
        <w:sdtPr>
          <w:rPr>
            <w:rFonts w:ascii="Arial" w:hAnsi="Arial" w:cs="Arial"/>
            <w:color w:val="000000" w:themeColor="text1"/>
          </w:rPr>
          <w:id w:val="-1588067734"/>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Amp78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 xml:space="preserve"> (Ampuero, 1978)</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implicando una primera vinculación de la minería con el territorio. Desapareciendo bruscamente para dar paso al Complejo Las Ánimas (800-1200 d.C.), el cual fue el precursor de la cultura Diaguita (Hidalgo,  Shiapacasse  y  Niemeyer,</w:t>
      </w:r>
      <w:r w:rsidR="00867B50" w:rsidRPr="000E0F90">
        <w:rPr>
          <w:rFonts w:ascii="Arial" w:hAnsi="Arial" w:cs="Arial"/>
          <w:color w:val="000000" w:themeColor="text1"/>
        </w:rPr>
        <w:t xml:space="preserve"> </w:t>
      </w:r>
      <w:r w:rsidRPr="000E0F90">
        <w:rPr>
          <w:rFonts w:ascii="Arial" w:hAnsi="Arial" w:cs="Arial"/>
          <w:color w:val="000000" w:themeColor="text1"/>
        </w:rPr>
        <w:t>2000, 1989) en la zona. Dicho complejo se caracterizó desarrolla</w:t>
      </w:r>
      <w:r w:rsidR="00780539" w:rsidRPr="000E0F90">
        <w:rPr>
          <w:rFonts w:ascii="Arial" w:hAnsi="Arial" w:cs="Arial"/>
          <w:color w:val="000000" w:themeColor="text1"/>
        </w:rPr>
        <w:t>r</w:t>
      </w:r>
      <w:r w:rsidRPr="000E0F90">
        <w:rPr>
          <w:rFonts w:ascii="Arial" w:hAnsi="Arial" w:cs="Arial"/>
          <w:color w:val="000000" w:themeColor="text1"/>
        </w:rPr>
        <w:t xml:space="preserve"> la actividad ganadera </w:t>
      </w:r>
      <w:r w:rsidR="00780539" w:rsidRPr="000E0F90">
        <w:rPr>
          <w:rFonts w:ascii="Arial" w:hAnsi="Arial" w:cs="Arial"/>
          <w:color w:val="000000" w:themeColor="text1"/>
        </w:rPr>
        <w:t>con camélidos y la agricultura</w:t>
      </w:r>
      <w:r w:rsidRPr="000E0F90">
        <w:rPr>
          <w:rFonts w:ascii="Arial" w:hAnsi="Arial" w:cs="Arial"/>
          <w:color w:val="000000" w:themeColor="text1"/>
        </w:rPr>
        <w:t>; realizaban también la pesca y caza, (Niemeyer, 1998:156). Esta cultura realizó también la extracción minero-</w:t>
      </w:r>
      <w:r w:rsidR="00F35AF7" w:rsidRPr="000E0F90">
        <w:rPr>
          <w:rFonts w:ascii="Arial" w:hAnsi="Arial" w:cs="Arial"/>
          <w:color w:val="000000" w:themeColor="text1"/>
        </w:rPr>
        <w:t>metalúrgica</w:t>
      </w:r>
      <w:r w:rsidRPr="000E0F90">
        <w:rPr>
          <w:rFonts w:ascii="Arial" w:hAnsi="Arial" w:cs="Arial"/>
          <w:color w:val="000000" w:themeColor="text1"/>
        </w:rPr>
        <w:t>,  desarrollando además herramientas y adornos.</w:t>
      </w:r>
    </w:p>
    <w:p w:rsidR="00CC460B" w:rsidRPr="000E0F90" w:rsidRDefault="00CC460B" w:rsidP="008D6193">
      <w:pPr>
        <w:spacing w:before="240" w:line="360" w:lineRule="auto"/>
        <w:rPr>
          <w:rFonts w:ascii="Arial" w:hAnsi="Arial" w:cs="Arial"/>
          <w:color w:val="000000" w:themeColor="text1"/>
        </w:rPr>
      </w:pPr>
      <w:r w:rsidRPr="000E0F90">
        <w:rPr>
          <w:rFonts w:ascii="Arial" w:hAnsi="Arial" w:cs="Arial"/>
          <w:color w:val="000000" w:themeColor="text1"/>
        </w:rPr>
        <w:t>Posteriormente el territorio fue ocupado por la cultura Diaguita (siglo V o VI), la cual pobló el territorio desde cordillera a mar, en los valles de Copiapó, Huasco, Elqui, Limarí y Choapa. Las tribus del interior se dedicaron a la agricultura y ganadería, y a la caza; y las de la costa a la pesca, identificándose intercambios entre ambos asentamientos</w:t>
      </w:r>
      <w:sdt>
        <w:sdtPr>
          <w:rPr>
            <w:rFonts w:ascii="Arial" w:hAnsi="Arial" w:cs="Arial"/>
            <w:color w:val="000000" w:themeColor="text1"/>
          </w:rPr>
          <w:id w:val="151959358"/>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Cor56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 xml:space="preserve"> (Cornely, 1956)</w:t>
          </w:r>
          <w:r w:rsidRPr="000E0F90">
            <w:rPr>
              <w:rFonts w:ascii="Arial" w:hAnsi="Arial" w:cs="Arial"/>
              <w:color w:val="000000" w:themeColor="text1"/>
            </w:rPr>
            <w:fldChar w:fldCharType="end"/>
          </w:r>
        </w:sdtContent>
      </w:sdt>
      <w:r w:rsidRPr="000E0F90">
        <w:rPr>
          <w:rFonts w:ascii="Arial" w:hAnsi="Arial" w:cs="Arial"/>
          <w:color w:val="000000" w:themeColor="text1"/>
        </w:rPr>
        <w:t>. Fina</w:t>
      </w:r>
      <w:r w:rsidR="00780539" w:rsidRPr="000E0F90">
        <w:rPr>
          <w:rFonts w:ascii="Arial" w:hAnsi="Arial" w:cs="Arial"/>
          <w:color w:val="000000" w:themeColor="text1"/>
        </w:rPr>
        <w:t>lmente se produce la ocupación I</w:t>
      </w:r>
      <w:r w:rsidRPr="000E0F90">
        <w:rPr>
          <w:rFonts w:ascii="Arial" w:hAnsi="Arial" w:cs="Arial"/>
          <w:color w:val="000000" w:themeColor="text1"/>
        </w:rPr>
        <w:t>nca en los asentamientos diaguitas, alrededor del siglo XV, quedando los diaguitas bajo su dominación, los cuales incorporaron mejoras en la agricultura, ganadería y minería</w:t>
      </w:r>
      <w:sdt>
        <w:sdtPr>
          <w:rPr>
            <w:rFonts w:ascii="Arial" w:hAnsi="Arial" w:cs="Arial"/>
            <w:color w:val="000000" w:themeColor="text1"/>
          </w:rPr>
          <w:id w:val="220176941"/>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Cor56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 xml:space="preserve"> (Cornely, 1956)</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Cabe señalar que posterior a esta cultura, al norte del valle del Huasco se instaura una cultura diferente a la cultura diaguita, la cual de un carácter más belicoso, que no permitió que Diaguitas e Incas, traspasaran hacia su territorio, al norte del valle del Huasco (Castillo, 1998:189). Esta cultura se denomina cultura Colla, la cual se considera que una síntesis de diversas poblaciones indígenas </w:t>
      </w:r>
      <w:sdt>
        <w:sdtPr>
          <w:rPr>
            <w:rFonts w:ascii="Arial" w:hAnsi="Arial" w:cs="Arial"/>
            <w:color w:val="000000" w:themeColor="text1"/>
          </w:rPr>
          <w:id w:val="989130298"/>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Buj08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(Bujes, 2008)</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w:t>
      </w:r>
    </w:p>
    <w:p w:rsidR="00CC460B" w:rsidRPr="000E0F90" w:rsidRDefault="00CC460B" w:rsidP="008D6193">
      <w:pPr>
        <w:spacing w:line="360" w:lineRule="auto"/>
        <w:rPr>
          <w:rFonts w:ascii="Arial" w:hAnsi="Arial" w:cs="Arial"/>
          <w:i/>
          <w:color w:val="000000" w:themeColor="text1"/>
        </w:rPr>
      </w:pPr>
      <w:r w:rsidRPr="000E0F90">
        <w:rPr>
          <w:rFonts w:ascii="Arial" w:hAnsi="Arial" w:cs="Arial"/>
          <w:color w:val="000000" w:themeColor="text1"/>
        </w:rPr>
        <w:lastRenderedPageBreak/>
        <w:t>De acuerdo a los hallazgos encontrados en variadas localidades del país, se puede establecer que los aborígenes de Chile utilizaban el cobre y la aleación proveniente de su combinación con el estaño para elaborar diversos implementos</w:t>
      </w:r>
      <w:sdt>
        <w:sdtPr>
          <w:rPr>
            <w:rFonts w:ascii="Arial" w:hAnsi="Arial" w:cs="Arial"/>
            <w:color w:val="000000" w:themeColor="text1"/>
          </w:rPr>
          <w:id w:val="-1989551871"/>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Vic78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 xml:space="preserve"> (Vicuña Mackenna, 1978)</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Vestigios, como la pequeña alpaca de cobre oxidado hallada en Freirina, la planchuela de cobre de la Navidad, la porra de bronce en Copiapó y el hacha de cobre encontrada en Atacama, permiten establecer la relación de los habitantes del territorio del Norte Chico con la actividad extractiva, </w:t>
      </w:r>
      <w:r w:rsidR="00780539" w:rsidRPr="000E0F90">
        <w:rPr>
          <w:rFonts w:ascii="Arial" w:hAnsi="Arial" w:cs="Arial"/>
          <w:color w:val="000000" w:themeColor="text1"/>
        </w:rPr>
        <w:t xml:space="preserve">que aunque marginal, </w:t>
      </w:r>
      <w:r w:rsidRPr="000E0F90">
        <w:rPr>
          <w:rFonts w:ascii="Arial" w:hAnsi="Arial" w:cs="Arial"/>
          <w:color w:val="000000" w:themeColor="text1"/>
        </w:rPr>
        <w:t xml:space="preserve">proviene con anterioridad a la llegada de los españoles </w:t>
      </w:r>
      <w:sdt>
        <w:sdtPr>
          <w:rPr>
            <w:rFonts w:ascii="Arial" w:hAnsi="Arial" w:cs="Arial"/>
            <w:color w:val="000000" w:themeColor="text1"/>
          </w:rPr>
          <w:id w:val="-1583523851"/>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Vic78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(Vicuña Mackenna, 1978)</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w:t>
      </w:r>
    </w:p>
    <w:p w:rsidR="00CC460B" w:rsidRPr="000E0F90" w:rsidRDefault="00CC460B" w:rsidP="008D6193">
      <w:pPr>
        <w:spacing w:before="240" w:after="0" w:line="360" w:lineRule="auto"/>
        <w:rPr>
          <w:rFonts w:ascii="Arial" w:hAnsi="Arial" w:cs="Arial"/>
          <w:b/>
          <w:i/>
          <w:color w:val="000000" w:themeColor="text1"/>
        </w:rPr>
      </w:pPr>
      <w:r w:rsidRPr="000E0F90">
        <w:rPr>
          <w:rFonts w:ascii="Arial" w:hAnsi="Arial" w:cs="Arial"/>
          <w:b/>
          <w:i/>
          <w:color w:val="000000" w:themeColor="text1"/>
        </w:rPr>
        <w:t>Llegada de los españoles al territorio</w:t>
      </w:r>
    </w:p>
    <w:p w:rsidR="00CC460B" w:rsidRPr="000E0F90" w:rsidRDefault="00CC460B" w:rsidP="008D6193">
      <w:pPr>
        <w:spacing w:after="0" w:line="360" w:lineRule="auto"/>
        <w:rPr>
          <w:rFonts w:ascii="Arial" w:hAnsi="Arial" w:cs="Arial"/>
          <w:color w:val="000000" w:themeColor="text1"/>
        </w:rPr>
      </w:pPr>
      <w:r w:rsidRPr="000E0F90">
        <w:rPr>
          <w:rFonts w:ascii="Arial" w:hAnsi="Arial" w:cs="Arial"/>
          <w:color w:val="000000" w:themeColor="text1"/>
        </w:rPr>
        <w:t>Con el arribo de los españoles, en el Siglo XVI, la cuarta y tercera región fueron ocupadas sin resistencia, dado por una reducida población indígena (i.e. 20.000 individuos) y escasa oposición de los nativos locales, los cuales ya se encontr</w:t>
      </w:r>
      <w:r w:rsidR="00780539" w:rsidRPr="000E0F90">
        <w:rPr>
          <w:rFonts w:ascii="Arial" w:hAnsi="Arial" w:cs="Arial"/>
          <w:color w:val="000000" w:themeColor="text1"/>
        </w:rPr>
        <w:t>aban sometidos bajo dominación I</w:t>
      </w:r>
      <w:r w:rsidRPr="000E0F90">
        <w:rPr>
          <w:rFonts w:ascii="Arial" w:hAnsi="Arial" w:cs="Arial"/>
          <w:color w:val="000000" w:themeColor="text1"/>
        </w:rPr>
        <w:t xml:space="preserve">nca </w:t>
      </w:r>
      <w:sdt>
        <w:sdtPr>
          <w:rPr>
            <w:rFonts w:ascii="Arial" w:hAnsi="Arial" w:cs="Arial"/>
            <w:color w:val="000000" w:themeColor="text1"/>
          </w:rPr>
          <w:id w:val="-2014898678"/>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Din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(Cortés, 2003)</w:t>
          </w:r>
          <w:r w:rsidRPr="000E0F90">
            <w:rPr>
              <w:rFonts w:ascii="Arial" w:hAnsi="Arial" w:cs="Arial"/>
              <w:color w:val="000000" w:themeColor="text1"/>
            </w:rPr>
            <w:fldChar w:fldCharType="end"/>
          </w:r>
        </w:sdtContent>
      </w:sdt>
      <w:r w:rsidRPr="000E0F90">
        <w:rPr>
          <w:rFonts w:ascii="Arial" w:hAnsi="Arial" w:cs="Arial"/>
          <w:color w:val="000000" w:themeColor="text1"/>
        </w:rPr>
        <w:t>. La ocupación hispánica se realizó a través de la asignación de mercedes y encomiendas, iniciando el proceso de repartición de indígenas de los valles Limarí, Coquimbo, Huasco y Copiapó</w:t>
      </w:r>
      <w:r w:rsidR="00780539" w:rsidRPr="000E0F90">
        <w:rPr>
          <w:rFonts w:ascii="Arial" w:hAnsi="Arial" w:cs="Arial"/>
          <w:color w:val="000000" w:themeColor="text1"/>
        </w:rPr>
        <w:t xml:space="preserve">, </w:t>
      </w:r>
      <w:r w:rsidRPr="000E0F90">
        <w:rPr>
          <w:rFonts w:ascii="Arial" w:hAnsi="Arial" w:cs="Arial"/>
          <w:color w:val="000000" w:themeColor="text1"/>
        </w:rPr>
        <w:t>dando inicio a una reestructuración y a un nuevo ordenamiento del territorio</w:t>
      </w:r>
      <w:r w:rsidR="00780539" w:rsidRPr="000E0F90">
        <w:rPr>
          <w:rFonts w:ascii="Arial" w:hAnsi="Arial" w:cs="Arial"/>
          <w:color w:val="000000" w:themeColor="text1"/>
        </w:rPr>
        <w:t xml:space="preserve"> </w:t>
      </w:r>
      <w:sdt>
        <w:sdtPr>
          <w:rPr>
            <w:rFonts w:ascii="Arial" w:hAnsi="Arial" w:cs="Arial"/>
            <w:color w:val="000000" w:themeColor="text1"/>
          </w:rPr>
          <w:id w:val="1084890930"/>
          <w:citation/>
        </w:sdtPr>
        <w:sdtEndPr/>
        <w:sdtContent>
          <w:r w:rsidR="00780539" w:rsidRPr="000E0F90">
            <w:rPr>
              <w:rFonts w:ascii="Arial" w:hAnsi="Arial" w:cs="Arial"/>
              <w:color w:val="000000" w:themeColor="text1"/>
            </w:rPr>
            <w:fldChar w:fldCharType="begin"/>
          </w:r>
          <w:r w:rsidR="00780539" w:rsidRPr="000E0F90">
            <w:rPr>
              <w:rFonts w:ascii="Arial" w:hAnsi="Arial" w:cs="Arial"/>
              <w:color w:val="000000" w:themeColor="text1"/>
            </w:rPr>
            <w:instrText xml:space="preserve"> CITATION Din \l 13322 </w:instrText>
          </w:r>
          <w:r w:rsidR="00780539" w:rsidRPr="000E0F90">
            <w:rPr>
              <w:rFonts w:ascii="Arial" w:hAnsi="Arial" w:cs="Arial"/>
              <w:color w:val="000000" w:themeColor="text1"/>
            </w:rPr>
            <w:fldChar w:fldCharType="separate"/>
          </w:r>
          <w:r w:rsidR="00780539" w:rsidRPr="000E0F90">
            <w:rPr>
              <w:rFonts w:ascii="Arial" w:hAnsi="Arial" w:cs="Arial"/>
              <w:noProof/>
              <w:color w:val="000000" w:themeColor="text1"/>
            </w:rPr>
            <w:t>(Cortés, 2003)</w:t>
          </w:r>
          <w:r w:rsidR="00780539" w:rsidRPr="000E0F90">
            <w:rPr>
              <w:rFonts w:ascii="Arial" w:hAnsi="Arial" w:cs="Arial"/>
              <w:color w:val="000000" w:themeColor="text1"/>
            </w:rPr>
            <w:fldChar w:fldCharType="end"/>
          </w:r>
        </w:sdtContent>
      </w:sdt>
      <w:r w:rsidRPr="000E0F90">
        <w:rPr>
          <w:rFonts w:ascii="Arial" w:hAnsi="Arial" w:cs="Arial"/>
          <w:color w:val="000000" w:themeColor="text1"/>
        </w:rPr>
        <w:t xml:space="preserve">. </w:t>
      </w:r>
    </w:p>
    <w:p w:rsidR="00CC460B" w:rsidRPr="000E0F90" w:rsidRDefault="00CC460B" w:rsidP="008D6193">
      <w:pPr>
        <w:spacing w:before="240" w:line="360" w:lineRule="auto"/>
        <w:rPr>
          <w:rFonts w:ascii="Arial" w:hAnsi="Arial" w:cs="Arial"/>
          <w:color w:val="000000" w:themeColor="text1"/>
        </w:rPr>
      </w:pPr>
      <w:r w:rsidRPr="000E0F90">
        <w:rPr>
          <w:rFonts w:ascii="Arial" w:hAnsi="Arial" w:cs="Arial"/>
          <w:color w:val="000000" w:themeColor="text1"/>
        </w:rPr>
        <w:t xml:space="preserve">Dichas encomiendas se orientaron al desarrollo de la actividad minera en la zona (yacimientos de oro, plata y posteriormente cobre) </w:t>
      </w:r>
      <w:sdt>
        <w:sdtPr>
          <w:rPr>
            <w:rFonts w:ascii="Arial" w:hAnsi="Arial" w:cs="Arial"/>
            <w:color w:val="000000" w:themeColor="text1"/>
          </w:rPr>
          <w:id w:val="-1359190926"/>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Din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(Cortés, 2003)</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la cual inicia un proceso más formal de explotación minera en el Norte Chico en la Colonia, inicialmente con la extracción de oro y plata, para luego continuar con el cobre, incentivando posteriormente la explotación y posterior exportación de este último, mayormente en las provincias de Atacama y Coquimbo </w:t>
      </w:r>
      <w:sdt>
        <w:sdtPr>
          <w:rPr>
            <w:rFonts w:ascii="Arial" w:hAnsi="Arial" w:cs="Arial"/>
            <w:i/>
            <w:color w:val="000000" w:themeColor="text1"/>
          </w:rPr>
          <w:id w:val="-518861746"/>
          <w:citation/>
        </w:sdtPr>
        <w:sdtEndPr/>
        <w:sdtContent>
          <w:r w:rsidRPr="000E0F90">
            <w:rPr>
              <w:rFonts w:ascii="Arial" w:hAnsi="Arial" w:cs="Arial"/>
              <w:i/>
              <w:color w:val="000000" w:themeColor="text1"/>
            </w:rPr>
            <w:fldChar w:fldCharType="begin"/>
          </w:r>
          <w:r w:rsidRPr="000E0F90">
            <w:rPr>
              <w:rFonts w:ascii="Arial" w:hAnsi="Arial" w:cs="Arial"/>
              <w:b/>
              <w:color w:val="000000" w:themeColor="text1"/>
            </w:rPr>
            <w:instrText xml:space="preserve"> CITATION Vic78 \l 13322 </w:instrText>
          </w:r>
          <w:r w:rsidRPr="000E0F90">
            <w:rPr>
              <w:rFonts w:ascii="Arial" w:hAnsi="Arial" w:cs="Arial"/>
              <w:i/>
              <w:color w:val="000000" w:themeColor="text1"/>
            </w:rPr>
            <w:fldChar w:fldCharType="separate"/>
          </w:r>
          <w:r w:rsidR="008D0261" w:rsidRPr="000E0F90">
            <w:rPr>
              <w:rFonts w:ascii="Arial" w:hAnsi="Arial" w:cs="Arial"/>
              <w:noProof/>
              <w:color w:val="000000" w:themeColor="text1"/>
            </w:rPr>
            <w:t>(Vicuña Mackenna, 1978)</w:t>
          </w:r>
          <w:r w:rsidRPr="000E0F90">
            <w:rPr>
              <w:rFonts w:ascii="Arial" w:hAnsi="Arial" w:cs="Arial"/>
              <w:i/>
              <w:color w:val="000000" w:themeColor="text1"/>
            </w:rPr>
            <w:fldChar w:fldCharType="end"/>
          </w:r>
        </w:sdtContent>
      </w:sdt>
      <w:r w:rsidRPr="000E0F90">
        <w:rPr>
          <w:rFonts w:ascii="Arial" w:hAnsi="Arial" w:cs="Arial"/>
          <w:i/>
          <w:color w:val="000000" w:themeColor="text1"/>
        </w:rPr>
        <w:t xml:space="preserve">. </w:t>
      </w:r>
      <w:r w:rsidRPr="000E0F90">
        <w:rPr>
          <w:rFonts w:ascii="Arial" w:hAnsi="Arial" w:cs="Arial"/>
          <w:color w:val="000000" w:themeColor="text1"/>
        </w:rPr>
        <w:t>Situación que estimula fuertemente la repartición de la población indígena a diversos yacimientos, como fue el caso de los yacimientos de oro y las minas de cobre</w:t>
      </w:r>
      <w:r w:rsidR="007730D3" w:rsidRPr="000E0F90">
        <w:rPr>
          <w:rFonts w:ascii="Arial" w:hAnsi="Arial" w:cs="Arial"/>
          <w:color w:val="000000" w:themeColor="text1"/>
        </w:rPr>
        <w:t xml:space="preserve"> </w:t>
      </w:r>
      <w:sdt>
        <w:sdtPr>
          <w:rPr>
            <w:rFonts w:ascii="Arial" w:hAnsi="Arial" w:cs="Arial"/>
            <w:color w:val="000000" w:themeColor="text1"/>
          </w:rPr>
          <w:id w:val="-1809465677"/>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Din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(Cortés, 2003)</w:t>
          </w:r>
          <w:r w:rsidRPr="000E0F90">
            <w:rPr>
              <w:rFonts w:ascii="Arial" w:hAnsi="Arial" w:cs="Arial"/>
              <w:color w:val="000000" w:themeColor="text1"/>
            </w:rPr>
            <w:fldChar w:fldCharType="end"/>
          </w:r>
        </w:sdtContent>
      </w:sdt>
      <w:r w:rsidRPr="000E0F90">
        <w:rPr>
          <w:rFonts w:ascii="Arial" w:hAnsi="Arial" w:cs="Arial"/>
          <w:color w:val="000000" w:themeColor="text1"/>
        </w:rPr>
        <w:t>.</w:t>
      </w:r>
    </w:p>
    <w:p w:rsidR="00CC460B" w:rsidRPr="000E0F90" w:rsidRDefault="00CC460B" w:rsidP="008D6193">
      <w:pPr>
        <w:spacing w:before="240" w:line="360" w:lineRule="auto"/>
        <w:rPr>
          <w:rFonts w:ascii="Arial" w:hAnsi="Arial" w:cs="Arial"/>
          <w:color w:val="000000" w:themeColor="text1"/>
        </w:rPr>
      </w:pPr>
      <w:r w:rsidRPr="000E0F90">
        <w:rPr>
          <w:rFonts w:ascii="Arial" w:hAnsi="Arial" w:cs="Arial"/>
          <w:color w:val="000000" w:themeColor="text1"/>
        </w:rPr>
        <w:t xml:space="preserve">En el caso particular del Valle del Huasco, con la llegada de los españoles y la entrega de encomiendas, la población diaguita fue relegada a las zonas altas del Valle del Huasco, particularmente al cajón del río El Tránsito </w:t>
      </w:r>
      <w:sdt>
        <w:sdtPr>
          <w:rPr>
            <w:rFonts w:ascii="Arial" w:hAnsi="Arial" w:cs="Arial"/>
            <w:color w:val="000000" w:themeColor="text1"/>
          </w:rPr>
          <w:id w:val="-1169860779"/>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CITATION Gas16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(Gastó, Gálvez, Subercauseaux, &amp; Fuentes, 2015)</w:t>
          </w:r>
          <w:r w:rsidRPr="000E0F90">
            <w:rPr>
              <w:rFonts w:ascii="Arial" w:hAnsi="Arial" w:cs="Arial"/>
              <w:color w:val="000000" w:themeColor="text1"/>
            </w:rPr>
            <w:fldChar w:fldCharType="end"/>
          </w:r>
        </w:sdtContent>
      </w:sdt>
      <w:r w:rsidRPr="000E0F90">
        <w:rPr>
          <w:rFonts w:ascii="Arial" w:hAnsi="Arial" w:cs="Arial"/>
          <w:color w:val="000000" w:themeColor="text1"/>
        </w:rPr>
        <w:t>. A partir de este reasentamiento, se produce una diferenciación de los valles que componen la zona alta del valle del Huasco, donde el Valle del Carmen adquiere un carácter más hispánico, a diferencia del Valle del Tránsito, con un carácter mucho más étnico (Salinas, 2007).</w:t>
      </w:r>
    </w:p>
    <w:p w:rsidR="00CC460B" w:rsidRPr="000E0F90" w:rsidRDefault="00CC460B" w:rsidP="008D6193">
      <w:pPr>
        <w:spacing w:line="360" w:lineRule="auto"/>
        <w:rPr>
          <w:rFonts w:ascii="Arial" w:hAnsi="Arial" w:cs="Arial"/>
          <w:color w:val="000000" w:themeColor="text1"/>
        </w:rPr>
      </w:pPr>
      <w:r w:rsidRPr="000E0F90">
        <w:rPr>
          <w:rFonts w:ascii="Arial" w:hAnsi="Arial" w:cs="Arial"/>
          <w:color w:val="000000" w:themeColor="text1"/>
        </w:rPr>
        <w:lastRenderedPageBreak/>
        <w:t xml:space="preserve">No obstante, a raíz de la precariedad con que fue realizada la actividad minera en este período, se produjo una sobreexplotación de los indígenas, con una fuerte disminución de su población </w:t>
      </w:r>
      <w:sdt>
        <w:sdtPr>
          <w:rPr>
            <w:rFonts w:ascii="Arial" w:hAnsi="Arial" w:cs="Arial"/>
            <w:color w:val="000000" w:themeColor="text1"/>
          </w:rPr>
          <w:id w:val="1648088950"/>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Din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(Cortés, 2003)</w:t>
          </w:r>
          <w:r w:rsidRPr="000E0F90">
            <w:rPr>
              <w:rFonts w:ascii="Arial" w:hAnsi="Arial" w:cs="Arial"/>
              <w:color w:val="000000" w:themeColor="text1"/>
            </w:rPr>
            <w:fldChar w:fldCharType="end"/>
          </w:r>
        </w:sdtContent>
      </w:sdt>
      <w:r w:rsidR="005877CF" w:rsidRPr="000E0F90">
        <w:rPr>
          <w:rFonts w:ascii="Arial" w:hAnsi="Arial" w:cs="Arial"/>
          <w:color w:val="000000" w:themeColor="text1"/>
        </w:rPr>
        <w:t>. S</w:t>
      </w:r>
      <w:r w:rsidRPr="000E0F90">
        <w:rPr>
          <w:rFonts w:ascii="Arial" w:hAnsi="Arial" w:cs="Arial"/>
          <w:color w:val="000000" w:themeColor="text1"/>
        </w:rPr>
        <w:t xml:space="preserve">e debe señalar que durante la Colonia, la actividad se realizaba a tajo abierto, donde la mano de obra se basaba en indígenas y utilizando la vegetación existente como combustible (Millán, 2004). Esta precariedad se reflejada en la lógica de trabajar de los pequeños propietarios a mediados de Siglo XVIII, los cuales explotaban el mineral hacia el agotamiento de las vetas de alta ley y realizaban la búsqueda de una nueva mina </w:t>
      </w:r>
      <w:sdt>
        <w:sdtPr>
          <w:rPr>
            <w:rFonts w:ascii="Arial" w:hAnsi="Arial" w:cs="Arial"/>
            <w:color w:val="000000" w:themeColor="text1"/>
          </w:rPr>
          <w:id w:val="-2066475134"/>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Ort09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(Ortega, 2009)</w:t>
          </w:r>
          <w:r w:rsidRPr="000E0F90">
            <w:rPr>
              <w:rFonts w:ascii="Arial" w:hAnsi="Arial" w:cs="Arial"/>
              <w:color w:val="000000" w:themeColor="text1"/>
            </w:rPr>
            <w:fldChar w:fldCharType="end"/>
          </w:r>
        </w:sdtContent>
      </w:sdt>
      <w:r w:rsidRPr="000E0F90">
        <w:rPr>
          <w:rFonts w:ascii="Arial" w:hAnsi="Arial" w:cs="Arial"/>
          <w:color w:val="000000" w:themeColor="text1"/>
        </w:rPr>
        <w:t>.</w:t>
      </w:r>
    </w:p>
    <w:p w:rsidR="00CC460B" w:rsidRPr="000E0F90" w:rsidRDefault="00CC460B" w:rsidP="008D6193">
      <w:pPr>
        <w:spacing w:line="360" w:lineRule="auto"/>
        <w:rPr>
          <w:rFonts w:ascii="Arial" w:hAnsi="Arial" w:cs="Arial"/>
          <w:color w:val="000000" w:themeColor="text1"/>
        </w:rPr>
      </w:pPr>
      <w:r w:rsidRPr="000E0F90">
        <w:rPr>
          <w:rFonts w:ascii="Arial" w:hAnsi="Arial" w:cs="Arial"/>
          <w:noProof/>
          <w:color w:val="000000" w:themeColor="text1"/>
          <w:lang w:eastAsia="es-CL"/>
        </w:rPr>
        <w:t xml:space="preserve">En relación a la tenencia de propiedad en la época, esta se inicia con la asignación de mercedes, las cuales inicialmente seguían un patron de irradiación concentrico respecto a las faenas mineras y asentamientos humanos. </w:t>
      </w:r>
      <w:r w:rsidRPr="000E0F90">
        <w:rPr>
          <w:rFonts w:ascii="Arial" w:hAnsi="Arial" w:cs="Arial"/>
          <w:color w:val="000000" w:themeColor="text1"/>
        </w:rPr>
        <w:t xml:space="preserve">Cabe señalar que el territorio, una vez llegado los españoles sufre una intensa transformación producto del crecimiento de la actividad minera local, estimulándose fuertemente el desarrollo agrícola para satisfacer los requerimientos de los asentamientos mineros, pasando a ser la agricultura y la ganadería las principales actividades productivas, a continuación de la minera </w:t>
      </w:r>
      <w:sdt>
        <w:sdtPr>
          <w:rPr>
            <w:rFonts w:ascii="Arial" w:hAnsi="Arial" w:cs="Arial"/>
            <w:color w:val="000000" w:themeColor="text1"/>
          </w:rPr>
          <w:id w:val="369193551"/>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Din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(Cortés, 2003)</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w:t>
      </w:r>
    </w:p>
    <w:p w:rsidR="00CC460B" w:rsidRPr="000E0F90" w:rsidRDefault="00CC460B" w:rsidP="008D6193">
      <w:pPr>
        <w:spacing w:line="360" w:lineRule="auto"/>
        <w:rPr>
          <w:rFonts w:ascii="Arial" w:hAnsi="Arial" w:cs="Arial"/>
          <w:color w:val="000000" w:themeColor="text1"/>
        </w:rPr>
      </w:pPr>
      <w:r w:rsidRPr="000E0F90">
        <w:rPr>
          <w:rFonts w:ascii="Arial" w:hAnsi="Arial" w:cs="Arial"/>
          <w:color w:val="000000" w:themeColor="text1"/>
        </w:rPr>
        <w:t>A partir del último cuarto de XVIII, producto las demandas del metal de Lima y España, se mantiene desarrollo creciente, lo que llevo a un constante incremento de precios, situación que fomentó aún más el desarrollo de la minería y los productores comienzan a vincular la estructura productiva en busca de satisfacer la demanda externa</w:t>
      </w:r>
      <w:sdt>
        <w:sdtPr>
          <w:rPr>
            <w:rFonts w:ascii="Arial" w:hAnsi="Arial" w:cs="Arial"/>
            <w:color w:val="000000" w:themeColor="text1"/>
          </w:rPr>
          <w:id w:val="-873696887"/>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Ort09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 xml:space="preserve"> (Ortega, 2009)</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Cabe mencionar que en este período la extracción y beneficio del mineral se desarrolla en forma bastante rudimentaria, realizando la fundición del metal en hornos de manga, artefacto que demanda una alta cantidad de combustible lo cual se obtuvo a partir de la leña y carbón proveniente de los bosques locales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"author" : [ { "dropping-particle" : "", "family" : "Folchi", "given" : "Mauricio", "non-dropping-particle" : "", "parse-names" : false, "suffix" : "" } ], "container-title" : "Revista Mapocho", "id" : "ITEM-1", "issued" : { "date-parts" : [ [ "2001" ] ] }, "page" : "149-175", "title" : "La Insustentabilidad De La Industria Del Cobre En Chile : Los Hornos Y Los Bosques", "type" : "article-journal", "volume" : "49" }, "uris" : [ "http://www.mendeley.com/documents/?uuid=b6a1466b-c8ad-4ecf-aaf3-d0ee3c41cd6e" ] } ], "mendeley" : { "formattedCitation" : "(Folchi, 2001)", "plainTextFormattedCitation" : "(Folchi, 2001)", "previouslyFormattedCitation" : "(Folchi, 2001)"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(Folchi, 2001)</w:t>
      </w:r>
      <w:r w:rsidRPr="000E0F90">
        <w:rPr>
          <w:rFonts w:ascii="Arial" w:hAnsi="Arial" w:cs="Arial"/>
          <w:color w:val="000000" w:themeColor="text1"/>
        </w:rPr>
        <w:fldChar w:fldCharType="end"/>
      </w:r>
      <w:r w:rsidRPr="000E0F90">
        <w:rPr>
          <w:rFonts w:ascii="Arial" w:hAnsi="Arial" w:cs="Arial"/>
          <w:color w:val="000000" w:themeColor="text1"/>
        </w:rPr>
        <w:t>.</w:t>
      </w:r>
    </w:p>
    <w:p w:rsidR="00CC460B" w:rsidRPr="000E0F90" w:rsidRDefault="00CC460B" w:rsidP="008D6193">
      <w:pPr>
        <w:spacing w:after="0" w:line="360" w:lineRule="auto"/>
        <w:rPr>
          <w:rFonts w:ascii="Arial" w:hAnsi="Arial" w:cs="Arial"/>
          <w:b/>
          <w:i/>
          <w:color w:val="000000" w:themeColor="text1"/>
        </w:rPr>
      </w:pPr>
      <w:r w:rsidRPr="000E0F90">
        <w:rPr>
          <w:rFonts w:ascii="Arial" w:hAnsi="Arial" w:cs="Arial"/>
          <w:b/>
          <w:i/>
          <w:color w:val="000000" w:themeColor="text1"/>
        </w:rPr>
        <w:t>Independencia y desarrollo minero</w:t>
      </w:r>
    </w:p>
    <w:p w:rsidR="00CC460B" w:rsidRPr="000E0F90" w:rsidRDefault="00CC460B" w:rsidP="008D6193">
      <w:pPr>
        <w:spacing w:line="360" w:lineRule="auto"/>
        <w:rPr>
          <w:rFonts w:ascii="Arial" w:hAnsi="Arial" w:cs="Arial"/>
          <w:color w:val="000000" w:themeColor="text1"/>
        </w:rPr>
      </w:pPr>
      <w:r w:rsidRPr="000E0F90">
        <w:rPr>
          <w:rFonts w:ascii="Arial" w:hAnsi="Arial" w:cs="Arial"/>
          <w:color w:val="000000" w:themeColor="text1"/>
        </w:rPr>
        <w:t xml:space="preserve">Posterior al proceso de independencia, se refuerza la demanda de cobre a nivel mundial, en parte por la necesidad de cobre en la revolución industrial y la escasez de metal en Inglaterra estimulando el desarrollo del sector minero local (Millán, 2004). </w:t>
      </w:r>
    </w:p>
    <w:p w:rsidR="00CC460B" w:rsidRPr="000E0F90" w:rsidRDefault="00CC460B" w:rsidP="008D6193">
      <w:pPr>
        <w:spacing w:line="360" w:lineRule="auto"/>
        <w:rPr>
          <w:rFonts w:ascii="Arial" w:hAnsi="Arial" w:cs="Arial"/>
          <w:color w:val="000000" w:themeColor="text1"/>
        </w:rPr>
      </w:pPr>
      <w:r w:rsidRPr="000E0F90">
        <w:rPr>
          <w:rFonts w:ascii="Arial" w:hAnsi="Arial" w:cs="Arial"/>
          <w:color w:val="000000" w:themeColor="text1"/>
        </w:rPr>
        <w:t xml:space="preserve">Situación que se refuerza con la llegada de comerciantes indios e ingleses, los cuales desencadenaron el incremento del precio y a la vez su producción </w:t>
      </w:r>
      <w:sdt>
        <w:sdtPr>
          <w:rPr>
            <w:rFonts w:ascii="Arial" w:hAnsi="Arial" w:cs="Arial"/>
            <w:color w:val="000000" w:themeColor="text1"/>
          </w:rPr>
          <w:id w:val="1956599520"/>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Vic78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(Vicuña Mackenna, 1978)</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Además de los capitales ingleses, arriban al país, y en particular al Norte Chico, </w:t>
      </w:r>
      <w:r w:rsidRPr="000E0F90">
        <w:rPr>
          <w:rFonts w:ascii="Arial" w:hAnsi="Arial" w:cs="Arial"/>
          <w:color w:val="000000" w:themeColor="text1"/>
        </w:rPr>
        <w:lastRenderedPageBreak/>
        <w:t>metalurgistas, los que fomentan y perfeccionan fuertemente la actividad extractiva, con lo cual se incrementa la producción y a su vez el precio del metal</w:t>
      </w:r>
      <w:sdt>
        <w:sdtPr>
          <w:rPr>
            <w:rFonts w:ascii="Arial" w:hAnsi="Arial" w:cs="Arial"/>
            <w:color w:val="000000" w:themeColor="text1"/>
          </w:rPr>
          <w:id w:val="1836026619"/>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Vic78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 xml:space="preserve"> (Vicuña Mackenna, 1978)</w:t>
          </w:r>
          <w:r w:rsidRPr="000E0F90">
            <w:rPr>
              <w:rFonts w:ascii="Arial" w:hAnsi="Arial" w:cs="Arial"/>
              <w:color w:val="000000" w:themeColor="text1"/>
            </w:rPr>
            <w:fldChar w:fldCharType="end"/>
          </w:r>
        </w:sdtContent>
      </w:sdt>
      <w:r w:rsidRPr="000E0F90">
        <w:rPr>
          <w:rFonts w:ascii="Arial" w:hAnsi="Arial" w:cs="Arial"/>
          <w:color w:val="000000" w:themeColor="text1"/>
        </w:rPr>
        <w:t>. En particular, la introducción de hornos de reverbero y refina en 1830</w:t>
      </w:r>
      <w:sdt>
        <w:sdtPr>
          <w:rPr>
            <w:rFonts w:ascii="Arial" w:hAnsi="Arial" w:cs="Arial"/>
            <w:color w:val="000000" w:themeColor="text1"/>
          </w:rPr>
          <w:id w:val="-1282336897"/>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Vic78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 xml:space="preserve"> (Vicuña Mackenna, 1978)</w:t>
          </w:r>
          <w:r w:rsidRPr="000E0F90">
            <w:rPr>
              <w:rFonts w:ascii="Arial" w:hAnsi="Arial" w:cs="Arial"/>
              <w:color w:val="000000" w:themeColor="text1"/>
            </w:rPr>
            <w:fldChar w:fldCharType="end"/>
          </w:r>
        </w:sdtContent>
      </w:sdt>
      <w:r w:rsidRPr="000E0F90">
        <w:rPr>
          <w:rFonts w:ascii="Arial" w:hAnsi="Arial" w:cs="Arial"/>
          <w:color w:val="000000" w:themeColor="text1"/>
        </w:rPr>
        <w:t>. Con la introducción de las mejoras técnicas, sumado al precio del metal, el desierto de Atacama se instala como productor de cobre por excelencia</w:t>
      </w:r>
      <w:sdt>
        <w:sdtPr>
          <w:rPr>
            <w:rFonts w:ascii="Arial" w:hAnsi="Arial" w:cs="Arial"/>
            <w:color w:val="000000" w:themeColor="text1"/>
          </w:rPr>
          <w:id w:val="-1626614051"/>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Vic78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 xml:space="preserve"> (Vicuña Mackenna, 1978)</w:t>
          </w:r>
          <w:r w:rsidRPr="000E0F90">
            <w:rPr>
              <w:rFonts w:ascii="Arial" w:hAnsi="Arial" w:cs="Arial"/>
              <w:color w:val="000000" w:themeColor="text1"/>
            </w:rPr>
            <w:fldChar w:fldCharType="end"/>
          </w:r>
        </w:sdtContent>
      </w:sdt>
    </w:p>
    <w:p w:rsidR="00CC460B" w:rsidRPr="000E0F90" w:rsidRDefault="00CC460B" w:rsidP="008D6193">
      <w:pPr>
        <w:spacing w:line="360" w:lineRule="auto"/>
        <w:rPr>
          <w:rFonts w:ascii="Arial" w:hAnsi="Arial" w:cs="Arial"/>
          <w:color w:val="000000" w:themeColor="text1"/>
        </w:rPr>
      </w:pPr>
      <w:r w:rsidRPr="000E0F90">
        <w:rPr>
          <w:rFonts w:ascii="Arial" w:hAnsi="Arial" w:cs="Arial"/>
          <w:color w:val="000000" w:themeColor="text1"/>
        </w:rPr>
        <w:t xml:space="preserve">A mediados del siglo XIX, entre los años 1843 y 1873, es denominado como el auge de la minería del cobre en el Norte Chico </w:t>
      </w:r>
      <w:sdt>
        <w:sdtPr>
          <w:rPr>
            <w:rFonts w:ascii="Arial" w:hAnsi="Arial" w:cs="Arial"/>
            <w:color w:val="000000" w:themeColor="text1"/>
          </w:rPr>
          <w:id w:val="-1442214952"/>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Ort09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(Ortega, 2009)</w:t>
          </w:r>
          <w:r w:rsidRPr="000E0F90">
            <w:rPr>
              <w:rFonts w:ascii="Arial" w:hAnsi="Arial" w:cs="Arial"/>
              <w:color w:val="000000" w:themeColor="text1"/>
            </w:rPr>
            <w:fldChar w:fldCharType="end"/>
          </w:r>
        </w:sdtContent>
      </w:sdt>
      <w:r w:rsidRPr="000E0F90">
        <w:rPr>
          <w:rFonts w:ascii="Arial" w:hAnsi="Arial" w:cs="Arial"/>
          <w:color w:val="000000" w:themeColor="text1"/>
        </w:rPr>
        <w:t>. Bajo este periodo la creciente demanda externa, los altos precios del mineral, la calidad de los yacimientos y la gran oferta de mano de obra, permitieron que se gestara un gran desarrollo de la actividad extractiva en las regiones de Atacama y Coquimbo. Provincias que en su época de esplendor generaron el 80% de la producción anual. Representando en 1878 un promedio del 36% de la oferta internacional</w:t>
      </w:r>
      <w:sdt>
        <w:sdtPr>
          <w:rPr>
            <w:rFonts w:ascii="Arial" w:hAnsi="Arial" w:cs="Arial"/>
            <w:color w:val="000000" w:themeColor="text1"/>
          </w:rPr>
          <w:id w:val="-1580364189"/>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Ort09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 xml:space="preserve"> (Ortega, 2009)</w:t>
          </w:r>
          <w:r w:rsidRPr="000E0F90">
            <w:rPr>
              <w:rFonts w:ascii="Arial" w:hAnsi="Arial" w:cs="Arial"/>
              <w:color w:val="000000" w:themeColor="text1"/>
            </w:rPr>
            <w:fldChar w:fldCharType="end"/>
          </w:r>
        </w:sdtContent>
      </w:sdt>
      <w:r w:rsidRPr="000E0F90">
        <w:rPr>
          <w:rFonts w:ascii="Arial" w:hAnsi="Arial" w:cs="Arial"/>
          <w:color w:val="000000" w:themeColor="text1"/>
        </w:rPr>
        <w:t>.</w:t>
      </w:r>
    </w:p>
    <w:p w:rsidR="00CC460B" w:rsidRPr="000E0F90" w:rsidRDefault="00CC460B" w:rsidP="008D6193">
      <w:pPr>
        <w:spacing w:line="360" w:lineRule="auto"/>
        <w:rPr>
          <w:rFonts w:ascii="Arial" w:hAnsi="Arial" w:cs="Arial"/>
          <w:color w:val="000000" w:themeColor="text1"/>
        </w:rPr>
      </w:pPr>
      <w:r w:rsidRPr="000E0F90">
        <w:rPr>
          <w:rFonts w:ascii="Arial" w:hAnsi="Arial" w:cs="Arial"/>
          <w:color w:val="000000" w:themeColor="text1"/>
        </w:rPr>
        <w:t xml:space="preserve">Esta favorable situación perpetuó el sistema de extracción implementado en épocas anteriores, basado en gran cantidad de explotaciones de pequeño tamaño, manteniendo por una parte el desarrollo económico impulsado en la Colonia, el cual limitaba el tamaño de la propiedad </w:t>
      </w:r>
      <w:sdt>
        <w:sdtPr>
          <w:rPr>
            <w:rFonts w:ascii="Arial" w:hAnsi="Arial" w:cs="Arial"/>
            <w:color w:val="000000" w:themeColor="text1"/>
          </w:rPr>
          <w:id w:val="-1046293458"/>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Ort09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(Ortega, 2009)</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Donde la actividad extractiva se llevaba a cabo de forma artesanal, caracterizadas por una escasa incorporación de tecnologías (desarrollo tecnológico), y soportadas fuertemente por la mano de obra </w:t>
      </w:r>
      <w:sdt>
        <w:sdtPr>
          <w:rPr>
            <w:rFonts w:ascii="Arial" w:hAnsi="Arial" w:cs="Arial"/>
            <w:color w:val="000000" w:themeColor="text1"/>
          </w:rPr>
          <w:id w:val="-1087769812"/>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Ort09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(Ortega, 2009)</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Bajo este sistema diversas explotaciones operaban los yacimientos, lo que generaba una alta atomización y heterogeneidad en la tarea extractiva local. </w:t>
      </w:r>
    </w:p>
    <w:p w:rsidR="00CC460B" w:rsidRPr="000E0F90" w:rsidRDefault="00CC460B" w:rsidP="008D6193">
      <w:pPr>
        <w:spacing w:line="360" w:lineRule="auto"/>
        <w:rPr>
          <w:rFonts w:ascii="Arial" w:hAnsi="Arial" w:cs="Arial"/>
          <w:color w:val="000000" w:themeColor="text1"/>
        </w:rPr>
      </w:pPr>
      <w:r w:rsidRPr="000E0F90">
        <w:rPr>
          <w:rFonts w:ascii="Arial" w:hAnsi="Arial" w:cs="Arial"/>
          <w:color w:val="000000" w:themeColor="text1"/>
        </w:rPr>
        <w:t xml:space="preserve">Este auge de la minería trajo consigo el incremento de población en los diversos asentamientos asociados a la extracción. Como es el caso de Carrizal Alto, donde el desarrollo de la actividad extractiva, propició el aumento de la población, el desarrollo económico, así como la llegada de diversos servicios públicos, de salud y religiosos, realizando incluso la construcción de una plaza y un templo (Construido con recursos particulares) </w:t>
      </w:r>
      <w:sdt>
        <w:sdtPr>
          <w:rPr>
            <w:rFonts w:ascii="Arial" w:hAnsi="Arial" w:cs="Arial"/>
            <w:color w:val="000000" w:themeColor="text1"/>
          </w:rPr>
          <w:id w:val="-2029319693"/>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Ven09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(Venegas H. , 2009)</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Situación similar se evidenció en La Higuera, donde el desarrollo minero propició el desarrollo de un caserío, inicialmente, para luego pasar a formar una localidad con una iglesia, dos escuelas, registro civil, telégrafo, municipio e incluso un periódico semanal </w:t>
      </w:r>
      <w:sdt>
        <w:sdtPr>
          <w:rPr>
            <w:rFonts w:ascii="Arial" w:hAnsi="Arial" w:cs="Arial"/>
            <w:color w:val="000000" w:themeColor="text1"/>
          </w:rPr>
          <w:id w:val="669221915"/>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Lóp09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(López, 2009)</w:t>
          </w:r>
          <w:r w:rsidRPr="000E0F90">
            <w:rPr>
              <w:rFonts w:ascii="Arial" w:hAnsi="Arial" w:cs="Arial"/>
              <w:color w:val="000000" w:themeColor="text1"/>
            </w:rPr>
            <w:fldChar w:fldCharType="end"/>
          </w:r>
        </w:sdtContent>
      </w:sdt>
    </w:p>
    <w:p w:rsidR="00CC460B" w:rsidRPr="000E0F90" w:rsidRDefault="00CC460B" w:rsidP="008D6193">
      <w:pPr>
        <w:tabs>
          <w:tab w:val="left" w:pos="6946"/>
        </w:tabs>
        <w:spacing w:line="360" w:lineRule="auto"/>
        <w:rPr>
          <w:rFonts w:ascii="Arial" w:hAnsi="Arial" w:cs="Arial"/>
          <w:color w:val="000000" w:themeColor="text1"/>
        </w:rPr>
      </w:pPr>
      <w:r w:rsidRPr="000E0F90">
        <w:rPr>
          <w:rFonts w:ascii="Arial" w:hAnsi="Arial" w:cs="Arial"/>
          <w:color w:val="000000" w:themeColor="text1"/>
        </w:rPr>
        <w:lastRenderedPageBreak/>
        <w:t>La llegada de servicios asociados a la actividad, como pulperías, sastrerías, boticas, panaderías, herrerías, cigarrerías, cafeterías, fondas, barberías, fábricas de carretones, imprenta, casas de empeño, hojalatería y carpinterías, como lo señala Hernán Venegas en su relato histórico</w:t>
      </w:r>
      <w:sdt>
        <w:sdtPr>
          <w:rPr>
            <w:rFonts w:ascii="Arial" w:hAnsi="Arial" w:cs="Arial"/>
            <w:color w:val="000000" w:themeColor="text1"/>
          </w:rPr>
          <w:id w:val="994073041"/>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Ven09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 xml:space="preserve"> (Venegas H. , 2009)</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es otro efecto del pujante desarrollo minero. </w:t>
      </w:r>
    </w:p>
    <w:p w:rsidR="00CC460B" w:rsidRPr="000E0F90" w:rsidRDefault="00CC460B" w:rsidP="008D6193">
      <w:pPr>
        <w:tabs>
          <w:tab w:val="left" w:pos="6946"/>
        </w:tabs>
        <w:spacing w:line="360" w:lineRule="auto"/>
        <w:rPr>
          <w:rFonts w:ascii="Arial" w:hAnsi="Arial" w:cs="Arial"/>
          <w:color w:val="000000" w:themeColor="text1"/>
        </w:rPr>
      </w:pPr>
      <w:r w:rsidRPr="000E0F90">
        <w:rPr>
          <w:rFonts w:ascii="Arial" w:hAnsi="Arial" w:cs="Arial"/>
          <w:color w:val="000000" w:themeColor="text1"/>
        </w:rPr>
        <w:t xml:space="preserve">En el ámbito rural, se observó también la llegada de hacendados que suministraban insumos, como animales y madera para las labores, y alimentos. Convirtiéndose la minería en un impulsor de asentamientos agrícolas, e incluso asentamientos agrícolas-mineros </w:t>
      </w:r>
      <w:sdt>
        <w:sdtPr>
          <w:rPr>
            <w:rFonts w:ascii="Arial" w:hAnsi="Arial" w:cs="Arial"/>
            <w:color w:val="000000" w:themeColor="text1"/>
          </w:rPr>
          <w:id w:val="1406795358"/>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Ort09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(Ortega, 2009)</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Cabe señalar que en conjunto con la actividad extractiva la actividad agrícola se desarrollaba principalmente en la provincia de Coquimbo </w:t>
      </w:r>
      <w:sdt>
        <w:sdtPr>
          <w:rPr>
            <w:rFonts w:ascii="Arial" w:hAnsi="Arial" w:cs="Arial"/>
            <w:color w:val="000000" w:themeColor="text1"/>
          </w:rPr>
          <w:id w:val="-463278180"/>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Vic78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(Vicuña Mackenna, 1978)</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Esto conlleva al descubrimiento de tierras al interior del valle generando una expansión de la actividad agrícola y ganadera en el territorio </w:t>
      </w:r>
      <w:sdt>
        <w:sdtPr>
          <w:rPr>
            <w:rFonts w:ascii="Arial" w:hAnsi="Arial" w:cs="Arial"/>
            <w:color w:val="000000" w:themeColor="text1"/>
          </w:rPr>
          <w:id w:val="215945983"/>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Din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(Cortés, 2003)</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Esta fuerte demanda por productos agrícolas, conlleva el aumento de la superficie cultivable, la canalización de ríos y la incorporación de tecnologías, estimulando un desarrollo netamente minero-agrícola en la región </w:t>
      </w:r>
      <w:sdt>
        <w:sdtPr>
          <w:rPr>
            <w:rFonts w:ascii="Arial" w:hAnsi="Arial" w:cs="Arial"/>
            <w:color w:val="000000" w:themeColor="text1"/>
          </w:rPr>
          <w:id w:val="1205608294"/>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Din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(Cortés, 2003)</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w:t>
      </w:r>
    </w:p>
    <w:p w:rsidR="00CC460B" w:rsidRPr="000E0F90" w:rsidRDefault="007730D3" w:rsidP="008D6193">
      <w:pPr>
        <w:spacing w:line="360" w:lineRule="auto"/>
        <w:rPr>
          <w:rFonts w:ascii="Arial" w:hAnsi="Arial" w:cs="Arial"/>
          <w:color w:val="000000" w:themeColor="text1"/>
        </w:rPr>
      </w:pPr>
      <w:r w:rsidRPr="000E0F90">
        <w:rPr>
          <w:rFonts w:ascii="Arial" w:hAnsi="Arial" w:cs="Arial"/>
          <w:color w:val="000000" w:themeColor="text1"/>
        </w:rPr>
        <w:t>P</w:t>
      </w:r>
      <w:r w:rsidR="00CC460B" w:rsidRPr="000E0F90">
        <w:rPr>
          <w:rFonts w:ascii="Arial" w:hAnsi="Arial" w:cs="Arial"/>
          <w:color w:val="000000" w:themeColor="text1"/>
        </w:rPr>
        <w:t xml:space="preserve">ara llevar a cabo la fundición del mineral en el Norte Chico, se extrajo una gran cantidad de madera proveniente de la cubierta vegetación local, para ser utilizada como combustible de la fundición, lo que provocó la intensa deforestación del territorio. Esta tala se habría iniciado en la parte septentrional del territorio, continuando hacia el extremo austral y en algunos sectores fue de tal magnitud que la disponibilidad de leña declinó completamente, cambiando el paisaje local de forma </w:t>
      </w:r>
      <w:r w:rsidR="00F35AF7" w:rsidRPr="000E0F90">
        <w:rPr>
          <w:rFonts w:ascii="Arial" w:hAnsi="Arial" w:cs="Arial"/>
          <w:color w:val="000000" w:themeColor="text1"/>
        </w:rPr>
        <w:t>irreversible</w:t>
      </w:r>
      <w:r w:rsidR="00CC460B" w:rsidRPr="000E0F90">
        <w:rPr>
          <w:rFonts w:ascii="Arial" w:hAnsi="Arial" w:cs="Arial"/>
          <w:color w:val="000000" w:themeColor="text1"/>
        </w:rPr>
        <w:t xml:space="preserve"> </w:t>
      </w:r>
      <w:r w:rsidR="00CC460B" w:rsidRPr="000E0F90">
        <w:rPr>
          <w:rFonts w:ascii="Arial" w:hAnsi="Arial" w:cs="Arial"/>
          <w:color w:val="000000" w:themeColor="text1"/>
        </w:rPr>
        <w:fldChar w:fldCharType="begin" w:fldLock="1"/>
      </w:r>
      <w:r w:rsidR="00CC460B" w:rsidRPr="000E0F90">
        <w:rPr>
          <w:rFonts w:ascii="Arial" w:hAnsi="Arial" w:cs="Arial"/>
          <w:color w:val="000000" w:themeColor="text1"/>
        </w:rPr>
        <w:instrText>ADDIN CSL_CITATION { "citationItems" : [ { "id" : "ITEM-1", "itemData" : { "author" : [ { "dropping-particle" : "", "family" : "Folchi", "given" : "Mauricio", "non-dropping-particle" : "", "parse-names" : false, "suffix" : "" } ], "container-title" : "Revista Mapocho", "id" : "ITEM-1", "issued" : { "date-parts" : [ [ "2001" ] ] }, "page" : "149-175", "title" : "La Insustentabilidad De La Industria Del Cobre En Chile : Los Hornos Y Los Bosques", "type" : "article-journal", "volume" : "49" }, "uris" : [ "http://www.mendeley.com/documents/?uuid=b6a1466b-c8ad-4ecf-aaf3-d0ee3c41cd6e" ] } ], "mendeley" : { "formattedCitation" : "(Folchi, 2001)", "plainTextFormattedCitation" : "(Folchi, 2001)", "previouslyFormattedCitation" : "(Folchi, 2001)" }, "properties" : { "noteIndex" : 0 }, "schema" : "https://github.com/citation-style-language/schema/raw/master/csl-citation.json" }</w:instrText>
      </w:r>
      <w:r w:rsidR="00CC460B" w:rsidRPr="000E0F90">
        <w:rPr>
          <w:rFonts w:ascii="Arial" w:hAnsi="Arial" w:cs="Arial"/>
          <w:color w:val="000000" w:themeColor="text1"/>
        </w:rPr>
        <w:fldChar w:fldCharType="separate"/>
      </w:r>
      <w:r w:rsidR="00CC460B" w:rsidRPr="000E0F90">
        <w:rPr>
          <w:rFonts w:ascii="Arial" w:hAnsi="Arial" w:cs="Arial"/>
          <w:noProof/>
          <w:color w:val="000000" w:themeColor="text1"/>
        </w:rPr>
        <w:t>(Folchi, 2001)</w:t>
      </w:r>
      <w:r w:rsidR="00CC460B" w:rsidRPr="000E0F90">
        <w:rPr>
          <w:rFonts w:ascii="Arial" w:hAnsi="Arial" w:cs="Arial"/>
          <w:color w:val="000000" w:themeColor="text1"/>
        </w:rPr>
        <w:fldChar w:fldCharType="end"/>
      </w:r>
      <w:r w:rsidR="00CC460B" w:rsidRPr="000E0F90">
        <w:rPr>
          <w:rFonts w:ascii="Arial" w:hAnsi="Arial" w:cs="Arial"/>
          <w:color w:val="000000" w:themeColor="text1"/>
        </w:rPr>
        <w:t xml:space="preserve">. </w:t>
      </w:r>
    </w:p>
    <w:p w:rsidR="00CC460B" w:rsidRPr="000E0F90" w:rsidRDefault="007730D3" w:rsidP="008D6193">
      <w:pPr>
        <w:tabs>
          <w:tab w:val="left" w:pos="6946"/>
        </w:tabs>
        <w:spacing w:line="360" w:lineRule="auto"/>
        <w:rPr>
          <w:rFonts w:ascii="Arial" w:hAnsi="Arial" w:cs="Arial"/>
          <w:color w:val="000000" w:themeColor="text1"/>
        </w:rPr>
      </w:pPr>
      <w:r w:rsidRPr="000E0F90">
        <w:rPr>
          <w:rFonts w:ascii="Arial" w:hAnsi="Arial" w:cs="Arial"/>
          <w:color w:val="000000" w:themeColor="text1"/>
        </w:rPr>
        <w:t xml:space="preserve">Describiéndose </w:t>
      </w:r>
      <w:r w:rsidR="00CC460B" w:rsidRPr="000E0F90">
        <w:rPr>
          <w:rFonts w:ascii="Arial" w:hAnsi="Arial" w:cs="Arial"/>
          <w:color w:val="000000" w:themeColor="text1"/>
        </w:rPr>
        <w:t xml:space="preserve">diversas especies arbustivas que podrían haber existido en los territorios mineros, y que posteriormente fueron taladas para la generación de leña y carbón </w:t>
      </w:r>
      <w:r w:rsidR="00CC460B" w:rsidRPr="000E0F90">
        <w:rPr>
          <w:rFonts w:ascii="Arial" w:hAnsi="Arial" w:cs="Arial"/>
          <w:color w:val="000000" w:themeColor="text1"/>
        </w:rPr>
        <w:fldChar w:fldCharType="begin" w:fldLock="1"/>
      </w:r>
      <w:r w:rsidR="00CC460B" w:rsidRPr="000E0F90">
        <w:rPr>
          <w:rFonts w:ascii="Arial" w:hAnsi="Arial" w:cs="Arial"/>
          <w:color w:val="000000" w:themeColor="text1"/>
        </w:rPr>
        <w:instrText>ADDIN CSL_CITATION { "citationItems" : [ { "id" : "ITEM-1", "itemData" : { "author" : [ { "dropping-particle" : "", "family" : "Folchi", "given" : "Mauricio", "non-dropping-particle" : "", "parse-names" : false, "suffix" : "" } ], "container-title" : "Revista Mapocho", "id" : "ITEM-1", "issued" : { "date-parts" : [ [ "2001" ] ] }, "page" : "149-175", "title" : "La Insustentabilidad De La Industria Del Cobre En Chile : Los Hornos Y Los Bosques", "type" : "article-journal", "volume" : "49" }, "uris" : [ "http://www.mendeley.com/documents/?uuid=b6a1466b-c8ad-4ecf-aaf3-d0ee3c41cd6e" ] } ], "mendeley" : { "formattedCitation" : "(Folchi, 2001)", "plainTextFormattedCitation" : "(Folchi, 2001)", "previouslyFormattedCitation" : "(Folchi, 2001)" }, "properties" : { "noteIndex" : 0 }, "schema" : "https://github.com/citation-style-language/schema/raw/master/csl-citation.json" }</w:instrText>
      </w:r>
      <w:r w:rsidR="00CC460B" w:rsidRPr="000E0F90">
        <w:rPr>
          <w:rFonts w:ascii="Arial" w:hAnsi="Arial" w:cs="Arial"/>
          <w:color w:val="000000" w:themeColor="text1"/>
        </w:rPr>
        <w:fldChar w:fldCharType="separate"/>
      </w:r>
      <w:r w:rsidR="00CC460B" w:rsidRPr="000E0F90">
        <w:rPr>
          <w:rFonts w:ascii="Arial" w:hAnsi="Arial" w:cs="Arial"/>
          <w:noProof/>
          <w:color w:val="000000" w:themeColor="text1"/>
        </w:rPr>
        <w:t>(Folchi, 2001)</w:t>
      </w:r>
      <w:r w:rsidR="00CC460B" w:rsidRPr="000E0F90">
        <w:rPr>
          <w:rFonts w:ascii="Arial" w:hAnsi="Arial" w:cs="Arial"/>
          <w:color w:val="000000" w:themeColor="text1"/>
        </w:rPr>
        <w:fldChar w:fldCharType="end"/>
      </w:r>
      <w:r w:rsidRPr="000E0F90">
        <w:rPr>
          <w:rFonts w:ascii="Arial" w:hAnsi="Arial" w:cs="Arial"/>
          <w:color w:val="000000" w:themeColor="text1"/>
        </w:rPr>
        <w:t>. Como</w:t>
      </w:r>
      <w:r w:rsidR="00CC460B" w:rsidRPr="000E0F90">
        <w:rPr>
          <w:rFonts w:ascii="Arial" w:hAnsi="Arial" w:cs="Arial"/>
          <w:color w:val="000000" w:themeColor="text1"/>
        </w:rPr>
        <w:t xml:space="preserve"> mirtos y arrayanes</w:t>
      </w:r>
      <w:r w:rsidRPr="000E0F90">
        <w:rPr>
          <w:rFonts w:ascii="Arial" w:hAnsi="Arial" w:cs="Arial"/>
          <w:color w:val="000000" w:themeColor="text1"/>
        </w:rPr>
        <w:t>, en el sector litoral del norte</w:t>
      </w:r>
      <w:r w:rsidR="00CC460B" w:rsidRPr="000E0F90">
        <w:rPr>
          <w:rFonts w:ascii="Arial" w:hAnsi="Arial" w:cs="Arial"/>
          <w:color w:val="000000" w:themeColor="text1"/>
        </w:rPr>
        <w:t xml:space="preserve">, </w:t>
      </w:r>
      <w:r w:rsidRPr="000E0F90">
        <w:rPr>
          <w:rFonts w:ascii="Arial" w:hAnsi="Arial" w:cs="Arial"/>
          <w:color w:val="000000" w:themeColor="text1"/>
        </w:rPr>
        <w:t xml:space="preserve">Algarrobos y boldos, </w:t>
      </w:r>
      <w:r w:rsidR="00CC460B" w:rsidRPr="000E0F90">
        <w:rPr>
          <w:rFonts w:ascii="Arial" w:hAnsi="Arial" w:cs="Arial"/>
          <w:color w:val="000000" w:themeColor="text1"/>
        </w:rPr>
        <w:t>hacia el centro del litoral, y hacia el sur el belloto</w:t>
      </w:r>
      <w:r w:rsidRPr="000E0F90">
        <w:rPr>
          <w:rFonts w:ascii="Arial" w:hAnsi="Arial" w:cs="Arial"/>
          <w:color w:val="000000" w:themeColor="text1"/>
        </w:rPr>
        <w:t>;</w:t>
      </w:r>
      <w:r w:rsidR="00CC460B" w:rsidRPr="000E0F90">
        <w:rPr>
          <w:rFonts w:ascii="Arial" w:hAnsi="Arial" w:cs="Arial"/>
          <w:color w:val="000000" w:themeColor="text1"/>
        </w:rPr>
        <w:t xml:space="preserve"> y en zonas más pantanosas el canelo, patagua, maqui y arrayanes. En el interior de los valles del norte (Copiapó) se mencionan chañares, algarrobos, espinos y olivillos, describiéndose más al sur quillayes, peumos y litres. En las zonas cordilleranas se mencionan espinos, litres, algarrobos los cuales se presentaban con un desarrollo achaparrado, además de cactáceas </w:t>
      </w:r>
      <w:r w:rsidR="00CC460B" w:rsidRPr="000E0F90">
        <w:rPr>
          <w:rFonts w:ascii="Arial" w:hAnsi="Arial" w:cs="Arial"/>
          <w:color w:val="000000" w:themeColor="text1"/>
        </w:rPr>
        <w:fldChar w:fldCharType="begin" w:fldLock="1"/>
      </w:r>
      <w:r w:rsidR="00CC460B" w:rsidRPr="000E0F90">
        <w:rPr>
          <w:rFonts w:ascii="Arial" w:hAnsi="Arial" w:cs="Arial"/>
          <w:color w:val="000000" w:themeColor="text1"/>
        </w:rPr>
        <w:instrText>ADDIN CSL_CITATION { "citationItems" : [ { "id" : "ITEM-1", "itemData" : { "author" : [ { "dropping-particle" : "", "family" : "Folchi", "given" : "Mauricio", "non-dropping-particle" : "", "parse-names" : false, "suffix" : "" } ], "container-title" : "Revista Mapocho", "id" : "ITEM-1", "issued" : { "date-parts" : [ [ "2001" ] ] }, "page" : "149-175", "title" : "La Insustentabilidad De La Industria Del Cobre En Chile : Los Hornos Y Los Bosques", "type" : "article-journal", "volume" : "49" }, "uris" : [ "http://www.mendeley.com/documents/?uuid=b6a1466b-c8ad-4ecf-aaf3-d0ee3c41cd6e" ] } ], "mendeley" : { "formattedCitation" : "(Folchi, 2001)", "plainTextFormattedCitation" : "(Folchi, 2001)", "previouslyFormattedCitation" : "(Folchi, 2001)" }, "properties" : { "noteIndex" : 0 }, "schema" : "https://github.com/citation-style-language/schema/raw/master/csl-citation.json" }</w:instrText>
      </w:r>
      <w:r w:rsidR="00CC460B" w:rsidRPr="000E0F90">
        <w:rPr>
          <w:rFonts w:ascii="Arial" w:hAnsi="Arial" w:cs="Arial"/>
          <w:color w:val="000000" w:themeColor="text1"/>
        </w:rPr>
        <w:fldChar w:fldCharType="separate"/>
      </w:r>
      <w:r w:rsidR="00CC460B" w:rsidRPr="000E0F90">
        <w:rPr>
          <w:rFonts w:ascii="Arial" w:hAnsi="Arial" w:cs="Arial"/>
          <w:noProof/>
          <w:color w:val="000000" w:themeColor="text1"/>
        </w:rPr>
        <w:t>(Folchi, 2001)</w:t>
      </w:r>
      <w:r w:rsidR="00CC460B" w:rsidRPr="000E0F90">
        <w:rPr>
          <w:rFonts w:ascii="Arial" w:hAnsi="Arial" w:cs="Arial"/>
          <w:color w:val="000000" w:themeColor="text1"/>
        </w:rPr>
        <w:fldChar w:fldCharType="end"/>
      </w:r>
      <w:r w:rsidR="00CC460B" w:rsidRPr="000E0F90">
        <w:rPr>
          <w:rFonts w:ascii="Arial" w:hAnsi="Arial" w:cs="Arial"/>
          <w:color w:val="000000" w:themeColor="text1"/>
        </w:rPr>
        <w:t>.</w:t>
      </w:r>
    </w:p>
    <w:p w:rsidR="00CC460B" w:rsidRPr="000E0F90" w:rsidRDefault="00CC460B" w:rsidP="008D6193">
      <w:pPr>
        <w:spacing w:line="360" w:lineRule="auto"/>
        <w:rPr>
          <w:rFonts w:ascii="Arial" w:hAnsi="Arial" w:cs="Arial"/>
          <w:color w:val="000000" w:themeColor="text1"/>
        </w:rPr>
      </w:pPr>
      <w:r w:rsidRPr="000E0F90">
        <w:rPr>
          <w:rFonts w:ascii="Arial" w:hAnsi="Arial" w:cs="Arial"/>
          <w:color w:val="000000" w:themeColor="text1"/>
        </w:rPr>
        <w:lastRenderedPageBreak/>
        <w:t xml:space="preserve">El auge de la minería, si bien genero importantes riquezas, éstas fueron escasamente reinvertidas en al ámbito local, como señala </w:t>
      </w:r>
      <w:sdt>
        <w:sdtPr>
          <w:rPr>
            <w:rFonts w:ascii="Arial" w:hAnsi="Arial" w:cs="Arial"/>
            <w:color w:val="000000" w:themeColor="text1"/>
          </w:rPr>
          <w:id w:val="1678006296"/>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Ort09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(Ortega, 2009)</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se realizaron mínimas modernizaciones a la actividad, así como un limitado desarrollo de mercados materias primas y de bienes de consumo lo que trajo consigo un magro desarrollo local. Trasladándose la riqueza hacia la zona central del país, las cuales contribuyeron a la construcción del estado nación. Salvo en casos excepcionales, las riquezas de la minería se invertía en las localidades, pero siempre de manos de privados, como lo hizo José Tomas Urmeneta en la construcción del tren de Tongoy a Tamaya o el caso menos conocido de Federico Varela, el cual con los beneficios de la mina El Salado construyó la escuela democrática y el hospital </w:t>
      </w:r>
      <w:sdt>
        <w:sdtPr>
          <w:rPr>
            <w:rFonts w:ascii="Arial" w:hAnsi="Arial" w:cs="Arial"/>
            <w:color w:val="000000" w:themeColor="text1"/>
          </w:rPr>
          <w:id w:val="65162757"/>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Vic78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(Vicuña Mackenna, 1978)</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w:t>
      </w:r>
    </w:p>
    <w:p w:rsidR="00CC460B" w:rsidRPr="000E0F90" w:rsidRDefault="00CC460B" w:rsidP="008D6193">
      <w:pPr>
        <w:spacing w:after="0" w:line="360" w:lineRule="auto"/>
        <w:rPr>
          <w:rFonts w:ascii="Arial" w:hAnsi="Arial" w:cs="Arial"/>
          <w:b/>
          <w:i/>
          <w:color w:val="000000" w:themeColor="text1"/>
        </w:rPr>
      </w:pPr>
      <w:r w:rsidRPr="000E0F90">
        <w:rPr>
          <w:rFonts w:ascii="Arial" w:hAnsi="Arial" w:cs="Arial"/>
          <w:b/>
          <w:i/>
          <w:color w:val="000000" w:themeColor="text1"/>
        </w:rPr>
        <w:t xml:space="preserve">Crisis y Decadencia de minería </w:t>
      </w:r>
    </w:p>
    <w:p w:rsidR="00CC460B" w:rsidRPr="000E0F90" w:rsidRDefault="00CC460B" w:rsidP="008D6193">
      <w:pPr>
        <w:spacing w:line="360" w:lineRule="auto"/>
        <w:rPr>
          <w:rFonts w:ascii="Arial" w:hAnsi="Arial" w:cs="Arial"/>
          <w:color w:val="000000" w:themeColor="text1"/>
        </w:rPr>
      </w:pPr>
      <w:r w:rsidRPr="000E0F90">
        <w:rPr>
          <w:rFonts w:ascii="Arial" w:hAnsi="Arial" w:cs="Arial"/>
          <w:color w:val="000000" w:themeColor="text1"/>
        </w:rPr>
        <w:t>Posterior a este período de auge, a raíz de una fuerte y constante caída de los precios internacionales del metal, se instaura un período de crisis y decadencia del sector minero del Norte Chico. En parte debido a la incorporación de nuevos oferentes al mercado, como fue Estados Unidos, España, Portugal y Japón que contaban con un mayor desarrollo tecnológico y economías de escala que les permitían ser competitivos a menores precios del metal</w:t>
      </w:r>
      <w:sdt>
        <w:sdtPr>
          <w:rPr>
            <w:rFonts w:ascii="Arial" w:hAnsi="Arial" w:cs="Arial"/>
            <w:color w:val="000000" w:themeColor="text1"/>
          </w:rPr>
          <w:id w:val="-592772331"/>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Ort09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 xml:space="preserve"> (Ortega, 2009)</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(Millán, 2004). Posicionando a Chile, en el tercer lugar, en relación a la calidad de metal, ostentando Estados Unidos y Australia, el primero y segundo, respectivamente  (Millán, 2004).</w:t>
      </w:r>
    </w:p>
    <w:p w:rsidR="00CC460B" w:rsidRPr="000E0F90" w:rsidRDefault="00CC460B" w:rsidP="008D6193">
      <w:pPr>
        <w:spacing w:line="360" w:lineRule="auto"/>
        <w:rPr>
          <w:rFonts w:ascii="Arial" w:hAnsi="Arial" w:cs="Arial"/>
          <w:color w:val="000000" w:themeColor="text1"/>
        </w:rPr>
      </w:pPr>
      <w:r w:rsidRPr="000E0F90">
        <w:rPr>
          <w:rFonts w:ascii="Arial" w:hAnsi="Arial" w:cs="Arial"/>
          <w:color w:val="000000" w:themeColor="text1"/>
        </w:rPr>
        <w:t xml:space="preserve">A diferencia del escenario internacional, el sector minero local mostraba escasos avances tecnológicos, con elevados costos de producción, provenientes de la mano de obra, la reducción de reservas de alta ley de mineral y del transporte y el carbón, entre otros factores. Lo cual, sumado a las características propias del sector, minería de pequeña y mediana escala, muy atomizada, sin integración de procesos productivos ni asociaciones. Es incapaz de sobrepasar, desencadenando en una crisis que afectó seriamente al sector minero del Norte Chico </w:t>
      </w:r>
      <w:sdt>
        <w:sdtPr>
          <w:rPr>
            <w:rFonts w:ascii="Arial" w:hAnsi="Arial" w:cs="Arial"/>
            <w:color w:val="000000" w:themeColor="text1"/>
          </w:rPr>
          <w:id w:val="-967040957"/>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Ort09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(Ortega, 2009)</w:t>
          </w:r>
          <w:r w:rsidRPr="000E0F90">
            <w:rPr>
              <w:rFonts w:ascii="Arial" w:hAnsi="Arial" w:cs="Arial"/>
              <w:color w:val="000000" w:themeColor="text1"/>
            </w:rPr>
            <w:fldChar w:fldCharType="end"/>
          </w:r>
        </w:sdtContent>
      </w:sdt>
      <w:sdt>
        <w:sdtPr>
          <w:rPr>
            <w:rFonts w:ascii="Arial" w:hAnsi="Arial" w:cs="Arial"/>
            <w:color w:val="000000" w:themeColor="text1"/>
          </w:rPr>
          <w:id w:val="-886876338"/>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Ven09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 xml:space="preserve"> (Venegas H. , 2009)</w:t>
          </w:r>
          <w:r w:rsidRPr="000E0F90">
            <w:rPr>
              <w:rFonts w:ascii="Arial" w:hAnsi="Arial" w:cs="Arial"/>
              <w:color w:val="000000" w:themeColor="text1"/>
            </w:rPr>
            <w:fldChar w:fldCharType="end"/>
          </w:r>
        </w:sdtContent>
      </w:sdt>
      <w:r w:rsidR="00EB25B0" w:rsidRPr="000E0F90">
        <w:rPr>
          <w:rFonts w:ascii="Arial" w:hAnsi="Arial" w:cs="Arial"/>
          <w:color w:val="000000" w:themeColor="text1"/>
        </w:rPr>
        <w:t xml:space="preserve">. </w:t>
      </w:r>
    </w:p>
    <w:p w:rsidR="00CC460B" w:rsidRPr="000E0F90" w:rsidRDefault="00CC460B" w:rsidP="008D6193">
      <w:pPr>
        <w:spacing w:line="360" w:lineRule="auto"/>
        <w:rPr>
          <w:rFonts w:ascii="Arial" w:hAnsi="Arial" w:cs="Arial"/>
          <w:color w:val="000000" w:themeColor="text1"/>
        </w:rPr>
      </w:pPr>
      <w:r w:rsidRPr="000E0F90">
        <w:rPr>
          <w:rFonts w:ascii="Arial" w:hAnsi="Arial" w:cs="Arial"/>
          <w:color w:val="000000" w:themeColor="text1"/>
        </w:rPr>
        <w:t>Esta situación adversa, desencadena en una reducción paulatina de la producción de cobre en las provincias de Atacama y Coquimbo, con el consiguiente cierre y abandono de numerosas faenas mineras (en la década de 1980), situación que no logra ser revertida en los años posteriores</w:t>
      </w:r>
      <w:sdt>
        <w:sdtPr>
          <w:rPr>
            <w:rFonts w:ascii="Arial" w:hAnsi="Arial" w:cs="Arial"/>
            <w:color w:val="000000" w:themeColor="text1"/>
          </w:rPr>
          <w:id w:val="833339733"/>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Ort09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 xml:space="preserve"> (Ortega, 2009)</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w:t>
      </w:r>
    </w:p>
    <w:p w:rsidR="00CC460B" w:rsidRPr="000E0F90" w:rsidRDefault="00CC460B" w:rsidP="008D6193">
      <w:pPr>
        <w:spacing w:line="360" w:lineRule="auto"/>
        <w:rPr>
          <w:rFonts w:ascii="Arial" w:hAnsi="Arial" w:cs="Arial"/>
          <w:color w:val="000000" w:themeColor="text1"/>
        </w:rPr>
      </w:pPr>
      <w:r w:rsidRPr="000E0F90">
        <w:rPr>
          <w:rFonts w:ascii="Arial" w:hAnsi="Arial" w:cs="Arial"/>
          <w:color w:val="000000" w:themeColor="text1"/>
        </w:rPr>
        <w:lastRenderedPageBreak/>
        <w:t xml:space="preserve">Este periodo de crisis de la actividad minera, provoco efectos en al ámbito demográfico local, por una parte la migración de los trabajadores hacia otros yacimientos con condiciones más favorables para sobrevivir, como el salitre y la plata; y hacia otros sectores productivos más estables, como es el caso de la agricultura </w:t>
      </w:r>
      <w:sdt>
        <w:sdtPr>
          <w:rPr>
            <w:rFonts w:ascii="Arial" w:hAnsi="Arial" w:cs="Arial"/>
            <w:color w:val="000000" w:themeColor="text1"/>
          </w:rPr>
          <w:id w:val="-1266381005"/>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CITATION Ven09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(Venegas H. , 2009)</w:t>
          </w:r>
          <w:r w:rsidRPr="000E0F90">
            <w:rPr>
              <w:rFonts w:ascii="Arial" w:hAnsi="Arial" w:cs="Arial"/>
              <w:color w:val="000000" w:themeColor="text1"/>
            </w:rPr>
            <w:fldChar w:fldCharType="end"/>
          </w:r>
        </w:sdtContent>
      </w:sdt>
      <w:sdt>
        <w:sdtPr>
          <w:rPr>
            <w:rFonts w:ascii="Arial" w:hAnsi="Arial" w:cs="Arial"/>
            <w:color w:val="000000" w:themeColor="text1"/>
          </w:rPr>
          <w:id w:val="1186792780"/>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Ort09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 xml:space="preserve"> (Ortega, 2009)</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w:t>
      </w:r>
      <w:sdt>
        <w:sdtPr>
          <w:rPr>
            <w:rFonts w:ascii="Arial" w:hAnsi="Arial" w:cs="Arial"/>
            <w:color w:val="000000" w:themeColor="text1"/>
          </w:rPr>
          <w:id w:val="992229013"/>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Lóp09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(López, 2009)</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Es así como en este periodo se observan importantes despoblamientos de villas y aldeas aledañas a las faenas mineras, como es el caso de Carrizal Alto, La Higuera </w:t>
      </w:r>
      <w:sdt>
        <w:sdtPr>
          <w:rPr>
            <w:rFonts w:ascii="Arial" w:hAnsi="Arial" w:cs="Arial"/>
            <w:color w:val="000000" w:themeColor="text1"/>
          </w:rPr>
          <w:id w:val="-1141268043"/>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Ven09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(Venegas H. , 2009)</w:t>
          </w:r>
          <w:r w:rsidRPr="000E0F90">
            <w:rPr>
              <w:rFonts w:ascii="Arial" w:hAnsi="Arial" w:cs="Arial"/>
              <w:color w:val="000000" w:themeColor="text1"/>
            </w:rPr>
            <w:fldChar w:fldCharType="end"/>
          </w:r>
        </w:sdtContent>
      </w:sdt>
      <w:sdt>
        <w:sdtPr>
          <w:rPr>
            <w:rFonts w:ascii="Arial" w:hAnsi="Arial" w:cs="Arial"/>
            <w:color w:val="000000" w:themeColor="text1"/>
          </w:rPr>
          <w:id w:val="-148674468"/>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Lóp09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 xml:space="preserve"> (López, 2009)</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w:t>
      </w:r>
    </w:p>
    <w:p w:rsidR="00CC460B" w:rsidRPr="000E0F90" w:rsidRDefault="00CC460B" w:rsidP="008D6193">
      <w:pPr>
        <w:spacing w:line="360" w:lineRule="auto"/>
        <w:rPr>
          <w:rFonts w:ascii="Arial" w:hAnsi="Arial" w:cs="Arial"/>
          <w:color w:val="000000" w:themeColor="text1"/>
        </w:rPr>
      </w:pPr>
      <w:r w:rsidRPr="000E0F90">
        <w:rPr>
          <w:rFonts w:ascii="Arial" w:hAnsi="Arial" w:cs="Arial"/>
          <w:color w:val="000000" w:themeColor="text1"/>
        </w:rPr>
        <w:t>Cabe señalar que la actividad minera del norte se caracterizó por la trashumancia y desplazamiento de pobladores asociados a la minería, en busca de mejores condiciones laborales o por agotamiento natural de los yacimientos, lo cual influye en los procesos de territorialización (Rubio, 2009)</w:t>
      </w:r>
    </w:p>
    <w:p w:rsidR="00CC460B" w:rsidRPr="000E0F90" w:rsidRDefault="00CC460B" w:rsidP="008D6193">
      <w:pPr>
        <w:spacing w:line="360" w:lineRule="auto"/>
        <w:rPr>
          <w:rFonts w:ascii="Arial" w:hAnsi="Arial" w:cs="Arial"/>
          <w:color w:val="000000" w:themeColor="text1"/>
        </w:rPr>
      </w:pPr>
      <w:r w:rsidRPr="000E0F90">
        <w:rPr>
          <w:rFonts w:ascii="Arial" w:hAnsi="Arial" w:cs="Arial"/>
          <w:color w:val="000000" w:themeColor="text1"/>
        </w:rPr>
        <w:t>Sin duda esta situación provoco cambios profundos y complejos, por una parte el deterioro económico de las provincias, producto del freno el desarrollo de los mercados locales,</w:t>
      </w:r>
      <w:r w:rsidR="007730D3" w:rsidRPr="000E0F90">
        <w:rPr>
          <w:rFonts w:ascii="Arial" w:hAnsi="Arial" w:cs="Arial"/>
          <w:color w:val="000000" w:themeColor="text1"/>
        </w:rPr>
        <w:t xml:space="preserve"> complementarios a la minería. </w:t>
      </w:r>
      <w:r w:rsidRPr="000E0F90">
        <w:rPr>
          <w:rFonts w:ascii="Arial" w:hAnsi="Arial" w:cs="Arial"/>
          <w:color w:val="000000" w:themeColor="text1"/>
        </w:rPr>
        <w:t xml:space="preserve">Dejando al descubierto la escasa inversión en el desarrollo local, como es el caso de Coquimbo, ciudad que a pesar de los vínculos de la región con los mercados internacionales, no logra fortalecer a la industria local de forma que pudiese enfrentar la crisis imperante, con lo cual ocurre un retroceso hacia las formas tradicionales de desarrollo, como es la agricultura </w:t>
      </w:r>
      <w:sdt>
        <w:sdtPr>
          <w:rPr>
            <w:rFonts w:ascii="Arial" w:hAnsi="Arial" w:cs="Arial"/>
            <w:color w:val="000000" w:themeColor="text1"/>
          </w:rPr>
          <w:id w:val="835345523"/>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Ort09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(Ortega, 2009)</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En palabras de Patricio Cerda, las regiones mineras son incapaces de eludir el modelo primario exportador </w:t>
      </w:r>
      <w:sdt>
        <w:sdtPr>
          <w:rPr>
            <w:rFonts w:ascii="Arial" w:hAnsi="Arial" w:cs="Arial"/>
            <w:color w:val="000000" w:themeColor="text1"/>
          </w:rPr>
          <w:id w:val="-1561866432"/>
          <w:citation/>
        </w:sdtPr>
        <w:sdtEndPr/>
        <w:sdtContent>
          <w:r w:rsidRPr="000E0F90">
            <w:rPr>
              <w:rFonts w:ascii="Arial" w:hAnsi="Arial" w:cs="Arial"/>
              <w:color w:val="000000" w:themeColor="text1"/>
            </w:rPr>
            <w:fldChar w:fldCharType="begin"/>
          </w:r>
          <w:r w:rsidR="007730D3" w:rsidRPr="000E0F90">
            <w:rPr>
              <w:rFonts w:ascii="Arial" w:hAnsi="Arial" w:cs="Arial"/>
              <w:color w:val="000000" w:themeColor="text1"/>
            </w:rPr>
            <w:instrText xml:space="preserve">CITATION MarcadorDePosición1 \t  \l 13322 </w:instrText>
          </w:r>
          <w:r w:rsidRPr="000E0F90">
            <w:rPr>
              <w:rFonts w:ascii="Arial" w:hAnsi="Arial" w:cs="Arial"/>
              <w:color w:val="000000" w:themeColor="text1"/>
            </w:rPr>
            <w:fldChar w:fldCharType="separate"/>
          </w:r>
          <w:r w:rsidR="007730D3" w:rsidRPr="000E0F90">
            <w:rPr>
              <w:rFonts w:ascii="Arial" w:hAnsi="Arial" w:cs="Arial"/>
              <w:noProof/>
              <w:color w:val="000000" w:themeColor="text1"/>
            </w:rPr>
            <w:t>(Arellano, Gastó, Gálvez, Subercauseaux, Toledo, &amp; Miranda, 2013)</w:t>
          </w:r>
          <w:r w:rsidRPr="000E0F90">
            <w:rPr>
              <w:rFonts w:ascii="Arial" w:hAnsi="Arial" w:cs="Arial"/>
              <w:color w:val="000000" w:themeColor="text1"/>
            </w:rPr>
            <w:fldChar w:fldCharType="end"/>
          </w:r>
        </w:sdtContent>
      </w:sdt>
    </w:p>
    <w:p w:rsidR="00CC460B" w:rsidRPr="000E0F90" w:rsidRDefault="00CC460B" w:rsidP="008D6193">
      <w:pPr>
        <w:spacing w:line="360" w:lineRule="auto"/>
        <w:rPr>
          <w:rFonts w:ascii="Arial" w:hAnsi="Arial" w:cs="Arial"/>
          <w:color w:val="000000" w:themeColor="text1"/>
        </w:rPr>
      </w:pPr>
      <w:r w:rsidRPr="000E0F90">
        <w:rPr>
          <w:rFonts w:ascii="Arial" w:hAnsi="Arial" w:cs="Arial"/>
          <w:color w:val="000000" w:themeColor="text1"/>
        </w:rPr>
        <w:t xml:space="preserve">Posterior a la crisis de la minería, se explotan otros yacimientos de minerales en las provincias como la plata, el oro, el manganeso y el plomo. Sin embargo nunca al nivel de la producción de cobre en años anteriores </w:t>
      </w:r>
      <w:sdt>
        <w:sdtPr>
          <w:rPr>
            <w:rFonts w:ascii="Arial" w:hAnsi="Arial" w:cs="Arial"/>
            <w:color w:val="000000" w:themeColor="text1"/>
          </w:rPr>
          <w:id w:val="664217807"/>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Ort091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(Rubio, 2009)</w:t>
          </w:r>
          <w:r w:rsidRPr="000E0F90">
            <w:rPr>
              <w:rFonts w:ascii="Arial" w:hAnsi="Arial" w:cs="Arial"/>
              <w:color w:val="000000" w:themeColor="text1"/>
            </w:rPr>
            <w:fldChar w:fldCharType="end"/>
          </w:r>
        </w:sdtContent>
      </w:sdt>
      <w:r w:rsidRPr="000E0F90">
        <w:rPr>
          <w:rFonts w:ascii="Arial" w:hAnsi="Arial" w:cs="Arial"/>
          <w:color w:val="000000" w:themeColor="text1"/>
        </w:rPr>
        <w:t>. A nivel nacional, se exporta además salitre, yodo (ambas 46%), cobre (33%) y productos agrícolas (21%). El salitre pasa a ser el principal ingreso fiscal.</w:t>
      </w:r>
      <w:r w:rsidR="007730D3" w:rsidRPr="000E0F90">
        <w:rPr>
          <w:rFonts w:ascii="Arial" w:hAnsi="Arial" w:cs="Arial"/>
          <w:color w:val="000000" w:themeColor="text1"/>
        </w:rPr>
        <w:t xml:space="preserve"> </w:t>
      </w:r>
      <w:r w:rsidRPr="000E0F90">
        <w:rPr>
          <w:rFonts w:ascii="Arial" w:hAnsi="Arial" w:cs="Arial"/>
          <w:color w:val="000000" w:themeColor="text1"/>
        </w:rPr>
        <w:t>Si bien se produce por un aumento de las exportaciones de cobre, este incremento no proviene de las minas del norte Chico, sino que del yacimiento de gran potencial como fue el Teniente, Chiquicamata y disputada Las Condes, bajo este escenario, sólo el yacimiento de Panulcillo, siguió en producción</w:t>
      </w:r>
      <w:r w:rsidR="007730D3" w:rsidRPr="000E0F90">
        <w:rPr>
          <w:rFonts w:ascii="Arial" w:hAnsi="Arial" w:cs="Arial"/>
          <w:color w:val="000000" w:themeColor="text1"/>
        </w:rPr>
        <w:t xml:space="preserve"> </w:t>
      </w:r>
      <w:sdt>
        <w:sdtPr>
          <w:rPr>
            <w:rFonts w:ascii="Arial" w:hAnsi="Arial" w:cs="Arial"/>
            <w:color w:val="000000" w:themeColor="text1"/>
          </w:rPr>
          <w:id w:val="-130786693"/>
          <w:citation/>
        </w:sdtPr>
        <w:sdtEndPr/>
        <w:sdtContent>
          <w:r w:rsidR="007730D3" w:rsidRPr="000E0F90">
            <w:rPr>
              <w:rFonts w:ascii="Arial" w:hAnsi="Arial" w:cs="Arial"/>
              <w:color w:val="000000" w:themeColor="text1"/>
            </w:rPr>
            <w:fldChar w:fldCharType="begin"/>
          </w:r>
          <w:r w:rsidR="007730D3" w:rsidRPr="000E0F90">
            <w:rPr>
              <w:rFonts w:ascii="Arial" w:hAnsi="Arial" w:cs="Arial"/>
              <w:color w:val="000000" w:themeColor="text1"/>
            </w:rPr>
            <w:instrText xml:space="preserve"> CITATION Ort09 \l 13322 </w:instrText>
          </w:r>
          <w:r w:rsidR="007730D3" w:rsidRPr="000E0F90">
            <w:rPr>
              <w:rFonts w:ascii="Arial" w:hAnsi="Arial" w:cs="Arial"/>
              <w:color w:val="000000" w:themeColor="text1"/>
            </w:rPr>
            <w:fldChar w:fldCharType="separate"/>
          </w:r>
          <w:r w:rsidR="007730D3" w:rsidRPr="000E0F90">
            <w:rPr>
              <w:rFonts w:ascii="Arial" w:hAnsi="Arial" w:cs="Arial"/>
              <w:noProof/>
              <w:color w:val="000000" w:themeColor="text1"/>
            </w:rPr>
            <w:t>(Ortega, 2009)</w:t>
          </w:r>
          <w:r w:rsidR="007730D3" w:rsidRPr="000E0F90">
            <w:rPr>
              <w:rFonts w:ascii="Arial" w:hAnsi="Arial" w:cs="Arial"/>
              <w:color w:val="000000" w:themeColor="text1"/>
            </w:rPr>
            <w:fldChar w:fldCharType="end"/>
          </w:r>
        </w:sdtContent>
      </w:sdt>
      <w:r w:rsidRPr="000E0F90">
        <w:rPr>
          <w:rFonts w:ascii="Arial" w:hAnsi="Arial" w:cs="Arial"/>
          <w:color w:val="000000" w:themeColor="text1"/>
        </w:rPr>
        <w:t xml:space="preserve">. </w:t>
      </w:r>
    </w:p>
    <w:p w:rsidR="00CC460B" w:rsidRPr="000E0F90" w:rsidRDefault="00CC460B" w:rsidP="00CC460B">
      <w:pPr>
        <w:rPr>
          <w:rFonts w:ascii="Arial" w:hAnsi="Arial" w:cs="Arial"/>
          <w:color w:val="000000" w:themeColor="text1"/>
        </w:rPr>
      </w:pPr>
    </w:p>
    <w:p w:rsidR="00253F8B" w:rsidRPr="008656EC" w:rsidRDefault="00271A7D" w:rsidP="008656EC">
      <w:pPr>
        <w:pStyle w:val="Ttulo3"/>
        <w:rPr>
          <w:rFonts w:ascii="Arial" w:hAnsi="Arial" w:cs="Arial"/>
        </w:rPr>
      </w:pPr>
      <w:r w:rsidRPr="000E0F90">
        <w:br w:type="page"/>
      </w:r>
      <w:r w:rsidR="00253F8B" w:rsidRPr="008656EC">
        <w:rPr>
          <w:rFonts w:ascii="Arial" w:hAnsi="Arial" w:cs="Arial"/>
        </w:rPr>
        <w:lastRenderedPageBreak/>
        <w:t>COMUNA DE TIERRA AMARILLA</w:t>
      </w:r>
    </w:p>
    <w:p w:rsidR="00E92548" w:rsidRPr="000E0F90" w:rsidRDefault="003F7077" w:rsidP="008D6193">
      <w:pPr>
        <w:pStyle w:val="Ttulo4"/>
        <w:rPr>
          <w:rFonts w:ascii="Arial" w:eastAsia="Times New Roman" w:hAnsi="Arial" w:cs="Arial"/>
          <w:color w:val="000000" w:themeColor="text1"/>
          <w:lang w:eastAsia="es-ES"/>
        </w:rPr>
      </w:pPr>
      <w:r w:rsidRPr="000E0F90">
        <w:rPr>
          <w:rFonts w:ascii="Arial" w:hAnsi="Arial" w:cs="Arial"/>
          <w:color w:val="000000" w:themeColor="text1"/>
        </w:rPr>
        <w:t>Biogeoestructura comuna de Tierra Amarill</w:t>
      </w:r>
      <w:r w:rsidRPr="000E0F90">
        <w:rPr>
          <w:rFonts w:ascii="Arial" w:hAnsi="Arial" w:cs="Arial"/>
          <w:noProof/>
          <w:color w:val="000000" w:themeColor="text1"/>
        </w:rPr>
        <w:t xml:space="preserve">a </w:t>
      </w:r>
    </w:p>
    <w:p w:rsidR="00E92548" w:rsidRPr="000E0F90" w:rsidRDefault="008656EC" w:rsidP="008D6193">
      <w:pPr>
        <w:pStyle w:val="Epgrafe"/>
        <w:spacing w:line="360" w:lineRule="auto"/>
        <w:jc w:val="center"/>
        <w:rPr>
          <w:rFonts w:ascii="Arial" w:eastAsia="Times New Roman" w:hAnsi="Arial" w:cs="Arial"/>
          <w:b w:val="0"/>
          <w:color w:val="000000" w:themeColor="text1"/>
          <w:sz w:val="22"/>
          <w:lang w:eastAsia="es-ES"/>
        </w:rPr>
      </w:pPr>
      <w:r>
        <w:rPr>
          <w:noProof/>
          <w:lang w:eastAsia="es-CL"/>
        </w:rPr>
        <w:drawing>
          <wp:inline distT="0" distB="0" distL="0" distR="0" wp14:anchorId="12424D41" wp14:editId="149A7123">
            <wp:extent cx="5330707" cy="7048500"/>
            <wp:effectExtent l="0" t="0" r="3810" b="0"/>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331120" cy="7049046"/>
                    </a:xfrm>
                    <a:prstGeom prst="rect">
                      <a:avLst/>
                    </a:prstGeom>
                  </pic:spPr>
                </pic:pic>
              </a:graphicData>
            </a:graphic>
          </wp:inline>
        </w:drawing>
      </w:r>
      <w:r w:rsidRPr="000E0F90">
        <w:rPr>
          <w:rFonts w:ascii="Arial" w:hAnsi="Arial" w:cs="Arial"/>
          <w:b w:val="0"/>
          <w:color w:val="000000" w:themeColor="text1"/>
          <w:sz w:val="22"/>
        </w:rPr>
        <w:t xml:space="preserve"> </w:t>
      </w:r>
      <w:r w:rsidR="006B15AA" w:rsidRPr="000E0F90">
        <w:rPr>
          <w:rFonts w:ascii="Arial" w:hAnsi="Arial" w:cs="Arial"/>
          <w:b w:val="0"/>
          <w:color w:val="000000" w:themeColor="text1"/>
          <w:sz w:val="22"/>
        </w:rPr>
        <w:t xml:space="preserve">Figura </w:t>
      </w:r>
      <w:r w:rsidR="006B15AA" w:rsidRPr="000E0F90">
        <w:rPr>
          <w:rFonts w:ascii="Arial" w:hAnsi="Arial" w:cs="Arial"/>
          <w:b w:val="0"/>
          <w:color w:val="000000" w:themeColor="text1"/>
          <w:sz w:val="22"/>
        </w:rPr>
        <w:fldChar w:fldCharType="begin"/>
      </w:r>
      <w:r w:rsidR="006B15AA" w:rsidRPr="000E0F90">
        <w:rPr>
          <w:rFonts w:ascii="Arial" w:hAnsi="Arial" w:cs="Arial"/>
          <w:b w:val="0"/>
          <w:color w:val="000000" w:themeColor="text1"/>
          <w:sz w:val="22"/>
        </w:rPr>
        <w:instrText xml:space="preserve"> SEQ Figura \* ARABIC </w:instrText>
      </w:r>
      <w:r w:rsidR="006B15AA" w:rsidRPr="000E0F90">
        <w:rPr>
          <w:rFonts w:ascii="Arial" w:hAnsi="Arial" w:cs="Arial"/>
          <w:b w:val="0"/>
          <w:color w:val="000000" w:themeColor="text1"/>
          <w:sz w:val="22"/>
        </w:rPr>
        <w:fldChar w:fldCharType="separate"/>
      </w:r>
      <w:r w:rsidR="00225844">
        <w:rPr>
          <w:rFonts w:ascii="Arial" w:hAnsi="Arial" w:cs="Arial"/>
          <w:b w:val="0"/>
          <w:noProof/>
          <w:color w:val="000000" w:themeColor="text1"/>
          <w:sz w:val="22"/>
        </w:rPr>
        <w:t>6</w:t>
      </w:r>
      <w:r w:rsidR="006B15AA" w:rsidRPr="000E0F90">
        <w:rPr>
          <w:rFonts w:ascii="Arial" w:hAnsi="Arial" w:cs="Arial"/>
          <w:b w:val="0"/>
          <w:color w:val="000000" w:themeColor="text1"/>
          <w:sz w:val="22"/>
        </w:rPr>
        <w:fldChar w:fldCharType="end"/>
      </w:r>
      <w:r w:rsidR="00E92548" w:rsidRPr="000E0F90">
        <w:rPr>
          <w:rFonts w:ascii="Arial" w:eastAsia="Times New Roman" w:hAnsi="Arial" w:cs="Arial"/>
          <w:b w:val="0"/>
          <w:color w:val="000000" w:themeColor="text1"/>
          <w:sz w:val="22"/>
          <w:lang w:eastAsia="es-ES"/>
        </w:rPr>
        <w:t>: Mapa de Biogeoestructura de la comuna de Tierra Amarilla (Elaboración propia)</w:t>
      </w:r>
    </w:p>
    <w:p w:rsidR="00FF387D" w:rsidRPr="000E0F90" w:rsidRDefault="00F35AF7" w:rsidP="008D6193">
      <w:pPr>
        <w:spacing w:after="0" w:line="360" w:lineRule="auto"/>
        <w:jc w:val="left"/>
        <w:rPr>
          <w:rFonts w:ascii="Arial" w:hAnsi="Arial" w:cs="Arial"/>
          <w:b/>
          <w:color w:val="000000" w:themeColor="text1"/>
        </w:rPr>
      </w:pPr>
      <w:r w:rsidRPr="000E0F90">
        <w:rPr>
          <w:rFonts w:ascii="Arial" w:hAnsi="Arial" w:cs="Arial"/>
          <w:b/>
          <w:color w:val="000000" w:themeColor="text1"/>
        </w:rPr>
        <w:lastRenderedPageBreak/>
        <w:t>Localización</w:t>
      </w:r>
      <w:r w:rsidR="00FF387D" w:rsidRPr="000E0F90">
        <w:rPr>
          <w:rFonts w:ascii="Arial" w:hAnsi="Arial" w:cs="Arial"/>
          <w:b/>
          <w:color w:val="000000" w:themeColor="text1"/>
        </w:rPr>
        <w:t xml:space="preserve"> geográfica, administrativa y ecológica</w:t>
      </w:r>
    </w:p>
    <w:p w:rsidR="00FF387D" w:rsidRPr="000E0F90" w:rsidRDefault="00E83A5E" w:rsidP="008D6193">
      <w:pPr>
        <w:spacing w:line="360" w:lineRule="auto"/>
        <w:rPr>
          <w:rFonts w:ascii="Arial" w:hAnsi="Arial" w:cs="Arial"/>
          <w:color w:val="000000" w:themeColor="text1"/>
        </w:rPr>
      </w:pPr>
      <w:r w:rsidRPr="000E0F90">
        <w:rPr>
          <w:rFonts w:ascii="Arial" w:hAnsi="Arial" w:cs="Arial"/>
          <w:color w:val="000000" w:themeColor="text1"/>
        </w:rPr>
        <w:t>La comuna de Tierra amarilla s</w:t>
      </w:r>
      <w:r w:rsidR="00FF387D" w:rsidRPr="000E0F90">
        <w:rPr>
          <w:rFonts w:ascii="Arial" w:hAnsi="Arial" w:cs="Arial"/>
          <w:color w:val="000000" w:themeColor="text1"/>
        </w:rPr>
        <w:t xml:space="preserve">e ubica </w:t>
      </w:r>
      <w:r w:rsidR="00027B48" w:rsidRPr="000E0F90">
        <w:rPr>
          <w:rFonts w:ascii="Arial" w:hAnsi="Arial" w:cs="Arial"/>
          <w:color w:val="000000" w:themeColor="text1"/>
        </w:rPr>
        <w:t>al oriente de la provincia de Copiapó, distante a 16 Km. de la capital regional</w:t>
      </w:r>
      <w:r w:rsidR="00DE4724" w:rsidRPr="000E0F90">
        <w:rPr>
          <w:rFonts w:ascii="Arial" w:hAnsi="Arial" w:cs="Arial"/>
          <w:color w:val="000000" w:themeColor="text1"/>
        </w:rPr>
        <w:t xml:space="preserve">. </w:t>
      </w:r>
      <w:r w:rsidR="00027B48" w:rsidRPr="000E0F90">
        <w:rPr>
          <w:rFonts w:ascii="Arial" w:hAnsi="Arial" w:cs="Arial"/>
          <w:color w:val="000000" w:themeColor="text1"/>
        </w:rPr>
        <w:t>Presenta una superficie de 11.191 km2</w:t>
      </w:r>
      <w:r w:rsidR="007602F9" w:rsidRPr="000E0F90">
        <w:rPr>
          <w:rFonts w:ascii="Arial" w:hAnsi="Arial" w:cs="Arial"/>
          <w:color w:val="000000" w:themeColor="text1"/>
        </w:rPr>
        <w:t>, correspondiente al 34,4% y al 14,8% de la superficie provincial y regional, respectivamente</w:t>
      </w:r>
      <w:r w:rsidR="00F84DBE" w:rsidRPr="000E0F90">
        <w:rPr>
          <w:rFonts w:ascii="Arial" w:hAnsi="Arial" w:cs="Arial"/>
          <w:color w:val="000000" w:themeColor="text1"/>
        </w:rPr>
        <w:t xml:space="preserve"> </w:t>
      </w:r>
      <w:sdt>
        <w:sdtPr>
          <w:rPr>
            <w:rFonts w:ascii="Arial" w:hAnsi="Arial" w:cs="Arial"/>
            <w:color w:val="000000" w:themeColor="text1"/>
          </w:rPr>
          <w:id w:val="-557169948"/>
          <w:citation/>
        </w:sdtPr>
        <w:sdtEndPr/>
        <w:sdtContent>
          <w:r w:rsidR="00F84DBE" w:rsidRPr="000E0F90">
            <w:rPr>
              <w:rFonts w:ascii="Arial" w:hAnsi="Arial" w:cs="Arial"/>
              <w:color w:val="000000" w:themeColor="text1"/>
            </w:rPr>
            <w:fldChar w:fldCharType="begin"/>
          </w:r>
          <w:r w:rsidR="00F84DBE" w:rsidRPr="000E0F90">
            <w:rPr>
              <w:rFonts w:ascii="Arial" w:hAnsi="Arial" w:cs="Arial"/>
              <w:color w:val="000000" w:themeColor="text1"/>
            </w:rPr>
            <w:instrText xml:space="preserve"> CITATION INE07 \l 13322 </w:instrText>
          </w:r>
          <w:r w:rsidR="00F84DBE" w:rsidRPr="000E0F90">
            <w:rPr>
              <w:rFonts w:ascii="Arial" w:hAnsi="Arial" w:cs="Arial"/>
              <w:color w:val="000000" w:themeColor="text1"/>
            </w:rPr>
            <w:fldChar w:fldCharType="separate"/>
          </w:r>
          <w:r w:rsidR="008D0261" w:rsidRPr="000E0F90">
            <w:rPr>
              <w:rFonts w:ascii="Arial" w:hAnsi="Arial" w:cs="Arial"/>
              <w:noProof/>
              <w:color w:val="000000" w:themeColor="text1"/>
            </w:rPr>
            <w:t>(INE, 2007)</w:t>
          </w:r>
          <w:r w:rsidR="00F84DBE" w:rsidRPr="000E0F90">
            <w:rPr>
              <w:rFonts w:ascii="Arial" w:hAnsi="Arial" w:cs="Arial"/>
              <w:color w:val="000000" w:themeColor="text1"/>
            </w:rPr>
            <w:fldChar w:fldCharType="end"/>
          </w:r>
        </w:sdtContent>
      </w:sdt>
      <w:r w:rsidR="00F84DBE" w:rsidRPr="000E0F90">
        <w:rPr>
          <w:rFonts w:ascii="Arial" w:hAnsi="Arial" w:cs="Arial"/>
          <w:color w:val="000000" w:themeColor="text1"/>
        </w:rPr>
        <w:t>.</w:t>
      </w:r>
      <w:r w:rsidR="00DE4724" w:rsidRPr="000E0F90">
        <w:rPr>
          <w:rFonts w:ascii="Arial" w:hAnsi="Arial" w:cs="Arial"/>
          <w:color w:val="000000" w:themeColor="text1"/>
        </w:rPr>
        <w:t xml:space="preserve"> Limita al norte con </w:t>
      </w:r>
      <w:r w:rsidR="00DD3E0B" w:rsidRPr="000E0F90">
        <w:rPr>
          <w:rFonts w:ascii="Arial" w:hAnsi="Arial" w:cs="Arial"/>
          <w:color w:val="000000" w:themeColor="text1"/>
        </w:rPr>
        <w:t>la comuna de Copiapó, al poniente con la comuna de Copiapó y Vallenar</w:t>
      </w:r>
      <w:r w:rsidR="00BF6BB7" w:rsidRPr="000E0F90">
        <w:rPr>
          <w:rFonts w:ascii="Arial" w:hAnsi="Arial" w:cs="Arial"/>
          <w:color w:val="000000" w:themeColor="text1"/>
        </w:rPr>
        <w:t xml:space="preserve"> (suroeste)</w:t>
      </w:r>
      <w:r w:rsidR="00DD3E0B" w:rsidRPr="000E0F90">
        <w:rPr>
          <w:rFonts w:ascii="Arial" w:hAnsi="Arial" w:cs="Arial"/>
          <w:color w:val="000000" w:themeColor="text1"/>
        </w:rPr>
        <w:t xml:space="preserve">, al sur con Alto del Carmen, y al este con </w:t>
      </w:r>
      <w:r w:rsidR="00A50B40" w:rsidRPr="000E0F90">
        <w:rPr>
          <w:rFonts w:ascii="Arial" w:hAnsi="Arial" w:cs="Arial"/>
          <w:color w:val="000000" w:themeColor="text1"/>
        </w:rPr>
        <w:t>la Cordillera de los Andes (</w:t>
      </w:r>
      <w:r w:rsidR="00DD3E0B" w:rsidRPr="000E0F90">
        <w:rPr>
          <w:rFonts w:ascii="Arial" w:hAnsi="Arial" w:cs="Arial"/>
          <w:color w:val="000000" w:themeColor="text1"/>
        </w:rPr>
        <w:t>territorio argentino</w:t>
      </w:r>
      <w:r w:rsidR="00A50B40" w:rsidRPr="000E0F90">
        <w:rPr>
          <w:rFonts w:ascii="Arial" w:hAnsi="Arial" w:cs="Arial"/>
          <w:color w:val="000000" w:themeColor="text1"/>
        </w:rPr>
        <w:t>)</w:t>
      </w:r>
      <w:r w:rsidR="00DD3E0B" w:rsidRPr="000E0F90">
        <w:rPr>
          <w:rFonts w:ascii="Arial" w:hAnsi="Arial" w:cs="Arial"/>
          <w:color w:val="000000" w:themeColor="text1"/>
        </w:rPr>
        <w:t xml:space="preserve">. </w:t>
      </w:r>
      <w:r w:rsidR="00FF387D" w:rsidRPr="000E0F90">
        <w:rPr>
          <w:rFonts w:ascii="Arial" w:hAnsi="Arial" w:cs="Arial"/>
          <w:color w:val="000000" w:themeColor="text1"/>
        </w:rPr>
        <w:t>Respecto a su localización administrativa, Tierra Amarilla se ubica en la macrorregión de Sudamérica, en el país Chile, en la Región de Atacama y en la Provincia de Copiapó.</w:t>
      </w:r>
    </w:p>
    <w:p w:rsidR="00B80C97" w:rsidRPr="000E0F90" w:rsidRDefault="00450EEF" w:rsidP="008D6193">
      <w:pPr>
        <w:spacing w:before="240" w:line="360" w:lineRule="auto"/>
        <w:rPr>
          <w:rFonts w:ascii="Arial" w:hAnsi="Arial" w:cs="Arial"/>
          <w:color w:val="000000" w:themeColor="text1"/>
        </w:rPr>
      </w:pPr>
      <w:r w:rsidRPr="000E0F90">
        <w:rPr>
          <w:rFonts w:ascii="Arial" w:hAnsi="Arial" w:cs="Arial"/>
          <w:color w:val="000000" w:themeColor="text1"/>
        </w:rPr>
        <w:t xml:space="preserve">De acuerdo al Sistema de Clasificación de Ecorregiones </w:t>
      </w:r>
      <w:r w:rsidR="00B92E68" w:rsidRPr="000E0F90">
        <w:rPr>
          <w:rFonts w:ascii="Arial" w:hAnsi="Arial" w:cs="Arial"/>
          <w:color w:val="000000" w:themeColor="text1"/>
        </w:rPr>
        <w:t>Gastó, Cosio y Panario  (1993), Tierra Amarilla se encuentra localizada mayormente en el Reino Seco</w:t>
      </w:r>
      <w:r w:rsidR="00C305BF" w:rsidRPr="000E0F90">
        <w:rPr>
          <w:rFonts w:ascii="Arial" w:hAnsi="Arial" w:cs="Arial"/>
          <w:color w:val="000000" w:themeColor="text1"/>
        </w:rPr>
        <w:t xml:space="preserve">, </w:t>
      </w:r>
      <w:r w:rsidR="00B27105" w:rsidRPr="000E0F90">
        <w:rPr>
          <w:rFonts w:ascii="Arial" w:hAnsi="Arial" w:cs="Arial"/>
          <w:color w:val="000000" w:themeColor="text1"/>
        </w:rPr>
        <w:t xml:space="preserve">bajo </w:t>
      </w:r>
      <w:r w:rsidR="00C305BF" w:rsidRPr="000E0F90">
        <w:rPr>
          <w:rFonts w:ascii="Arial" w:hAnsi="Arial" w:cs="Arial"/>
          <w:color w:val="000000" w:themeColor="text1"/>
        </w:rPr>
        <w:t>Dominio Desértico</w:t>
      </w:r>
      <w:r w:rsidR="00B27105" w:rsidRPr="000E0F90">
        <w:rPr>
          <w:rFonts w:ascii="Arial" w:hAnsi="Arial" w:cs="Arial"/>
          <w:color w:val="000000" w:themeColor="text1"/>
        </w:rPr>
        <w:t xml:space="preserve"> y Estepario</w:t>
      </w:r>
      <w:r w:rsidR="00C305BF" w:rsidRPr="000E0F90">
        <w:rPr>
          <w:rFonts w:ascii="Arial" w:hAnsi="Arial" w:cs="Arial"/>
          <w:color w:val="000000" w:themeColor="text1"/>
        </w:rPr>
        <w:t xml:space="preserve">, con precipitaciones invernales escasas o ausentes, e irregularidad de precipitaciones estivales. </w:t>
      </w:r>
      <w:r w:rsidR="003905D1" w:rsidRPr="000E0F90">
        <w:rPr>
          <w:rFonts w:ascii="Arial" w:hAnsi="Arial" w:cs="Arial"/>
          <w:color w:val="000000" w:themeColor="text1"/>
        </w:rPr>
        <w:t xml:space="preserve">Se evidencia también el Reino Nevado con Dominio </w:t>
      </w:r>
      <w:r w:rsidR="00B27105" w:rsidRPr="000E0F90">
        <w:rPr>
          <w:rFonts w:ascii="Arial" w:hAnsi="Arial" w:cs="Arial"/>
          <w:color w:val="000000" w:themeColor="text1"/>
        </w:rPr>
        <w:t>Nival</w:t>
      </w:r>
      <w:r w:rsidR="00C512EC" w:rsidRPr="000E0F90">
        <w:rPr>
          <w:rFonts w:ascii="Arial" w:hAnsi="Arial" w:cs="Arial"/>
          <w:color w:val="000000" w:themeColor="text1"/>
        </w:rPr>
        <w:t>, en las zonas de altura</w:t>
      </w:r>
      <w:r w:rsidR="003905D1" w:rsidRPr="000E0F90">
        <w:rPr>
          <w:rFonts w:ascii="Arial" w:hAnsi="Arial" w:cs="Arial"/>
          <w:color w:val="000000" w:themeColor="text1"/>
        </w:rPr>
        <w:t xml:space="preserve">. </w:t>
      </w:r>
      <w:r w:rsidR="00264DFC">
        <w:rPr>
          <w:rFonts w:ascii="Arial" w:hAnsi="Arial" w:cs="Arial"/>
          <w:color w:val="000000" w:themeColor="text1"/>
        </w:rPr>
        <w:t xml:space="preserve">Se </w:t>
      </w:r>
      <w:r w:rsidR="00F64F0B" w:rsidRPr="000E0F90">
        <w:rPr>
          <w:rFonts w:ascii="Arial" w:hAnsi="Arial" w:cs="Arial"/>
          <w:color w:val="000000" w:themeColor="text1"/>
        </w:rPr>
        <w:t>identifican</w:t>
      </w:r>
      <w:r w:rsidR="00264DFC">
        <w:rPr>
          <w:rFonts w:ascii="Arial" w:hAnsi="Arial" w:cs="Arial"/>
          <w:color w:val="000000" w:themeColor="text1"/>
        </w:rPr>
        <w:t xml:space="preserve"> las Provincias: </w:t>
      </w:r>
      <w:r w:rsidR="00F64F0B" w:rsidRPr="000E0F90">
        <w:rPr>
          <w:rFonts w:ascii="Arial" w:hAnsi="Arial" w:cs="Arial"/>
          <w:color w:val="000000" w:themeColor="text1"/>
        </w:rPr>
        <w:t xml:space="preserve">Desértica </w:t>
      </w:r>
      <w:r w:rsidR="00DF077F" w:rsidRPr="000E0F90">
        <w:rPr>
          <w:rFonts w:ascii="Arial" w:hAnsi="Arial" w:cs="Arial"/>
          <w:color w:val="000000" w:themeColor="text1"/>
        </w:rPr>
        <w:t xml:space="preserve">Transicional, Desértica de Altura, Esteparia de Montaña y Nival de Altura. </w:t>
      </w:r>
    </w:p>
    <w:p w:rsidR="00E92548" w:rsidRPr="000E0F90" w:rsidRDefault="00E92548" w:rsidP="008D6193">
      <w:pPr>
        <w:spacing w:after="0" w:line="360" w:lineRule="auto"/>
        <w:jc w:val="left"/>
        <w:rPr>
          <w:rFonts w:ascii="Arial" w:eastAsia="Times New Roman" w:hAnsi="Arial" w:cs="Arial"/>
          <w:b/>
          <w:color w:val="000000" w:themeColor="text1"/>
          <w:lang w:eastAsia="es-ES"/>
        </w:rPr>
      </w:pPr>
      <w:r w:rsidRPr="000E0F90">
        <w:rPr>
          <w:rFonts w:ascii="Arial" w:eastAsia="Times New Roman" w:hAnsi="Arial" w:cs="Arial"/>
          <w:b/>
          <w:color w:val="000000" w:themeColor="text1"/>
          <w:lang w:eastAsia="es-ES"/>
        </w:rPr>
        <w:t>Clima</w:t>
      </w:r>
    </w:p>
    <w:p w:rsidR="00E92548" w:rsidRPr="000E0F90" w:rsidRDefault="00E92548" w:rsidP="008D6193">
      <w:pPr>
        <w:spacing w:line="360" w:lineRule="auto"/>
        <w:rPr>
          <w:rFonts w:ascii="Arial" w:eastAsia="Times New Roman" w:hAnsi="Arial" w:cs="Arial"/>
          <w:color w:val="000000" w:themeColor="text1"/>
          <w:lang w:eastAsia="es-ES"/>
        </w:rPr>
      </w:pPr>
      <w:r w:rsidRPr="000E0F90">
        <w:rPr>
          <w:rFonts w:ascii="Arial" w:eastAsia="Times New Roman" w:hAnsi="Arial" w:cs="Arial"/>
          <w:color w:val="000000" w:themeColor="text1"/>
          <w:lang w:eastAsia="es-ES"/>
        </w:rPr>
        <w:t>Respecto  a  las  condiciones  climáticas  de  Tierra Amarilla,  las  temperaturas promedios registradas en las estaciones meteorológicas,</w:t>
      </w:r>
      <w:r w:rsidR="00264DFC">
        <w:rPr>
          <w:rFonts w:ascii="Arial" w:eastAsia="Times New Roman" w:hAnsi="Arial" w:cs="Arial"/>
          <w:color w:val="000000" w:themeColor="text1"/>
          <w:lang w:eastAsia="es-ES"/>
        </w:rPr>
        <w:t xml:space="preserve"> </w:t>
      </w:r>
      <w:r w:rsidRPr="000E0F90">
        <w:rPr>
          <w:rFonts w:ascii="Arial" w:eastAsia="Times New Roman" w:hAnsi="Arial" w:cs="Arial"/>
          <w:color w:val="000000" w:themeColor="text1"/>
          <w:lang w:eastAsia="es-ES"/>
        </w:rPr>
        <w:t>oscila</w:t>
      </w:r>
      <w:r w:rsidR="00264DFC">
        <w:rPr>
          <w:rFonts w:ascii="Arial" w:eastAsia="Times New Roman" w:hAnsi="Arial" w:cs="Arial"/>
          <w:color w:val="000000" w:themeColor="text1"/>
          <w:lang w:eastAsia="es-ES"/>
        </w:rPr>
        <w:t>n</w:t>
      </w:r>
      <w:r w:rsidRPr="000E0F90">
        <w:rPr>
          <w:rFonts w:ascii="Arial" w:eastAsia="Times New Roman" w:hAnsi="Arial" w:cs="Arial"/>
          <w:color w:val="000000" w:themeColor="text1"/>
          <w:lang w:eastAsia="es-ES"/>
        </w:rPr>
        <w:t xml:space="preserve"> entre </w:t>
      </w:r>
      <w:r w:rsidR="00F74481" w:rsidRPr="000E0F90">
        <w:rPr>
          <w:rFonts w:ascii="Arial" w:eastAsia="Times New Roman" w:hAnsi="Arial" w:cs="Arial"/>
          <w:color w:val="000000" w:themeColor="text1"/>
          <w:lang w:eastAsia="es-ES"/>
        </w:rPr>
        <w:t>14°C la mínima y 21°C la máxima</w:t>
      </w:r>
      <w:r w:rsidRPr="000E0F90">
        <w:rPr>
          <w:rFonts w:ascii="Arial" w:eastAsia="Times New Roman" w:hAnsi="Arial" w:cs="Arial"/>
          <w:color w:val="000000" w:themeColor="text1"/>
          <w:lang w:eastAsia="es-ES"/>
        </w:rPr>
        <w:t xml:space="preserve">, </w:t>
      </w:r>
      <w:r w:rsidR="00F35AF7" w:rsidRPr="000E0F90">
        <w:rPr>
          <w:rFonts w:ascii="Arial" w:eastAsia="Times New Roman" w:hAnsi="Arial" w:cs="Arial"/>
          <w:color w:val="000000" w:themeColor="text1"/>
          <w:lang w:eastAsia="es-ES"/>
        </w:rPr>
        <w:t>estableciéndose</w:t>
      </w:r>
      <w:r w:rsidRPr="000E0F90">
        <w:rPr>
          <w:rFonts w:ascii="Arial" w:eastAsia="Times New Roman" w:hAnsi="Arial" w:cs="Arial"/>
          <w:color w:val="000000" w:themeColor="text1"/>
          <w:lang w:eastAsia="es-ES"/>
        </w:rPr>
        <w:t xml:space="preserve"> los meses más fríos entre junio y julio, y los más calurosos de enero a febrero </w:t>
      </w:r>
      <w:sdt>
        <w:sdtPr>
          <w:rPr>
            <w:rFonts w:ascii="Arial" w:eastAsia="Times New Roman" w:hAnsi="Arial" w:cs="Arial"/>
            <w:color w:val="000000" w:themeColor="text1"/>
            <w:lang w:eastAsia="es-ES"/>
          </w:rPr>
          <w:id w:val="17742612"/>
          <w:citation/>
        </w:sdtPr>
        <w:sdtEndPr/>
        <w:sdtContent>
          <w:r w:rsidRPr="000E0F90">
            <w:rPr>
              <w:rFonts w:ascii="Arial" w:eastAsia="Times New Roman" w:hAnsi="Arial" w:cs="Arial"/>
              <w:color w:val="000000" w:themeColor="text1"/>
              <w:lang w:eastAsia="es-ES"/>
            </w:rPr>
            <w:fldChar w:fldCharType="begin"/>
          </w:r>
          <w:r w:rsidRPr="000E0F90">
            <w:rPr>
              <w:rFonts w:ascii="Arial" w:eastAsia="Times New Roman" w:hAnsi="Arial" w:cs="Arial"/>
              <w:color w:val="000000" w:themeColor="text1"/>
              <w:lang w:eastAsia="es-ES"/>
            </w:rPr>
            <w:instrText xml:space="preserve">CITATION DGA17 \t  \l 13322 </w:instrText>
          </w:r>
          <w:r w:rsidRPr="000E0F90">
            <w:rPr>
              <w:rFonts w:ascii="Arial" w:eastAsia="Times New Roman" w:hAnsi="Arial" w:cs="Arial"/>
              <w:color w:val="000000" w:themeColor="text1"/>
              <w:lang w:eastAsia="es-ES"/>
            </w:rPr>
            <w:fldChar w:fldCharType="separate"/>
          </w:r>
          <w:r w:rsidR="008D0261" w:rsidRPr="000E0F90">
            <w:rPr>
              <w:rFonts w:ascii="Arial" w:eastAsia="Times New Roman" w:hAnsi="Arial" w:cs="Arial"/>
              <w:noProof/>
              <w:color w:val="000000" w:themeColor="text1"/>
              <w:lang w:eastAsia="es-ES"/>
            </w:rPr>
            <w:t>(DGA, 2017)</w:t>
          </w:r>
          <w:r w:rsidRPr="000E0F90">
            <w:rPr>
              <w:rFonts w:ascii="Arial" w:eastAsia="Times New Roman" w:hAnsi="Arial" w:cs="Arial"/>
              <w:color w:val="000000" w:themeColor="text1"/>
              <w:lang w:eastAsia="es-ES"/>
            </w:rPr>
            <w:fldChar w:fldCharType="end"/>
          </w:r>
        </w:sdtContent>
      </w:sdt>
      <w:r w:rsidRPr="000E0F90">
        <w:rPr>
          <w:rFonts w:ascii="Arial" w:eastAsia="Times New Roman" w:hAnsi="Arial" w:cs="Arial"/>
          <w:color w:val="000000" w:themeColor="text1"/>
          <w:lang w:eastAsia="es-ES"/>
        </w:rPr>
        <w:t xml:space="preserve">. Con respecto a las precipitaciones, estas se concentran en los meses de invierno, de mayo a julio, registrándose precipitaciones con un rango de 10 y 100mm en años secos y lluviosos, respectivamente. Cabe señalar el gradiente altitudinal de las precipitaciones de la comuna </w:t>
      </w:r>
      <w:sdt>
        <w:sdtPr>
          <w:rPr>
            <w:rFonts w:ascii="Arial" w:eastAsia="Times New Roman" w:hAnsi="Arial" w:cs="Arial"/>
            <w:color w:val="000000" w:themeColor="text1"/>
            <w:lang w:eastAsia="es-ES"/>
          </w:rPr>
          <w:id w:val="-1553077595"/>
          <w:citation/>
        </w:sdtPr>
        <w:sdtEndPr/>
        <w:sdtContent>
          <w:r w:rsidRPr="000E0F90">
            <w:rPr>
              <w:rFonts w:ascii="Arial" w:eastAsia="Times New Roman" w:hAnsi="Arial" w:cs="Arial"/>
              <w:color w:val="000000" w:themeColor="text1"/>
              <w:lang w:eastAsia="es-ES"/>
            </w:rPr>
            <w:fldChar w:fldCharType="begin"/>
          </w:r>
          <w:r w:rsidRPr="000E0F90">
            <w:rPr>
              <w:rFonts w:ascii="Arial" w:eastAsia="Times New Roman" w:hAnsi="Arial" w:cs="Arial"/>
              <w:color w:val="000000" w:themeColor="text1"/>
              <w:lang w:eastAsia="es-ES"/>
            </w:rPr>
            <w:instrText xml:space="preserve">CITATION DGA17 \t  \l 13322 </w:instrText>
          </w:r>
          <w:r w:rsidRPr="000E0F90">
            <w:rPr>
              <w:rFonts w:ascii="Arial" w:eastAsia="Times New Roman" w:hAnsi="Arial" w:cs="Arial"/>
              <w:color w:val="000000" w:themeColor="text1"/>
              <w:lang w:eastAsia="es-ES"/>
            </w:rPr>
            <w:fldChar w:fldCharType="separate"/>
          </w:r>
          <w:r w:rsidR="008D0261" w:rsidRPr="000E0F90">
            <w:rPr>
              <w:rFonts w:ascii="Arial" w:eastAsia="Times New Roman" w:hAnsi="Arial" w:cs="Arial"/>
              <w:noProof/>
              <w:color w:val="000000" w:themeColor="text1"/>
              <w:lang w:eastAsia="es-ES"/>
            </w:rPr>
            <w:t>(DGA, 2017)</w:t>
          </w:r>
          <w:r w:rsidRPr="000E0F90">
            <w:rPr>
              <w:rFonts w:ascii="Arial" w:eastAsia="Times New Roman" w:hAnsi="Arial" w:cs="Arial"/>
              <w:color w:val="000000" w:themeColor="text1"/>
              <w:lang w:eastAsia="es-ES"/>
            </w:rPr>
            <w:fldChar w:fldCharType="end"/>
          </w:r>
        </w:sdtContent>
      </w:sdt>
      <w:r w:rsidRPr="000E0F90">
        <w:rPr>
          <w:rFonts w:ascii="Arial" w:eastAsia="Times New Roman" w:hAnsi="Arial" w:cs="Arial"/>
          <w:color w:val="000000" w:themeColor="text1"/>
          <w:lang w:eastAsia="es-ES"/>
        </w:rPr>
        <w:t xml:space="preserve">. </w:t>
      </w:r>
    </w:p>
    <w:p w:rsidR="00E92548" w:rsidRPr="000E0F90" w:rsidRDefault="00F35AF7" w:rsidP="008D6193">
      <w:pPr>
        <w:spacing w:after="0" w:line="360" w:lineRule="auto"/>
        <w:jc w:val="left"/>
        <w:rPr>
          <w:rFonts w:ascii="Arial" w:eastAsia="Times New Roman" w:hAnsi="Arial" w:cs="Arial"/>
          <w:b/>
          <w:color w:val="000000" w:themeColor="text1"/>
          <w:lang w:eastAsia="es-ES"/>
        </w:rPr>
      </w:pPr>
      <w:r w:rsidRPr="000E0F90">
        <w:rPr>
          <w:rFonts w:ascii="Arial" w:eastAsia="Times New Roman" w:hAnsi="Arial" w:cs="Arial"/>
          <w:b/>
          <w:color w:val="000000" w:themeColor="text1"/>
          <w:lang w:eastAsia="es-ES"/>
        </w:rPr>
        <w:t>Geoforma</w:t>
      </w:r>
      <w:r w:rsidR="00E92548" w:rsidRPr="000E0F90">
        <w:rPr>
          <w:rFonts w:ascii="Arial" w:eastAsia="Times New Roman" w:hAnsi="Arial" w:cs="Arial"/>
          <w:b/>
          <w:color w:val="000000" w:themeColor="text1"/>
          <w:lang w:eastAsia="es-ES"/>
        </w:rPr>
        <w:t xml:space="preserve"> y Suelos </w:t>
      </w:r>
    </w:p>
    <w:p w:rsidR="00E92548" w:rsidRPr="000E0F90" w:rsidRDefault="00E92548" w:rsidP="008D6193">
      <w:pPr>
        <w:spacing w:line="360" w:lineRule="auto"/>
        <w:rPr>
          <w:rFonts w:ascii="Arial" w:eastAsia="Times New Roman" w:hAnsi="Arial" w:cs="Arial"/>
          <w:color w:val="000000" w:themeColor="text1"/>
          <w:lang w:eastAsia="es-ES"/>
        </w:rPr>
      </w:pPr>
      <w:r w:rsidRPr="000E0F90">
        <w:rPr>
          <w:rFonts w:ascii="Arial" w:eastAsia="Times New Roman" w:hAnsi="Arial" w:cs="Arial"/>
          <w:color w:val="000000" w:themeColor="text1"/>
          <w:lang w:eastAsia="es-ES"/>
        </w:rPr>
        <w:t xml:space="preserve">La comuna se ubica desde la Depresión Intermedia, principalmente en la Pampa Ondulada Austral y en menor proporción en la Pampa Transicional, y parte de la Cordillera de Domeyko, alcanzando la cordillera de los Andes hacia el oriente y hacia el nororiente las Cuencas Altiplánicas. Esta comuna forma parte del límite norte de los cordones transversales, que se origina desde el rio Copiapó al río Aconcagua, los cuales provienen de la continuación hacia el sur de la Cordillera de Domeyko, con alturas comprendidas entre 3.000 y 4.500 metros </w:t>
      </w:r>
      <w:sdt>
        <w:sdtPr>
          <w:rPr>
            <w:rFonts w:ascii="Arial" w:eastAsia="Times New Roman" w:hAnsi="Arial" w:cs="Arial"/>
            <w:color w:val="000000" w:themeColor="text1"/>
            <w:lang w:eastAsia="es-ES"/>
          </w:rPr>
          <w:id w:val="-309172296"/>
          <w:citation/>
        </w:sdtPr>
        <w:sdtEndPr/>
        <w:sdtContent>
          <w:r w:rsidRPr="000E0F90">
            <w:rPr>
              <w:rFonts w:ascii="Arial" w:eastAsia="Times New Roman" w:hAnsi="Arial" w:cs="Arial"/>
              <w:color w:val="000000" w:themeColor="text1"/>
              <w:lang w:eastAsia="es-ES"/>
            </w:rPr>
            <w:fldChar w:fldCharType="begin"/>
          </w:r>
          <w:r w:rsidRPr="000E0F90">
            <w:rPr>
              <w:rFonts w:ascii="Arial" w:eastAsia="Times New Roman" w:hAnsi="Arial" w:cs="Arial"/>
              <w:color w:val="000000" w:themeColor="text1"/>
              <w:lang w:eastAsia="es-ES"/>
            </w:rPr>
            <w:instrText xml:space="preserve">CITATION DGA042 \t  \l 13322 </w:instrText>
          </w:r>
          <w:r w:rsidRPr="000E0F90">
            <w:rPr>
              <w:rFonts w:ascii="Arial" w:eastAsia="Times New Roman" w:hAnsi="Arial" w:cs="Arial"/>
              <w:color w:val="000000" w:themeColor="text1"/>
              <w:lang w:eastAsia="es-ES"/>
            </w:rPr>
            <w:fldChar w:fldCharType="separate"/>
          </w:r>
          <w:r w:rsidR="008D0261" w:rsidRPr="000E0F90">
            <w:rPr>
              <w:rFonts w:ascii="Arial" w:eastAsia="Times New Roman" w:hAnsi="Arial" w:cs="Arial"/>
              <w:noProof/>
              <w:color w:val="000000" w:themeColor="text1"/>
              <w:lang w:eastAsia="es-ES"/>
            </w:rPr>
            <w:t>(DGA, 2004)</w:t>
          </w:r>
          <w:r w:rsidRPr="000E0F90">
            <w:rPr>
              <w:rFonts w:ascii="Arial" w:eastAsia="Times New Roman" w:hAnsi="Arial" w:cs="Arial"/>
              <w:color w:val="000000" w:themeColor="text1"/>
              <w:lang w:eastAsia="es-ES"/>
            </w:rPr>
            <w:fldChar w:fldCharType="end"/>
          </w:r>
        </w:sdtContent>
      </w:sdt>
      <w:r w:rsidRPr="000E0F90">
        <w:rPr>
          <w:rFonts w:ascii="Arial" w:eastAsia="Times New Roman" w:hAnsi="Arial" w:cs="Arial"/>
          <w:color w:val="000000" w:themeColor="text1"/>
          <w:lang w:eastAsia="es-ES"/>
        </w:rPr>
        <w:t xml:space="preserve"> </w:t>
      </w:r>
      <w:sdt>
        <w:sdtPr>
          <w:rPr>
            <w:rFonts w:ascii="Arial" w:hAnsi="Arial" w:cs="Arial"/>
            <w:color w:val="000000" w:themeColor="text1"/>
          </w:rPr>
          <w:id w:val="1503940928"/>
          <w:citation/>
        </w:sdtPr>
        <w:sdtEndPr/>
        <w:sdtContent>
          <w:r w:rsidRPr="000E0F90">
            <w:rPr>
              <w:rFonts w:ascii="Arial" w:hAnsi="Arial" w:cs="Arial"/>
              <w:color w:val="000000" w:themeColor="text1"/>
            </w:rPr>
            <w:fldChar w:fldCharType="begin"/>
          </w:r>
          <w:r w:rsidR="00D531FE" w:rsidRPr="000E0F90">
            <w:rPr>
              <w:rFonts w:ascii="Arial" w:hAnsi="Arial" w:cs="Arial"/>
              <w:color w:val="000000" w:themeColor="text1"/>
            </w:rPr>
            <w:instrText xml:space="preserve">CITATION ARC13 \t  \l 13322 </w:instrText>
          </w:r>
          <w:r w:rsidRPr="000E0F90">
            <w:rPr>
              <w:rFonts w:ascii="Arial" w:hAnsi="Arial" w:cs="Arial"/>
              <w:color w:val="000000" w:themeColor="text1"/>
            </w:rPr>
            <w:fldChar w:fldCharType="separate"/>
          </w:r>
          <w:r w:rsidR="00D531FE" w:rsidRPr="000E0F90">
            <w:rPr>
              <w:rFonts w:ascii="Arial" w:hAnsi="Arial" w:cs="Arial"/>
              <w:noProof/>
              <w:color w:val="000000" w:themeColor="text1"/>
            </w:rPr>
            <w:t>(ARCADIS, 2013)</w:t>
          </w:r>
          <w:r w:rsidRPr="000E0F90">
            <w:rPr>
              <w:rFonts w:ascii="Arial" w:hAnsi="Arial" w:cs="Arial"/>
              <w:color w:val="000000" w:themeColor="text1"/>
            </w:rPr>
            <w:fldChar w:fldCharType="end"/>
          </w:r>
        </w:sdtContent>
      </w:sdt>
      <w:r w:rsidRPr="000E0F90">
        <w:rPr>
          <w:rFonts w:ascii="Arial" w:eastAsia="Times New Roman" w:hAnsi="Arial" w:cs="Arial"/>
          <w:color w:val="000000" w:themeColor="text1"/>
          <w:lang w:eastAsia="es-ES"/>
        </w:rPr>
        <w:t xml:space="preserve">. </w:t>
      </w:r>
    </w:p>
    <w:p w:rsidR="00E92548" w:rsidRPr="000E0F90" w:rsidRDefault="00264DFC" w:rsidP="008D6193">
      <w:pPr>
        <w:spacing w:line="360" w:lineRule="auto"/>
        <w:rPr>
          <w:rFonts w:ascii="Arial" w:hAnsi="Arial" w:cs="Arial"/>
          <w:color w:val="000000" w:themeColor="text1"/>
        </w:rPr>
      </w:pPr>
      <w:r>
        <w:rPr>
          <w:rFonts w:ascii="Arial" w:hAnsi="Arial" w:cs="Arial"/>
          <w:color w:val="000000" w:themeColor="text1"/>
        </w:rPr>
        <w:lastRenderedPageBreak/>
        <w:t>L</w:t>
      </w:r>
      <w:r w:rsidR="00E92548" w:rsidRPr="000E0F90">
        <w:rPr>
          <w:rFonts w:ascii="Arial" w:hAnsi="Arial" w:cs="Arial"/>
          <w:color w:val="000000" w:themeColor="text1"/>
        </w:rPr>
        <w:t>os suelos corresponde principalmente a suelos á</w:t>
      </w:r>
      <w:r w:rsidR="00023F53">
        <w:rPr>
          <w:rFonts w:ascii="Arial" w:hAnsi="Arial" w:cs="Arial"/>
          <w:color w:val="000000" w:themeColor="text1"/>
        </w:rPr>
        <w:t>ridos, reconociéndose dos tipos</w:t>
      </w:r>
      <w:r w:rsidR="00E92548" w:rsidRPr="000E0F90">
        <w:rPr>
          <w:rFonts w:ascii="Arial" w:hAnsi="Arial" w:cs="Arial"/>
          <w:color w:val="000000" w:themeColor="text1"/>
        </w:rPr>
        <w:t xml:space="preserve">, suelos de la zona altiplánica y suelos de los valles transversales </w:t>
      </w:r>
      <w:sdt>
        <w:sdtPr>
          <w:rPr>
            <w:rFonts w:ascii="Arial" w:hAnsi="Arial" w:cs="Arial"/>
            <w:color w:val="000000" w:themeColor="text1"/>
          </w:rPr>
          <w:id w:val="-592622958"/>
          <w:citation/>
        </w:sdtPr>
        <w:sdtEndPr/>
        <w:sdtContent>
          <w:r w:rsidR="00E92548" w:rsidRPr="000E0F90">
            <w:rPr>
              <w:rFonts w:ascii="Arial" w:hAnsi="Arial" w:cs="Arial"/>
              <w:color w:val="000000" w:themeColor="text1"/>
            </w:rPr>
            <w:fldChar w:fldCharType="begin"/>
          </w:r>
          <w:r w:rsidR="00E92548" w:rsidRPr="000E0F90">
            <w:rPr>
              <w:rFonts w:ascii="Arial" w:hAnsi="Arial" w:cs="Arial"/>
              <w:color w:val="000000" w:themeColor="text1"/>
            </w:rPr>
            <w:instrText xml:space="preserve"> CITATION Luz10 \l 13322 </w:instrText>
          </w:r>
          <w:r w:rsidR="00E92548" w:rsidRPr="000E0F90">
            <w:rPr>
              <w:rFonts w:ascii="Arial" w:hAnsi="Arial" w:cs="Arial"/>
              <w:color w:val="000000" w:themeColor="text1"/>
            </w:rPr>
            <w:fldChar w:fldCharType="separate"/>
          </w:r>
          <w:r w:rsidR="008D0261" w:rsidRPr="000E0F90">
            <w:rPr>
              <w:rFonts w:ascii="Arial" w:hAnsi="Arial" w:cs="Arial"/>
              <w:noProof/>
              <w:color w:val="000000" w:themeColor="text1"/>
            </w:rPr>
            <w:t>(Luzio, Casanova, &amp; Seguel, 2010)</w:t>
          </w:r>
          <w:r w:rsidR="00E92548" w:rsidRPr="000E0F90">
            <w:rPr>
              <w:rFonts w:ascii="Arial" w:hAnsi="Arial" w:cs="Arial"/>
              <w:color w:val="000000" w:themeColor="text1"/>
            </w:rPr>
            <w:fldChar w:fldCharType="end"/>
          </w:r>
        </w:sdtContent>
      </w:sdt>
      <w:r w:rsidR="00E92548" w:rsidRPr="000E0F90">
        <w:rPr>
          <w:rFonts w:ascii="Arial" w:hAnsi="Arial" w:cs="Arial"/>
          <w:color w:val="000000" w:themeColor="text1"/>
        </w:rPr>
        <w:t xml:space="preserve">. Evidenciando en los suelos de los cerros, escaso desarrollo, gran pedregosidad y rocosidad, limitando su uso </w:t>
      </w:r>
      <w:sdt>
        <w:sdtPr>
          <w:rPr>
            <w:rFonts w:ascii="Arial" w:hAnsi="Arial" w:cs="Arial"/>
            <w:color w:val="000000" w:themeColor="text1"/>
          </w:rPr>
          <w:id w:val="1484278551"/>
          <w:citation/>
        </w:sdtPr>
        <w:sdtEndPr/>
        <w:sdtContent>
          <w:r w:rsidR="00E92548" w:rsidRPr="000E0F90">
            <w:rPr>
              <w:rFonts w:ascii="Arial" w:hAnsi="Arial" w:cs="Arial"/>
              <w:color w:val="000000" w:themeColor="text1"/>
            </w:rPr>
            <w:fldChar w:fldCharType="begin"/>
          </w:r>
          <w:r w:rsidR="00E92548" w:rsidRPr="000E0F90">
            <w:rPr>
              <w:rFonts w:ascii="Arial" w:hAnsi="Arial" w:cs="Arial"/>
              <w:color w:val="000000" w:themeColor="text1"/>
            </w:rPr>
            <w:instrText xml:space="preserve"> CITATION MWH11 \l 13322 </w:instrText>
          </w:r>
          <w:r w:rsidR="00E92548" w:rsidRPr="000E0F90">
            <w:rPr>
              <w:rFonts w:ascii="Arial" w:hAnsi="Arial" w:cs="Arial"/>
              <w:color w:val="000000" w:themeColor="text1"/>
            </w:rPr>
            <w:fldChar w:fldCharType="separate"/>
          </w:r>
          <w:r w:rsidR="008D0261" w:rsidRPr="000E0F90">
            <w:rPr>
              <w:rFonts w:ascii="Arial" w:hAnsi="Arial" w:cs="Arial"/>
              <w:noProof/>
              <w:color w:val="000000" w:themeColor="text1"/>
            </w:rPr>
            <w:t>(MWH, 2011)</w:t>
          </w:r>
          <w:r w:rsidR="00E92548" w:rsidRPr="000E0F90">
            <w:rPr>
              <w:rFonts w:ascii="Arial" w:hAnsi="Arial" w:cs="Arial"/>
              <w:color w:val="000000" w:themeColor="text1"/>
            </w:rPr>
            <w:fldChar w:fldCharType="end"/>
          </w:r>
        </w:sdtContent>
      </w:sdt>
      <w:r w:rsidR="00E92548" w:rsidRPr="000E0F90">
        <w:rPr>
          <w:rFonts w:ascii="Arial" w:hAnsi="Arial" w:cs="Arial"/>
          <w:color w:val="000000" w:themeColor="text1"/>
        </w:rPr>
        <w:t>. En tanto, los suelos del valle de</w:t>
      </w:r>
      <w:r>
        <w:rPr>
          <w:rFonts w:ascii="Arial" w:hAnsi="Arial" w:cs="Arial"/>
          <w:color w:val="000000" w:themeColor="text1"/>
        </w:rPr>
        <w:t>l</w:t>
      </w:r>
      <w:r w:rsidR="00E92548" w:rsidRPr="000E0F90">
        <w:rPr>
          <w:rFonts w:ascii="Arial" w:hAnsi="Arial" w:cs="Arial"/>
          <w:color w:val="000000" w:themeColor="text1"/>
        </w:rPr>
        <w:t xml:space="preserve"> Copiapó se caracterizan por presentar texturas finas, con una capacidad de suelo entre II y IV, </w:t>
      </w:r>
      <w:r w:rsidR="00F35AF7" w:rsidRPr="000E0F90">
        <w:rPr>
          <w:rFonts w:ascii="Arial" w:hAnsi="Arial" w:cs="Arial"/>
          <w:color w:val="000000" w:themeColor="text1"/>
        </w:rPr>
        <w:t>constituyéndose</w:t>
      </w:r>
      <w:r w:rsidR="00E92548" w:rsidRPr="000E0F90">
        <w:rPr>
          <w:rFonts w:ascii="Arial" w:hAnsi="Arial" w:cs="Arial"/>
          <w:color w:val="000000" w:themeColor="text1"/>
        </w:rPr>
        <w:t xml:space="preserve"> como las únicas áreas para el desarrollo agropecuario </w:t>
      </w:r>
      <w:sdt>
        <w:sdtPr>
          <w:rPr>
            <w:rFonts w:ascii="Arial" w:hAnsi="Arial" w:cs="Arial"/>
            <w:color w:val="000000" w:themeColor="text1"/>
          </w:rPr>
          <w:id w:val="-1482610172"/>
          <w:citation/>
        </w:sdtPr>
        <w:sdtEndPr/>
        <w:sdtContent>
          <w:r w:rsidR="00E92548" w:rsidRPr="000E0F90">
            <w:rPr>
              <w:rFonts w:ascii="Arial" w:hAnsi="Arial" w:cs="Arial"/>
              <w:color w:val="000000" w:themeColor="text1"/>
            </w:rPr>
            <w:fldChar w:fldCharType="begin"/>
          </w:r>
          <w:r w:rsidR="00D531FE" w:rsidRPr="000E0F90">
            <w:rPr>
              <w:rFonts w:ascii="Arial" w:hAnsi="Arial" w:cs="Arial"/>
              <w:color w:val="000000" w:themeColor="text1"/>
            </w:rPr>
            <w:instrText xml:space="preserve">CITATION ARC13 \t  \l 13322 </w:instrText>
          </w:r>
          <w:r w:rsidR="00E92548" w:rsidRPr="000E0F90">
            <w:rPr>
              <w:rFonts w:ascii="Arial" w:hAnsi="Arial" w:cs="Arial"/>
              <w:color w:val="000000" w:themeColor="text1"/>
            </w:rPr>
            <w:fldChar w:fldCharType="separate"/>
          </w:r>
          <w:r w:rsidR="00D531FE" w:rsidRPr="000E0F90">
            <w:rPr>
              <w:rFonts w:ascii="Arial" w:hAnsi="Arial" w:cs="Arial"/>
              <w:noProof/>
              <w:color w:val="000000" w:themeColor="text1"/>
            </w:rPr>
            <w:t>(ARCADIS, 2013)</w:t>
          </w:r>
          <w:r w:rsidR="00E92548" w:rsidRPr="000E0F90">
            <w:rPr>
              <w:rFonts w:ascii="Arial" w:hAnsi="Arial" w:cs="Arial"/>
              <w:color w:val="000000" w:themeColor="text1"/>
            </w:rPr>
            <w:fldChar w:fldCharType="end"/>
          </w:r>
        </w:sdtContent>
      </w:sdt>
      <w:r w:rsidR="00E92548" w:rsidRPr="000E0F90">
        <w:rPr>
          <w:rFonts w:ascii="Arial" w:hAnsi="Arial" w:cs="Arial"/>
          <w:color w:val="000000" w:themeColor="text1"/>
        </w:rPr>
        <w:t xml:space="preserve"> </w:t>
      </w:r>
      <w:sdt>
        <w:sdtPr>
          <w:rPr>
            <w:rFonts w:ascii="Arial" w:hAnsi="Arial" w:cs="Arial"/>
            <w:color w:val="000000" w:themeColor="text1"/>
          </w:rPr>
          <w:id w:val="-16783066"/>
          <w:citation/>
        </w:sdtPr>
        <w:sdtEndPr/>
        <w:sdtContent>
          <w:r w:rsidR="00E92548" w:rsidRPr="000E0F90">
            <w:rPr>
              <w:rFonts w:ascii="Arial" w:hAnsi="Arial" w:cs="Arial"/>
              <w:color w:val="000000" w:themeColor="text1"/>
            </w:rPr>
            <w:fldChar w:fldCharType="begin"/>
          </w:r>
          <w:r w:rsidR="00E92548" w:rsidRPr="000E0F90">
            <w:rPr>
              <w:rFonts w:ascii="Arial" w:hAnsi="Arial" w:cs="Arial"/>
              <w:color w:val="000000" w:themeColor="text1"/>
            </w:rPr>
            <w:instrText xml:space="preserve"> CITATION MWH11 \l 13322 </w:instrText>
          </w:r>
          <w:r w:rsidR="00E92548" w:rsidRPr="000E0F90">
            <w:rPr>
              <w:rFonts w:ascii="Arial" w:hAnsi="Arial" w:cs="Arial"/>
              <w:color w:val="000000" w:themeColor="text1"/>
            </w:rPr>
            <w:fldChar w:fldCharType="separate"/>
          </w:r>
          <w:r w:rsidR="008D0261" w:rsidRPr="000E0F90">
            <w:rPr>
              <w:rFonts w:ascii="Arial" w:hAnsi="Arial" w:cs="Arial"/>
              <w:noProof/>
              <w:color w:val="000000" w:themeColor="text1"/>
            </w:rPr>
            <w:t>(MWH, 2011)</w:t>
          </w:r>
          <w:r w:rsidR="00E92548" w:rsidRPr="000E0F90">
            <w:rPr>
              <w:rFonts w:ascii="Arial" w:hAnsi="Arial" w:cs="Arial"/>
              <w:color w:val="000000" w:themeColor="text1"/>
            </w:rPr>
            <w:fldChar w:fldCharType="end"/>
          </w:r>
        </w:sdtContent>
      </w:sdt>
      <w:r w:rsidR="00E92548" w:rsidRPr="000E0F90">
        <w:rPr>
          <w:rFonts w:ascii="Arial" w:hAnsi="Arial" w:cs="Arial"/>
          <w:color w:val="000000" w:themeColor="text1"/>
        </w:rPr>
        <w:t xml:space="preserve">. </w:t>
      </w:r>
      <w:r>
        <w:rPr>
          <w:rFonts w:ascii="Arial" w:hAnsi="Arial" w:cs="Arial"/>
          <w:color w:val="000000" w:themeColor="text1"/>
        </w:rPr>
        <w:t>E</w:t>
      </w:r>
      <w:r w:rsidRPr="000E0F90">
        <w:rPr>
          <w:rFonts w:ascii="Arial" w:hAnsi="Arial" w:cs="Arial"/>
          <w:color w:val="000000" w:themeColor="text1"/>
        </w:rPr>
        <w:t>n las zonas altiplánicas</w:t>
      </w:r>
      <w:r>
        <w:rPr>
          <w:rFonts w:ascii="Arial" w:hAnsi="Arial" w:cs="Arial"/>
          <w:color w:val="000000" w:themeColor="text1"/>
        </w:rPr>
        <w:t xml:space="preserve"> se presentan </w:t>
      </w:r>
      <w:r w:rsidR="00E92548" w:rsidRPr="000E0F90">
        <w:rPr>
          <w:rFonts w:ascii="Arial" w:hAnsi="Arial" w:cs="Arial"/>
          <w:color w:val="000000" w:themeColor="text1"/>
        </w:rPr>
        <w:t>suelos de vegas y bofedales, utilizada</w:t>
      </w:r>
      <w:r w:rsidR="00023F53">
        <w:rPr>
          <w:rFonts w:ascii="Arial" w:hAnsi="Arial" w:cs="Arial"/>
          <w:color w:val="000000" w:themeColor="text1"/>
        </w:rPr>
        <w:t>s</w:t>
      </w:r>
      <w:r w:rsidR="00E92548" w:rsidRPr="000E0F90">
        <w:rPr>
          <w:rFonts w:ascii="Arial" w:hAnsi="Arial" w:cs="Arial"/>
          <w:color w:val="000000" w:themeColor="text1"/>
        </w:rPr>
        <w:t xml:space="preserve"> para pastoreo y extracción de agua </w:t>
      </w:r>
      <w:sdt>
        <w:sdtPr>
          <w:rPr>
            <w:rFonts w:ascii="Arial" w:hAnsi="Arial" w:cs="Arial"/>
            <w:color w:val="000000" w:themeColor="text1"/>
          </w:rPr>
          <w:id w:val="1719243212"/>
          <w:citation/>
        </w:sdtPr>
        <w:sdtEndPr/>
        <w:sdtContent>
          <w:r w:rsidR="00E92548" w:rsidRPr="000E0F90">
            <w:rPr>
              <w:rFonts w:ascii="Arial" w:hAnsi="Arial" w:cs="Arial"/>
              <w:color w:val="000000" w:themeColor="text1"/>
            </w:rPr>
            <w:fldChar w:fldCharType="begin"/>
          </w:r>
          <w:r w:rsidR="00E92548" w:rsidRPr="000E0F90">
            <w:rPr>
              <w:rFonts w:ascii="Arial" w:hAnsi="Arial" w:cs="Arial"/>
              <w:color w:val="000000" w:themeColor="text1"/>
            </w:rPr>
            <w:instrText xml:space="preserve"> CITATION MWH11 \l 13322 </w:instrText>
          </w:r>
          <w:r w:rsidR="00E92548" w:rsidRPr="000E0F90">
            <w:rPr>
              <w:rFonts w:ascii="Arial" w:hAnsi="Arial" w:cs="Arial"/>
              <w:color w:val="000000" w:themeColor="text1"/>
            </w:rPr>
            <w:fldChar w:fldCharType="separate"/>
          </w:r>
          <w:r w:rsidR="008D0261" w:rsidRPr="000E0F90">
            <w:rPr>
              <w:rFonts w:ascii="Arial" w:hAnsi="Arial" w:cs="Arial"/>
              <w:noProof/>
              <w:color w:val="000000" w:themeColor="text1"/>
            </w:rPr>
            <w:t>(MWH, 2011)</w:t>
          </w:r>
          <w:r w:rsidR="00E92548" w:rsidRPr="000E0F90">
            <w:rPr>
              <w:rFonts w:ascii="Arial" w:hAnsi="Arial" w:cs="Arial"/>
              <w:color w:val="000000" w:themeColor="text1"/>
            </w:rPr>
            <w:fldChar w:fldCharType="end"/>
          </w:r>
        </w:sdtContent>
      </w:sdt>
      <w:r w:rsidR="00E92548" w:rsidRPr="000E0F90">
        <w:rPr>
          <w:rFonts w:ascii="Arial" w:hAnsi="Arial" w:cs="Arial"/>
          <w:color w:val="000000" w:themeColor="text1"/>
        </w:rPr>
        <w:t>.</w:t>
      </w:r>
    </w:p>
    <w:p w:rsidR="00B368EA" w:rsidRPr="000E0F90" w:rsidRDefault="00B368EA" w:rsidP="008D6193">
      <w:pPr>
        <w:spacing w:after="0" w:line="360" w:lineRule="auto"/>
        <w:jc w:val="left"/>
        <w:rPr>
          <w:rFonts w:ascii="Arial" w:eastAsia="Times New Roman" w:hAnsi="Arial" w:cs="Arial"/>
          <w:b/>
          <w:color w:val="000000" w:themeColor="text1"/>
          <w:lang w:eastAsia="es-ES"/>
        </w:rPr>
      </w:pPr>
      <w:r w:rsidRPr="000E0F90">
        <w:rPr>
          <w:rFonts w:ascii="Arial" w:eastAsia="Times New Roman" w:hAnsi="Arial" w:cs="Arial"/>
          <w:b/>
          <w:color w:val="000000" w:themeColor="text1"/>
          <w:lang w:eastAsia="es-ES"/>
        </w:rPr>
        <w:t>Hidroestructura:</w:t>
      </w:r>
    </w:p>
    <w:p w:rsidR="00A421A2" w:rsidRPr="000E0F90" w:rsidRDefault="00A421A2" w:rsidP="008D6193">
      <w:pPr>
        <w:spacing w:line="360" w:lineRule="auto"/>
        <w:rPr>
          <w:rFonts w:ascii="Arial" w:eastAsia="Times New Roman" w:hAnsi="Arial" w:cs="Arial"/>
          <w:color w:val="000000" w:themeColor="text1"/>
          <w:lang w:eastAsia="es-ES"/>
        </w:rPr>
      </w:pPr>
      <w:r w:rsidRPr="000E0F90">
        <w:rPr>
          <w:rFonts w:ascii="Arial" w:eastAsia="Times New Roman" w:hAnsi="Arial" w:cs="Arial"/>
          <w:color w:val="000000" w:themeColor="text1"/>
          <w:lang w:eastAsia="es-ES"/>
        </w:rPr>
        <w:t xml:space="preserve">La cuenca </w:t>
      </w:r>
      <w:r w:rsidR="00213753" w:rsidRPr="000E0F90">
        <w:rPr>
          <w:rFonts w:ascii="Arial" w:eastAsia="Times New Roman" w:hAnsi="Arial" w:cs="Arial"/>
          <w:color w:val="000000" w:themeColor="text1"/>
          <w:lang w:eastAsia="es-ES"/>
        </w:rPr>
        <w:t xml:space="preserve">hidrográfica </w:t>
      </w:r>
      <w:r w:rsidRPr="000E0F90">
        <w:rPr>
          <w:rFonts w:ascii="Arial" w:eastAsia="Times New Roman" w:hAnsi="Arial" w:cs="Arial"/>
          <w:color w:val="000000" w:themeColor="text1"/>
          <w:lang w:eastAsia="es-ES"/>
        </w:rPr>
        <w:t xml:space="preserve">del río Copiapó, </w:t>
      </w:r>
      <w:r w:rsidR="00213753" w:rsidRPr="000E0F90">
        <w:rPr>
          <w:rFonts w:ascii="Arial" w:eastAsia="Times New Roman" w:hAnsi="Arial" w:cs="Arial"/>
          <w:color w:val="000000" w:themeColor="text1"/>
          <w:lang w:eastAsia="es-ES"/>
        </w:rPr>
        <w:t>a</w:t>
      </w:r>
      <w:r w:rsidRPr="000E0F90">
        <w:rPr>
          <w:rFonts w:ascii="Arial" w:eastAsia="Times New Roman" w:hAnsi="Arial" w:cs="Arial"/>
          <w:color w:val="000000" w:themeColor="text1"/>
          <w:lang w:eastAsia="es-ES"/>
        </w:rPr>
        <w:t>barca una superficie total de</w:t>
      </w:r>
      <w:r w:rsidR="00213753" w:rsidRPr="000E0F90">
        <w:rPr>
          <w:rFonts w:ascii="Arial" w:eastAsia="Times New Roman" w:hAnsi="Arial" w:cs="Arial"/>
          <w:color w:val="000000" w:themeColor="text1"/>
          <w:lang w:eastAsia="es-ES"/>
        </w:rPr>
        <w:t xml:space="preserve"> </w:t>
      </w:r>
      <w:r w:rsidRPr="000E0F90">
        <w:rPr>
          <w:rFonts w:ascii="Arial" w:eastAsia="Times New Roman" w:hAnsi="Arial" w:cs="Arial"/>
          <w:color w:val="000000" w:themeColor="text1"/>
          <w:lang w:eastAsia="es-ES"/>
        </w:rPr>
        <w:t>aproximadamente 18.400 km2</w:t>
      </w:r>
      <w:r w:rsidR="00213753" w:rsidRPr="000E0F90">
        <w:rPr>
          <w:rFonts w:ascii="Arial" w:eastAsia="Times New Roman" w:hAnsi="Arial" w:cs="Arial"/>
          <w:color w:val="000000" w:themeColor="text1"/>
          <w:lang w:eastAsia="es-ES"/>
        </w:rPr>
        <w:t xml:space="preserve">. </w:t>
      </w:r>
      <w:r w:rsidRPr="000E0F90">
        <w:rPr>
          <w:rFonts w:ascii="Arial" w:eastAsia="Times New Roman" w:hAnsi="Arial" w:cs="Arial"/>
          <w:color w:val="000000" w:themeColor="text1"/>
          <w:lang w:eastAsia="es-ES"/>
        </w:rPr>
        <w:t>El río Copiapó se forma en La Junta, a 1230 m</w:t>
      </w:r>
      <w:r w:rsidR="00F35AF7" w:rsidRPr="000E0F90">
        <w:rPr>
          <w:rFonts w:ascii="Arial" w:eastAsia="Times New Roman" w:hAnsi="Arial" w:cs="Arial"/>
          <w:color w:val="000000" w:themeColor="text1"/>
          <w:lang w:eastAsia="es-ES"/>
        </w:rPr>
        <w:t>.</w:t>
      </w:r>
      <w:r w:rsidRPr="000E0F90">
        <w:rPr>
          <w:rFonts w:ascii="Arial" w:eastAsia="Times New Roman" w:hAnsi="Arial" w:cs="Arial"/>
          <w:color w:val="000000" w:themeColor="text1"/>
          <w:lang w:eastAsia="es-ES"/>
        </w:rPr>
        <w:t xml:space="preserve">s.n.m, </w:t>
      </w:r>
      <w:r w:rsidR="00213753" w:rsidRPr="000E0F90">
        <w:rPr>
          <w:rFonts w:ascii="Arial" w:eastAsia="Times New Roman" w:hAnsi="Arial" w:cs="Arial"/>
          <w:color w:val="000000" w:themeColor="text1"/>
          <w:lang w:eastAsia="es-ES"/>
        </w:rPr>
        <w:t xml:space="preserve">producto de </w:t>
      </w:r>
      <w:r w:rsidRPr="000E0F90">
        <w:rPr>
          <w:rFonts w:ascii="Arial" w:eastAsia="Times New Roman" w:hAnsi="Arial" w:cs="Arial"/>
          <w:color w:val="000000" w:themeColor="text1"/>
          <w:lang w:eastAsia="es-ES"/>
        </w:rPr>
        <w:t>la confluencia</w:t>
      </w:r>
      <w:r w:rsidR="00213753" w:rsidRPr="000E0F90">
        <w:rPr>
          <w:rFonts w:ascii="Arial" w:eastAsia="Times New Roman" w:hAnsi="Arial" w:cs="Arial"/>
          <w:color w:val="000000" w:themeColor="text1"/>
          <w:lang w:eastAsia="es-ES"/>
        </w:rPr>
        <w:t xml:space="preserve"> </w:t>
      </w:r>
      <w:r w:rsidRPr="000E0F90">
        <w:rPr>
          <w:rFonts w:ascii="Arial" w:eastAsia="Times New Roman" w:hAnsi="Arial" w:cs="Arial"/>
          <w:color w:val="000000" w:themeColor="text1"/>
          <w:lang w:eastAsia="es-ES"/>
        </w:rPr>
        <w:t xml:space="preserve">de sus dos tributarios, el Jorquera que viene del norte </w:t>
      </w:r>
      <w:r w:rsidR="00133E4B">
        <w:rPr>
          <w:rFonts w:ascii="Arial" w:eastAsia="Times New Roman" w:hAnsi="Arial" w:cs="Arial"/>
          <w:color w:val="000000" w:themeColor="text1"/>
          <w:lang w:eastAsia="es-ES"/>
        </w:rPr>
        <w:t xml:space="preserve">(4.160 km2) </w:t>
      </w:r>
      <w:r w:rsidRPr="000E0F90">
        <w:rPr>
          <w:rFonts w:ascii="Arial" w:eastAsia="Times New Roman" w:hAnsi="Arial" w:cs="Arial"/>
          <w:color w:val="000000" w:themeColor="text1"/>
          <w:lang w:eastAsia="es-ES"/>
        </w:rPr>
        <w:t>y el Pulido que viene</w:t>
      </w:r>
      <w:r w:rsidR="00213753" w:rsidRPr="000E0F90">
        <w:rPr>
          <w:rFonts w:ascii="Arial" w:eastAsia="Times New Roman" w:hAnsi="Arial" w:cs="Arial"/>
          <w:color w:val="000000" w:themeColor="text1"/>
          <w:lang w:eastAsia="es-ES"/>
        </w:rPr>
        <w:t xml:space="preserve"> </w:t>
      </w:r>
      <w:r w:rsidRPr="000E0F90">
        <w:rPr>
          <w:rFonts w:ascii="Arial" w:eastAsia="Times New Roman" w:hAnsi="Arial" w:cs="Arial"/>
          <w:color w:val="000000" w:themeColor="text1"/>
          <w:lang w:eastAsia="es-ES"/>
        </w:rPr>
        <w:t>del sureste</w:t>
      </w:r>
      <w:r w:rsidR="00133E4B">
        <w:rPr>
          <w:rFonts w:ascii="Arial" w:eastAsia="Times New Roman" w:hAnsi="Arial" w:cs="Arial"/>
          <w:color w:val="000000" w:themeColor="text1"/>
          <w:lang w:eastAsia="es-ES"/>
        </w:rPr>
        <w:t xml:space="preserve"> </w:t>
      </w:r>
      <w:r w:rsidR="00133E4B" w:rsidRPr="000E0F90">
        <w:rPr>
          <w:rFonts w:ascii="Arial" w:eastAsia="Times New Roman" w:hAnsi="Arial" w:cs="Arial"/>
          <w:color w:val="000000" w:themeColor="text1"/>
          <w:lang w:eastAsia="es-ES"/>
        </w:rPr>
        <w:t>(2.100 km2)</w:t>
      </w:r>
      <w:r w:rsidR="00023F53">
        <w:rPr>
          <w:rFonts w:ascii="Arial" w:eastAsia="Times New Roman" w:hAnsi="Arial" w:cs="Arial"/>
          <w:color w:val="000000" w:themeColor="text1"/>
          <w:lang w:eastAsia="es-ES"/>
        </w:rPr>
        <w:t>, el cual realiza el mayor aporte</w:t>
      </w:r>
      <w:r w:rsidRPr="000E0F90">
        <w:rPr>
          <w:rFonts w:ascii="Arial" w:eastAsia="Times New Roman" w:hAnsi="Arial" w:cs="Arial"/>
          <w:color w:val="000000" w:themeColor="text1"/>
          <w:lang w:eastAsia="es-ES"/>
        </w:rPr>
        <w:t xml:space="preserve">. </w:t>
      </w:r>
      <w:r w:rsidR="00213753" w:rsidRPr="000E0F90">
        <w:rPr>
          <w:rFonts w:ascii="Arial" w:eastAsia="Times New Roman" w:hAnsi="Arial" w:cs="Arial"/>
          <w:color w:val="000000" w:themeColor="text1"/>
          <w:lang w:eastAsia="es-ES"/>
        </w:rPr>
        <w:t xml:space="preserve">Aguas abajo se incorpora </w:t>
      </w:r>
      <w:r w:rsidRPr="000E0F90">
        <w:rPr>
          <w:rFonts w:ascii="Arial" w:eastAsia="Times New Roman" w:hAnsi="Arial" w:cs="Arial"/>
          <w:color w:val="000000" w:themeColor="text1"/>
          <w:lang w:eastAsia="es-ES"/>
        </w:rPr>
        <w:t>el río Manflas, que</w:t>
      </w:r>
      <w:r w:rsidR="00213753" w:rsidRPr="000E0F90">
        <w:rPr>
          <w:rFonts w:ascii="Arial" w:eastAsia="Times New Roman" w:hAnsi="Arial" w:cs="Arial"/>
          <w:color w:val="000000" w:themeColor="text1"/>
          <w:lang w:eastAsia="es-ES"/>
        </w:rPr>
        <w:t xml:space="preserve"> </w:t>
      </w:r>
      <w:r w:rsidRPr="000E0F90">
        <w:rPr>
          <w:rFonts w:ascii="Arial" w:eastAsia="Times New Roman" w:hAnsi="Arial" w:cs="Arial"/>
          <w:color w:val="000000" w:themeColor="text1"/>
          <w:lang w:eastAsia="es-ES"/>
        </w:rPr>
        <w:t>proviene</w:t>
      </w:r>
      <w:r w:rsidR="00133E4B">
        <w:rPr>
          <w:rFonts w:ascii="Arial" w:eastAsia="Times New Roman" w:hAnsi="Arial" w:cs="Arial"/>
          <w:color w:val="000000" w:themeColor="text1"/>
          <w:lang w:eastAsia="es-ES"/>
        </w:rPr>
        <w:t xml:space="preserve"> del sur con un reducido caudal</w:t>
      </w:r>
      <w:r w:rsidRPr="000E0F90">
        <w:rPr>
          <w:rFonts w:ascii="Arial" w:eastAsia="Times New Roman" w:hAnsi="Arial" w:cs="Arial"/>
          <w:color w:val="000000" w:themeColor="text1"/>
          <w:lang w:eastAsia="es-ES"/>
        </w:rPr>
        <w:t xml:space="preserve"> </w:t>
      </w:r>
      <w:sdt>
        <w:sdtPr>
          <w:rPr>
            <w:rFonts w:ascii="Arial" w:eastAsia="Times New Roman" w:hAnsi="Arial" w:cs="Arial"/>
            <w:color w:val="000000" w:themeColor="text1"/>
            <w:lang w:eastAsia="es-ES"/>
          </w:rPr>
          <w:id w:val="14660123"/>
          <w:citation/>
        </w:sdtPr>
        <w:sdtEndPr/>
        <w:sdtContent>
          <w:r w:rsidR="0047146F" w:rsidRPr="000E0F90">
            <w:rPr>
              <w:rFonts w:ascii="Arial" w:eastAsia="Times New Roman" w:hAnsi="Arial" w:cs="Arial"/>
              <w:color w:val="000000" w:themeColor="text1"/>
              <w:lang w:eastAsia="es-ES"/>
            </w:rPr>
            <w:fldChar w:fldCharType="begin"/>
          </w:r>
          <w:r w:rsidR="0047146F" w:rsidRPr="000E0F90">
            <w:rPr>
              <w:rFonts w:ascii="Arial" w:eastAsia="Times New Roman" w:hAnsi="Arial" w:cs="Arial"/>
              <w:color w:val="000000" w:themeColor="text1"/>
              <w:lang w:eastAsia="es-ES"/>
            </w:rPr>
            <w:instrText xml:space="preserve">CITATION DGA042 \t  \l 13322 </w:instrText>
          </w:r>
          <w:r w:rsidR="0047146F" w:rsidRPr="000E0F90">
            <w:rPr>
              <w:rFonts w:ascii="Arial" w:eastAsia="Times New Roman" w:hAnsi="Arial" w:cs="Arial"/>
              <w:color w:val="000000" w:themeColor="text1"/>
              <w:lang w:eastAsia="es-ES"/>
            </w:rPr>
            <w:fldChar w:fldCharType="separate"/>
          </w:r>
          <w:r w:rsidR="008D0261" w:rsidRPr="000E0F90">
            <w:rPr>
              <w:rFonts w:ascii="Arial" w:eastAsia="Times New Roman" w:hAnsi="Arial" w:cs="Arial"/>
              <w:noProof/>
              <w:color w:val="000000" w:themeColor="text1"/>
              <w:lang w:eastAsia="es-ES"/>
            </w:rPr>
            <w:t>(DGA, 2004)</w:t>
          </w:r>
          <w:r w:rsidR="0047146F" w:rsidRPr="000E0F90">
            <w:rPr>
              <w:rFonts w:ascii="Arial" w:eastAsia="Times New Roman" w:hAnsi="Arial" w:cs="Arial"/>
              <w:color w:val="000000" w:themeColor="text1"/>
              <w:lang w:eastAsia="es-ES"/>
            </w:rPr>
            <w:fldChar w:fldCharType="end"/>
          </w:r>
        </w:sdtContent>
      </w:sdt>
      <w:r w:rsidR="00B42906" w:rsidRPr="000E0F90">
        <w:rPr>
          <w:rFonts w:ascii="Arial" w:eastAsia="Times New Roman" w:hAnsi="Arial" w:cs="Arial"/>
          <w:color w:val="000000" w:themeColor="text1"/>
          <w:lang w:eastAsia="es-ES"/>
        </w:rPr>
        <w:t>.</w:t>
      </w:r>
    </w:p>
    <w:p w:rsidR="00C66E68" w:rsidRPr="000E0F90" w:rsidRDefault="003B1F4E" w:rsidP="008D6193">
      <w:pPr>
        <w:spacing w:after="0" w:line="360" w:lineRule="auto"/>
        <w:rPr>
          <w:rFonts w:ascii="Arial" w:eastAsia="Times New Roman" w:hAnsi="Arial" w:cs="Arial"/>
          <w:b/>
          <w:bCs/>
          <w:iCs/>
          <w:color w:val="000000" w:themeColor="text1"/>
          <w:lang w:eastAsia="es-ES"/>
        </w:rPr>
      </w:pPr>
      <w:r w:rsidRPr="000E0F90">
        <w:rPr>
          <w:rFonts w:ascii="Arial" w:eastAsia="Times New Roman" w:hAnsi="Arial" w:cs="Arial"/>
          <w:b/>
          <w:bCs/>
          <w:iCs/>
          <w:color w:val="000000" w:themeColor="text1"/>
          <w:lang w:eastAsia="es-ES"/>
        </w:rPr>
        <w:t>Vegetación y Fauna</w:t>
      </w:r>
    </w:p>
    <w:p w:rsidR="003327D9" w:rsidRPr="000E0F90" w:rsidRDefault="003327D9" w:rsidP="008D6193">
      <w:pPr>
        <w:spacing w:line="360" w:lineRule="auto"/>
        <w:rPr>
          <w:rFonts w:ascii="Arial" w:hAnsi="Arial" w:cs="Arial"/>
          <w:color w:val="000000" w:themeColor="text1"/>
        </w:rPr>
      </w:pPr>
      <w:r w:rsidRPr="000E0F90">
        <w:rPr>
          <w:rFonts w:ascii="Arial" w:eastAsia="Times New Roman" w:hAnsi="Arial" w:cs="Arial"/>
          <w:bCs/>
          <w:iCs/>
          <w:color w:val="000000" w:themeColor="text1"/>
          <w:lang w:eastAsia="es-ES"/>
        </w:rPr>
        <w:t xml:space="preserve">De acuerdo a </w:t>
      </w:r>
      <w:sdt>
        <w:sdtPr>
          <w:rPr>
            <w:rFonts w:ascii="Arial" w:hAnsi="Arial" w:cs="Arial"/>
            <w:color w:val="000000" w:themeColor="text1"/>
          </w:rPr>
          <w:id w:val="-1163237223"/>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Lue06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(Luebert &amp; Pliscoff, 2006)</w:t>
          </w:r>
          <w:r w:rsidRPr="000E0F90">
            <w:rPr>
              <w:rFonts w:ascii="Arial" w:hAnsi="Arial" w:cs="Arial"/>
              <w:color w:val="000000" w:themeColor="text1"/>
            </w:rPr>
            <w:fldChar w:fldCharType="end"/>
          </w:r>
        </w:sdtContent>
      </w:sdt>
      <w:r w:rsidR="00D974A2" w:rsidRPr="000E0F90">
        <w:rPr>
          <w:rFonts w:ascii="Arial" w:hAnsi="Arial" w:cs="Arial"/>
          <w:color w:val="000000" w:themeColor="text1"/>
        </w:rPr>
        <w:t xml:space="preserve"> en T</w:t>
      </w:r>
      <w:r w:rsidRPr="000E0F90">
        <w:rPr>
          <w:rFonts w:ascii="Arial" w:hAnsi="Arial" w:cs="Arial"/>
          <w:color w:val="000000" w:themeColor="text1"/>
        </w:rPr>
        <w:t>ierra Amarilla</w:t>
      </w:r>
      <w:r w:rsidR="00D531FE" w:rsidRPr="000E0F90">
        <w:rPr>
          <w:rFonts w:ascii="Arial" w:hAnsi="Arial" w:cs="Arial"/>
          <w:color w:val="000000" w:themeColor="text1"/>
        </w:rPr>
        <w:t>,</w:t>
      </w:r>
      <w:r w:rsidRPr="000E0F90">
        <w:rPr>
          <w:rFonts w:ascii="Arial" w:hAnsi="Arial" w:cs="Arial"/>
          <w:color w:val="000000" w:themeColor="text1"/>
        </w:rPr>
        <w:t xml:space="preserve"> </w:t>
      </w:r>
      <w:r w:rsidR="00D83929" w:rsidRPr="000E0F90">
        <w:rPr>
          <w:rFonts w:ascii="Arial" w:hAnsi="Arial" w:cs="Arial"/>
          <w:color w:val="000000" w:themeColor="text1"/>
        </w:rPr>
        <w:t>se identifica e</w:t>
      </w:r>
      <w:r w:rsidRPr="000E0F90">
        <w:rPr>
          <w:rFonts w:ascii="Arial" w:hAnsi="Arial" w:cs="Arial"/>
          <w:color w:val="000000" w:themeColor="text1"/>
        </w:rPr>
        <w:t xml:space="preserve">l </w:t>
      </w:r>
      <w:r w:rsidRPr="000E0F90">
        <w:rPr>
          <w:rFonts w:ascii="Arial" w:hAnsi="Arial" w:cs="Arial"/>
          <w:i/>
          <w:color w:val="000000" w:themeColor="text1"/>
        </w:rPr>
        <w:t xml:space="preserve">matorral desértico mediterráneo interior </w:t>
      </w:r>
      <w:r w:rsidRPr="000E0F90">
        <w:rPr>
          <w:rFonts w:ascii="Arial" w:hAnsi="Arial" w:cs="Arial"/>
          <w:color w:val="000000" w:themeColor="text1"/>
        </w:rPr>
        <w:t>co</w:t>
      </w:r>
      <w:r w:rsidR="00133E4B">
        <w:rPr>
          <w:rFonts w:ascii="Arial" w:hAnsi="Arial" w:cs="Arial"/>
          <w:color w:val="000000" w:themeColor="text1"/>
        </w:rPr>
        <w:t>n</w:t>
      </w:r>
      <w:r w:rsidRPr="000E0F90">
        <w:rPr>
          <w:rFonts w:ascii="Arial" w:hAnsi="Arial" w:cs="Arial"/>
          <w:color w:val="000000" w:themeColor="text1"/>
        </w:rPr>
        <w:t xml:space="preserve"> herbáceas</w:t>
      </w:r>
      <w:r w:rsidR="00133E4B">
        <w:rPr>
          <w:rFonts w:ascii="Arial" w:hAnsi="Arial" w:cs="Arial"/>
          <w:color w:val="000000" w:themeColor="text1"/>
        </w:rPr>
        <w:t xml:space="preserve"> que </w:t>
      </w:r>
      <w:r w:rsidRPr="000E0F90">
        <w:rPr>
          <w:rFonts w:ascii="Arial" w:hAnsi="Arial" w:cs="Arial"/>
          <w:color w:val="000000" w:themeColor="text1"/>
        </w:rPr>
        <w:t>emergen en sólo años lluviosos</w:t>
      </w:r>
      <w:r w:rsidR="00133E4B">
        <w:rPr>
          <w:rFonts w:ascii="Arial" w:hAnsi="Arial" w:cs="Arial"/>
          <w:color w:val="000000" w:themeColor="text1"/>
        </w:rPr>
        <w:t xml:space="preserve"> (</w:t>
      </w:r>
      <w:r w:rsidR="00D531FE" w:rsidRPr="000E0F90">
        <w:rPr>
          <w:rFonts w:ascii="Arial" w:hAnsi="Arial" w:cs="Arial"/>
          <w:color w:val="000000" w:themeColor="text1"/>
        </w:rPr>
        <w:t>Desierto Florido</w:t>
      </w:r>
      <w:r w:rsidR="00133E4B">
        <w:rPr>
          <w:rFonts w:ascii="Arial" w:hAnsi="Arial" w:cs="Arial"/>
          <w:color w:val="000000" w:themeColor="text1"/>
        </w:rPr>
        <w:t>)</w:t>
      </w:r>
      <w:r w:rsidR="00D531FE" w:rsidRPr="000E0F90">
        <w:rPr>
          <w:rFonts w:ascii="Arial" w:hAnsi="Arial" w:cs="Arial"/>
          <w:color w:val="000000" w:themeColor="text1"/>
        </w:rPr>
        <w:t xml:space="preserve">. </w:t>
      </w:r>
      <w:r w:rsidRPr="000E0F90">
        <w:rPr>
          <w:rFonts w:ascii="Arial" w:hAnsi="Arial" w:cs="Arial"/>
          <w:color w:val="000000" w:themeColor="text1"/>
        </w:rPr>
        <w:t>Presen</w:t>
      </w:r>
      <w:r w:rsidR="00023F53">
        <w:rPr>
          <w:rFonts w:ascii="Arial" w:hAnsi="Arial" w:cs="Arial"/>
          <w:color w:val="000000" w:themeColor="text1"/>
        </w:rPr>
        <w:t>ta un alto grado de degradación</w:t>
      </w:r>
      <w:r w:rsidRPr="000E0F90">
        <w:rPr>
          <w:rFonts w:ascii="Arial" w:hAnsi="Arial" w:cs="Arial"/>
          <w:color w:val="000000" w:themeColor="text1"/>
        </w:rPr>
        <w:t xml:space="preserve">. En el extremo norte se ubica el </w:t>
      </w:r>
      <w:r w:rsidRPr="000E0F90">
        <w:rPr>
          <w:rFonts w:ascii="Arial" w:hAnsi="Arial" w:cs="Arial"/>
          <w:i/>
          <w:color w:val="000000" w:themeColor="text1"/>
        </w:rPr>
        <w:t>matorral bajo desértico tropical mediterráneo andino</w:t>
      </w:r>
      <w:r w:rsidRPr="000E0F90">
        <w:rPr>
          <w:rFonts w:ascii="Arial" w:hAnsi="Arial" w:cs="Arial"/>
          <w:color w:val="000000" w:themeColor="text1"/>
        </w:rPr>
        <w:t xml:space="preserve"> abierto, pobre en especies</w:t>
      </w:r>
      <w:r w:rsidR="00D83929" w:rsidRPr="000E0F90">
        <w:rPr>
          <w:rFonts w:ascii="Arial" w:hAnsi="Arial" w:cs="Arial"/>
          <w:color w:val="000000" w:themeColor="text1"/>
        </w:rPr>
        <w:t>.</w:t>
      </w:r>
      <w:r w:rsidRPr="000E0F90">
        <w:rPr>
          <w:rFonts w:ascii="Arial" w:hAnsi="Arial" w:cs="Arial"/>
          <w:color w:val="000000" w:themeColor="text1"/>
        </w:rPr>
        <w:t xml:space="preserve"> Hacia la cordillera se ubica </w:t>
      </w:r>
      <w:r w:rsidRPr="000E0F90">
        <w:rPr>
          <w:rFonts w:ascii="Arial" w:hAnsi="Arial" w:cs="Arial"/>
          <w:i/>
          <w:color w:val="000000" w:themeColor="text1"/>
        </w:rPr>
        <w:t>el Matorral bajo tropical-mediterráneo andino</w:t>
      </w:r>
      <w:r w:rsidRPr="000E0F90">
        <w:rPr>
          <w:rFonts w:ascii="Arial" w:hAnsi="Arial" w:cs="Arial"/>
          <w:color w:val="000000" w:themeColor="text1"/>
        </w:rPr>
        <w:t xml:space="preserve">, matorral espinoso xeromórfico, </w:t>
      </w:r>
      <w:r w:rsidR="00023F53">
        <w:rPr>
          <w:rFonts w:ascii="Arial" w:hAnsi="Arial" w:cs="Arial"/>
          <w:color w:val="000000" w:themeColor="text1"/>
        </w:rPr>
        <w:t>c</w:t>
      </w:r>
      <w:r w:rsidRPr="000E0F90">
        <w:rPr>
          <w:rFonts w:ascii="Arial" w:hAnsi="Arial" w:cs="Arial"/>
          <w:color w:val="000000" w:themeColor="text1"/>
        </w:rPr>
        <w:t xml:space="preserve">on parches del </w:t>
      </w:r>
      <w:r w:rsidRPr="000E0F90">
        <w:rPr>
          <w:rFonts w:ascii="Arial" w:hAnsi="Arial" w:cs="Arial"/>
          <w:i/>
          <w:color w:val="000000" w:themeColor="text1"/>
        </w:rPr>
        <w:t>Matorral bajo tropical andino</w:t>
      </w:r>
      <w:r w:rsidRPr="000E0F90">
        <w:rPr>
          <w:rFonts w:ascii="Arial" w:hAnsi="Arial" w:cs="Arial"/>
          <w:color w:val="000000" w:themeColor="text1"/>
        </w:rPr>
        <w:t xml:space="preserve">. A mayor altitud el </w:t>
      </w:r>
      <w:r w:rsidRPr="000E0F90">
        <w:rPr>
          <w:rFonts w:ascii="Arial" w:hAnsi="Arial" w:cs="Arial"/>
          <w:i/>
          <w:color w:val="000000" w:themeColor="text1"/>
        </w:rPr>
        <w:t>Matorral bajo tropical-mediterráneo andino</w:t>
      </w:r>
      <w:r w:rsidRPr="000E0F90">
        <w:rPr>
          <w:rFonts w:ascii="Arial" w:hAnsi="Arial" w:cs="Arial"/>
          <w:color w:val="000000" w:themeColor="text1"/>
        </w:rPr>
        <w:t xml:space="preserve"> se present</w:t>
      </w:r>
      <w:r w:rsidR="00023F53">
        <w:rPr>
          <w:rFonts w:ascii="Arial" w:hAnsi="Arial" w:cs="Arial"/>
          <w:color w:val="000000" w:themeColor="text1"/>
        </w:rPr>
        <w:t>a como un matorral bajo abierto</w:t>
      </w:r>
      <w:r w:rsidRPr="000E0F90">
        <w:rPr>
          <w:rFonts w:ascii="Arial" w:hAnsi="Arial" w:cs="Arial"/>
          <w:color w:val="000000" w:themeColor="text1"/>
        </w:rPr>
        <w:t xml:space="preserve">. El </w:t>
      </w:r>
      <w:r w:rsidRPr="000E0F90">
        <w:rPr>
          <w:rFonts w:ascii="Arial" w:hAnsi="Arial" w:cs="Arial"/>
          <w:i/>
          <w:color w:val="000000" w:themeColor="text1"/>
        </w:rPr>
        <w:t>Herbazal tropical andino</w:t>
      </w:r>
      <w:r w:rsidRPr="000E0F90">
        <w:rPr>
          <w:rFonts w:ascii="Arial" w:hAnsi="Arial" w:cs="Arial"/>
          <w:color w:val="000000" w:themeColor="text1"/>
        </w:rPr>
        <w:t>, se ubica en las zonas</w:t>
      </w:r>
      <w:r w:rsidR="00D531FE" w:rsidRPr="000E0F90">
        <w:rPr>
          <w:rFonts w:ascii="Arial" w:hAnsi="Arial" w:cs="Arial"/>
          <w:color w:val="000000" w:themeColor="text1"/>
        </w:rPr>
        <w:t xml:space="preserve"> altas de la Cordillera de los A</w:t>
      </w:r>
      <w:r w:rsidRPr="000E0F90">
        <w:rPr>
          <w:rFonts w:ascii="Arial" w:hAnsi="Arial" w:cs="Arial"/>
          <w:color w:val="000000" w:themeColor="text1"/>
        </w:rPr>
        <w:t>ndes</w:t>
      </w:r>
      <w:r w:rsidR="00D531FE" w:rsidRPr="000E0F90">
        <w:rPr>
          <w:rFonts w:ascii="Arial" w:hAnsi="Arial" w:cs="Arial"/>
          <w:color w:val="000000" w:themeColor="text1"/>
        </w:rPr>
        <w:t>.</w:t>
      </w:r>
      <w:r w:rsidRPr="000E0F90">
        <w:rPr>
          <w:rFonts w:ascii="Arial" w:hAnsi="Arial" w:cs="Arial"/>
          <w:color w:val="000000" w:themeColor="text1"/>
        </w:rPr>
        <w:t xml:space="preserve"> </w:t>
      </w:r>
    </w:p>
    <w:p w:rsidR="00565AD0" w:rsidRPr="000E0F90" w:rsidRDefault="00FE1C51" w:rsidP="008D6193">
      <w:pPr>
        <w:spacing w:line="360" w:lineRule="auto"/>
        <w:rPr>
          <w:rFonts w:ascii="Arial" w:eastAsia="Times New Roman" w:hAnsi="Arial" w:cs="Arial"/>
          <w:b/>
          <w:bCs/>
          <w:iCs/>
          <w:color w:val="000000" w:themeColor="text1"/>
          <w:lang w:eastAsia="es-ES"/>
        </w:rPr>
      </w:pPr>
      <w:r w:rsidRPr="000E0F90">
        <w:rPr>
          <w:rFonts w:ascii="Arial" w:eastAsia="Times New Roman" w:hAnsi="Arial" w:cs="Arial"/>
          <w:bCs/>
          <w:iCs/>
          <w:color w:val="000000" w:themeColor="text1"/>
          <w:lang w:eastAsia="es-ES"/>
        </w:rPr>
        <w:t>En cuanto a la fauna</w:t>
      </w:r>
      <w:r w:rsidR="00023F53">
        <w:rPr>
          <w:rFonts w:ascii="Arial" w:eastAsia="Times New Roman" w:hAnsi="Arial" w:cs="Arial"/>
          <w:bCs/>
          <w:iCs/>
          <w:color w:val="000000" w:themeColor="text1"/>
          <w:lang w:eastAsia="es-ES"/>
        </w:rPr>
        <w:t>,</w:t>
      </w:r>
      <w:r w:rsidRPr="000E0F90">
        <w:rPr>
          <w:rFonts w:ascii="Arial" w:eastAsia="Times New Roman" w:hAnsi="Arial" w:cs="Arial"/>
          <w:bCs/>
          <w:iCs/>
          <w:color w:val="000000" w:themeColor="text1"/>
          <w:lang w:eastAsia="es-ES"/>
        </w:rPr>
        <w:t xml:space="preserve"> </w:t>
      </w:r>
      <w:r w:rsidR="00135195" w:rsidRPr="000E0F90">
        <w:rPr>
          <w:rFonts w:ascii="Arial" w:eastAsia="Times New Roman" w:hAnsi="Arial" w:cs="Arial"/>
          <w:bCs/>
          <w:iCs/>
          <w:color w:val="000000" w:themeColor="text1"/>
          <w:lang w:eastAsia="es-ES"/>
        </w:rPr>
        <w:t xml:space="preserve">en </w:t>
      </w:r>
      <w:r w:rsidR="00135195" w:rsidRPr="000E0F90">
        <w:rPr>
          <w:rFonts w:ascii="Arial" w:hAnsi="Arial" w:cs="Arial"/>
          <w:color w:val="000000" w:themeColor="text1"/>
        </w:rPr>
        <w:t xml:space="preserve">zonas más urbanizadas con ambientes agrícolas y áreas de matorral, </w:t>
      </w:r>
      <w:r w:rsidR="00135195" w:rsidRPr="000E0F90">
        <w:rPr>
          <w:rFonts w:ascii="Arial" w:eastAsia="Times New Roman" w:hAnsi="Arial" w:cs="Arial"/>
          <w:bCs/>
          <w:iCs/>
          <w:color w:val="000000" w:themeColor="text1"/>
          <w:lang w:eastAsia="es-ES"/>
        </w:rPr>
        <w:t xml:space="preserve">se </w:t>
      </w:r>
      <w:r w:rsidR="00D974A2" w:rsidRPr="000E0F90">
        <w:rPr>
          <w:rFonts w:ascii="Arial" w:eastAsia="Times New Roman" w:hAnsi="Arial" w:cs="Arial"/>
          <w:bCs/>
          <w:iCs/>
          <w:color w:val="000000" w:themeColor="text1"/>
          <w:lang w:eastAsia="es-ES"/>
        </w:rPr>
        <w:t>identifican aves de</w:t>
      </w:r>
      <w:r w:rsidR="00135195" w:rsidRPr="000E0F90">
        <w:rPr>
          <w:rFonts w:ascii="Arial" w:eastAsia="Times New Roman" w:hAnsi="Arial" w:cs="Arial"/>
          <w:bCs/>
          <w:iCs/>
          <w:color w:val="000000" w:themeColor="text1"/>
          <w:lang w:eastAsia="es-ES"/>
        </w:rPr>
        <w:t xml:space="preserve"> amplia distribución</w:t>
      </w:r>
      <w:r w:rsidR="00D974A2" w:rsidRPr="000E0F90">
        <w:rPr>
          <w:rFonts w:ascii="Arial" w:eastAsia="Times New Roman" w:hAnsi="Arial" w:cs="Arial"/>
          <w:bCs/>
          <w:iCs/>
          <w:color w:val="000000" w:themeColor="text1"/>
          <w:lang w:eastAsia="es-ES"/>
        </w:rPr>
        <w:t>, del orden paseriformes</w:t>
      </w:r>
      <w:r w:rsidR="00023F53">
        <w:rPr>
          <w:rFonts w:ascii="Arial" w:eastAsia="Times New Roman" w:hAnsi="Arial" w:cs="Arial"/>
          <w:bCs/>
          <w:iCs/>
          <w:color w:val="000000" w:themeColor="text1"/>
          <w:lang w:eastAsia="es-ES"/>
        </w:rPr>
        <w:t>, como el</w:t>
      </w:r>
      <w:r w:rsidR="00D974A2" w:rsidRPr="000E0F90">
        <w:rPr>
          <w:rFonts w:ascii="Arial" w:hAnsi="Arial" w:cs="Arial"/>
          <w:color w:val="000000" w:themeColor="text1"/>
        </w:rPr>
        <w:t xml:space="preserve"> </w:t>
      </w:r>
      <w:r w:rsidR="00135195" w:rsidRPr="000E0F90">
        <w:rPr>
          <w:rFonts w:ascii="Arial" w:hAnsi="Arial" w:cs="Arial"/>
          <w:color w:val="000000" w:themeColor="text1"/>
        </w:rPr>
        <w:t>minero</w:t>
      </w:r>
      <w:r w:rsidR="00023F53">
        <w:rPr>
          <w:rFonts w:ascii="Arial" w:hAnsi="Arial" w:cs="Arial"/>
          <w:color w:val="000000" w:themeColor="text1"/>
        </w:rPr>
        <w:t xml:space="preserve"> y la</w:t>
      </w:r>
      <w:r w:rsidR="00135195" w:rsidRPr="000E0F90">
        <w:rPr>
          <w:rFonts w:ascii="Arial" w:hAnsi="Arial" w:cs="Arial"/>
          <w:color w:val="000000" w:themeColor="text1"/>
        </w:rPr>
        <w:t xml:space="preserve"> dormilona</w:t>
      </w:r>
      <w:r w:rsidR="00023F53">
        <w:rPr>
          <w:rFonts w:ascii="Arial" w:hAnsi="Arial" w:cs="Arial"/>
          <w:color w:val="000000" w:themeColor="text1"/>
        </w:rPr>
        <w:t xml:space="preserve">; </w:t>
      </w:r>
      <w:r w:rsidR="00135195" w:rsidRPr="000E0F90">
        <w:rPr>
          <w:rFonts w:ascii="Arial" w:hAnsi="Arial" w:cs="Arial"/>
          <w:color w:val="000000" w:themeColor="text1"/>
        </w:rPr>
        <w:t xml:space="preserve">aves rapaces </w:t>
      </w:r>
      <w:r w:rsidR="00D974A2" w:rsidRPr="000E0F90">
        <w:rPr>
          <w:rFonts w:ascii="Arial" w:hAnsi="Arial" w:cs="Arial"/>
          <w:color w:val="000000" w:themeColor="text1"/>
        </w:rPr>
        <w:t xml:space="preserve">del orden Falconiformes, como </w:t>
      </w:r>
      <w:r w:rsidR="00135195" w:rsidRPr="000E0F90">
        <w:rPr>
          <w:rFonts w:ascii="Arial" w:hAnsi="Arial" w:cs="Arial"/>
          <w:color w:val="000000" w:themeColor="text1"/>
        </w:rPr>
        <w:t xml:space="preserve">el </w:t>
      </w:r>
      <w:r w:rsidR="00D974A2" w:rsidRPr="000E0F90">
        <w:rPr>
          <w:rFonts w:ascii="Arial" w:hAnsi="Arial" w:cs="Arial"/>
          <w:color w:val="000000" w:themeColor="text1"/>
        </w:rPr>
        <w:t>cernícalo</w:t>
      </w:r>
      <w:r w:rsidR="00023F53">
        <w:rPr>
          <w:rFonts w:ascii="Arial" w:hAnsi="Arial" w:cs="Arial"/>
          <w:color w:val="000000" w:themeColor="text1"/>
        </w:rPr>
        <w:t xml:space="preserve"> y</w:t>
      </w:r>
      <w:r w:rsidR="00D974A2" w:rsidRPr="000E0F90">
        <w:rPr>
          <w:rFonts w:ascii="Arial" w:hAnsi="Arial" w:cs="Arial"/>
          <w:color w:val="000000" w:themeColor="text1"/>
        </w:rPr>
        <w:t xml:space="preserve"> halcones. Además del </w:t>
      </w:r>
      <w:r w:rsidR="00135195" w:rsidRPr="000E0F90">
        <w:rPr>
          <w:rFonts w:ascii="Arial" w:hAnsi="Arial" w:cs="Arial"/>
          <w:color w:val="000000" w:themeColor="text1"/>
        </w:rPr>
        <w:t xml:space="preserve">jote de cabeza colorada </w:t>
      </w:r>
      <w:r w:rsidR="00D974A2" w:rsidRPr="000E0F90">
        <w:rPr>
          <w:rFonts w:ascii="Arial" w:hAnsi="Arial" w:cs="Arial"/>
          <w:color w:val="000000" w:themeColor="text1"/>
        </w:rPr>
        <w:t xml:space="preserve">y el aguilucho. </w:t>
      </w:r>
      <w:r w:rsidR="00565AD0" w:rsidRPr="000E0F90">
        <w:rPr>
          <w:rFonts w:ascii="Arial" w:hAnsi="Arial" w:cs="Arial"/>
          <w:color w:val="000000" w:themeColor="text1"/>
        </w:rPr>
        <w:t>Entre los mamíferos</w:t>
      </w:r>
      <w:r w:rsidRPr="000E0F90">
        <w:rPr>
          <w:rFonts w:ascii="Arial" w:hAnsi="Arial" w:cs="Arial"/>
          <w:color w:val="000000" w:themeColor="text1"/>
        </w:rPr>
        <w:t xml:space="preserve"> </w:t>
      </w:r>
      <w:r w:rsidR="00D974A2" w:rsidRPr="000E0F90">
        <w:rPr>
          <w:rFonts w:ascii="Arial" w:hAnsi="Arial" w:cs="Arial"/>
          <w:color w:val="000000" w:themeColor="text1"/>
        </w:rPr>
        <w:t>adaptados</w:t>
      </w:r>
      <w:r w:rsidR="00565AD0" w:rsidRPr="000E0F90">
        <w:rPr>
          <w:rFonts w:ascii="Arial" w:hAnsi="Arial" w:cs="Arial"/>
          <w:color w:val="000000" w:themeColor="text1"/>
        </w:rPr>
        <w:t xml:space="preserve">, </w:t>
      </w:r>
      <w:r w:rsidRPr="000E0F90">
        <w:rPr>
          <w:rFonts w:ascii="Arial" w:hAnsi="Arial" w:cs="Arial"/>
          <w:color w:val="000000" w:themeColor="text1"/>
        </w:rPr>
        <w:t xml:space="preserve">se presenta </w:t>
      </w:r>
      <w:r w:rsidR="00D974A2" w:rsidRPr="000E0F90">
        <w:rPr>
          <w:rFonts w:ascii="Arial" w:hAnsi="Arial" w:cs="Arial"/>
          <w:color w:val="000000" w:themeColor="text1"/>
        </w:rPr>
        <w:t>el zorro chilla</w:t>
      </w:r>
      <w:r w:rsidR="00565AD0" w:rsidRPr="000E0F90">
        <w:rPr>
          <w:rFonts w:ascii="Arial" w:hAnsi="Arial" w:cs="Arial"/>
          <w:color w:val="000000" w:themeColor="text1"/>
        </w:rPr>
        <w:t xml:space="preserve"> y el zorro culpeo</w:t>
      </w:r>
      <w:r w:rsidR="00023F53">
        <w:rPr>
          <w:rFonts w:ascii="Arial" w:hAnsi="Arial" w:cs="Arial"/>
          <w:color w:val="000000" w:themeColor="text1"/>
        </w:rPr>
        <w:t>; y r</w:t>
      </w:r>
      <w:r w:rsidR="00D974A2" w:rsidRPr="000E0F90">
        <w:rPr>
          <w:rFonts w:ascii="Arial" w:hAnsi="Arial" w:cs="Arial"/>
          <w:color w:val="000000" w:themeColor="text1"/>
        </w:rPr>
        <w:t>oedores como e</w:t>
      </w:r>
      <w:r w:rsidR="00565AD0" w:rsidRPr="000E0F90">
        <w:rPr>
          <w:rFonts w:ascii="Arial" w:hAnsi="Arial" w:cs="Arial"/>
          <w:color w:val="000000" w:themeColor="text1"/>
        </w:rPr>
        <w:t>l ratón orejudo de Darwin, ratoncito oliváceo y el ratón de cola larg</w:t>
      </w:r>
      <w:r w:rsidR="00D974A2" w:rsidRPr="000E0F90">
        <w:rPr>
          <w:rFonts w:ascii="Arial" w:hAnsi="Arial" w:cs="Arial"/>
          <w:color w:val="000000" w:themeColor="text1"/>
        </w:rPr>
        <w:t xml:space="preserve">a. </w:t>
      </w:r>
      <w:r w:rsidR="00565AD0" w:rsidRPr="000E0F90">
        <w:rPr>
          <w:rFonts w:ascii="Arial" w:hAnsi="Arial" w:cs="Arial"/>
          <w:color w:val="000000" w:themeColor="text1"/>
        </w:rPr>
        <w:t xml:space="preserve">Entre los reptiles, </w:t>
      </w:r>
      <w:r w:rsidRPr="000E0F90">
        <w:rPr>
          <w:rFonts w:ascii="Arial" w:hAnsi="Arial" w:cs="Arial"/>
          <w:color w:val="000000" w:themeColor="text1"/>
        </w:rPr>
        <w:t xml:space="preserve">se </w:t>
      </w:r>
      <w:r w:rsidR="00565AD0" w:rsidRPr="000E0F90">
        <w:rPr>
          <w:rFonts w:ascii="Arial" w:hAnsi="Arial" w:cs="Arial"/>
          <w:color w:val="000000" w:themeColor="text1"/>
        </w:rPr>
        <w:t>señala la presencia potencial de la iguana chilena, la lagartija de atacama, lagartija de Plate</w:t>
      </w:r>
      <w:r w:rsidR="00D974A2" w:rsidRPr="000E0F90">
        <w:rPr>
          <w:rFonts w:ascii="Arial" w:hAnsi="Arial" w:cs="Arial"/>
          <w:color w:val="000000" w:themeColor="text1"/>
        </w:rPr>
        <w:t>i,</w:t>
      </w:r>
      <w:r w:rsidR="00565AD0" w:rsidRPr="000E0F90">
        <w:rPr>
          <w:rFonts w:ascii="Arial" w:hAnsi="Arial" w:cs="Arial"/>
          <w:color w:val="000000" w:themeColor="text1"/>
        </w:rPr>
        <w:t xml:space="preserve"> </w:t>
      </w:r>
      <w:r w:rsidR="00D974A2" w:rsidRPr="000E0F90">
        <w:rPr>
          <w:rFonts w:ascii="Arial" w:hAnsi="Arial" w:cs="Arial"/>
          <w:color w:val="000000" w:themeColor="text1"/>
        </w:rPr>
        <w:t>la lagartija de Veloso</w:t>
      </w:r>
      <w:r w:rsidR="00565AD0" w:rsidRPr="000E0F90">
        <w:rPr>
          <w:rFonts w:ascii="Arial" w:hAnsi="Arial" w:cs="Arial"/>
          <w:color w:val="000000" w:themeColor="text1"/>
        </w:rPr>
        <w:t xml:space="preserve">, </w:t>
      </w:r>
      <w:r w:rsidR="00D974A2" w:rsidRPr="000E0F90">
        <w:rPr>
          <w:rFonts w:ascii="Arial" w:hAnsi="Arial" w:cs="Arial"/>
          <w:color w:val="000000" w:themeColor="text1"/>
        </w:rPr>
        <w:t xml:space="preserve">la </w:t>
      </w:r>
      <w:r w:rsidR="008256A3" w:rsidRPr="000E0F90">
        <w:rPr>
          <w:rFonts w:ascii="Arial" w:hAnsi="Arial" w:cs="Arial"/>
          <w:color w:val="000000" w:themeColor="text1"/>
        </w:rPr>
        <w:t>culebra</w:t>
      </w:r>
      <w:r w:rsidR="00565AD0" w:rsidRPr="000E0F90">
        <w:rPr>
          <w:rFonts w:ascii="Arial" w:hAnsi="Arial" w:cs="Arial"/>
          <w:color w:val="000000" w:themeColor="text1"/>
        </w:rPr>
        <w:t xml:space="preserve"> cola larga </w:t>
      </w:r>
      <w:r w:rsidR="00D974A2" w:rsidRPr="000E0F90">
        <w:rPr>
          <w:rFonts w:ascii="Arial" w:hAnsi="Arial" w:cs="Arial"/>
          <w:color w:val="000000" w:themeColor="text1"/>
        </w:rPr>
        <w:t xml:space="preserve">y  de cola corta </w:t>
      </w:r>
      <w:sdt>
        <w:sdtPr>
          <w:rPr>
            <w:rFonts w:ascii="Arial" w:eastAsia="Times New Roman" w:hAnsi="Arial" w:cs="Arial"/>
            <w:bCs/>
            <w:iCs/>
            <w:color w:val="000000" w:themeColor="text1"/>
            <w:lang w:eastAsia="es-ES"/>
          </w:rPr>
          <w:id w:val="-789048020"/>
          <w:citation/>
        </w:sdtPr>
        <w:sdtEndPr/>
        <w:sdtContent>
          <w:r w:rsidR="000128B4" w:rsidRPr="000E0F90">
            <w:rPr>
              <w:rFonts w:ascii="Arial" w:eastAsia="Times New Roman" w:hAnsi="Arial" w:cs="Arial"/>
              <w:bCs/>
              <w:iCs/>
              <w:color w:val="000000" w:themeColor="text1"/>
              <w:lang w:eastAsia="es-ES"/>
            </w:rPr>
            <w:fldChar w:fldCharType="begin"/>
          </w:r>
          <w:r w:rsidR="00D531FE" w:rsidRPr="000E0F90">
            <w:rPr>
              <w:rFonts w:ascii="Arial" w:eastAsia="Times New Roman" w:hAnsi="Arial" w:cs="Arial"/>
              <w:bCs/>
              <w:iCs/>
              <w:color w:val="000000" w:themeColor="text1"/>
              <w:lang w:eastAsia="es-ES"/>
            </w:rPr>
            <w:instrText xml:space="preserve">CITATION ARC13 \t  \l 13322 </w:instrText>
          </w:r>
          <w:r w:rsidR="000128B4" w:rsidRPr="000E0F90">
            <w:rPr>
              <w:rFonts w:ascii="Arial" w:eastAsia="Times New Roman" w:hAnsi="Arial" w:cs="Arial"/>
              <w:bCs/>
              <w:iCs/>
              <w:color w:val="000000" w:themeColor="text1"/>
              <w:lang w:eastAsia="es-ES"/>
            </w:rPr>
            <w:fldChar w:fldCharType="separate"/>
          </w:r>
          <w:r w:rsidR="00D531FE" w:rsidRPr="000E0F90">
            <w:rPr>
              <w:rFonts w:ascii="Arial" w:eastAsia="Times New Roman" w:hAnsi="Arial" w:cs="Arial"/>
              <w:noProof/>
              <w:color w:val="000000" w:themeColor="text1"/>
              <w:lang w:eastAsia="es-ES"/>
            </w:rPr>
            <w:t>(ARCADIS, 2013)</w:t>
          </w:r>
          <w:r w:rsidR="000128B4" w:rsidRPr="000E0F90">
            <w:rPr>
              <w:rFonts w:ascii="Arial" w:eastAsia="Times New Roman" w:hAnsi="Arial" w:cs="Arial"/>
              <w:bCs/>
              <w:iCs/>
              <w:color w:val="000000" w:themeColor="text1"/>
              <w:lang w:eastAsia="es-ES"/>
            </w:rPr>
            <w:fldChar w:fldCharType="end"/>
          </w:r>
        </w:sdtContent>
      </w:sdt>
      <w:r w:rsidR="000128B4" w:rsidRPr="000E0F90">
        <w:rPr>
          <w:rFonts w:ascii="Arial" w:eastAsia="Times New Roman" w:hAnsi="Arial" w:cs="Arial"/>
          <w:bCs/>
          <w:iCs/>
          <w:color w:val="000000" w:themeColor="text1"/>
          <w:lang w:eastAsia="es-ES"/>
        </w:rPr>
        <w:t>.</w:t>
      </w:r>
    </w:p>
    <w:p w:rsidR="003F7077" w:rsidRPr="000E0F90" w:rsidRDefault="003F7077" w:rsidP="008D6193">
      <w:pPr>
        <w:pStyle w:val="Ttulo4"/>
        <w:spacing w:line="360" w:lineRule="auto"/>
        <w:rPr>
          <w:rFonts w:ascii="Arial" w:hAnsi="Arial" w:cs="Arial"/>
          <w:color w:val="000000" w:themeColor="text1"/>
        </w:rPr>
      </w:pPr>
      <w:r w:rsidRPr="000E0F90">
        <w:rPr>
          <w:rFonts w:ascii="Arial" w:hAnsi="Arial" w:cs="Arial"/>
          <w:color w:val="000000" w:themeColor="text1"/>
        </w:rPr>
        <w:lastRenderedPageBreak/>
        <w:t>Socioestructura Comuna de Tierra Amarilla</w:t>
      </w:r>
    </w:p>
    <w:p w:rsidR="00624FDB" w:rsidRDefault="00624FDB" w:rsidP="006B15AA">
      <w:pPr>
        <w:pStyle w:val="Epgrafe"/>
        <w:jc w:val="center"/>
        <w:rPr>
          <w:rFonts w:ascii="Arial" w:hAnsi="Arial" w:cs="Arial"/>
          <w:b w:val="0"/>
          <w:color w:val="000000" w:themeColor="text1"/>
          <w:sz w:val="22"/>
        </w:rPr>
      </w:pPr>
      <w:r>
        <w:rPr>
          <w:noProof/>
          <w:lang w:eastAsia="es-CL"/>
        </w:rPr>
        <w:drawing>
          <wp:inline distT="0" distB="0" distL="0" distR="0" wp14:anchorId="03F2F9E0" wp14:editId="1B68B5A8">
            <wp:extent cx="5431790" cy="7223334"/>
            <wp:effectExtent l="0" t="0" r="0" b="0"/>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431790" cy="7223334"/>
                    </a:xfrm>
                    <a:prstGeom prst="rect">
                      <a:avLst/>
                    </a:prstGeom>
                  </pic:spPr>
                </pic:pic>
              </a:graphicData>
            </a:graphic>
          </wp:inline>
        </w:drawing>
      </w:r>
    </w:p>
    <w:p w:rsidR="00E92548" w:rsidRPr="000E0F90" w:rsidRDefault="006B15AA" w:rsidP="006B15AA">
      <w:pPr>
        <w:pStyle w:val="Epgrafe"/>
        <w:jc w:val="center"/>
        <w:rPr>
          <w:rFonts w:ascii="Arial" w:eastAsia="Times New Roman" w:hAnsi="Arial" w:cs="Arial"/>
          <w:color w:val="000000" w:themeColor="text1"/>
          <w:lang w:eastAsia="es-ES"/>
        </w:rPr>
      </w:pPr>
      <w:r w:rsidRPr="000E0F90">
        <w:rPr>
          <w:rFonts w:ascii="Arial" w:hAnsi="Arial" w:cs="Arial"/>
          <w:b w:val="0"/>
          <w:color w:val="000000" w:themeColor="text1"/>
          <w:sz w:val="22"/>
        </w:rPr>
        <w:t xml:space="preserve">Figura </w:t>
      </w:r>
      <w:r w:rsidRPr="000E0F90">
        <w:rPr>
          <w:rFonts w:ascii="Arial" w:hAnsi="Arial" w:cs="Arial"/>
          <w:b w:val="0"/>
          <w:color w:val="000000" w:themeColor="text1"/>
          <w:sz w:val="22"/>
        </w:rPr>
        <w:fldChar w:fldCharType="begin"/>
      </w:r>
      <w:r w:rsidRPr="000E0F90">
        <w:rPr>
          <w:rFonts w:ascii="Arial" w:hAnsi="Arial" w:cs="Arial"/>
          <w:b w:val="0"/>
          <w:color w:val="000000" w:themeColor="text1"/>
          <w:sz w:val="22"/>
        </w:rPr>
        <w:instrText xml:space="preserve"> SEQ Figura \* ARABIC </w:instrText>
      </w:r>
      <w:r w:rsidRPr="000E0F90">
        <w:rPr>
          <w:rFonts w:ascii="Arial" w:hAnsi="Arial" w:cs="Arial"/>
          <w:b w:val="0"/>
          <w:color w:val="000000" w:themeColor="text1"/>
          <w:sz w:val="22"/>
        </w:rPr>
        <w:fldChar w:fldCharType="separate"/>
      </w:r>
      <w:r w:rsidR="00225844">
        <w:rPr>
          <w:rFonts w:ascii="Arial" w:hAnsi="Arial" w:cs="Arial"/>
          <w:b w:val="0"/>
          <w:noProof/>
          <w:color w:val="000000" w:themeColor="text1"/>
          <w:sz w:val="22"/>
        </w:rPr>
        <w:t>7</w:t>
      </w:r>
      <w:r w:rsidRPr="000E0F90">
        <w:rPr>
          <w:rFonts w:ascii="Arial" w:hAnsi="Arial" w:cs="Arial"/>
          <w:b w:val="0"/>
          <w:color w:val="000000" w:themeColor="text1"/>
          <w:sz w:val="22"/>
        </w:rPr>
        <w:fldChar w:fldCharType="end"/>
      </w:r>
      <w:r w:rsidR="00E92548" w:rsidRPr="000E0F90">
        <w:rPr>
          <w:rFonts w:ascii="Arial" w:eastAsia="Times New Roman" w:hAnsi="Arial" w:cs="Arial"/>
          <w:b w:val="0"/>
          <w:color w:val="000000" w:themeColor="text1"/>
          <w:sz w:val="22"/>
          <w:lang w:eastAsia="es-ES"/>
        </w:rPr>
        <w:t>: Mapa de Socioestructrura de la comuna de Tierra Amarilla (Elaboración propia)</w:t>
      </w:r>
    </w:p>
    <w:p w:rsidR="003F7077" w:rsidRPr="000E0F90" w:rsidRDefault="003F7077" w:rsidP="00702D9A">
      <w:pPr>
        <w:spacing w:after="0" w:line="360" w:lineRule="auto"/>
        <w:jc w:val="left"/>
        <w:rPr>
          <w:rFonts w:ascii="Arial" w:hAnsi="Arial" w:cs="Arial"/>
          <w:b/>
          <w:color w:val="000000" w:themeColor="text1"/>
        </w:rPr>
      </w:pPr>
      <w:r w:rsidRPr="000E0F90">
        <w:rPr>
          <w:rFonts w:ascii="Arial" w:hAnsi="Arial" w:cs="Arial"/>
          <w:b/>
          <w:color w:val="000000" w:themeColor="text1"/>
        </w:rPr>
        <w:lastRenderedPageBreak/>
        <w:t xml:space="preserve">Población: </w:t>
      </w:r>
    </w:p>
    <w:p w:rsidR="008A32ED" w:rsidRPr="000E0F90" w:rsidRDefault="003F7077" w:rsidP="00702D9A">
      <w:pPr>
        <w:spacing w:line="360" w:lineRule="auto"/>
        <w:rPr>
          <w:rFonts w:ascii="Arial" w:hAnsi="Arial" w:cs="Arial"/>
          <w:color w:val="000000" w:themeColor="text1"/>
        </w:rPr>
      </w:pPr>
      <w:r w:rsidRPr="000E0F90">
        <w:rPr>
          <w:rFonts w:ascii="Arial" w:hAnsi="Arial" w:cs="Arial"/>
          <w:color w:val="000000" w:themeColor="text1"/>
        </w:rPr>
        <w:t xml:space="preserve">En Tierra Amarilla se registra una población de 12.888, con un 33,4% de población rural (4.305hab) </w:t>
      </w:r>
      <w:sdt>
        <w:sdtPr>
          <w:rPr>
            <w:rFonts w:ascii="Arial" w:hAnsi="Arial" w:cs="Arial"/>
            <w:color w:val="000000" w:themeColor="text1"/>
          </w:rPr>
          <w:id w:val="439963475"/>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INE07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(INE, 2007)</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Esta alta proporción de población rural, se debe a la actividad agrícola que se desarrolla en los diversos asentamientos localizados a lo largo de la cuenca del río Copiapó </w:t>
      </w:r>
      <w:sdt>
        <w:sdtPr>
          <w:rPr>
            <w:rFonts w:ascii="Arial" w:hAnsi="Arial" w:cs="Arial"/>
            <w:color w:val="000000" w:themeColor="text1"/>
          </w:rPr>
          <w:id w:val="2050480507"/>
          <w:citation/>
        </w:sdtPr>
        <w:sdtEndPr/>
        <w:sdtContent>
          <w:r w:rsidRPr="000E0F90">
            <w:rPr>
              <w:rFonts w:ascii="Arial" w:hAnsi="Arial" w:cs="Arial"/>
              <w:color w:val="000000" w:themeColor="text1"/>
            </w:rPr>
            <w:fldChar w:fldCharType="begin"/>
          </w:r>
          <w:r w:rsidR="00F82BE5">
            <w:rPr>
              <w:rFonts w:ascii="Arial" w:hAnsi="Arial" w:cs="Arial"/>
              <w:color w:val="000000" w:themeColor="text1"/>
            </w:rPr>
            <w:instrText xml:space="preserve">CITATION ARC13 \t  \l 13322 </w:instrText>
          </w:r>
          <w:r w:rsidRPr="000E0F90">
            <w:rPr>
              <w:rFonts w:ascii="Arial" w:hAnsi="Arial" w:cs="Arial"/>
              <w:color w:val="000000" w:themeColor="text1"/>
            </w:rPr>
            <w:fldChar w:fldCharType="separate"/>
          </w:r>
          <w:r w:rsidR="00F82BE5" w:rsidRPr="00F82BE5">
            <w:rPr>
              <w:rFonts w:ascii="Arial" w:hAnsi="Arial" w:cs="Arial"/>
              <w:noProof/>
              <w:color w:val="000000" w:themeColor="text1"/>
            </w:rPr>
            <w:t>(ARCADIS, 2013)</w:t>
          </w:r>
          <w:r w:rsidRPr="000E0F90">
            <w:rPr>
              <w:rFonts w:ascii="Arial" w:hAnsi="Arial" w:cs="Arial"/>
              <w:color w:val="000000" w:themeColor="text1"/>
            </w:rPr>
            <w:fldChar w:fldCharType="end"/>
          </w:r>
        </w:sdtContent>
      </w:sdt>
      <w:r w:rsidRPr="000E0F90">
        <w:rPr>
          <w:rFonts w:ascii="Arial" w:hAnsi="Arial" w:cs="Arial"/>
          <w:color w:val="000000" w:themeColor="text1"/>
        </w:rPr>
        <w:t>.</w:t>
      </w:r>
      <w:r w:rsidR="008A32ED" w:rsidRPr="000E0F90">
        <w:rPr>
          <w:rFonts w:ascii="Arial" w:hAnsi="Arial" w:cs="Arial"/>
          <w:color w:val="000000" w:themeColor="text1"/>
        </w:rPr>
        <w:t xml:space="preserve"> </w:t>
      </w:r>
      <w:r w:rsidRPr="000E0F90">
        <w:rPr>
          <w:rFonts w:ascii="Arial" w:hAnsi="Arial" w:cs="Arial"/>
          <w:color w:val="000000" w:themeColor="text1"/>
        </w:rPr>
        <w:t xml:space="preserve">Respecto a la población perteneciente a etnia indígena, en la comuna existen </w:t>
      </w:r>
      <w:r w:rsidR="002115CE" w:rsidRPr="000E0F90">
        <w:rPr>
          <w:rFonts w:ascii="Arial" w:hAnsi="Arial" w:cs="Arial"/>
          <w:color w:val="000000" w:themeColor="text1"/>
        </w:rPr>
        <w:t>645</w:t>
      </w:r>
      <w:r w:rsidR="00F17101" w:rsidRPr="000E0F90">
        <w:rPr>
          <w:rFonts w:ascii="Arial" w:hAnsi="Arial" w:cs="Arial"/>
          <w:color w:val="000000" w:themeColor="text1"/>
        </w:rPr>
        <w:t xml:space="preserve"> </w:t>
      </w:r>
      <w:r w:rsidRPr="000E0F90">
        <w:rPr>
          <w:rFonts w:ascii="Arial" w:hAnsi="Arial" w:cs="Arial"/>
          <w:color w:val="000000" w:themeColor="text1"/>
        </w:rPr>
        <w:t xml:space="preserve">personas </w:t>
      </w:r>
      <w:r w:rsidR="00F17101" w:rsidRPr="000E0F90">
        <w:rPr>
          <w:rFonts w:ascii="Arial" w:hAnsi="Arial" w:cs="Arial"/>
          <w:color w:val="000000" w:themeColor="text1"/>
        </w:rPr>
        <w:t>(5%</w:t>
      </w:r>
      <w:r w:rsidR="000128B4" w:rsidRPr="000E0F90">
        <w:rPr>
          <w:rFonts w:ascii="Arial" w:hAnsi="Arial" w:cs="Arial"/>
          <w:color w:val="000000" w:themeColor="text1"/>
        </w:rPr>
        <w:t>)</w:t>
      </w:r>
      <w:r w:rsidRPr="000E0F90">
        <w:rPr>
          <w:rFonts w:ascii="Arial" w:hAnsi="Arial" w:cs="Arial"/>
          <w:color w:val="000000" w:themeColor="text1"/>
        </w:rPr>
        <w:t>, siendo los más importantes la etnia mapuche</w:t>
      </w:r>
      <w:r w:rsidR="00C65010" w:rsidRPr="000E0F90">
        <w:rPr>
          <w:rFonts w:ascii="Arial" w:hAnsi="Arial" w:cs="Arial"/>
          <w:color w:val="000000" w:themeColor="text1"/>
        </w:rPr>
        <w:t xml:space="preserve"> (30,39%)</w:t>
      </w:r>
      <w:r w:rsidRPr="000E0F90">
        <w:rPr>
          <w:rFonts w:ascii="Arial" w:hAnsi="Arial" w:cs="Arial"/>
          <w:color w:val="000000" w:themeColor="text1"/>
        </w:rPr>
        <w:t xml:space="preserve">, colla </w:t>
      </w:r>
      <w:r w:rsidR="00C65010" w:rsidRPr="000E0F90">
        <w:rPr>
          <w:rFonts w:ascii="Arial" w:hAnsi="Arial" w:cs="Arial"/>
          <w:color w:val="000000" w:themeColor="text1"/>
        </w:rPr>
        <w:t xml:space="preserve">(37,36%) </w:t>
      </w:r>
      <w:r w:rsidRPr="000E0F90">
        <w:rPr>
          <w:rFonts w:ascii="Arial" w:hAnsi="Arial" w:cs="Arial"/>
          <w:color w:val="000000" w:themeColor="text1"/>
        </w:rPr>
        <w:t>y atacameño</w:t>
      </w:r>
      <w:r w:rsidR="00C65010" w:rsidRPr="000E0F90">
        <w:rPr>
          <w:rFonts w:ascii="Arial" w:hAnsi="Arial" w:cs="Arial"/>
          <w:color w:val="000000" w:themeColor="text1"/>
        </w:rPr>
        <w:t xml:space="preserve"> (31,16%)</w:t>
      </w:r>
      <w:r w:rsidR="000128B4" w:rsidRPr="000E0F90">
        <w:rPr>
          <w:rFonts w:ascii="Arial" w:hAnsi="Arial" w:cs="Arial"/>
          <w:color w:val="000000" w:themeColor="text1"/>
        </w:rPr>
        <w:t xml:space="preserve"> </w:t>
      </w:r>
      <w:sdt>
        <w:sdtPr>
          <w:rPr>
            <w:rFonts w:ascii="Arial" w:hAnsi="Arial" w:cs="Arial"/>
            <w:color w:val="000000" w:themeColor="text1"/>
          </w:rPr>
          <w:id w:val="-1066951329"/>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CITATION INE02 \t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(INE, 2002)</w:t>
          </w:r>
          <w:r w:rsidRPr="000E0F90">
            <w:rPr>
              <w:rFonts w:ascii="Arial" w:hAnsi="Arial" w:cs="Arial"/>
              <w:color w:val="000000" w:themeColor="text1"/>
            </w:rPr>
            <w:fldChar w:fldCharType="end"/>
          </w:r>
        </w:sdtContent>
      </w:sdt>
      <w:r w:rsidR="008A32ED" w:rsidRPr="000E0F90">
        <w:rPr>
          <w:rFonts w:ascii="Arial" w:hAnsi="Arial" w:cs="Arial"/>
          <w:color w:val="000000" w:themeColor="text1"/>
        </w:rPr>
        <w:t xml:space="preserve">. En la actualidad, el grupo étnico colla y diaguita </w:t>
      </w:r>
      <w:r w:rsidR="00F82BE5">
        <w:rPr>
          <w:rFonts w:ascii="Arial" w:hAnsi="Arial" w:cs="Arial"/>
          <w:color w:val="000000" w:themeColor="text1"/>
        </w:rPr>
        <w:t>han adquirido mayor importancia en</w:t>
      </w:r>
      <w:r w:rsidR="008A32ED" w:rsidRPr="000E0F90">
        <w:rPr>
          <w:rFonts w:ascii="Arial" w:hAnsi="Arial" w:cs="Arial"/>
          <w:color w:val="000000" w:themeColor="text1"/>
        </w:rPr>
        <w:t xml:space="preserve"> </w:t>
      </w:r>
      <w:r w:rsidR="00C65010" w:rsidRPr="000E0F90">
        <w:rPr>
          <w:rFonts w:ascii="Arial" w:hAnsi="Arial" w:cs="Arial"/>
          <w:color w:val="000000" w:themeColor="text1"/>
        </w:rPr>
        <w:t>los</w:t>
      </w:r>
      <w:r w:rsidR="008A32ED" w:rsidRPr="000E0F90">
        <w:rPr>
          <w:rFonts w:ascii="Arial" w:hAnsi="Arial" w:cs="Arial"/>
          <w:color w:val="000000" w:themeColor="text1"/>
        </w:rPr>
        <w:t xml:space="preserve"> proceso</w:t>
      </w:r>
      <w:r w:rsidR="00C65010" w:rsidRPr="000E0F90">
        <w:rPr>
          <w:rFonts w:ascii="Arial" w:hAnsi="Arial" w:cs="Arial"/>
          <w:color w:val="000000" w:themeColor="text1"/>
        </w:rPr>
        <w:t>s</w:t>
      </w:r>
      <w:r w:rsidR="008A32ED" w:rsidRPr="000E0F90">
        <w:rPr>
          <w:rFonts w:ascii="Arial" w:hAnsi="Arial" w:cs="Arial"/>
          <w:color w:val="000000" w:themeColor="text1"/>
        </w:rPr>
        <w:t xml:space="preserve"> de</w:t>
      </w:r>
      <w:r w:rsidR="00133E4B" w:rsidRPr="000E0F90">
        <w:rPr>
          <w:rFonts w:ascii="Arial" w:hAnsi="Arial" w:cs="Arial"/>
          <w:color w:val="000000" w:themeColor="text1"/>
        </w:rPr>
        <w:t xml:space="preserve"> acreditación de la condición indígena</w:t>
      </w:r>
      <w:r w:rsidR="00133E4B">
        <w:rPr>
          <w:rFonts w:ascii="Arial" w:hAnsi="Arial" w:cs="Arial"/>
          <w:color w:val="000000" w:themeColor="text1"/>
        </w:rPr>
        <w:t>,</w:t>
      </w:r>
      <w:r w:rsidR="008A32ED" w:rsidRPr="000E0F90">
        <w:rPr>
          <w:rFonts w:ascii="Arial" w:hAnsi="Arial" w:cs="Arial"/>
          <w:color w:val="000000" w:themeColor="text1"/>
        </w:rPr>
        <w:t xml:space="preserve"> </w:t>
      </w:r>
      <w:r w:rsidR="00F35AF7" w:rsidRPr="000E0F90">
        <w:rPr>
          <w:rFonts w:ascii="Arial" w:hAnsi="Arial" w:cs="Arial"/>
          <w:color w:val="000000" w:themeColor="text1"/>
        </w:rPr>
        <w:t>reivindicación</w:t>
      </w:r>
      <w:r w:rsidR="008A32ED" w:rsidRPr="000E0F90">
        <w:rPr>
          <w:rFonts w:ascii="Arial" w:hAnsi="Arial" w:cs="Arial"/>
          <w:color w:val="000000" w:themeColor="text1"/>
        </w:rPr>
        <w:t xml:space="preserve"> del territorio </w:t>
      </w:r>
      <w:r w:rsidR="00133E4B">
        <w:rPr>
          <w:rFonts w:ascii="Arial" w:hAnsi="Arial" w:cs="Arial"/>
          <w:color w:val="000000" w:themeColor="text1"/>
        </w:rPr>
        <w:t>y conformación de agrupaciones</w:t>
      </w:r>
      <w:r w:rsidR="008A32ED" w:rsidRPr="000E0F90">
        <w:rPr>
          <w:rFonts w:ascii="Arial" w:hAnsi="Arial" w:cs="Arial"/>
          <w:color w:val="000000" w:themeColor="text1"/>
        </w:rPr>
        <w:t xml:space="preserve"> </w:t>
      </w:r>
      <w:sdt>
        <w:sdtPr>
          <w:rPr>
            <w:rFonts w:ascii="Arial" w:hAnsi="Arial" w:cs="Arial"/>
            <w:color w:val="000000" w:themeColor="text1"/>
          </w:rPr>
          <w:id w:val="-126473743"/>
          <w:citation/>
        </w:sdtPr>
        <w:sdtEndPr/>
        <w:sdtContent>
          <w:r w:rsidR="008A32ED" w:rsidRPr="000E0F90">
            <w:rPr>
              <w:rFonts w:ascii="Arial" w:hAnsi="Arial" w:cs="Arial"/>
              <w:color w:val="000000" w:themeColor="text1"/>
            </w:rPr>
            <w:fldChar w:fldCharType="begin"/>
          </w:r>
          <w:r w:rsidR="00702D9A">
            <w:rPr>
              <w:rFonts w:ascii="Arial" w:hAnsi="Arial" w:cs="Arial"/>
              <w:color w:val="000000" w:themeColor="text1"/>
            </w:rPr>
            <w:instrText xml:space="preserve">CITATION ARC13 \t  \l 13322 </w:instrText>
          </w:r>
          <w:r w:rsidR="008A32ED" w:rsidRPr="000E0F90">
            <w:rPr>
              <w:rFonts w:ascii="Arial" w:hAnsi="Arial" w:cs="Arial"/>
              <w:color w:val="000000" w:themeColor="text1"/>
            </w:rPr>
            <w:fldChar w:fldCharType="separate"/>
          </w:r>
          <w:r w:rsidR="00702D9A" w:rsidRPr="00702D9A">
            <w:rPr>
              <w:rFonts w:ascii="Arial" w:hAnsi="Arial" w:cs="Arial"/>
              <w:noProof/>
              <w:color w:val="000000" w:themeColor="text1"/>
            </w:rPr>
            <w:t>(ARCADIS, 2013)</w:t>
          </w:r>
          <w:r w:rsidR="008A32ED" w:rsidRPr="000E0F90">
            <w:rPr>
              <w:rFonts w:ascii="Arial" w:hAnsi="Arial" w:cs="Arial"/>
              <w:color w:val="000000" w:themeColor="text1"/>
            </w:rPr>
            <w:fldChar w:fldCharType="end"/>
          </w:r>
        </w:sdtContent>
      </w:sdt>
      <w:r w:rsidR="008A32ED" w:rsidRPr="000E0F90">
        <w:rPr>
          <w:rFonts w:ascii="Arial" w:hAnsi="Arial" w:cs="Arial"/>
          <w:color w:val="000000" w:themeColor="text1"/>
        </w:rPr>
        <w:t>.</w:t>
      </w:r>
    </w:p>
    <w:p w:rsidR="003F7077" w:rsidRPr="000E0F90" w:rsidRDefault="003F7077" w:rsidP="00702D9A">
      <w:pPr>
        <w:spacing w:before="240" w:after="0" w:line="360" w:lineRule="auto"/>
        <w:rPr>
          <w:rFonts w:ascii="Arial" w:hAnsi="Arial" w:cs="Arial"/>
          <w:b/>
          <w:color w:val="000000" w:themeColor="text1"/>
        </w:rPr>
      </w:pPr>
      <w:r w:rsidRPr="000E0F90">
        <w:rPr>
          <w:rFonts w:ascii="Arial" w:hAnsi="Arial" w:cs="Arial"/>
          <w:b/>
          <w:color w:val="000000" w:themeColor="text1"/>
        </w:rPr>
        <w:t>Actividades económicas</w:t>
      </w:r>
    </w:p>
    <w:p w:rsidR="003F7077" w:rsidRDefault="003F7077" w:rsidP="00702D9A">
      <w:pPr>
        <w:spacing w:line="360" w:lineRule="auto"/>
        <w:rPr>
          <w:rFonts w:ascii="Arial" w:hAnsi="Arial" w:cs="Arial"/>
          <w:color w:val="000000" w:themeColor="text1"/>
        </w:rPr>
      </w:pPr>
      <w:r w:rsidRPr="000E0F90">
        <w:rPr>
          <w:rFonts w:ascii="Arial" w:hAnsi="Arial" w:cs="Arial"/>
          <w:color w:val="000000" w:themeColor="text1"/>
        </w:rPr>
        <w:t xml:space="preserve">En cuanto a la cantidad de empresas y trabajadores por actividad económica, </w:t>
      </w:r>
      <w:r w:rsidR="009E5F14" w:rsidRPr="000E0F90">
        <w:rPr>
          <w:rFonts w:ascii="Arial" w:hAnsi="Arial" w:cs="Arial"/>
          <w:color w:val="000000" w:themeColor="text1"/>
        </w:rPr>
        <w:t xml:space="preserve">al año 2013 </w:t>
      </w:r>
      <w:r w:rsidRPr="000E0F90">
        <w:rPr>
          <w:rFonts w:ascii="Arial" w:hAnsi="Arial" w:cs="Arial"/>
          <w:color w:val="000000" w:themeColor="text1"/>
        </w:rPr>
        <w:t xml:space="preserve">se identifican 600 empresas, las cuales se orientan principalmente al comercio (38%), explotación de minas y canteras (10,33%), hoteles y restaurantes (9,66%), actividades silvoagropecuarias (9,66%) y transporte (8,66%) </w:t>
      </w:r>
      <w:sdt>
        <w:sdtPr>
          <w:rPr>
            <w:rFonts w:ascii="Arial" w:hAnsi="Arial" w:cs="Arial"/>
            <w:color w:val="000000" w:themeColor="text1"/>
          </w:rPr>
          <w:id w:val="1730110880"/>
          <w:citation/>
        </w:sdtPr>
        <w:sdtEndPr/>
        <w:sdtContent>
          <w:r w:rsidRPr="000E0F90">
            <w:rPr>
              <w:rFonts w:ascii="Arial" w:hAnsi="Arial" w:cs="Arial"/>
              <w:color w:val="000000" w:themeColor="text1"/>
            </w:rPr>
            <w:fldChar w:fldCharType="begin"/>
          </w:r>
          <w:r w:rsidR="008A32ED" w:rsidRPr="000E0F90">
            <w:rPr>
              <w:rFonts w:ascii="Arial" w:hAnsi="Arial" w:cs="Arial"/>
              <w:color w:val="000000" w:themeColor="text1"/>
            </w:rPr>
            <w:instrText xml:space="preserve">CITATION Bib17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(BCN, 2017)</w:t>
          </w:r>
          <w:r w:rsidRPr="000E0F90">
            <w:rPr>
              <w:rFonts w:ascii="Arial" w:hAnsi="Arial" w:cs="Arial"/>
              <w:color w:val="000000" w:themeColor="text1"/>
            </w:rPr>
            <w:fldChar w:fldCharType="end"/>
          </w:r>
        </w:sdtContent>
      </w:sdt>
      <w:r w:rsidR="008A32ED" w:rsidRPr="000E0F90">
        <w:rPr>
          <w:rFonts w:ascii="Arial" w:hAnsi="Arial" w:cs="Arial"/>
          <w:color w:val="000000" w:themeColor="text1"/>
        </w:rPr>
        <w:t xml:space="preserve">. </w:t>
      </w:r>
      <w:r w:rsidRPr="000E0F90">
        <w:rPr>
          <w:rFonts w:ascii="Arial" w:hAnsi="Arial" w:cs="Arial"/>
          <w:color w:val="000000" w:themeColor="text1"/>
        </w:rPr>
        <w:t xml:space="preserve">En cuanto a la dotación de empleo de cada una de estas actividades, </w:t>
      </w:r>
      <w:r w:rsidR="00C65010" w:rsidRPr="000E0F90">
        <w:rPr>
          <w:rFonts w:ascii="Arial" w:hAnsi="Arial" w:cs="Arial"/>
          <w:color w:val="000000" w:themeColor="text1"/>
        </w:rPr>
        <w:t xml:space="preserve">de los </w:t>
      </w:r>
      <w:r w:rsidRPr="000E0F90">
        <w:rPr>
          <w:rFonts w:ascii="Arial" w:hAnsi="Arial" w:cs="Arial"/>
          <w:color w:val="000000" w:themeColor="text1"/>
        </w:rPr>
        <w:t xml:space="preserve">4559 empleos </w:t>
      </w:r>
      <w:r w:rsidR="00C65010" w:rsidRPr="000E0F90">
        <w:rPr>
          <w:rFonts w:ascii="Arial" w:hAnsi="Arial" w:cs="Arial"/>
          <w:color w:val="000000" w:themeColor="text1"/>
        </w:rPr>
        <w:t xml:space="preserve">identificados </w:t>
      </w:r>
      <w:r w:rsidRPr="000E0F90">
        <w:rPr>
          <w:rFonts w:ascii="Arial" w:hAnsi="Arial" w:cs="Arial"/>
          <w:color w:val="000000" w:themeColor="text1"/>
        </w:rPr>
        <w:t xml:space="preserve">en la comuna, </w:t>
      </w:r>
      <w:r w:rsidR="00C65010" w:rsidRPr="000E0F90">
        <w:rPr>
          <w:rFonts w:ascii="Arial" w:hAnsi="Arial" w:cs="Arial"/>
          <w:color w:val="000000" w:themeColor="text1"/>
        </w:rPr>
        <w:t xml:space="preserve">éstos </w:t>
      </w:r>
      <w:r w:rsidRPr="000E0F90">
        <w:rPr>
          <w:rFonts w:ascii="Arial" w:hAnsi="Arial" w:cs="Arial"/>
          <w:color w:val="000000" w:themeColor="text1"/>
        </w:rPr>
        <w:t xml:space="preserve">provenientes de actividades silvoagropecuarias (26,7%), actividades inmobiliarias (17,9%), administración pública (12,66%), explotación de minas y canteras (10,68%) y construcción (10,24%) </w:t>
      </w:r>
      <w:sdt>
        <w:sdtPr>
          <w:rPr>
            <w:rFonts w:ascii="Arial" w:hAnsi="Arial" w:cs="Arial"/>
            <w:color w:val="000000" w:themeColor="text1"/>
          </w:rPr>
          <w:id w:val="1609154962"/>
          <w:citation/>
        </w:sdtPr>
        <w:sdtEndPr/>
        <w:sdtContent>
          <w:r w:rsidRPr="000E0F90">
            <w:rPr>
              <w:rFonts w:ascii="Arial" w:hAnsi="Arial" w:cs="Arial"/>
              <w:color w:val="000000" w:themeColor="text1"/>
            </w:rPr>
            <w:fldChar w:fldCharType="begin"/>
          </w:r>
          <w:r w:rsidR="008A32ED" w:rsidRPr="000E0F90">
            <w:rPr>
              <w:rFonts w:ascii="Arial" w:hAnsi="Arial" w:cs="Arial"/>
              <w:color w:val="000000" w:themeColor="text1"/>
            </w:rPr>
            <w:instrText xml:space="preserve">CITATION Bib17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(BCN, 2017)</w:t>
          </w:r>
          <w:r w:rsidRPr="000E0F90">
            <w:rPr>
              <w:rFonts w:ascii="Arial" w:hAnsi="Arial" w:cs="Arial"/>
              <w:color w:val="000000" w:themeColor="text1"/>
            </w:rPr>
            <w:fldChar w:fldCharType="end"/>
          </w:r>
        </w:sdtContent>
      </w:sdt>
      <w:r w:rsidR="00E92763">
        <w:rPr>
          <w:rFonts w:ascii="Arial" w:hAnsi="Arial" w:cs="Arial"/>
          <w:color w:val="000000" w:themeColor="text1"/>
        </w:rPr>
        <w:t xml:space="preserve"> (Figura </w:t>
      </w:r>
      <w:r w:rsidR="00B35339">
        <w:rPr>
          <w:rFonts w:ascii="Arial" w:hAnsi="Arial" w:cs="Arial"/>
          <w:color w:val="000000" w:themeColor="text1"/>
        </w:rPr>
        <w:t>8</w:t>
      </w:r>
      <w:r w:rsidR="00E92763">
        <w:rPr>
          <w:rFonts w:ascii="Arial" w:hAnsi="Arial" w:cs="Arial"/>
          <w:color w:val="000000" w:themeColor="text1"/>
        </w:rPr>
        <w:t>)</w:t>
      </w:r>
      <w:r w:rsidRPr="000E0F90">
        <w:rPr>
          <w:rFonts w:ascii="Arial" w:hAnsi="Arial" w:cs="Arial"/>
          <w:color w:val="000000" w:themeColor="text1"/>
        </w:rPr>
        <w:t>.</w:t>
      </w:r>
    </w:p>
    <w:p w:rsidR="00F82BE5" w:rsidRPr="000E0F90" w:rsidRDefault="00F82BE5" w:rsidP="00F82BE5">
      <w:pPr>
        <w:spacing w:after="0" w:line="360" w:lineRule="auto"/>
        <w:rPr>
          <w:rFonts w:ascii="Arial" w:hAnsi="Arial" w:cs="Arial"/>
          <w:b/>
          <w:color w:val="000000" w:themeColor="text1"/>
        </w:rPr>
      </w:pPr>
      <w:r w:rsidRPr="000E0F90">
        <w:rPr>
          <w:rFonts w:ascii="Arial" w:hAnsi="Arial" w:cs="Arial"/>
          <w:b/>
          <w:color w:val="000000" w:themeColor="text1"/>
        </w:rPr>
        <w:t>Actividad Minera</w:t>
      </w:r>
    </w:p>
    <w:p w:rsidR="00F82BE5" w:rsidRPr="000E0F90" w:rsidRDefault="00F82BE5" w:rsidP="00F82BE5">
      <w:pPr>
        <w:spacing w:line="360" w:lineRule="auto"/>
        <w:rPr>
          <w:rFonts w:ascii="Arial" w:hAnsi="Arial" w:cs="Arial"/>
          <w:color w:val="000000" w:themeColor="text1"/>
        </w:rPr>
      </w:pPr>
      <w:r w:rsidRPr="000E0F90">
        <w:rPr>
          <w:rFonts w:ascii="Arial" w:hAnsi="Arial" w:cs="Arial"/>
          <w:color w:val="000000" w:themeColor="text1"/>
        </w:rPr>
        <w:t xml:space="preserve">En la comuna de Tierra Amarilla, se identifican yacimientos de cobre y oro, y hierro en forma secundaria, además de otros productos de minería no metálica, como caliza </w:t>
      </w:r>
      <w:sdt>
        <w:sdtPr>
          <w:rPr>
            <w:rFonts w:ascii="Arial" w:hAnsi="Arial" w:cs="Arial"/>
            <w:color w:val="000000" w:themeColor="text1"/>
          </w:rPr>
          <w:id w:val="-1076352569"/>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SON17 \l 13322 </w:instrText>
          </w:r>
          <w:r w:rsidRPr="000E0F90">
            <w:rPr>
              <w:rFonts w:ascii="Arial" w:hAnsi="Arial" w:cs="Arial"/>
              <w:color w:val="000000" w:themeColor="text1"/>
            </w:rPr>
            <w:fldChar w:fldCharType="separate"/>
          </w:r>
          <w:r w:rsidRPr="000E0F90">
            <w:rPr>
              <w:rFonts w:ascii="Arial" w:hAnsi="Arial" w:cs="Arial"/>
              <w:noProof/>
              <w:color w:val="000000" w:themeColor="text1"/>
            </w:rPr>
            <w:t>(SONAMI, 2017)</w:t>
          </w:r>
          <w:r w:rsidRPr="000E0F90">
            <w:rPr>
              <w:rFonts w:ascii="Arial" w:hAnsi="Arial" w:cs="Arial"/>
              <w:color w:val="000000" w:themeColor="text1"/>
            </w:rPr>
            <w:fldChar w:fldCharType="end"/>
          </w:r>
        </w:sdtContent>
      </w:sdt>
      <w:r w:rsidRPr="000E0F90">
        <w:rPr>
          <w:rFonts w:ascii="Arial" w:hAnsi="Arial" w:cs="Arial"/>
          <w:color w:val="000000" w:themeColor="text1"/>
        </w:rPr>
        <w:t>. S</w:t>
      </w:r>
      <w:r w:rsidRPr="000E0F90">
        <w:rPr>
          <w:rFonts w:ascii="Arial" w:eastAsia="Times New Roman" w:hAnsi="Arial" w:cs="Arial"/>
          <w:bCs/>
          <w:iCs/>
          <w:color w:val="000000" w:themeColor="text1"/>
          <w:lang w:eastAsia="es-ES"/>
        </w:rPr>
        <w:t>e evidencia pequeña, mediana y gran minería, d</w:t>
      </w:r>
      <w:r w:rsidRPr="000E0F90">
        <w:rPr>
          <w:rFonts w:ascii="Arial" w:hAnsi="Arial" w:cs="Arial"/>
          <w:color w:val="000000" w:themeColor="text1"/>
        </w:rPr>
        <w:t>e acuerdo a información de SERNAGEOMIN (2013) se identifican 258 faenas mineras, equivalente al 12,3% de las faenas regionales, de las cuales 128 corresponden a Categoría D y 68 a categoría A y 44 a categoría C y 18 categoría B</w:t>
      </w:r>
      <w:r w:rsidR="00B35339">
        <w:rPr>
          <w:rFonts w:ascii="Arial" w:hAnsi="Arial" w:cs="Arial"/>
          <w:color w:val="000000" w:themeColor="text1"/>
        </w:rPr>
        <w:t xml:space="preserve"> (Figura 9</w:t>
      </w:r>
      <w:r w:rsidR="00E92763">
        <w:rPr>
          <w:rFonts w:ascii="Arial" w:hAnsi="Arial" w:cs="Arial"/>
          <w:color w:val="000000" w:themeColor="text1"/>
        </w:rPr>
        <w:t>)</w:t>
      </w:r>
      <w:r w:rsidRPr="000E0F90">
        <w:rPr>
          <w:rFonts w:ascii="Arial" w:hAnsi="Arial" w:cs="Arial"/>
          <w:color w:val="000000" w:themeColor="text1"/>
        </w:rPr>
        <w:t>. Se identificaron 27 relaves, representando el 16% de la existencia regional, de los cuales 7 se encuentran activos, 15 inactivos y 5 sin información</w:t>
      </w:r>
      <w:sdt>
        <w:sdtPr>
          <w:rPr>
            <w:rFonts w:ascii="Arial" w:hAnsi="Arial" w:cs="Arial"/>
            <w:color w:val="000000" w:themeColor="text1"/>
          </w:rPr>
          <w:id w:val="594523770"/>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Ser16 \l 13322 </w:instrText>
          </w:r>
          <w:r w:rsidRPr="000E0F90">
            <w:rPr>
              <w:rFonts w:ascii="Arial" w:hAnsi="Arial" w:cs="Arial"/>
              <w:color w:val="000000" w:themeColor="text1"/>
            </w:rPr>
            <w:fldChar w:fldCharType="separate"/>
          </w:r>
          <w:r w:rsidRPr="000E0F90">
            <w:rPr>
              <w:rFonts w:ascii="Arial" w:hAnsi="Arial" w:cs="Arial"/>
              <w:noProof/>
              <w:color w:val="000000" w:themeColor="text1"/>
            </w:rPr>
            <w:t xml:space="preserve"> (Sernageomin, 2016)</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Respecto a los pasivos ambientales de la comuna, se identificaron 16 pasivos ambientales mineros, correspondiente al 20% de la existencia regional </w:t>
      </w:r>
      <w:sdt>
        <w:sdtPr>
          <w:rPr>
            <w:rFonts w:ascii="Arial" w:hAnsi="Arial" w:cs="Arial"/>
            <w:color w:val="000000" w:themeColor="text1"/>
          </w:rPr>
          <w:id w:val="1406567703"/>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CITATION SER16 \l 13322 </w:instrText>
          </w:r>
          <w:r w:rsidRPr="000E0F90">
            <w:rPr>
              <w:rFonts w:ascii="Arial" w:hAnsi="Arial" w:cs="Arial"/>
              <w:color w:val="000000" w:themeColor="text1"/>
            </w:rPr>
            <w:fldChar w:fldCharType="separate"/>
          </w:r>
          <w:r w:rsidRPr="000E0F90">
            <w:rPr>
              <w:rFonts w:ascii="Arial" w:hAnsi="Arial" w:cs="Arial"/>
              <w:noProof/>
              <w:color w:val="000000" w:themeColor="text1"/>
            </w:rPr>
            <w:t>(SERNAGEOMIN, 2010)</w:t>
          </w:r>
          <w:r w:rsidRPr="000E0F90">
            <w:rPr>
              <w:rFonts w:ascii="Arial" w:hAnsi="Arial" w:cs="Arial"/>
              <w:color w:val="000000" w:themeColor="text1"/>
            </w:rPr>
            <w:fldChar w:fldCharType="end"/>
          </w:r>
        </w:sdtContent>
      </w:sdt>
      <w:r w:rsidRPr="000E0F90">
        <w:rPr>
          <w:rFonts w:ascii="Arial" w:hAnsi="Arial" w:cs="Arial"/>
          <w:color w:val="000000" w:themeColor="text1"/>
        </w:rPr>
        <w:t>.</w:t>
      </w:r>
    </w:p>
    <w:p w:rsidR="003F7077" w:rsidRPr="000E0F90" w:rsidRDefault="003F7077" w:rsidP="00702D9A">
      <w:pPr>
        <w:spacing w:after="0" w:line="360" w:lineRule="auto"/>
        <w:rPr>
          <w:rFonts w:ascii="Arial" w:hAnsi="Arial" w:cs="Arial"/>
          <w:color w:val="000000" w:themeColor="text1"/>
        </w:rPr>
      </w:pPr>
      <w:r w:rsidRPr="000E0F90">
        <w:rPr>
          <w:rFonts w:ascii="Arial" w:hAnsi="Arial" w:cs="Arial"/>
          <w:noProof/>
          <w:color w:val="000000" w:themeColor="text1"/>
          <w:lang w:eastAsia="es-CL"/>
        </w:rPr>
        <w:lastRenderedPageBreak/>
        <w:drawing>
          <wp:inline distT="0" distB="0" distL="0" distR="0" wp14:anchorId="1B0DB91D" wp14:editId="78834128">
            <wp:extent cx="5518298" cy="2551814"/>
            <wp:effectExtent l="0" t="0" r="25400" b="20320"/>
            <wp:docPr id="1"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3F7077" w:rsidRPr="000E0F90" w:rsidRDefault="006B15AA" w:rsidP="00702D9A">
      <w:pPr>
        <w:pStyle w:val="Epgrafe"/>
        <w:spacing w:line="360" w:lineRule="auto"/>
        <w:jc w:val="center"/>
        <w:rPr>
          <w:rFonts w:ascii="Arial" w:hAnsi="Arial" w:cs="Arial"/>
          <w:b w:val="0"/>
          <w:color w:val="000000" w:themeColor="text1"/>
          <w:sz w:val="22"/>
        </w:rPr>
      </w:pPr>
      <w:r w:rsidRPr="000E0F90">
        <w:rPr>
          <w:rFonts w:ascii="Arial" w:hAnsi="Arial" w:cs="Arial"/>
          <w:b w:val="0"/>
          <w:color w:val="000000" w:themeColor="text1"/>
          <w:sz w:val="22"/>
        </w:rPr>
        <w:t xml:space="preserve">Figura </w:t>
      </w:r>
      <w:r w:rsidRPr="000E0F90">
        <w:rPr>
          <w:rFonts w:ascii="Arial" w:hAnsi="Arial" w:cs="Arial"/>
          <w:b w:val="0"/>
          <w:color w:val="000000" w:themeColor="text1"/>
          <w:sz w:val="22"/>
        </w:rPr>
        <w:fldChar w:fldCharType="begin"/>
      </w:r>
      <w:r w:rsidRPr="000E0F90">
        <w:rPr>
          <w:rFonts w:ascii="Arial" w:hAnsi="Arial" w:cs="Arial"/>
          <w:b w:val="0"/>
          <w:color w:val="000000" w:themeColor="text1"/>
          <w:sz w:val="22"/>
        </w:rPr>
        <w:instrText xml:space="preserve"> SEQ Figura \* ARABIC </w:instrText>
      </w:r>
      <w:r w:rsidRPr="000E0F90">
        <w:rPr>
          <w:rFonts w:ascii="Arial" w:hAnsi="Arial" w:cs="Arial"/>
          <w:b w:val="0"/>
          <w:color w:val="000000" w:themeColor="text1"/>
          <w:sz w:val="22"/>
        </w:rPr>
        <w:fldChar w:fldCharType="separate"/>
      </w:r>
      <w:r w:rsidR="00225844">
        <w:rPr>
          <w:rFonts w:ascii="Arial" w:hAnsi="Arial" w:cs="Arial"/>
          <w:b w:val="0"/>
          <w:noProof/>
          <w:color w:val="000000" w:themeColor="text1"/>
          <w:sz w:val="22"/>
        </w:rPr>
        <w:t>8</w:t>
      </w:r>
      <w:r w:rsidRPr="000E0F90">
        <w:rPr>
          <w:rFonts w:ascii="Arial" w:hAnsi="Arial" w:cs="Arial"/>
          <w:b w:val="0"/>
          <w:color w:val="000000" w:themeColor="text1"/>
          <w:sz w:val="22"/>
        </w:rPr>
        <w:fldChar w:fldCharType="end"/>
      </w:r>
      <w:r w:rsidR="00C512EC" w:rsidRPr="000E0F90">
        <w:rPr>
          <w:rFonts w:ascii="Arial" w:hAnsi="Arial" w:cs="Arial"/>
          <w:b w:val="0"/>
          <w:color w:val="000000" w:themeColor="text1"/>
          <w:sz w:val="22"/>
        </w:rPr>
        <w:t xml:space="preserve">: Participación de empresas y número de trabajadores según actividad económica de la comuna de Tierra Amarilla (Año 2013). </w:t>
      </w:r>
      <w:r w:rsidR="003F7077" w:rsidRPr="000E0F90">
        <w:rPr>
          <w:rFonts w:ascii="Arial" w:hAnsi="Arial" w:cs="Arial"/>
          <w:b w:val="0"/>
          <w:color w:val="000000" w:themeColor="text1"/>
          <w:sz w:val="22"/>
        </w:rPr>
        <w:t xml:space="preserve">Fuente: </w:t>
      </w:r>
      <w:sdt>
        <w:sdtPr>
          <w:rPr>
            <w:rFonts w:ascii="Arial" w:hAnsi="Arial" w:cs="Arial"/>
            <w:b w:val="0"/>
            <w:color w:val="000000" w:themeColor="text1"/>
            <w:sz w:val="22"/>
          </w:rPr>
          <w:id w:val="1979646684"/>
          <w:citation/>
        </w:sdtPr>
        <w:sdtEndPr/>
        <w:sdtContent>
          <w:r w:rsidR="003F7077" w:rsidRPr="000E0F90">
            <w:rPr>
              <w:rFonts w:ascii="Arial" w:hAnsi="Arial" w:cs="Arial"/>
              <w:b w:val="0"/>
              <w:color w:val="000000" w:themeColor="text1"/>
              <w:sz w:val="22"/>
            </w:rPr>
            <w:fldChar w:fldCharType="begin"/>
          </w:r>
          <w:r w:rsidR="008A32ED" w:rsidRPr="000E0F90">
            <w:rPr>
              <w:rFonts w:ascii="Arial" w:hAnsi="Arial" w:cs="Arial"/>
              <w:b w:val="0"/>
              <w:color w:val="000000" w:themeColor="text1"/>
              <w:sz w:val="22"/>
            </w:rPr>
            <w:instrText xml:space="preserve">CITATION Bib17 \l 13322 </w:instrText>
          </w:r>
          <w:r w:rsidR="003F7077" w:rsidRPr="000E0F90">
            <w:rPr>
              <w:rFonts w:ascii="Arial" w:hAnsi="Arial" w:cs="Arial"/>
              <w:b w:val="0"/>
              <w:color w:val="000000" w:themeColor="text1"/>
              <w:sz w:val="22"/>
            </w:rPr>
            <w:fldChar w:fldCharType="separate"/>
          </w:r>
          <w:r w:rsidR="008D0261" w:rsidRPr="000E0F90">
            <w:rPr>
              <w:rFonts w:ascii="Arial" w:hAnsi="Arial" w:cs="Arial"/>
              <w:noProof/>
              <w:color w:val="000000" w:themeColor="text1"/>
              <w:sz w:val="22"/>
            </w:rPr>
            <w:t>(BCN, 2017)</w:t>
          </w:r>
          <w:r w:rsidR="003F7077" w:rsidRPr="000E0F90">
            <w:rPr>
              <w:rFonts w:ascii="Arial" w:hAnsi="Arial" w:cs="Arial"/>
              <w:b w:val="0"/>
              <w:color w:val="000000" w:themeColor="text1"/>
              <w:sz w:val="22"/>
            </w:rPr>
            <w:fldChar w:fldCharType="end"/>
          </w:r>
        </w:sdtContent>
      </w:sdt>
      <w:r w:rsidR="003F7077" w:rsidRPr="000E0F90">
        <w:rPr>
          <w:rFonts w:ascii="Arial" w:hAnsi="Arial" w:cs="Arial"/>
          <w:b w:val="0"/>
          <w:color w:val="000000" w:themeColor="text1"/>
          <w:sz w:val="22"/>
        </w:rPr>
        <w:t>.</w:t>
      </w:r>
    </w:p>
    <w:p w:rsidR="003F7077" w:rsidRPr="000E0F90" w:rsidRDefault="003F7077" w:rsidP="00702D9A">
      <w:pPr>
        <w:spacing w:after="0" w:line="360" w:lineRule="auto"/>
        <w:jc w:val="center"/>
        <w:rPr>
          <w:rFonts w:ascii="Arial" w:hAnsi="Arial" w:cs="Arial"/>
          <w:color w:val="000000" w:themeColor="text1"/>
          <w:sz w:val="20"/>
        </w:rPr>
      </w:pPr>
      <w:r w:rsidRPr="000E0F90">
        <w:rPr>
          <w:rFonts w:ascii="Arial" w:hAnsi="Arial" w:cs="Arial"/>
          <w:noProof/>
          <w:color w:val="000000" w:themeColor="text1"/>
          <w:sz w:val="20"/>
          <w:lang w:eastAsia="es-CL"/>
        </w:rPr>
        <w:drawing>
          <wp:inline distT="0" distB="0" distL="0" distR="0" wp14:anchorId="5E67A180" wp14:editId="48ABA303">
            <wp:extent cx="3943350" cy="2314575"/>
            <wp:effectExtent l="0" t="0" r="19050" b="9525"/>
            <wp:docPr id="13" name="Gráfico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3F7077" w:rsidRPr="000E0F90" w:rsidRDefault="006B15AA" w:rsidP="00702D9A">
      <w:pPr>
        <w:pStyle w:val="Epgrafe"/>
        <w:spacing w:line="360" w:lineRule="auto"/>
        <w:jc w:val="center"/>
        <w:rPr>
          <w:rFonts w:ascii="Arial" w:hAnsi="Arial" w:cs="Arial"/>
          <w:b w:val="0"/>
          <w:color w:val="000000" w:themeColor="text1"/>
          <w:sz w:val="22"/>
        </w:rPr>
      </w:pPr>
      <w:r w:rsidRPr="000E0F90">
        <w:rPr>
          <w:rFonts w:ascii="Arial" w:hAnsi="Arial" w:cs="Arial"/>
          <w:b w:val="0"/>
          <w:color w:val="000000" w:themeColor="text1"/>
          <w:sz w:val="22"/>
        </w:rPr>
        <w:t xml:space="preserve">Figura </w:t>
      </w:r>
      <w:r w:rsidRPr="000E0F90">
        <w:rPr>
          <w:rFonts w:ascii="Arial" w:hAnsi="Arial" w:cs="Arial"/>
          <w:b w:val="0"/>
          <w:color w:val="000000" w:themeColor="text1"/>
          <w:sz w:val="22"/>
        </w:rPr>
        <w:fldChar w:fldCharType="begin"/>
      </w:r>
      <w:r w:rsidRPr="000E0F90">
        <w:rPr>
          <w:rFonts w:ascii="Arial" w:hAnsi="Arial" w:cs="Arial"/>
          <w:b w:val="0"/>
          <w:color w:val="000000" w:themeColor="text1"/>
          <w:sz w:val="22"/>
        </w:rPr>
        <w:instrText xml:space="preserve"> SEQ Figura \* ARABIC </w:instrText>
      </w:r>
      <w:r w:rsidRPr="000E0F90">
        <w:rPr>
          <w:rFonts w:ascii="Arial" w:hAnsi="Arial" w:cs="Arial"/>
          <w:b w:val="0"/>
          <w:color w:val="000000" w:themeColor="text1"/>
          <w:sz w:val="22"/>
        </w:rPr>
        <w:fldChar w:fldCharType="separate"/>
      </w:r>
      <w:r w:rsidR="00225844">
        <w:rPr>
          <w:rFonts w:ascii="Arial" w:hAnsi="Arial" w:cs="Arial"/>
          <w:b w:val="0"/>
          <w:noProof/>
          <w:color w:val="000000" w:themeColor="text1"/>
          <w:sz w:val="22"/>
        </w:rPr>
        <w:t>9</w:t>
      </w:r>
      <w:r w:rsidRPr="000E0F90">
        <w:rPr>
          <w:rFonts w:ascii="Arial" w:hAnsi="Arial" w:cs="Arial"/>
          <w:b w:val="0"/>
          <w:color w:val="000000" w:themeColor="text1"/>
          <w:sz w:val="22"/>
        </w:rPr>
        <w:fldChar w:fldCharType="end"/>
      </w:r>
      <w:r w:rsidR="00C512EC" w:rsidRPr="000E0F90">
        <w:rPr>
          <w:rFonts w:ascii="Arial" w:hAnsi="Arial" w:cs="Arial"/>
          <w:b w:val="0"/>
          <w:color w:val="000000" w:themeColor="text1"/>
          <w:sz w:val="22"/>
        </w:rPr>
        <w:t xml:space="preserve">: Faenas Mineras de explotación de Tierra Amarilla según categorías de SERNAGEOMIN. </w:t>
      </w:r>
      <w:r w:rsidR="003F7077" w:rsidRPr="000E0F90">
        <w:rPr>
          <w:rFonts w:ascii="Arial" w:hAnsi="Arial" w:cs="Arial"/>
          <w:b w:val="0"/>
          <w:color w:val="000000" w:themeColor="text1"/>
          <w:sz w:val="22"/>
        </w:rPr>
        <w:t xml:space="preserve">Fuente: </w:t>
      </w:r>
      <w:sdt>
        <w:sdtPr>
          <w:rPr>
            <w:rFonts w:ascii="Arial" w:hAnsi="Arial" w:cs="Arial"/>
            <w:b w:val="0"/>
            <w:color w:val="000000" w:themeColor="text1"/>
            <w:sz w:val="22"/>
          </w:rPr>
          <w:id w:val="-489866656"/>
          <w:citation/>
        </w:sdtPr>
        <w:sdtEndPr/>
        <w:sdtContent>
          <w:r w:rsidR="003F7077" w:rsidRPr="000E0F90">
            <w:rPr>
              <w:rFonts w:ascii="Arial" w:hAnsi="Arial" w:cs="Arial"/>
              <w:b w:val="0"/>
              <w:color w:val="000000" w:themeColor="text1"/>
              <w:sz w:val="22"/>
            </w:rPr>
            <w:fldChar w:fldCharType="begin"/>
          </w:r>
          <w:r w:rsidR="003F7077" w:rsidRPr="000E0F90">
            <w:rPr>
              <w:rFonts w:ascii="Arial" w:hAnsi="Arial" w:cs="Arial"/>
              <w:b w:val="0"/>
              <w:color w:val="000000" w:themeColor="text1"/>
              <w:sz w:val="22"/>
            </w:rPr>
            <w:instrText xml:space="preserve"> CITATION SER13 \l 13322 </w:instrText>
          </w:r>
          <w:r w:rsidR="003F7077" w:rsidRPr="000E0F90">
            <w:rPr>
              <w:rFonts w:ascii="Arial" w:hAnsi="Arial" w:cs="Arial"/>
              <w:b w:val="0"/>
              <w:color w:val="000000" w:themeColor="text1"/>
              <w:sz w:val="22"/>
            </w:rPr>
            <w:fldChar w:fldCharType="separate"/>
          </w:r>
          <w:r w:rsidR="008D0261" w:rsidRPr="000E0F90">
            <w:rPr>
              <w:rFonts w:ascii="Arial" w:hAnsi="Arial" w:cs="Arial"/>
              <w:noProof/>
              <w:color w:val="000000" w:themeColor="text1"/>
              <w:sz w:val="22"/>
            </w:rPr>
            <w:t>(SERNAGEOMIN, 2013)</w:t>
          </w:r>
          <w:r w:rsidR="003F7077" w:rsidRPr="000E0F90">
            <w:rPr>
              <w:rFonts w:ascii="Arial" w:hAnsi="Arial" w:cs="Arial"/>
              <w:b w:val="0"/>
              <w:color w:val="000000" w:themeColor="text1"/>
              <w:sz w:val="22"/>
            </w:rPr>
            <w:fldChar w:fldCharType="end"/>
          </w:r>
        </w:sdtContent>
      </w:sdt>
    </w:p>
    <w:p w:rsidR="003F7077" w:rsidRPr="000E0F90" w:rsidRDefault="003F7077" w:rsidP="00702D9A">
      <w:pPr>
        <w:tabs>
          <w:tab w:val="left" w:pos="3183"/>
        </w:tabs>
        <w:spacing w:before="240" w:after="0" w:line="360" w:lineRule="auto"/>
        <w:rPr>
          <w:rFonts w:ascii="Arial" w:hAnsi="Arial" w:cs="Arial"/>
          <w:b/>
          <w:color w:val="000000" w:themeColor="text1"/>
        </w:rPr>
      </w:pPr>
      <w:r w:rsidRPr="000E0F90">
        <w:rPr>
          <w:rFonts w:ascii="Arial" w:hAnsi="Arial" w:cs="Arial"/>
          <w:b/>
          <w:color w:val="000000" w:themeColor="text1"/>
        </w:rPr>
        <w:t>Agricultura y Ganadería</w:t>
      </w:r>
    </w:p>
    <w:p w:rsidR="003F7077" w:rsidRPr="000E0F90" w:rsidRDefault="003F7077" w:rsidP="00702D9A">
      <w:pPr>
        <w:tabs>
          <w:tab w:val="left" w:pos="3183"/>
        </w:tabs>
        <w:spacing w:line="360" w:lineRule="auto"/>
        <w:rPr>
          <w:rFonts w:ascii="Arial" w:hAnsi="Arial" w:cs="Arial"/>
          <w:color w:val="000000" w:themeColor="text1"/>
        </w:rPr>
      </w:pPr>
      <w:r w:rsidRPr="000E0F90">
        <w:rPr>
          <w:rFonts w:ascii="Arial" w:hAnsi="Arial" w:cs="Arial"/>
          <w:color w:val="000000" w:themeColor="text1"/>
        </w:rPr>
        <w:t xml:space="preserve">La comuna presenta una superficie </w:t>
      </w:r>
      <w:r w:rsidR="00FC2F4D" w:rsidRPr="000E0F90">
        <w:rPr>
          <w:rFonts w:ascii="Arial" w:hAnsi="Arial" w:cs="Arial"/>
          <w:color w:val="000000" w:themeColor="text1"/>
        </w:rPr>
        <w:t>de 697.388,2</w:t>
      </w:r>
      <w:r w:rsidR="000C7408">
        <w:rPr>
          <w:rFonts w:ascii="Arial" w:hAnsi="Arial" w:cs="Arial"/>
          <w:color w:val="000000" w:themeColor="text1"/>
        </w:rPr>
        <w:t xml:space="preserve"> </w:t>
      </w:r>
      <w:r w:rsidR="00FC2F4D" w:rsidRPr="000E0F90">
        <w:rPr>
          <w:rFonts w:ascii="Arial" w:hAnsi="Arial" w:cs="Arial"/>
          <w:color w:val="000000" w:themeColor="text1"/>
        </w:rPr>
        <w:t>ha perteneciente a</w:t>
      </w:r>
      <w:r w:rsidRPr="000E0F90">
        <w:rPr>
          <w:rFonts w:ascii="Arial" w:hAnsi="Arial" w:cs="Arial"/>
          <w:color w:val="000000" w:themeColor="text1"/>
        </w:rPr>
        <w:t xml:space="preserve"> explotaciones silvoagropeuarias</w:t>
      </w:r>
      <w:r w:rsidR="000C7408">
        <w:rPr>
          <w:rFonts w:ascii="Arial" w:hAnsi="Arial" w:cs="Arial"/>
          <w:color w:val="000000" w:themeColor="text1"/>
        </w:rPr>
        <w:t xml:space="preserve"> (</w:t>
      </w:r>
      <w:r w:rsidRPr="000E0F90">
        <w:rPr>
          <w:rFonts w:ascii="Arial" w:hAnsi="Arial" w:cs="Arial"/>
          <w:color w:val="000000" w:themeColor="text1"/>
        </w:rPr>
        <w:t xml:space="preserve">62,3% de la </w:t>
      </w:r>
      <w:r w:rsidR="000C7408">
        <w:rPr>
          <w:rFonts w:ascii="Arial" w:hAnsi="Arial" w:cs="Arial"/>
          <w:color w:val="000000" w:themeColor="text1"/>
        </w:rPr>
        <w:t>regió</w:t>
      </w:r>
      <w:r w:rsidRPr="000E0F90">
        <w:rPr>
          <w:rFonts w:ascii="Arial" w:hAnsi="Arial" w:cs="Arial"/>
          <w:color w:val="000000" w:themeColor="text1"/>
        </w:rPr>
        <w:t>n</w:t>
      </w:r>
      <w:r w:rsidR="000C7408">
        <w:rPr>
          <w:rFonts w:ascii="Arial" w:hAnsi="Arial" w:cs="Arial"/>
          <w:color w:val="000000" w:themeColor="text1"/>
        </w:rPr>
        <w:t>)</w:t>
      </w:r>
      <w:r w:rsidRPr="000E0F90">
        <w:rPr>
          <w:rFonts w:ascii="Arial" w:hAnsi="Arial" w:cs="Arial"/>
          <w:color w:val="000000" w:themeColor="text1"/>
        </w:rPr>
        <w:t xml:space="preserve">. De ésta, 6.997,04ha están destinadas a cultivos, </w:t>
      </w:r>
      <w:r w:rsidR="00124631" w:rsidRPr="000E0F90">
        <w:rPr>
          <w:rFonts w:ascii="Arial" w:hAnsi="Arial" w:cs="Arial"/>
          <w:color w:val="000000" w:themeColor="text1"/>
        </w:rPr>
        <w:t>destacá</w:t>
      </w:r>
      <w:r w:rsidR="00124631">
        <w:rPr>
          <w:rFonts w:ascii="Arial" w:hAnsi="Arial" w:cs="Arial"/>
          <w:color w:val="000000" w:themeColor="text1"/>
        </w:rPr>
        <w:t>ndose</w:t>
      </w:r>
      <w:r w:rsidRPr="000E0F90">
        <w:rPr>
          <w:rFonts w:ascii="Arial" w:hAnsi="Arial" w:cs="Arial"/>
          <w:color w:val="000000" w:themeColor="text1"/>
        </w:rPr>
        <w:t xml:space="preserve"> la superficie destinada a la producción de frutales, con 6.645,8 ha (95%), seguida de la producción de plantas forrajeras con 206,7 ha (3%)</w:t>
      </w:r>
      <w:r w:rsidR="00B35339">
        <w:rPr>
          <w:rFonts w:ascii="Arial" w:hAnsi="Arial" w:cs="Arial"/>
          <w:color w:val="000000" w:themeColor="text1"/>
        </w:rPr>
        <w:t xml:space="preserve"> (Figura 10</w:t>
      </w:r>
      <w:r w:rsidR="00BA1041">
        <w:rPr>
          <w:rFonts w:ascii="Arial" w:hAnsi="Arial" w:cs="Arial"/>
          <w:color w:val="000000" w:themeColor="text1"/>
        </w:rPr>
        <w:t>)</w:t>
      </w:r>
      <w:sdt>
        <w:sdtPr>
          <w:rPr>
            <w:rFonts w:ascii="Arial" w:hAnsi="Arial" w:cs="Arial"/>
            <w:color w:val="000000" w:themeColor="text1"/>
          </w:rPr>
          <w:id w:val="686331904"/>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Cen07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 xml:space="preserve"> (Censo Agropecuario, 2007)</w:t>
          </w:r>
          <w:r w:rsidRPr="000E0F90">
            <w:rPr>
              <w:rFonts w:ascii="Arial" w:hAnsi="Arial" w:cs="Arial"/>
              <w:color w:val="000000" w:themeColor="text1"/>
            </w:rPr>
            <w:fldChar w:fldCharType="end"/>
          </w:r>
        </w:sdtContent>
      </w:sdt>
      <w:r w:rsidRPr="000E0F90">
        <w:rPr>
          <w:rFonts w:ascii="Arial" w:hAnsi="Arial" w:cs="Arial"/>
          <w:color w:val="000000" w:themeColor="text1"/>
        </w:rPr>
        <w:t>.</w:t>
      </w:r>
      <w:r w:rsidR="008A32ED" w:rsidRPr="000E0F90">
        <w:rPr>
          <w:rFonts w:ascii="Arial" w:hAnsi="Arial" w:cs="Arial"/>
          <w:color w:val="000000" w:themeColor="text1"/>
        </w:rPr>
        <w:t xml:space="preserve"> </w:t>
      </w:r>
      <w:r w:rsidR="00D974A2" w:rsidRPr="000E0F90">
        <w:rPr>
          <w:rFonts w:ascii="Arial" w:eastAsia="Times New Roman" w:hAnsi="Arial" w:cs="Arial"/>
          <w:bCs/>
          <w:iCs/>
          <w:color w:val="000000" w:themeColor="text1"/>
          <w:lang w:eastAsia="es-ES"/>
        </w:rPr>
        <w:t>La actividad agrícola, ha tenido un importante desarrollo, en</w:t>
      </w:r>
      <w:r w:rsidR="00D974A2" w:rsidRPr="000E0F90">
        <w:rPr>
          <w:rFonts w:ascii="Arial" w:eastAsia="Times New Roman" w:hAnsi="Arial" w:cs="Arial"/>
          <w:color w:val="000000" w:themeColor="text1"/>
          <w:lang w:eastAsia="es-ES"/>
        </w:rPr>
        <w:t xml:space="preserve"> especial para el cultivo de parronales de uva para exportación, alcanzando un nivel </w:t>
      </w:r>
      <w:r w:rsidR="00D974A2" w:rsidRPr="000E0F90">
        <w:rPr>
          <w:rFonts w:ascii="Arial" w:eastAsia="Times New Roman" w:hAnsi="Arial" w:cs="Arial"/>
          <w:color w:val="000000" w:themeColor="text1"/>
          <w:lang w:eastAsia="es-ES"/>
        </w:rPr>
        <w:lastRenderedPageBreak/>
        <w:t xml:space="preserve">más industrializado, dado las condiciones climáticas locales, observando parronales en las quebradas cordilleranas de la cuenca del río Copiapó </w:t>
      </w:r>
      <w:sdt>
        <w:sdtPr>
          <w:rPr>
            <w:rFonts w:ascii="Arial" w:eastAsia="Times New Roman" w:hAnsi="Arial" w:cs="Arial"/>
            <w:bCs/>
            <w:iCs/>
            <w:color w:val="000000" w:themeColor="text1"/>
            <w:lang w:eastAsia="es-ES"/>
          </w:rPr>
          <w:id w:val="-170031461"/>
          <w:citation/>
        </w:sdtPr>
        <w:sdtEndPr/>
        <w:sdtContent>
          <w:r w:rsidR="00D974A2" w:rsidRPr="000E0F90">
            <w:rPr>
              <w:rFonts w:ascii="Arial" w:eastAsia="Times New Roman" w:hAnsi="Arial" w:cs="Arial"/>
              <w:bCs/>
              <w:iCs/>
              <w:color w:val="000000" w:themeColor="text1"/>
              <w:lang w:eastAsia="es-ES"/>
            </w:rPr>
            <w:fldChar w:fldCharType="begin"/>
          </w:r>
          <w:r w:rsidR="003F2E43" w:rsidRPr="000E0F90">
            <w:rPr>
              <w:rFonts w:ascii="Arial" w:eastAsia="Times New Roman" w:hAnsi="Arial" w:cs="Arial"/>
              <w:bCs/>
              <w:iCs/>
              <w:color w:val="000000" w:themeColor="text1"/>
              <w:lang w:eastAsia="es-ES"/>
            </w:rPr>
            <w:instrText xml:space="preserve">CITATION ARC13 \t  \l 13322 </w:instrText>
          </w:r>
          <w:r w:rsidR="00D974A2" w:rsidRPr="000E0F90">
            <w:rPr>
              <w:rFonts w:ascii="Arial" w:eastAsia="Times New Roman" w:hAnsi="Arial" w:cs="Arial"/>
              <w:bCs/>
              <w:iCs/>
              <w:color w:val="000000" w:themeColor="text1"/>
              <w:lang w:eastAsia="es-ES"/>
            </w:rPr>
            <w:fldChar w:fldCharType="separate"/>
          </w:r>
          <w:r w:rsidR="003F2E43" w:rsidRPr="000E0F90">
            <w:rPr>
              <w:rFonts w:ascii="Arial" w:eastAsia="Times New Roman" w:hAnsi="Arial" w:cs="Arial"/>
              <w:noProof/>
              <w:color w:val="000000" w:themeColor="text1"/>
              <w:lang w:eastAsia="es-ES"/>
            </w:rPr>
            <w:t>(ARCADIS, 2013)</w:t>
          </w:r>
          <w:r w:rsidR="00D974A2" w:rsidRPr="000E0F90">
            <w:rPr>
              <w:rFonts w:ascii="Arial" w:eastAsia="Times New Roman" w:hAnsi="Arial" w:cs="Arial"/>
              <w:bCs/>
              <w:iCs/>
              <w:color w:val="000000" w:themeColor="text1"/>
              <w:lang w:eastAsia="es-ES"/>
            </w:rPr>
            <w:fldChar w:fldCharType="end"/>
          </w:r>
        </w:sdtContent>
      </w:sdt>
      <w:r w:rsidR="00D974A2" w:rsidRPr="000E0F90">
        <w:rPr>
          <w:rFonts w:ascii="Arial" w:eastAsia="Times New Roman" w:hAnsi="Arial" w:cs="Arial"/>
          <w:bCs/>
          <w:iCs/>
          <w:color w:val="000000" w:themeColor="text1"/>
          <w:lang w:eastAsia="es-ES"/>
        </w:rPr>
        <w:t>.</w:t>
      </w:r>
      <w:r w:rsidR="000C7408">
        <w:rPr>
          <w:rFonts w:ascii="Arial" w:eastAsia="Times New Roman" w:hAnsi="Arial" w:cs="Arial"/>
          <w:bCs/>
          <w:iCs/>
          <w:color w:val="000000" w:themeColor="text1"/>
          <w:lang w:eastAsia="es-ES"/>
        </w:rPr>
        <w:t xml:space="preserve"> </w:t>
      </w:r>
      <w:r w:rsidRPr="000E0F90">
        <w:rPr>
          <w:rFonts w:ascii="Arial" w:hAnsi="Arial" w:cs="Arial"/>
          <w:color w:val="000000" w:themeColor="text1"/>
        </w:rPr>
        <w:t xml:space="preserve">Respecto al </w:t>
      </w:r>
      <w:sdt>
        <w:sdtPr>
          <w:rPr>
            <w:rFonts w:ascii="Arial" w:hAnsi="Arial" w:cs="Arial"/>
            <w:color w:val="000000" w:themeColor="text1"/>
          </w:rPr>
          <w:id w:val="-1446848129"/>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Cen07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(Censo Agropecuario, 2007)</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en la comuna de Tierra Amarilla, del total de cabezas de ganado en la comuna (9.650cab), el ganado caprino representa 53,1%, seguido de ovinos (23,1%) y equinos (14,3%). </w:t>
      </w:r>
    </w:p>
    <w:p w:rsidR="003F7077" w:rsidRPr="000E0F90" w:rsidRDefault="003F7077" w:rsidP="00702D9A">
      <w:pPr>
        <w:tabs>
          <w:tab w:val="left" w:pos="3183"/>
        </w:tabs>
        <w:spacing w:before="240" w:after="0" w:line="360" w:lineRule="auto"/>
        <w:rPr>
          <w:rFonts w:ascii="Arial" w:hAnsi="Arial" w:cs="Arial"/>
          <w:color w:val="000000" w:themeColor="text1"/>
        </w:rPr>
      </w:pPr>
      <w:r w:rsidRPr="000E0F90">
        <w:rPr>
          <w:rFonts w:ascii="Arial" w:hAnsi="Arial" w:cs="Arial"/>
          <w:noProof/>
          <w:color w:val="000000" w:themeColor="text1"/>
          <w:lang w:eastAsia="es-CL"/>
        </w:rPr>
        <w:drawing>
          <wp:inline distT="0" distB="0" distL="0" distR="0" wp14:anchorId="7B997910" wp14:editId="49C645E2">
            <wp:extent cx="5284382" cy="2052084"/>
            <wp:effectExtent l="0" t="0" r="12065" b="24765"/>
            <wp:docPr id="44" name="Gráfico 44"/>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3F7077" w:rsidRPr="000E0F90" w:rsidRDefault="006B15AA" w:rsidP="00702D9A">
      <w:pPr>
        <w:pStyle w:val="Epgrafe"/>
        <w:spacing w:line="360" w:lineRule="auto"/>
        <w:jc w:val="center"/>
        <w:rPr>
          <w:rFonts w:ascii="Arial" w:hAnsi="Arial" w:cs="Arial"/>
          <w:b w:val="0"/>
          <w:color w:val="000000" w:themeColor="text1"/>
          <w:sz w:val="22"/>
        </w:rPr>
      </w:pPr>
      <w:r w:rsidRPr="000E0F90">
        <w:rPr>
          <w:rFonts w:ascii="Arial" w:hAnsi="Arial" w:cs="Arial"/>
          <w:b w:val="0"/>
          <w:color w:val="000000" w:themeColor="text1"/>
          <w:sz w:val="22"/>
        </w:rPr>
        <w:t xml:space="preserve">Figura </w:t>
      </w:r>
      <w:r w:rsidRPr="000E0F90">
        <w:rPr>
          <w:rFonts w:ascii="Arial" w:hAnsi="Arial" w:cs="Arial"/>
          <w:b w:val="0"/>
          <w:color w:val="000000" w:themeColor="text1"/>
          <w:sz w:val="22"/>
        </w:rPr>
        <w:fldChar w:fldCharType="begin"/>
      </w:r>
      <w:r w:rsidRPr="000E0F90">
        <w:rPr>
          <w:rFonts w:ascii="Arial" w:hAnsi="Arial" w:cs="Arial"/>
          <w:b w:val="0"/>
          <w:color w:val="000000" w:themeColor="text1"/>
          <w:sz w:val="22"/>
        </w:rPr>
        <w:instrText xml:space="preserve"> SEQ Figura \* ARABIC </w:instrText>
      </w:r>
      <w:r w:rsidRPr="000E0F90">
        <w:rPr>
          <w:rFonts w:ascii="Arial" w:hAnsi="Arial" w:cs="Arial"/>
          <w:b w:val="0"/>
          <w:color w:val="000000" w:themeColor="text1"/>
          <w:sz w:val="22"/>
        </w:rPr>
        <w:fldChar w:fldCharType="separate"/>
      </w:r>
      <w:r w:rsidR="00225844">
        <w:rPr>
          <w:rFonts w:ascii="Arial" w:hAnsi="Arial" w:cs="Arial"/>
          <w:b w:val="0"/>
          <w:noProof/>
          <w:color w:val="000000" w:themeColor="text1"/>
          <w:sz w:val="22"/>
        </w:rPr>
        <w:t>10</w:t>
      </w:r>
      <w:r w:rsidRPr="000E0F90">
        <w:rPr>
          <w:rFonts w:ascii="Arial" w:hAnsi="Arial" w:cs="Arial"/>
          <w:b w:val="0"/>
          <w:color w:val="000000" w:themeColor="text1"/>
          <w:sz w:val="22"/>
        </w:rPr>
        <w:fldChar w:fldCharType="end"/>
      </w:r>
      <w:r w:rsidR="00C512EC" w:rsidRPr="000E0F90">
        <w:rPr>
          <w:rFonts w:ascii="Arial" w:hAnsi="Arial" w:cs="Arial"/>
          <w:b w:val="0"/>
          <w:color w:val="000000" w:themeColor="text1"/>
          <w:sz w:val="22"/>
        </w:rPr>
        <w:t>: Principales cultivos de la comuna de Tie</w:t>
      </w:r>
      <w:r w:rsidR="000C7408">
        <w:rPr>
          <w:rFonts w:ascii="Arial" w:hAnsi="Arial" w:cs="Arial"/>
          <w:b w:val="0"/>
          <w:color w:val="000000" w:themeColor="text1"/>
          <w:sz w:val="22"/>
        </w:rPr>
        <w:t>r</w:t>
      </w:r>
      <w:r w:rsidR="00C512EC" w:rsidRPr="000E0F90">
        <w:rPr>
          <w:rFonts w:ascii="Arial" w:hAnsi="Arial" w:cs="Arial"/>
          <w:b w:val="0"/>
          <w:color w:val="000000" w:themeColor="text1"/>
          <w:sz w:val="22"/>
        </w:rPr>
        <w:t xml:space="preserve">ra Amarilla, según participación, año 2002. </w:t>
      </w:r>
      <w:r w:rsidR="003F7077" w:rsidRPr="000E0F90">
        <w:rPr>
          <w:rFonts w:ascii="Arial" w:hAnsi="Arial" w:cs="Arial"/>
          <w:b w:val="0"/>
          <w:color w:val="000000" w:themeColor="text1"/>
          <w:sz w:val="22"/>
        </w:rPr>
        <w:t xml:space="preserve">Fuente: </w:t>
      </w:r>
      <w:sdt>
        <w:sdtPr>
          <w:rPr>
            <w:rFonts w:ascii="Arial" w:hAnsi="Arial" w:cs="Arial"/>
            <w:b w:val="0"/>
            <w:color w:val="000000" w:themeColor="text1"/>
            <w:sz w:val="22"/>
          </w:rPr>
          <w:id w:val="-1630004534"/>
          <w:citation/>
        </w:sdtPr>
        <w:sdtEndPr/>
        <w:sdtContent>
          <w:r w:rsidR="003F7077" w:rsidRPr="000E0F90">
            <w:rPr>
              <w:rFonts w:ascii="Arial" w:hAnsi="Arial" w:cs="Arial"/>
              <w:b w:val="0"/>
              <w:color w:val="000000" w:themeColor="text1"/>
              <w:sz w:val="22"/>
            </w:rPr>
            <w:fldChar w:fldCharType="begin"/>
          </w:r>
          <w:r w:rsidR="003F7077" w:rsidRPr="000E0F90">
            <w:rPr>
              <w:rFonts w:ascii="Arial" w:hAnsi="Arial" w:cs="Arial"/>
              <w:b w:val="0"/>
              <w:color w:val="000000" w:themeColor="text1"/>
              <w:sz w:val="22"/>
            </w:rPr>
            <w:instrText xml:space="preserve"> CITATION Cen07 \l 13322 </w:instrText>
          </w:r>
          <w:r w:rsidR="003F7077" w:rsidRPr="000E0F90">
            <w:rPr>
              <w:rFonts w:ascii="Arial" w:hAnsi="Arial" w:cs="Arial"/>
              <w:b w:val="0"/>
              <w:color w:val="000000" w:themeColor="text1"/>
              <w:sz w:val="22"/>
            </w:rPr>
            <w:fldChar w:fldCharType="separate"/>
          </w:r>
          <w:r w:rsidR="008D0261" w:rsidRPr="000E0F90">
            <w:rPr>
              <w:rFonts w:ascii="Arial" w:hAnsi="Arial" w:cs="Arial"/>
              <w:noProof/>
              <w:color w:val="000000" w:themeColor="text1"/>
              <w:sz w:val="22"/>
            </w:rPr>
            <w:t>(Censo Agropecuario, 2007)</w:t>
          </w:r>
          <w:r w:rsidR="003F7077" w:rsidRPr="000E0F90">
            <w:rPr>
              <w:rFonts w:ascii="Arial" w:hAnsi="Arial" w:cs="Arial"/>
              <w:b w:val="0"/>
              <w:color w:val="000000" w:themeColor="text1"/>
              <w:sz w:val="22"/>
            </w:rPr>
            <w:fldChar w:fldCharType="end"/>
          </w:r>
        </w:sdtContent>
      </w:sdt>
    </w:p>
    <w:p w:rsidR="003F7077" w:rsidRPr="000E0F90" w:rsidRDefault="003F7077" w:rsidP="00702D9A">
      <w:pPr>
        <w:tabs>
          <w:tab w:val="left" w:pos="1306"/>
        </w:tabs>
        <w:spacing w:before="240" w:after="0" w:line="360" w:lineRule="auto"/>
        <w:rPr>
          <w:rFonts w:ascii="Arial" w:hAnsi="Arial" w:cs="Arial"/>
          <w:b/>
          <w:color w:val="000000" w:themeColor="text1"/>
        </w:rPr>
      </w:pPr>
      <w:r w:rsidRPr="000E0F90">
        <w:rPr>
          <w:rFonts w:ascii="Arial" w:hAnsi="Arial" w:cs="Arial"/>
          <w:b/>
          <w:color w:val="000000" w:themeColor="text1"/>
        </w:rPr>
        <w:t>Turismo</w:t>
      </w:r>
      <w:r w:rsidRPr="000E0F90">
        <w:rPr>
          <w:rFonts w:ascii="Arial" w:hAnsi="Arial" w:cs="Arial"/>
          <w:b/>
          <w:color w:val="000000" w:themeColor="text1"/>
        </w:rPr>
        <w:tab/>
      </w:r>
    </w:p>
    <w:p w:rsidR="003F7077" w:rsidRPr="000E0F90" w:rsidRDefault="003F7077" w:rsidP="000C7408">
      <w:pPr>
        <w:spacing w:after="0" w:line="360" w:lineRule="auto"/>
        <w:rPr>
          <w:rFonts w:ascii="Arial" w:hAnsi="Arial" w:cs="Arial"/>
          <w:color w:val="000000" w:themeColor="text1"/>
        </w:rPr>
      </w:pPr>
      <w:r w:rsidRPr="000E0F90">
        <w:rPr>
          <w:rFonts w:ascii="Arial" w:hAnsi="Arial" w:cs="Arial"/>
          <w:color w:val="000000" w:themeColor="text1"/>
        </w:rPr>
        <w:t xml:space="preserve">Tierra  Amarilla  </w:t>
      </w:r>
      <w:r w:rsidR="004C24F5">
        <w:rPr>
          <w:rFonts w:ascii="Arial" w:hAnsi="Arial" w:cs="Arial"/>
          <w:color w:val="000000" w:themeColor="text1"/>
        </w:rPr>
        <w:t xml:space="preserve">presenta un </w:t>
      </w:r>
      <w:r w:rsidR="004C24F5" w:rsidRPr="000E0F90">
        <w:rPr>
          <w:rFonts w:ascii="Arial" w:hAnsi="Arial" w:cs="Arial"/>
          <w:color w:val="000000" w:themeColor="text1"/>
        </w:rPr>
        <w:t xml:space="preserve">desarrollo  marginal de  </w:t>
      </w:r>
      <w:r w:rsidR="004C24F5">
        <w:rPr>
          <w:rFonts w:ascii="Arial" w:hAnsi="Arial" w:cs="Arial"/>
          <w:color w:val="000000" w:themeColor="text1"/>
        </w:rPr>
        <w:t>l</w:t>
      </w:r>
      <w:r w:rsidR="004C24F5" w:rsidRPr="000E0F90">
        <w:rPr>
          <w:rFonts w:ascii="Arial" w:hAnsi="Arial" w:cs="Arial"/>
          <w:color w:val="000000" w:themeColor="text1"/>
        </w:rPr>
        <w:t>a  actividad</w:t>
      </w:r>
      <w:r w:rsidRPr="000E0F90">
        <w:rPr>
          <w:rFonts w:ascii="Arial" w:hAnsi="Arial" w:cs="Arial"/>
          <w:color w:val="000000" w:themeColor="text1"/>
        </w:rPr>
        <w:t>.  Los  datos  de SERNATUR indican 3 alojamientos</w:t>
      </w:r>
      <w:r w:rsidR="000C7408">
        <w:rPr>
          <w:rFonts w:ascii="Arial" w:hAnsi="Arial" w:cs="Arial"/>
          <w:color w:val="000000" w:themeColor="text1"/>
        </w:rPr>
        <w:t xml:space="preserve"> y</w:t>
      </w:r>
      <w:r w:rsidRPr="000E0F90">
        <w:rPr>
          <w:rFonts w:ascii="Arial" w:hAnsi="Arial" w:cs="Arial"/>
          <w:color w:val="000000" w:themeColor="text1"/>
        </w:rPr>
        <w:t xml:space="preserve"> un establecimiento </w:t>
      </w:r>
      <w:r w:rsidR="000C7408">
        <w:rPr>
          <w:rFonts w:ascii="Arial" w:hAnsi="Arial" w:cs="Arial"/>
          <w:color w:val="000000" w:themeColor="text1"/>
        </w:rPr>
        <w:t>de</w:t>
      </w:r>
      <w:r w:rsidRPr="000E0F90">
        <w:rPr>
          <w:rFonts w:ascii="Arial" w:hAnsi="Arial" w:cs="Arial"/>
          <w:color w:val="000000" w:themeColor="text1"/>
        </w:rPr>
        <w:t xml:space="preserve"> servicios de alimentación</w:t>
      </w:r>
      <w:r w:rsidR="000C7408">
        <w:rPr>
          <w:rFonts w:ascii="Arial" w:hAnsi="Arial" w:cs="Arial"/>
          <w:color w:val="000000" w:themeColor="text1"/>
        </w:rPr>
        <w:t xml:space="preserve">, </w:t>
      </w:r>
      <w:r w:rsidR="000C7408" w:rsidRPr="000E0F90">
        <w:rPr>
          <w:rFonts w:ascii="Arial" w:eastAsia="Times New Roman" w:hAnsi="Arial" w:cs="Arial"/>
          <w:bCs/>
          <w:iCs/>
          <w:color w:val="000000" w:themeColor="text1"/>
          <w:lang w:eastAsia="es-ES"/>
        </w:rPr>
        <w:t>utilizad</w:t>
      </w:r>
      <w:r w:rsidR="000C7408">
        <w:rPr>
          <w:rFonts w:ascii="Arial" w:eastAsia="Times New Roman" w:hAnsi="Arial" w:cs="Arial"/>
          <w:bCs/>
          <w:iCs/>
          <w:color w:val="000000" w:themeColor="text1"/>
          <w:lang w:eastAsia="es-ES"/>
        </w:rPr>
        <w:t>os</w:t>
      </w:r>
      <w:r w:rsidR="000C7408" w:rsidRPr="000E0F90">
        <w:rPr>
          <w:rFonts w:ascii="Arial" w:eastAsia="Times New Roman" w:hAnsi="Arial" w:cs="Arial"/>
          <w:bCs/>
          <w:iCs/>
          <w:color w:val="000000" w:themeColor="text1"/>
          <w:lang w:eastAsia="es-ES"/>
        </w:rPr>
        <w:t xml:space="preserve"> principalmente como residencial para trabajadores de la minería y agricultura local </w:t>
      </w:r>
      <w:sdt>
        <w:sdtPr>
          <w:rPr>
            <w:rFonts w:ascii="Arial" w:eastAsia="Times New Roman" w:hAnsi="Arial" w:cs="Arial"/>
            <w:bCs/>
            <w:iCs/>
            <w:color w:val="000000" w:themeColor="text1"/>
            <w:lang w:eastAsia="es-ES"/>
          </w:rPr>
          <w:id w:val="51739032"/>
          <w:citation/>
        </w:sdtPr>
        <w:sdtEndPr/>
        <w:sdtContent>
          <w:r w:rsidR="000C7408" w:rsidRPr="000E0F90">
            <w:rPr>
              <w:rFonts w:ascii="Arial" w:eastAsia="Times New Roman" w:hAnsi="Arial" w:cs="Arial"/>
              <w:bCs/>
              <w:iCs/>
              <w:color w:val="000000" w:themeColor="text1"/>
              <w:lang w:eastAsia="es-ES"/>
            </w:rPr>
            <w:fldChar w:fldCharType="begin"/>
          </w:r>
          <w:r w:rsidR="000C7408" w:rsidRPr="000E0F90">
            <w:rPr>
              <w:rFonts w:ascii="Arial" w:eastAsia="Times New Roman" w:hAnsi="Arial" w:cs="Arial"/>
              <w:bCs/>
              <w:iCs/>
              <w:color w:val="000000" w:themeColor="text1"/>
              <w:lang w:eastAsia="es-ES"/>
            </w:rPr>
            <w:instrText xml:space="preserve">CITATION ARC13 \t  \l 13322 </w:instrText>
          </w:r>
          <w:r w:rsidR="000C7408" w:rsidRPr="000E0F90">
            <w:rPr>
              <w:rFonts w:ascii="Arial" w:eastAsia="Times New Roman" w:hAnsi="Arial" w:cs="Arial"/>
              <w:bCs/>
              <w:iCs/>
              <w:color w:val="000000" w:themeColor="text1"/>
              <w:lang w:eastAsia="es-ES"/>
            </w:rPr>
            <w:fldChar w:fldCharType="separate"/>
          </w:r>
          <w:r w:rsidR="000C7408" w:rsidRPr="000E0F90">
            <w:rPr>
              <w:rFonts w:ascii="Arial" w:eastAsia="Times New Roman" w:hAnsi="Arial" w:cs="Arial"/>
              <w:noProof/>
              <w:color w:val="000000" w:themeColor="text1"/>
              <w:lang w:eastAsia="es-ES"/>
            </w:rPr>
            <w:t>(ARCADIS, 2013)</w:t>
          </w:r>
          <w:r w:rsidR="000C7408" w:rsidRPr="000E0F90">
            <w:rPr>
              <w:rFonts w:ascii="Arial" w:eastAsia="Times New Roman" w:hAnsi="Arial" w:cs="Arial"/>
              <w:bCs/>
              <w:iCs/>
              <w:color w:val="000000" w:themeColor="text1"/>
              <w:lang w:eastAsia="es-ES"/>
            </w:rPr>
            <w:fldChar w:fldCharType="end"/>
          </w:r>
        </w:sdtContent>
      </w:sdt>
      <w:r w:rsidRPr="000E0F90">
        <w:rPr>
          <w:rFonts w:ascii="Arial" w:hAnsi="Arial" w:cs="Arial"/>
          <w:color w:val="000000" w:themeColor="text1"/>
        </w:rPr>
        <w:t xml:space="preserve">. </w:t>
      </w:r>
      <w:r w:rsidR="000C7408">
        <w:rPr>
          <w:rFonts w:ascii="Arial" w:hAnsi="Arial" w:cs="Arial"/>
          <w:color w:val="000000" w:themeColor="text1"/>
        </w:rPr>
        <w:t>D</w:t>
      </w:r>
      <w:r w:rsidRPr="000E0F90">
        <w:rPr>
          <w:rFonts w:ascii="Arial" w:hAnsi="Arial" w:cs="Arial"/>
          <w:color w:val="000000" w:themeColor="text1"/>
        </w:rPr>
        <w:t xml:space="preserve">estaca el Parque Nacional Nevado Tres Cruces, </w:t>
      </w:r>
      <w:r w:rsidR="004C24F5">
        <w:rPr>
          <w:rFonts w:ascii="Arial" w:hAnsi="Arial" w:cs="Arial"/>
          <w:color w:val="000000" w:themeColor="text1"/>
        </w:rPr>
        <w:t xml:space="preserve">con </w:t>
      </w:r>
      <w:r w:rsidRPr="000E0F90">
        <w:rPr>
          <w:rFonts w:ascii="Arial" w:hAnsi="Arial" w:cs="Arial"/>
          <w:color w:val="000000" w:themeColor="text1"/>
        </w:rPr>
        <w:t xml:space="preserve">ecosistemas </w:t>
      </w:r>
      <w:r w:rsidR="00F35AF7" w:rsidRPr="000E0F90">
        <w:rPr>
          <w:rFonts w:ascii="Arial" w:hAnsi="Arial" w:cs="Arial"/>
          <w:color w:val="000000" w:themeColor="text1"/>
        </w:rPr>
        <w:t>alto andinos</w:t>
      </w:r>
      <w:r w:rsidRPr="000E0F90">
        <w:rPr>
          <w:rFonts w:ascii="Arial" w:hAnsi="Arial" w:cs="Arial"/>
          <w:color w:val="000000" w:themeColor="text1"/>
        </w:rPr>
        <w:t xml:space="preserve"> más australes de Sudamérica </w:t>
      </w:r>
      <w:sdt>
        <w:sdtPr>
          <w:rPr>
            <w:rFonts w:ascii="Arial" w:hAnsi="Arial" w:cs="Arial"/>
            <w:color w:val="000000" w:themeColor="text1"/>
          </w:rPr>
          <w:id w:val="-202946239"/>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SER17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(SERNATUR, 2017)</w:t>
          </w:r>
          <w:r w:rsidRPr="000E0F90">
            <w:rPr>
              <w:rFonts w:ascii="Arial" w:hAnsi="Arial" w:cs="Arial"/>
              <w:color w:val="000000" w:themeColor="text1"/>
            </w:rPr>
            <w:fldChar w:fldCharType="end"/>
          </w:r>
        </w:sdtContent>
      </w:sdt>
      <w:r w:rsidRPr="000E0F90">
        <w:rPr>
          <w:rFonts w:ascii="Arial" w:hAnsi="Arial" w:cs="Arial"/>
          <w:color w:val="000000" w:themeColor="text1"/>
        </w:rPr>
        <w:t>.</w:t>
      </w:r>
    </w:p>
    <w:p w:rsidR="003F7077" w:rsidRPr="000E0F90" w:rsidRDefault="003F7077" w:rsidP="00702D9A">
      <w:pPr>
        <w:spacing w:before="240" w:after="0" w:line="360" w:lineRule="auto"/>
        <w:rPr>
          <w:rFonts w:ascii="Arial" w:hAnsi="Arial" w:cs="Arial"/>
          <w:b/>
          <w:color w:val="000000" w:themeColor="text1"/>
        </w:rPr>
      </w:pPr>
      <w:r w:rsidRPr="000E0F90">
        <w:rPr>
          <w:rFonts w:ascii="Arial" w:hAnsi="Arial" w:cs="Arial"/>
          <w:b/>
          <w:color w:val="000000" w:themeColor="text1"/>
        </w:rPr>
        <w:t>Situación Socioeconómica</w:t>
      </w:r>
    </w:p>
    <w:p w:rsidR="000C7408" w:rsidRDefault="00D974A2" w:rsidP="004C24F5">
      <w:pPr>
        <w:spacing w:line="360" w:lineRule="auto"/>
        <w:rPr>
          <w:rFonts w:ascii="Arial" w:eastAsia="Times New Roman" w:hAnsi="Arial" w:cs="Arial"/>
          <w:bCs/>
          <w:iCs/>
          <w:color w:val="000000" w:themeColor="text1"/>
          <w:lang w:eastAsia="es-ES"/>
        </w:rPr>
      </w:pPr>
      <w:r w:rsidRPr="000E0F90">
        <w:rPr>
          <w:rFonts w:ascii="Arial" w:eastAsia="Times New Roman" w:hAnsi="Arial" w:cs="Arial"/>
          <w:bCs/>
          <w:iCs/>
          <w:color w:val="000000" w:themeColor="text1"/>
          <w:lang w:eastAsia="es-ES"/>
        </w:rPr>
        <w:t xml:space="preserve">La comuna de tierra Amarilla presenta una limitada oferta de servicios básicos y complementarios. </w:t>
      </w:r>
      <w:r w:rsidR="003A4AD4" w:rsidRPr="000E0F90">
        <w:rPr>
          <w:rFonts w:ascii="Arial" w:hAnsi="Arial" w:cs="Arial"/>
          <w:color w:val="000000" w:themeColor="text1"/>
        </w:rPr>
        <w:t>Identificándose</w:t>
      </w:r>
      <w:r w:rsidR="000C7408">
        <w:rPr>
          <w:rFonts w:ascii="Arial" w:hAnsi="Arial" w:cs="Arial"/>
          <w:color w:val="000000" w:themeColor="text1"/>
        </w:rPr>
        <w:t xml:space="preserve"> 3 establecimientos de salud,</w:t>
      </w:r>
      <w:r w:rsidR="003F7077" w:rsidRPr="000E0F90">
        <w:rPr>
          <w:rFonts w:ascii="Arial" w:hAnsi="Arial" w:cs="Arial"/>
          <w:color w:val="000000" w:themeColor="text1"/>
        </w:rPr>
        <w:t xml:space="preserve"> correspondiente al 4,05% de la existencia regional </w:t>
      </w:r>
      <w:sdt>
        <w:sdtPr>
          <w:rPr>
            <w:rFonts w:ascii="Arial" w:hAnsi="Arial" w:cs="Arial"/>
            <w:color w:val="000000" w:themeColor="text1"/>
          </w:rPr>
          <w:id w:val="1771969942"/>
          <w:citation/>
        </w:sdtPr>
        <w:sdtEndPr/>
        <w:sdtContent>
          <w:r w:rsidR="003F7077" w:rsidRPr="000E0F90">
            <w:rPr>
              <w:rFonts w:ascii="Arial" w:hAnsi="Arial" w:cs="Arial"/>
              <w:color w:val="000000" w:themeColor="text1"/>
            </w:rPr>
            <w:fldChar w:fldCharType="begin"/>
          </w:r>
          <w:r w:rsidR="008A32ED" w:rsidRPr="000E0F90">
            <w:rPr>
              <w:rFonts w:ascii="Arial" w:hAnsi="Arial" w:cs="Arial"/>
              <w:color w:val="000000" w:themeColor="text1"/>
            </w:rPr>
            <w:instrText xml:space="preserve">CITATION Bib17 \l 13322 </w:instrText>
          </w:r>
          <w:r w:rsidR="003F7077" w:rsidRPr="000E0F90">
            <w:rPr>
              <w:rFonts w:ascii="Arial" w:hAnsi="Arial" w:cs="Arial"/>
              <w:color w:val="000000" w:themeColor="text1"/>
            </w:rPr>
            <w:fldChar w:fldCharType="separate"/>
          </w:r>
          <w:r w:rsidR="008D0261" w:rsidRPr="000E0F90">
            <w:rPr>
              <w:rFonts w:ascii="Arial" w:hAnsi="Arial" w:cs="Arial"/>
              <w:noProof/>
              <w:color w:val="000000" w:themeColor="text1"/>
            </w:rPr>
            <w:t>(BCN, 2017)</w:t>
          </w:r>
          <w:r w:rsidR="003F7077" w:rsidRPr="000E0F90">
            <w:rPr>
              <w:rFonts w:ascii="Arial" w:hAnsi="Arial" w:cs="Arial"/>
              <w:color w:val="000000" w:themeColor="text1"/>
            </w:rPr>
            <w:fldChar w:fldCharType="end"/>
          </w:r>
        </w:sdtContent>
      </w:sdt>
      <w:r w:rsidR="003F7077" w:rsidRPr="000E0F90">
        <w:rPr>
          <w:rFonts w:ascii="Arial" w:hAnsi="Arial" w:cs="Arial"/>
          <w:color w:val="000000" w:themeColor="text1"/>
        </w:rPr>
        <w:t xml:space="preserve">. Debiendo los habitantes, dirigirse a la ciudad de Copiapó para eventos de mayor complejidad </w:t>
      </w:r>
      <w:sdt>
        <w:sdtPr>
          <w:rPr>
            <w:rFonts w:ascii="Arial" w:hAnsi="Arial" w:cs="Arial"/>
            <w:color w:val="000000" w:themeColor="text1"/>
          </w:rPr>
          <w:id w:val="503717519"/>
          <w:citation/>
        </w:sdtPr>
        <w:sdtEndPr/>
        <w:sdtContent>
          <w:r w:rsidR="003F7077" w:rsidRPr="000E0F90">
            <w:rPr>
              <w:rFonts w:ascii="Arial" w:hAnsi="Arial" w:cs="Arial"/>
              <w:color w:val="000000" w:themeColor="text1"/>
            </w:rPr>
            <w:fldChar w:fldCharType="begin"/>
          </w:r>
          <w:r w:rsidR="00133E4B">
            <w:rPr>
              <w:rFonts w:ascii="Arial" w:hAnsi="Arial" w:cs="Arial"/>
              <w:color w:val="000000" w:themeColor="text1"/>
            </w:rPr>
            <w:instrText xml:space="preserve">CITATION ARC13 \t  \l 13322 </w:instrText>
          </w:r>
          <w:r w:rsidR="003F7077" w:rsidRPr="000E0F90">
            <w:rPr>
              <w:rFonts w:ascii="Arial" w:hAnsi="Arial" w:cs="Arial"/>
              <w:color w:val="000000" w:themeColor="text1"/>
            </w:rPr>
            <w:fldChar w:fldCharType="separate"/>
          </w:r>
          <w:r w:rsidR="00133E4B" w:rsidRPr="00133E4B">
            <w:rPr>
              <w:rFonts w:ascii="Arial" w:hAnsi="Arial" w:cs="Arial"/>
              <w:noProof/>
              <w:color w:val="000000" w:themeColor="text1"/>
            </w:rPr>
            <w:t>(ARCADIS, 2013)</w:t>
          </w:r>
          <w:r w:rsidR="003F7077" w:rsidRPr="000E0F90">
            <w:rPr>
              <w:rFonts w:ascii="Arial" w:hAnsi="Arial" w:cs="Arial"/>
              <w:color w:val="000000" w:themeColor="text1"/>
            </w:rPr>
            <w:fldChar w:fldCharType="end"/>
          </w:r>
        </w:sdtContent>
      </w:sdt>
      <w:r w:rsidR="003F7077" w:rsidRPr="000E0F90">
        <w:rPr>
          <w:rFonts w:ascii="Arial" w:hAnsi="Arial" w:cs="Arial"/>
          <w:color w:val="000000" w:themeColor="text1"/>
        </w:rPr>
        <w:t xml:space="preserve">. En cuanto a los establecimientos de educación, en alto del Carmen, se identifican 12 </w:t>
      </w:r>
      <w:r w:rsidR="00F35AF7" w:rsidRPr="000E0F90">
        <w:rPr>
          <w:rFonts w:ascii="Arial" w:hAnsi="Arial" w:cs="Arial"/>
          <w:color w:val="000000" w:themeColor="text1"/>
        </w:rPr>
        <w:t>establecimientos</w:t>
      </w:r>
      <w:r w:rsidR="000C7408">
        <w:rPr>
          <w:rFonts w:ascii="Arial" w:hAnsi="Arial" w:cs="Arial"/>
          <w:color w:val="000000" w:themeColor="text1"/>
        </w:rPr>
        <w:t xml:space="preserve"> (6,7% regional)</w:t>
      </w:r>
      <w:r w:rsidR="003F7077" w:rsidRPr="000E0F90">
        <w:rPr>
          <w:rFonts w:ascii="Arial" w:hAnsi="Arial" w:cs="Arial"/>
          <w:color w:val="000000" w:themeColor="text1"/>
        </w:rPr>
        <w:t>, lo</w:t>
      </w:r>
      <w:r w:rsidR="00F35AF7" w:rsidRPr="000E0F90">
        <w:rPr>
          <w:rFonts w:ascii="Arial" w:hAnsi="Arial" w:cs="Arial"/>
          <w:color w:val="000000" w:themeColor="text1"/>
        </w:rPr>
        <w:t>s</w:t>
      </w:r>
      <w:r w:rsidR="003F7077" w:rsidRPr="000E0F90">
        <w:rPr>
          <w:rFonts w:ascii="Arial" w:hAnsi="Arial" w:cs="Arial"/>
          <w:color w:val="000000" w:themeColor="text1"/>
        </w:rPr>
        <w:t xml:space="preserve"> cuales imparten educación parvularia, básica para niños, media para niños y adultos y educación especial, sin existir </w:t>
      </w:r>
      <w:r w:rsidR="00F35AF7" w:rsidRPr="000E0F90">
        <w:rPr>
          <w:rFonts w:ascii="Arial" w:hAnsi="Arial" w:cs="Arial"/>
          <w:color w:val="000000" w:themeColor="text1"/>
        </w:rPr>
        <w:t>matrícula</w:t>
      </w:r>
      <w:r w:rsidR="003F7077" w:rsidRPr="000E0F90">
        <w:rPr>
          <w:rFonts w:ascii="Arial" w:hAnsi="Arial" w:cs="Arial"/>
          <w:color w:val="000000" w:themeColor="text1"/>
        </w:rPr>
        <w:t xml:space="preserve"> para educación básica para adultos </w:t>
      </w:r>
      <w:sdt>
        <w:sdtPr>
          <w:rPr>
            <w:rFonts w:ascii="Arial" w:hAnsi="Arial" w:cs="Arial"/>
            <w:color w:val="000000" w:themeColor="text1"/>
          </w:rPr>
          <w:id w:val="1281378915"/>
          <w:citation/>
        </w:sdtPr>
        <w:sdtEndPr/>
        <w:sdtContent>
          <w:r w:rsidR="003F7077" w:rsidRPr="000E0F90">
            <w:rPr>
              <w:rFonts w:ascii="Arial" w:hAnsi="Arial" w:cs="Arial"/>
              <w:color w:val="000000" w:themeColor="text1"/>
            </w:rPr>
            <w:fldChar w:fldCharType="begin"/>
          </w:r>
          <w:r w:rsidR="008A32ED" w:rsidRPr="000E0F90">
            <w:rPr>
              <w:rFonts w:ascii="Arial" w:hAnsi="Arial" w:cs="Arial"/>
              <w:color w:val="000000" w:themeColor="text1"/>
            </w:rPr>
            <w:instrText xml:space="preserve">CITATION Bib17 \l 13322 </w:instrText>
          </w:r>
          <w:r w:rsidR="003F7077" w:rsidRPr="000E0F90">
            <w:rPr>
              <w:rFonts w:ascii="Arial" w:hAnsi="Arial" w:cs="Arial"/>
              <w:color w:val="000000" w:themeColor="text1"/>
            </w:rPr>
            <w:fldChar w:fldCharType="separate"/>
          </w:r>
          <w:r w:rsidR="008D0261" w:rsidRPr="000E0F90">
            <w:rPr>
              <w:rFonts w:ascii="Arial" w:hAnsi="Arial" w:cs="Arial"/>
              <w:noProof/>
              <w:color w:val="000000" w:themeColor="text1"/>
            </w:rPr>
            <w:t>(BCN, 2017)</w:t>
          </w:r>
          <w:r w:rsidR="003F7077" w:rsidRPr="000E0F90">
            <w:rPr>
              <w:rFonts w:ascii="Arial" w:hAnsi="Arial" w:cs="Arial"/>
              <w:color w:val="000000" w:themeColor="text1"/>
            </w:rPr>
            <w:fldChar w:fldCharType="end"/>
          </w:r>
        </w:sdtContent>
      </w:sdt>
      <w:r w:rsidR="003F7077" w:rsidRPr="000E0F90">
        <w:rPr>
          <w:rFonts w:ascii="Arial" w:hAnsi="Arial" w:cs="Arial"/>
          <w:color w:val="000000" w:themeColor="text1"/>
        </w:rPr>
        <w:t xml:space="preserve">. </w:t>
      </w:r>
      <w:r w:rsidR="000C7408">
        <w:rPr>
          <w:rFonts w:ascii="Arial" w:hAnsi="Arial" w:cs="Arial"/>
          <w:color w:val="000000" w:themeColor="text1"/>
        </w:rPr>
        <w:t>N</w:t>
      </w:r>
      <w:r w:rsidR="000C7408" w:rsidRPr="000E0F90">
        <w:rPr>
          <w:rFonts w:ascii="Arial" w:hAnsi="Arial" w:cs="Arial"/>
          <w:color w:val="000000" w:themeColor="text1"/>
        </w:rPr>
        <w:t>o existen establecimientos en la comuna</w:t>
      </w:r>
      <w:r w:rsidR="000C7408">
        <w:rPr>
          <w:rFonts w:ascii="Arial" w:hAnsi="Arial" w:cs="Arial"/>
          <w:color w:val="000000" w:themeColor="text1"/>
        </w:rPr>
        <w:t xml:space="preserve"> de </w:t>
      </w:r>
      <w:r w:rsidR="003F7077" w:rsidRPr="000E0F90">
        <w:rPr>
          <w:rFonts w:ascii="Arial" w:hAnsi="Arial" w:cs="Arial"/>
          <w:color w:val="000000" w:themeColor="text1"/>
        </w:rPr>
        <w:t xml:space="preserve">educación superior </w:t>
      </w:r>
      <w:sdt>
        <w:sdtPr>
          <w:rPr>
            <w:rFonts w:ascii="Arial" w:hAnsi="Arial" w:cs="Arial"/>
            <w:color w:val="000000" w:themeColor="text1"/>
          </w:rPr>
          <w:id w:val="1612548368"/>
          <w:citation/>
        </w:sdtPr>
        <w:sdtEndPr/>
        <w:sdtContent>
          <w:r w:rsidR="003F7077" w:rsidRPr="000E0F90">
            <w:rPr>
              <w:rFonts w:ascii="Arial" w:hAnsi="Arial" w:cs="Arial"/>
              <w:color w:val="000000" w:themeColor="text1"/>
            </w:rPr>
            <w:fldChar w:fldCharType="begin"/>
          </w:r>
          <w:r w:rsidR="000C7408">
            <w:rPr>
              <w:rFonts w:ascii="Arial" w:hAnsi="Arial" w:cs="Arial"/>
              <w:color w:val="000000" w:themeColor="text1"/>
            </w:rPr>
            <w:instrText xml:space="preserve">CITATION ARC13 \t  \l 13322 </w:instrText>
          </w:r>
          <w:r w:rsidR="003F7077" w:rsidRPr="000E0F90">
            <w:rPr>
              <w:rFonts w:ascii="Arial" w:hAnsi="Arial" w:cs="Arial"/>
              <w:color w:val="000000" w:themeColor="text1"/>
            </w:rPr>
            <w:fldChar w:fldCharType="separate"/>
          </w:r>
          <w:r w:rsidR="000C7408" w:rsidRPr="000C7408">
            <w:rPr>
              <w:rFonts w:ascii="Arial" w:hAnsi="Arial" w:cs="Arial"/>
              <w:noProof/>
              <w:color w:val="000000" w:themeColor="text1"/>
            </w:rPr>
            <w:t>(ARCADIS, 2013)</w:t>
          </w:r>
          <w:r w:rsidR="003F7077" w:rsidRPr="000E0F90">
            <w:rPr>
              <w:rFonts w:ascii="Arial" w:hAnsi="Arial" w:cs="Arial"/>
              <w:color w:val="000000" w:themeColor="text1"/>
            </w:rPr>
            <w:fldChar w:fldCharType="end"/>
          </w:r>
        </w:sdtContent>
      </w:sdt>
      <w:r w:rsidR="003F7077" w:rsidRPr="000E0F90">
        <w:rPr>
          <w:rFonts w:ascii="Arial" w:hAnsi="Arial" w:cs="Arial"/>
          <w:color w:val="000000" w:themeColor="text1"/>
        </w:rPr>
        <w:t>.</w:t>
      </w:r>
      <w:r w:rsidR="000C7408" w:rsidRPr="000C7408">
        <w:rPr>
          <w:rFonts w:ascii="Arial" w:eastAsia="Times New Roman" w:hAnsi="Arial" w:cs="Arial"/>
          <w:bCs/>
          <w:iCs/>
          <w:color w:val="000000" w:themeColor="text1"/>
          <w:lang w:eastAsia="es-ES"/>
        </w:rPr>
        <w:t xml:space="preserve"> </w:t>
      </w:r>
    </w:p>
    <w:p w:rsidR="00253F8B" w:rsidRPr="000E0F90" w:rsidRDefault="00253F8B" w:rsidP="00702D9A">
      <w:pPr>
        <w:pStyle w:val="Ttulo3"/>
        <w:spacing w:line="360" w:lineRule="auto"/>
        <w:rPr>
          <w:rFonts w:ascii="Arial" w:hAnsi="Arial" w:cs="Arial"/>
          <w:lang w:eastAsia="es-ES"/>
        </w:rPr>
      </w:pPr>
      <w:r w:rsidRPr="000E0F90">
        <w:rPr>
          <w:rFonts w:ascii="Arial" w:hAnsi="Arial" w:cs="Arial"/>
          <w:lang w:eastAsia="es-ES"/>
        </w:rPr>
        <w:lastRenderedPageBreak/>
        <w:t>COMUNA DE ALTO DEL CARMEN</w:t>
      </w:r>
    </w:p>
    <w:p w:rsidR="00F64F0B" w:rsidRPr="000E0F90" w:rsidRDefault="003F7077" w:rsidP="00702D9A">
      <w:pPr>
        <w:pStyle w:val="Ttulo4"/>
        <w:spacing w:line="360" w:lineRule="auto"/>
        <w:rPr>
          <w:rFonts w:ascii="Arial" w:hAnsi="Arial" w:cs="Arial"/>
          <w:color w:val="000000" w:themeColor="text1"/>
          <w:lang w:eastAsia="es-ES"/>
        </w:rPr>
      </w:pPr>
      <w:r w:rsidRPr="000E0F90">
        <w:rPr>
          <w:rFonts w:ascii="Arial" w:hAnsi="Arial" w:cs="Arial"/>
          <w:color w:val="000000" w:themeColor="text1"/>
          <w:lang w:eastAsia="es-ES"/>
        </w:rPr>
        <w:t xml:space="preserve">Biogeoestructura </w:t>
      </w:r>
      <w:r w:rsidR="00624FDB">
        <w:rPr>
          <w:rFonts w:ascii="Arial" w:hAnsi="Arial" w:cs="Arial"/>
          <w:color w:val="000000" w:themeColor="text1"/>
          <w:lang w:eastAsia="es-ES"/>
        </w:rPr>
        <w:t>C</w:t>
      </w:r>
      <w:r w:rsidRPr="000E0F90">
        <w:rPr>
          <w:rFonts w:ascii="Arial" w:hAnsi="Arial" w:cs="Arial"/>
          <w:color w:val="000000" w:themeColor="text1"/>
          <w:lang w:eastAsia="es-ES"/>
        </w:rPr>
        <w:t>omuna Alto del Carmen:</w:t>
      </w:r>
    </w:p>
    <w:p w:rsidR="006B15AA" w:rsidRPr="000E0F90" w:rsidRDefault="00624FDB" w:rsidP="00702D9A">
      <w:pPr>
        <w:pStyle w:val="Epgrafe"/>
        <w:spacing w:after="0" w:line="360" w:lineRule="auto"/>
        <w:jc w:val="center"/>
        <w:rPr>
          <w:rFonts w:ascii="Arial" w:hAnsi="Arial" w:cs="Arial"/>
          <w:b w:val="0"/>
          <w:color w:val="000000" w:themeColor="text1"/>
          <w:sz w:val="22"/>
        </w:rPr>
      </w:pPr>
      <w:r>
        <w:rPr>
          <w:noProof/>
          <w:lang w:eastAsia="es-CL"/>
        </w:rPr>
        <w:drawing>
          <wp:inline distT="0" distB="0" distL="0" distR="0" wp14:anchorId="5673DEAB" wp14:editId="363231B8">
            <wp:extent cx="5119463" cy="6829425"/>
            <wp:effectExtent l="0" t="0" r="5080" b="0"/>
            <wp:docPr id="50" name="Imagen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121858" cy="6832620"/>
                    </a:xfrm>
                    <a:prstGeom prst="rect">
                      <a:avLst/>
                    </a:prstGeom>
                  </pic:spPr>
                </pic:pic>
              </a:graphicData>
            </a:graphic>
          </wp:inline>
        </w:drawing>
      </w:r>
    </w:p>
    <w:p w:rsidR="0086156A" w:rsidRPr="000E0F90" w:rsidRDefault="006B15AA" w:rsidP="00702D9A">
      <w:pPr>
        <w:pStyle w:val="Epgrafe"/>
        <w:spacing w:line="360" w:lineRule="auto"/>
        <w:jc w:val="center"/>
        <w:rPr>
          <w:rFonts w:ascii="Arial" w:hAnsi="Arial" w:cs="Arial"/>
          <w:b w:val="0"/>
          <w:color w:val="000000" w:themeColor="text1"/>
        </w:rPr>
      </w:pPr>
      <w:r w:rsidRPr="000E0F90">
        <w:rPr>
          <w:rFonts w:ascii="Arial" w:hAnsi="Arial" w:cs="Arial"/>
          <w:b w:val="0"/>
          <w:color w:val="000000" w:themeColor="text1"/>
          <w:sz w:val="22"/>
        </w:rPr>
        <w:t xml:space="preserve">Figura </w:t>
      </w:r>
      <w:r w:rsidRPr="000E0F90">
        <w:rPr>
          <w:rFonts w:ascii="Arial" w:hAnsi="Arial" w:cs="Arial"/>
          <w:b w:val="0"/>
          <w:color w:val="000000" w:themeColor="text1"/>
          <w:sz w:val="22"/>
        </w:rPr>
        <w:fldChar w:fldCharType="begin"/>
      </w:r>
      <w:r w:rsidRPr="000E0F90">
        <w:rPr>
          <w:rFonts w:ascii="Arial" w:hAnsi="Arial" w:cs="Arial"/>
          <w:b w:val="0"/>
          <w:color w:val="000000" w:themeColor="text1"/>
          <w:sz w:val="22"/>
        </w:rPr>
        <w:instrText xml:space="preserve"> SEQ Figura \* ARABIC </w:instrText>
      </w:r>
      <w:r w:rsidRPr="000E0F90">
        <w:rPr>
          <w:rFonts w:ascii="Arial" w:hAnsi="Arial" w:cs="Arial"/>
          <w:b w:val="0"/>
          <w:color w:val="000000" w:themeColor="text1"/>
          <w:sz w:val="22"/>
        </w:rPr>
        <w:fldChar w:fldCharType="separate"/>
      </w:r>
      <w:r w:rsidR="00225844">
        <w:rPr>
          <w:rFonts w:ascii="Arial" w:hAnsi="Arial" w:cs="Arial"/>
          <w:b w:val="0"/>
          <w:noProof/>
          <w:color w:val="000000" w:themeColor="text1"/>
          <w:sz w:val="22"/>
        </w:rPr>
        <w:t>11</w:t>
      </w:r>
      <w:r w:rsidRPr="000E0F90">
        <w:rPr>
          <w:rFonts w:ascii="Arial" w:hAnsi="Arial" w:cs="Arial"/>
          <w:b w:val="0"/>
          <w:color w:val="000000" w:themeColor="text1"/>
          <w:sz w:val="22"/>
        </w:rPr>
        <w:fldChar w:fldCharType="end"/>
      </w:r>
      <w:r w:rsidRPr="000E0F90">
        <w:rPr>
          <w:rFonts w:ascii="Arial" w:hAnsi="Arial" w:cs="Arial"/>
          <w:b w:val="0"/>
          <w:color w:val="000000" w:themeColor="text1"/>
          <w:sz w:val="22"/>
        </w:rPr>
        <w:t>: Mapa de Biogeoestructura de la comuna de Alto del Carmen (Elaboración propia)</w:t>
      </w:r>
      <w:r w:rsidR="0086156A" w:rsidRPr="000E0F90">
        <w:rPr>
          <w:rFonts w:ascii="Arial" w:hAnsi="Arial" w:cs="Arial"/>
          <w:b w:val="0"/>
          <w:color w:val="000000" w:themeColor="text1"/>
        </w:rPr>
        <w:br w:type="page"/>
      </w:r>
    </w:p>
    <w:p w:rsidR="00FF387D" w:rsidRPr="000E0F90" w:rsidRDefault="00F35AF7" w:rsidP="00702D9A">
      <w:pPr>
        <w:spacing w:before="240" w:after="0" w:line="360" w:lineRule="auto"/>
        <w:rPr>
          <w:rFonts w:ascii="Arial" w:hAnsi="Arial" w:cs="Arial"/>
          <w:b/>
          <w:color w:val="000000" w:themeColor="text1"/>
        </w:rPr>
      </w:pPr>
      <w:r w:rsidRPr="000E0F90">
        <w:rPr>
          <w:rFonts w:ascii="Arial" w:hAnsi="Arial" w:cs="Arial"/>
          <w:b/>
          <w:color w:val="000000" w:themeColor="text1"/>
        </w:rPr>
        <w:lastRenderedPageBreak/>
        <w:t>Localización</w:t>
      </w:r>
      <w:r w:rsidR="00FF387D" w:rsidRPr="000E0F90">
        <w:rPr>
          <w:rFonts w:ascii="Arial" w:hAnsi="Arial" w:cs="Arial"/>
          <w:b/>
          <w:color w:val="000000" w:themeColor="text1"/>
        </w:rPr>
        <w:t xml:space="preserve"> geográfica, administrativa y ecológica</w:t>
      </w:r>
    </w:p>
    <w:p w:rsidR="00FF387D" w:rsidRPr="000E0F90" w:rsidRDefault="0094507D" w:rsidP="00702D9A">
      <w:pPr>
        <w:spacing w:line="360" w:lineRule="auto"/>
        <w:rPr>
          <w:rFonts w:ascii="Arial" w:hAnsi="Arial" w:cs="Arial"/>
          <w:color w:val="000000" w:themeColor="text1"/>
        </w:rPr>
      </w:pPr>
      <w:r w:rsidRPr="000E0F90">
        <w:rPr>
          <w:rFonts w:ascii="Arial" w:hAnsi="Arial" w:cs="Arial"/>
          <w:color w:val="000000" w:themeColor="text1"/>
        </w:rPr>
        <w:t>La comuna de Alto del Carmen p</w:t>
      </w:r>
      <w:r w:rsidR="00D06BD0" w:rsidRPr="000E0F90">
        <w:rPr>
          <w:rFonts w:ascii="Arial" w:hAnsi="Arial" w:cs="Arial"/>
          <w:color w:val="000000" w:themeColor="text1"/>
        </w:rPr>
        <w:t>resenta una superficie de 5.939 km2, correspondiente al 3</w:t>
      </w:r>
      <w:r w:rsidR="00F84DBE" w:rsidRPr="000E0F90">
        <w:rPr>
          <w:rFonts w:ascii="Arial" w:hAnsi="Arial" w:cs="Arial"/>
          <w:color w:val="000000" w:themeColor="text1"/>
        </w:rPr>
        <w:t>2</w:t>
      </w:r>
      <w:r w:rsidR="00D06BD0" w:rsidRPr="000E0F90">
        <w:rPr>
          <w:rFonts w:ascii="Arial" w:hAnsi="Arial" w:cs="Arial"/>
          <w:color w:val="000000" w:themeColor="text1"/>
        </w:rPr>
        <w:t>,</w:t>
      </w:r>
      <w:r w:rsidR="00F84DBE" w:rsidRPr="000E0F90">
        <w:rPr>
          <w:rFonts w:ascii="Arial" w:hAnsi="Arial" w:cs="Arial"/>
          <w:color w:val="000000" w:themeColor="text1"/>
        </w:rPr>
        <w:t>6% y al 7</w:t>
      </w:r>
      <w:r w:rsidR="00D06BD0" w:rsidRPr="000E0F90">
        <w:rPr>
          <w:rFonts w:ascii="Arial" w:hAnsi="Arial" w:cs="Arial"/>
          <w:color w:val="000000" w:themeColor="text1"/>
        </w:rPr>
        <w:t>,</w:t>
      </w:r>
      <w:r w:rsidR="00F84DBE" w:rsidRPr="000E0F90">
        <w:rPr>
          <w:rFonts w:ascii="Arial" w:hAnsi="Arial" w:cs="Arial"/>
          <w:color w:val="000000" w:themeColor="text1"/>
        </w:rPr>
        <w:t>9</w:t>
      </w:r>
      <w:r w:rsidR="00D06BD0" w:rsidRPr="000E0F90">
        <w:rPr>
          <w:rFonts w:ascii="Arial" w:hAnsi="Arial" w:cs="Arial"/>
          <w:color w:val="000000" w:themeColor="text1"/>
        </w:rPr>
        <w:t>% de la superficie provincial y regional, respectivamente</w:t>
      </w:r>
      <w:r w:rsidR="00F84DBE" w:rsidRPr="000E0F90">
        <w:rPr>
          <w:rFonts w:ascii="Arial" w:hAnsi="Arial" w:cs="Arial"/>
          <w:color w:val="000000" w:themeColor="text1"/>
        </w:rPr>
        <w:t xml:space="preserve"> </w:t>
      </w:r>
      <w:sdt>
        <w:sdtPr>
          <w:rPr>
            <w:rFonts w:ascii="Arial" w:hAnsi="Arial" w:cs="Arial"/>
            <w:color w:val="000000" w:themeColor="text1"/>
          </w:rPr>
          <w:id w:val="496469635"/>
          <w:citation/>
        </w:sdtPr>
        <w:sdtEndPr/>
        <w:sdtContent>
          <w:r w:rsidR="00F84DBE" w:rsidRPr="000E0F90">
            <w:rPr>
              <w:rFonts w:ascii="Arial" w:hAnsi="Arial" w:cs="Arial"/>
              <w:color w:val="000000" w:themeColor="text1"/>
            </w:rPr>
            <w:fldChar w:fldCharType="begin"/>
          </w:r>
          <w:r w:rsidR="00F84DBE" w:rsidRPr="000E0F90">
            <w:rPr>
              <w:rFonts w:ascii="Arial" w:hAnsi="Arial" w:cs="Arial"/>
              <w:color w:val="000000" w:themeColor="text1"/>
            </w:rPr>
            <w:instrText xml:space="preserve"> CITATION INE07 \l 13322 </w:instrText>
          </w:r>
          <w:r w:rsidR="00F84DBE" w:rsidRPr="000E0F90">
            <w:rPr>
              <w:rFonts w:ascii="Arial" w:hAnsi="Arial" w:cs="Arial"/>
              <w:color w:val="000000" w:themeColor="text1"/>
            </w:rPr>
            <w:fldChar w:fldCharType="separate"/>
          </w:r>
          <w:r w:rsidR="008D0261" w:rsidRPr="000E0F90">
            <w:rPr>
              <w:rFonts w:ascii="Arial" w:hAnsi="Arial" w:cs="Arial"/>
              <w:noProof/>
              <w:color w:val="000000" w:themeColor="text1"/>
            </w:rPr>
            <w:t>(INE, 2007)</w:t>
          </w:r>
          <w:r w:rsidR="00F84DBE" w:rsidRPr="000E0F90">
            <w:rPr>
              <w:rFonts w:ascii="Arial" w:hAnsi="Arial" w:cs="Arial"/>
              <w:color w:val="000000" w:themeColor="text1"/>
            </w:rPr>
            <w:fldChar w:fldCharType="end"/>
          </w:r>
        </w:sdtContent>
      </w:sdt>
      <w:r w:rsidR="00D06BD0" w:rsidRPr="000E0F90">
        <w:rPr>
          <w:rFonts w:ascii="Arial" w:hAnsi="Arial" w:cs="Arial"/>
          <w:color w:val="000000" w:themeColor="text1"/>
        </w:rPr>
        <w:t xml:space="preserve">. </w:t>
      </w:r>
      <w:r w:rsidR="00F84DBE" w:rsidRPr="000E0F90">
        <w:rPr>
          <w:rFonts w:ascii="Arial" w:hAnsi="Arial" w:cs="Arial"/>
          <w:color w:val="000000" w:themeColor="text1"/>
        </w:rPr>
        <w:t xml:space="preserve">Limita al norte con la comuna de Tierra Amarilla y Vallenar, al oeste con Vallenar, al sur con la comuna de Vicuña </w:t>
      </w:r>
      <w:r w:rsidR="00C66E68" w:rsidRPr="000E0F90">
        <w:rPr>
          <w:rFonts w:ascii="Arial" w:hAnsi="Arial" w:cs="Arial"/>
          <w:color w:val="000000" w:themeColor="text1"/>
        </w:rPr>
        <w:t xml:space="preserve">(IV Región) </w:t>
      </w:r>
      <w:r w:rsidR="00F84DBE" w:rsidRPr="000E0F90">
        <w:rPr>
          <w:rFonts w:ascii="Arial" w:hAnsi="Arial" w:cs="Arial"/>
          <w:color w:val="000000" w:themeColor="text1"/>
        </w:rPr>
        <w:t>y al este con territorio argentino</w:t>
      </w:r>
      <w:r w:rsidR="00FF387D" w:rsidRPr="000E0F90">
        <w:rPr>
          <w:rFonts w:ascii="Arial" w:hAnsi="Arial" w:cs="Arial"/>
          <w:color w:val="000000" w:themeColor="text1"/>
        </w:rPr>
        <w:t>.</w:t>
      </w:r>
      <w:r w:rsidR="00C20B7B" w:rsidRPr="000E0F90">
        <w:rPr>
          <w:rFonts w:ascii="Arial" w:hAnsi="Arial" w:cs="Arial"/>
          <w:color w:val="000000" w:themeColor="text1"/>
        </w:rPr>
        <w:t xml:space="preserve"> </w:t>
      </w:r>
      <w:r w:rsidR="00FF387D" w:rsidRPr="000E0F90">
        <w:rPr>
          <w:rFonts w:ascii="Arial" w:hAnsi="Arial" w:cs="Arial"/>
          <w:color w:val="000000" w:themeColor="text1"/>
        </w:rPr>
        <w:t>Respecto a su localización administrativa, Alto del Carmen se ubica en la macrorregión de Sudamérica, en el país Chile, en la Región de Atacama y en la Provincia de Huasco.</w:t>
      </w:r>
    </w:p>
    <w:p w:rsidR="004C24F5" w:rsidRDefault="00D06BD0" w:rsidP="004C24F5">
      <w:pPr>
        <w:spacing w:before="240" w:line="360" w:lineRule="auto"/>
        <w:rPr>
          <w:rFonts w:ascii="Arial" w:hAnsi="Arial" w:cs="Arial"/>
          <w:color w:val="000000" w:themeColor="text1"/>
        </w:rPr>
      </w:pPr>
      <w:r w:rsidRPr="000E0F90">
        <w:rPr>
          <w:rFonts w:ascii="Arial" w:hAnsi="Arial" w:cs="Arial"/>
          <w:color w:val="000000" w:themeColor="text1"/>
        </w:rPr>
        <w:t xml:space="preserve">De acuerdo al Sistema de Clasificación de Ecorregiones Gastó, Cosio y Panario  (1993), </w:t>
      </w:r>
      <w:r w:rsidR="00085D8D" w:rsidRPr="000E0F90">
        <w:rPr>
          <w:rFonts w:ascii="Arial" w:hAnsi="Arial" w:cs="Arial"/>
          <w:color w:val="000000" w:themeColor="text1"/>
        </w:rPr>
        <w:t xml:space="preserve">Alto del Carmen </w:t>
      </w:r>
      <w:r w:rsidRPr="000E0F90">
        <w:rPr>
          <w:rFonts w:ascii="Arial" w:hAnsi="Arial" w:cs="Arial"/>
          <w:color w:val="000000" w:themeColor="text1"/>
        </w:rPr>
        <w:t>se encuentra lo</w:t>
      </w:r>
      <w:r w:rsidR="00085D8D" w:rsidRPr="000E0F90">
        <w:rPr>
          <w:rFonts w:ascii="Arial" w:hAnsi="Arial" w:cs="Arial"/>
          <w:color w:val="000000" w:themeColor="text1"/>
        </w:rPr>
        <w:t xml:space="preserve">calizado mayormente en el Reino Seco, con </w:t>
      </w:r>
      <w:r w:rsidRPr="000E0F90">
        <w:rPr>
          <w:rFonts w:ascii="Arial" w:hAnsi="Arial" w:cs="Arial"/>
          <w:color w:val="000000" w:themeColor="text1"/>
        </w:rPr>
        <w:t>Dominio Desértico</w:t>
      </w:r>
      <w:r w:rsidR="00085D8D" w:rsidRPr="000E0F90">
        <w:rPr>
          <w:rFonts w:ascii="Arial" w:hAnsi="Arial" w:cs="Arial"/>
          <w:color w:val="000000" w:themeColor="text1"/>
        </w:rPr>
        <w:t xml:space="preserve"> y Estepario, y en el sector suroriente, presencia el Reino Nevado, Dominio Nival. Evidenciándose precipitaciones irregulares en invierno, y escasas en verano en la zona intermedia, las cuales se incrementan con la altitud, principalmente en verano.</w:t>
      </w:r>
      <w:r w:rsidR="004C24F5">
        <w:rPr>
          <w:rFonts w:ascii="Arial" w:hAnsi="Arial" w:cs="Arial"/>
          <w:color w:val="000000" w:themeColor="text1"/>
        </w:rPr>
        <w:t xml:space="preserve"> Se identifican l</w:t>
      </w:r>
      <w:r w:rsidRPr="000E0F90">
        <w:rPr>
          <w:rFonts w:ascii="Arial" w:hAnsi="Arial" w:cs="Arial"/>
          <w:color w:val="000000" w:themeColor="text1"/>
        </w:rPr>
        <w:t xml:space="preserve">as provincias Desértica </w:t>
      </w:r>
      <w:r w:rsidR="00F74B73" w:rsidRPr="000E0F90">
        <w:rPr>
          <w:rFonts w:ascii="Arial" w:hAnsi="Arial" w:cs="Arial"/>
          <w:color w:val="000000" w:themeColor="text1"/>
        </w:rPr>
        <w:t xml:space="preserve">Transicional, </w:t>
      </w:r>
      <w:r w:rsidRPr="000E0F90">
        <w:rPr>
          <w:rFonts w:ascii="Arial" w:hAnsi="Arial" w:cs="Arial"/>
          <w:color w:val="000000" w:themeColor="text1"/>
        </w:rPr>
        <w:t>Provincia</w:t>
      </w:r>
      <w:r w:rsidR="00F74B73" w:rsidRPr="000E0F90">
        <w:rPr>
          <w:rFonts w:ascii="Arial" w:hAnsi="Arial" w:cs="Arial"/>
          <w:color w:val="000000" w:themeColor="text1"/>
        </w:rPr>
        <w:t xml:space="preserve"> Estepária Muy Fría Secoestival</w:t>
      </w:r>
      <w:r w:rsidRPr="000E0F90">
        <w:rPr>
          <w:rFonts w:ascii="Arial" w:hAnsi="Arial" w:cs="Arial"/>
          <w:color w:val="000000" w:themeColor="text1"/>
        </w:rPr>
        <w:t xml:space="preserve"> </w:t>
      </w:r>
      <w:r w:rsidR="00F74B73" w:rsidRPr="000E0F90">
        <w:rPr>
          <w:rFonts w:ascii="Arial" w:hAnsi="Arial" w:cs="Arial"/>
          <w:color w:val="000000" w:themeColor="text1"/>
        </w:rPr>
        <w:t>y Provincia Nival de Altura</w:t>
      </w:r>
      <w:r w:rsidR="004C24F5">
        <w:rPr>
          <w:rFonts w:ascii="Arial" w:hAnsi="Arial" w:cs="Arial"/>
          <w:color w:val="000000" w:themeColor="text1"/>
        </w:rPr>
        <w:t xml:space="preserve"> (Gasto et al., 2015)</w:t>
      </w:r>
    </w:p>
    <w:p w:rsidR="00812D0A" w:rsidRPr="000E0F90" w:rsidRDefault="00812D0A" w:rsidP="004C24F5">
      <w:pPr>
        <w:spacing w:before="240" w:after="0" w:line="360" w:lineRule="auto"/>
        <w:rPr>
          <w:rFonts w:ascii="Arial" w:eastAsia="Times New Roman" w:hAnsi="Arial" w:cs="Arial"/>
          <w:b/>
          <w:color w:val="000000" w:themeColor="text1"/>
          <w:lang w:eastAsia="es-ES"/>
        </w:rPr>
      </w:pPr>
      <w:r w:rsidRPr="000E0F90">
        <w:rPr>
          <w:rFonts w:ascii="Arial" w:eastAsia="Times New Roman" w:hAnsi="Arial" w:cs="Arial"/>
          <w:b/>
          <w:color w:val="000000" w:themeColor="text1"/>
          <w:lang w:eastAsia="es-ES"/>
        </w:rPr>
        <w:t>Clima</w:t>
      </w:r>
    </w:p>
    <w:p w:rsidR="00812D0A" w:rsidRPr="000E0F90" w:rsidRDefault="00812D0A" w:rsidP="00702D9A">
      <w:pPr>
        <w:spacing w:line="360" w:lineRule="auto"/>
        <w:rPr>
          <w:rFonts w:ascii="Arial" w:eastAsia="Times New Roman" w:hAnsi="Arial" w:cs="Arial"/>
          <w:color w:val="000000" w:themeColor="text1"/>
          <w:lang w:eastAsia="es-ES"/>
        </w:rPr>
      </w:pPr>
      <w:r w:rsidRPr="000E0F90">
        <w:rPr>
          <w:rFonts w:ascii="Arial" w:eastAsia="Times New Roman" w:hAnsi="Arial" w:cs="Arial"/>
          <w:color w:val="000000" w:themeColor="text1"/>
          <w:lang w:eastAsia="es-ES"/>
        </w:rPr>
        <w:t xml:space="preserve">Respecto  a  las  condiciones  climáticas  en  la  comuna  de  </w:t>
      </w:r>
      <w:r w:rsidR="00B33C12" w:rsidRPr="000E0F90">
        <w:rPr>
          <w:rFonts w:ascii="Arial" w:eastAsia="Times New Roman" w:hAnsi="Arial" w:cs="Arial"/>
          <w:color w:val="000000" w:themeColor="text1"/>
          <w:lang w:eastAsia="es-ES"/>
        </w:rPr>
        <w:t>Alto del Carmen</w:t>
      </w:r>
      <w:r w:rsidRPr="000E0F90">
        <w:rPr>
          <w:rFonts w:ascii="Arial" w:eastAsia="Times New Roman" w:hAnsi="Arial" w:cs="Arial"/>
          <w:color w:val="000000" w:themeColor="text1"/>
          <w:lang w:eastAsia="es-ES"/>
        </w:rPr>
        <w:t xml:space="preserve">, </w:t>
      </w:r>
      <w:r w:rsidR="00B33C12" w:rsidRPr="000E0F90">
        <w:rPr>
          <w:rFonts w:ascii="Arial" w:eastAsia="Times New Roman" w:hAnsi="Arial" w:cs="Arial"/>
          <w:color w:val="000000" w:themeColor="text1"/>
          <w:lang w:eastAsia="es-ES"/>
        </w:rPr>
        <w:t xml:space="preserve">las estaciones meteorológicas registraron temperaturas medias mensuales promedios entre 13°C la mínima y </w:t>
      </w:r>
      <w:r w:rsidRPr="000E0F90">
        <w:rPr>
          <w:rFonts w:ascii="Arial" w:eastAsia="Times New Roman" w:hAnsi="Arial" w:cs="Arial"/>
          <w:color w:val="000000" w:themeColor="text1"/>
          <w:lang w:eastAsia="es-ES"/>
        </w:rPr>
        <w:t>2</w:t>
      </w:r>
      <w:r w:rsidR="00B33C12" w:rsidRPr="000E0F90">
        <w:rPr>
          <w:rFonts w:ascii="Arial" w:eastAsia="Times New Roman" w:hAnsi="Arial" w:cs="Arial"/>
          <w:color w:val="000000" w:themeColor="text1"/>
          <w:lang w:eastAsia="es-ES"/>
        </w:rPr>
        <w:t>1</w:t>
      </w:r>
      <w:r w:rsidRPr="000E0F90">
        <w:rPr>
          <w:rFonts w:ascii="Arial" w:eastAsia="Times New Roman" w:hAnsi="Arial" w:cs="Arial"/>
          <w:color w:val="000000" w:themeColor="text1"/>
          <w:lang w:eastAsia="es-ES"/>
        </w:rPr>
        <w:t>°C la máxima</w:t>
      </w:r>
      <w:r w:rsidR="00B33C12" w:rsidRPr="000E0F90">
        <w:rPr>
          <w:rFonts w:ascii="Arial" w:eastAsia="Times New Roman" w:hAnsi="Arial" w:cs="Arial"/>
          <w:color w:val="000000" w:themeColor="text1"/>
          <w:lang w:eastAsia="es-ES"/>
        </w:rPr>
        <w:t xml:space="preserve">. </w:t>
      </w:r>
      <w:r w:rsidR="00F35AF7" w:rsidRPr="000E0F90">
        <w:rPr>
          <w:rFonts w:ascii="Arial" w:eastAsia="Times New Roman" w:hAnsi="Arial" w:cs="Arial"/>
          <w:color w:val="000000" w:themeColor="text1"/>
          <w:lang w:eastAsia="es-ES"/>
        </w:rPr>
        <w:t>Estableciéndose</w:t>
      </w:r>
      <w:r w:rsidR="00B33C12" w:rsidRPr="000E0F90">
        <w:rPr>
          <w:rFonts w:ascii="Arial" w:eastAsia="Times New Roman" w:hAnsi="Arial" w:cs="Arial"/>
          <w:color w:val="000000" w:themeColor="text1"/>
          <w:lang w:eastAsia="es-ES"/>
        </w:rPr>
        <w:t xml:space="preserve"> los meses más fríos entre junio y agosto, y los más calurosos de diciembre a febrero </w:t>
      </w:r>
      <w:sdt>
        <w:sdtPr>
          <w:rPr>
            <w:rFonts w:ascii="Arial" w:eastAsia="Times New Roman" w:hAnsi="Arial" w:cs="Arial"/>
            <w:color w:val="000000" w:themeColor="text1"/>
            <w:lang w:eastAsia="es-ES"/>
          </w:rPr>
          <w:id w:val="-1693920105"/>
          <w:citation/>
        </w:sdtPr>
        <w:sdtEndPr/>
        <w:sdtContent>
          <w:r w:rsidR="00B33C12" w:rsidRPr="000E0F90">
            <w:rPr>
              <w:rFonts w:ascii="Arial" w:eastAsia="Times New Roman" w:hAnsi="Arial" w:cs="Arial"/>
              <w:color w:val="000000" w:themeColor="text1"/>
              <w:lang w:eastAsia="es-ES"/>
            </w:rPr>
            <w:fldChar w:fldCharType="begin"/>
          </w:r>
          <w:r w:rsidR="00B33C12" w:rsidRPr="000E0F90">
            <w:rPr>
              <w:rFonts w:ascii="Arial" w:eastAsia="Times New Roman" w:hAnsi="Arial" w:cs="Arial"/>
              <w:color w:val="000000" w:themeColor="text1"/>
              <w:lang w:eastAsia="es-ES"/>
            </w:rPr>
            <w:instrText xml:space="preserve">CITATION DGA17 \t  \l 13322 </w:instrText>
          </w:r>
          <w:r w:rsidR="00B33C12" w:rsidRPr="000E0F90">
            <w:rPr>
              <w:rFonts w:ascii="Arial" w:eastAsia="Times New Roman" w:hAnsi="Arial" w:cs="Arial"/>
              <w:color w:val="000000" w:themeColor="text1"/>
              <w:lang w:eastAsia="es-ES"/>
            </w:rPr>
            <w:fldChar w:fldCharType="separate"/>
          </w:r>
          <w:r w:rsidR="008D0261" w:rsidRPr="000E0F90">
            <w:rPr>
              <w:rFonts w:ascii="Arial" w:eastAsia="Times New Roman" w:hAnsi="Arial" w:cs="Arial"/>
              <w:noProof/>
              <w:color w:val="000000" w:themeColor="text1"/>
              <w:lang w:eastAsia="es-ES"/>
            </w:rPr>
            <w:t>(DGA, 2017)</w:t>
          </w:r>
          <w:r w:rsidR="00B33C12" w:rsidRPr="000E0F90">
            <w:rPr>
              <w:rFonts w:ascii="Arial" w:eastAsia="Times New Roman" w:hAnsi="Arial" w:cs="Arial"/>
              <w:color w:val="000000" w:themeColor="text1"/>
              <w:lang w:eastAsia="es-ES"/>
            </w:rPr>
            <w:fldChar w:fldCharType="end"/>
          </w:r>
        </w:sdtContent>
      </w:sdt>
      <w:r w:rsidR="00B33C12" w:rsidRPr="000E0F90">
        <w:rPr>
          <w:rFonts w:ascii="Arial" w:eastAsia="Times New Roman" w:hAnsi="Arial" w:cs="Arial"/>
          <w:color w:val="000000" w:themeColor="text1"/>
          <w:lang w:eastAsia="es-ES"/>
        </w:rPr>
        <w:t>.</w:t>
      </w:r>
      <w:r w:rsidRPr="000E0F90">
        <w:rPr>
          <w:rFonts w:ascii="Arial" w:eastAsia="Times New Roman" w:hAnsi="Arial" w:cs="Arial"/>
          <w:color w:val="000000" w:themeColor="text1"/>
          <w:lang w:eastAsia="es-ES"/>
        </w:rPr>
        <w:t xml:space="preserve"> </w:t>
      </w:r>
      <w:r w:rsidR="00427B70" w:rsidRPr="000E0F90">
        <w:rPr>
          <w:rFonts w:ascii="Arial" w:eastAsia="Times New Roman" w:hAnsi="Arial" w:cs="Arial"/>
          <w:color w:val="000000" w:themeColor="text1"/>
          <w:lang w:eastAsia="es-ES"/>
        </w:rPr>
        <w:t>L</w:t>
      </w:r>
      <w:r w:rsidRPr="000E0F90">
        <w:rPr>
          <w:rFonts w:ascii="Arial" w:eastAsia="Times New Roman" w:hAnsi="Arial" w:cs="Arial"/>
          <w:color w:val="000000" w:themeColor="text1"/>
          <w:lang w:eastAsia="es-ES"/>
        </w:rPr>
        <w:t>as precipitaciones</w:t>
      </w:r>
      <w:r w:rsidR="00427B70" w:rsidRPr="000E0F90">
        <w:rPr>
          <w:rFonts w:ascii="Arial" w:eastAsia="Times New Roman" w:hAnsi="Arial" w:cs="Arial"/>
          <w:color w:val="000000" w:themeColor="text1"/>
          <w:lang w:eastAsia="es-ES"/>
        </w:rPr>
        <w:t xml:space="preserve"> </w:t>
      </w:r>
      <w:r w:rsidR="000D24AC" w:rsidRPr="000E0F90">
        <w:rPr>
          <w:rFonts w:ascii="Arial" w:eastAsia="Times New Roman" w:hAnsi="Arial" w:cs="Arial"/>
          <w:color w:val="000000" w:themeColor="text1"/>
          <w:lang w:eastAsia="es-ES"/>
        </w:rPr>
        <w:t>se concentran los meses d</w:t>
      </w:r>
      <w:r w:rsidRPr="000E0F90">
        <w:rPr>
          <w:rFonts w:ascii="Arial" w:eastAsia="Times New Roman" w:hAnsi="Arial" w:cs="Arial"/>
          <w:color w:val="000000" w:themeColor="text1"/>
          <w:lang w:eastAsia="es-ES"/>
        </w:rPr>
        <w:t xml:space="preserve">e invierno, de mayo a julio, </w:t>
      </w:r>
      <w:r w:rsidR="00573503" w:rsidRPr="000E0F90">
        <w:rPr>
          <w:rFonts w:ascii="Arial" w:eastAsia="Times New Roman" w:hAnsi="Arial" w:cs="Arial"/>
          <w:color w:val="000000" w:themeColor="text1"/>
          <w:lang w:eastAsia="es-ES"/>
        </w:rPr>
        <w:t xml:space="preserve">con un rango de </w:t>
      </w:r>
      <w:r w:rsidR="00427B70" w:rsidRPr="000E0F90">
        <w:rPr>
          <w:rFonts w:ascii="Arial" w:eastAsia="Times New Roman" w:hAnsi="Arial" w:cs="Arial"/>
          <w:color w:val="000000" w:themeColor="text1"/>
          <w:lang w:eastAsia="es-ES"/>
        </w:rPr>
        <w:t xml:space="preserve">precipitaciones anuales entre </w:t>
      </w:r>
      <w:r w:rsidR="00573503" w:rsidRPr="000E0F90">
        <w:rPr>
          <w:rFonts w:ascii="Arial" w:eastAsia="Times New Roman" w:hAnsi="Arial" w:cs="Arial"/>
          <w:color w:val="000000" w:themeColor="text1"/>
          <w:lang w:eastAsia="es-ES"/>
        </w:rPr>
        <w:t>15 y 135 mm</w:t>
      </w:r>
      <w:r w:rsidR="00427B70" w:rsidRPr="000E0F90">
        <w:rPr>
          <w:rFonts w:ascii="Arial" w:eastAsia="Times New Roman" w:hAnsi="Arial" w:cs="Arial"/>
          <w:color w:val="000000" w:themeColor="text1"/>
          <w:lang w:eastAsia="es-ES"/>
        </w:rPr>
        <w:t>,</w:t>
      </w:r>
      <w:r w:rsidRPr="000E0F90">
        <w:rPr>
          <w:rFonts w:ascii="Arial" w:eastAsia="Times New Roman" w:hAnsi="Arial" w:cs="Arial"/>
          <w:color w:val="000000" w:themeColor="text1"/>
          <w:lang w:eastAsia="es-ES"/>
        </w:rPr>
        <w:t xml:space="preserve"> en años </w:t>
      </w:r>
      <w:r w:rsidR="00573503" w:rsidRPr="000E0F90">
        <w:rPr>
          <w:rFonts w:ascii="Arial" w:eastAsia="Times New Roman" w:hAnsi="Arial" w:cs="Arial"/>
          <w:color w:val="000000" w:themeColor="text1"/>
          <w:lang w:eastAsia="es-ES"/>
        </w:rPr>
        <w:t>secos y lluviosos, respectivamente</w:t>
      </w:r>
      <w:r w:rsidRPr="000E0F90">
        <w:rPr>
          <w:rFonts w:ascii="Arial" w:eastAsia="Times New Roman" w:hAnsi="Arial" w:cs="Arial"/>
          <w:color w:val="000000" w:themeColor="text1"/>
          <w:lang w:eastAsia="es-ES"/>
        </w:rPr>
        <w:t xml:space="preserve">. </w:t>
      </w:r>
      <w:r w:rsidR="000D24AC" w:rsidRPr="000E0F90">
        <w:rPr>
          <w:rFonts w:ascii="Arial" w:eastAsia="Times New Roman" w:hAnsi="Arial" w:cs="Arial"/>
          <w:color w:val="000000" w:themeColor="text1"/>
          <w:lang w:eastAsia="es-ES"/>
        </w:rPr>
        <w:t>Se presenta también un</w:t>
      </w:r>
      <w:r w:rsidRPr="000E0F90">
        <w:rPr>
          <w:rFonts w:ascii="Arial" w:eastAsia="Times New Roman" w:hAnsi="Arial" w:cs="Arial"/>
          <w:color w:val="000000" w:themeColor="text1"/>
          <w:lang w:eastAsia="es-ES"/>
        </w:rPr>
        <w:t xml:space="preserve"> gradiente altitudinal de las precipitaciones de la comuna </w:t>
      </w:r>
      <w:sdt>
        <w:sdtPr>
          <w:rPr>
            <w:rFonts w:ascii="Arial" w:eastAsia="Times New Roman" w:hAnsi="Arial" w:cs="Arial"/>
            <w:color w:val="000000" w:themeColor="text1"/>
            <w:lang w:eastAsia="es-ES"/>
          </w:rPr>
          <w:id w:val="-992014077"/>
          <w:citation/>
        </w:sdtPr>
        <w:sdtEndPr/>
        <w:sdtContent>
          <w:r w:rsidRPr="000E0F90">
            <w:rPr>
              <w:rFonts w:ascii="Arial" w:eastAsia="Times New Roman" w:hAnsi="Arial" w:cs="Arial"/>
              <w:color w:val="000000" w:themeColor="text1"/>
              <w:lang w:eastAsia="es-ES"/>
            </w:rPr>
            <w:fldChar w:fldCharType="begin"/>
          </w:r>
          <w:r w:rsidRPr="000E0F90">
            <w:rPr>
              <w:rFonts w:ascii="Arial" w:eastAsia="Times New Roman" w:hAnsi="Arial" w:cs="Arial"/>
              <w:color w:val="000000" w:themeColor="text1"/>
              <w:lang w:eastAsia="es-ES"/>
            </w:rPr>
            <w:instrText xml:space="preserve">CITATION DGA17 \t  \l 13322 </w:instrText>
          </w:r>
          <w:r w:rsidRPr="000E0F90">
            <w:rPr>
              <w:rFonts w:ascii="Arial" w:eastAsia="Times New Roman" w:hAnsi="Arial" w:cs="Arial"/>
              <w:color w:val="000000" w:themeColor="text1"/>
              <w:lang w:eastAsia="es-ES"/>
            </w:rPr>
            <w:fldChar w:fldCharType="separate"/>
          </w:r>
          <w:r w:rsidR="008D0261" w:rsidRPr="000E0F90">
            <w:rPr>
              <w:rFonts w:ascii="Arial" w:eastAsia="Times New Roman" w:hAnsi="Arial" w:cs="Arial"/>
              <w:noProof/>
              <w:color w:val="000000" w:themeColor="text1"/>
              <w:lang w:eastAsia="es-ES"/>
            </w:rPr>
            <w:t>(DGA, 2017)</w:t>
          </w:r>
          <w:r w:rsidRPr="000E0F90">
            <w:rPr>
              <w:rFonts w:ascii="Arial" w:eastAsia="Times New Roman" w:hAnsi="Arial" w:cs="Arial"/>
              <w:color w:val="000000" w:themeColor="text1"/>
              <w:lang w:eastAsia="es-ES"/>
            </w:rPr>
            <w:fldChar w:fldCharType="end"/>
          </w:r>
        </w:sdtContent>
      </w:sdt>
      <w:r w:rsidRPr="000E0F90">
        <w:rPr>
          <w:rFonts w:ascii="Arial" w:eastAsia="Times New Roman" w:hAnsi="Arial" w:cs="Arial"/>
          <w:color w:val="000000" w:themeColor="text1"/>
          <w:lang w:eastAsia="es-ES"/>
        </w:rPr>
        <w:t xml:space="preserve">. </w:t>
      </w:r>
    </w:p>
    <w:p w:rsidR="004F1745" w:rsidRPr="000E0F90" w:rsidRDefault="00F242B6" w:rsidP="00702D9A">
      <w:pPr>
        <w:spacing w:before="240" w:after="0" w:line="360" w:lineRule="auto"/>
        <w:rPr>
          <w:rFonts w:ascii="Arial" w:eastAsia="Times New Roman" w:hAnsi="Arial" w:cs="Arial"/>
          <w:b/>
          <w:color w:val="000000" w:themeColor="text1"/>
          <w:szCs w:val="20"/>
          <w:lang w:eastAsia="es-ES"/>
        </w:rPr>
      </w:pPr>
      <w:r w:rsidRPr="000E0F90">
        <w:rPr>
          <w:rFonts w:ascii="Arial" w:hAnsi="Arial" w:cs="Arial"/>
          <w:b/>
          <w:color w:val="000000" w:themeColor="text1"/>
        </w:rPr>
        <w:t>Geomorfología</w:t>
      </w:r>
      <w:r w:rsidR="003905D1" w:rsidRPr="000E0F90">
        <w:rPr>
          <w:rFonts w:ascii="Arial" w:hAnsi="Arial" w:cs="Arial"/>
          <w:b/>
          <w:color w:val="000000" w:themeColor="text1"/>
        </w:rPr>
        <w:t xml:space="preserve"> y Suelos</w:t>
      </w:r>
    </w:p>
    <w:p w:rsidR="004F1745" w:rsidRPr="000E0F90" w:rsidRDefault="004F1745" w:rsidP="00702D9A">
      <w:pPr>
        <w:spacing w:line="360" w:lineRule="auto"/>
        <w:rPr>
          <w:rFonts w:ascii="Arial" w:eastAsia="Times New Roman" w:hAnsi="Arial" w:cs="Arial"/>
          <w:color w:val="000000" w:themeColor="text1"/>
          <w:szCs w:val="20"/>
          <w:lang w:eastAsia="es-ES"/>
        </w:rPr>
      </w:pPr>
      <w:r w:rsidRPr="000E0F90">
        <w:rPr>
          <w:rFonts w:ascii="Arial" w:eastAsia="Times New Roman" w:hAnsi="Arial" w:cs="Arial"/>
          <w:color w:val="000000" w:themeColor="text1"/>
          <w:szCs w:val="20"/>
          <w:lang w:eastAsia="es-ES"/>
        </w:rPr>
        <w:t>La</w:t>
      </w:r>
      <w:r w:rsidR="00F242B6" w:rsidRPr="000E0F90">
        <w:rPr>
          <w:rFonts w:ascii="Arial" w:eastAsia="Times New Roman" w:hAnsi="Arial" w:cs="Arial"/>
          <w:color w:val="000000" w:themeColor="text1"/>
          <w:szCs w:val="20"/>
          <w:lang w:eastAsia="es-ES"/>
        </w:rPr>
        <w:t xml:space="preserve"> comuna de Alto del Carmen, se ubica en</w:t>
      </w:r>
      <w:r w:rsidRPr="000E0F90">
        <w:rPr>
          <w:rFonts w:ascii="Arial" w:eastAsia="Times New Roman" w:hAnsi="Arial" w:cs="Arial"/>
          <w:color w:val="000000" w:themeColor="text1"/>
          <w:szCs w:val="20"/>
          <w:lang w:eastAsia="es-ES"/>
        </w:rPr>
        <w:t xml:space="preserve"> </w:t>
      </w:r>
      <w:r w:rsidR="00F242B6" w:rsidRPr="000E0F90">
        <w:rPr>
          <w:rFonts w:ascii="Arial" w:eastAsia="Times New Roman" w:hAnsi="Arial" w:cs="Arial"/>
          <w:color w:val="000000" w:themeColor="text1"/>
          <w:szCs w:val="20"/>
          <w:lang w:eastAsia="es-ES"/>
        </w:rPr>
        <w:t>valles y cordones transversales</w:t>
      </w:r>
      <w:r w:rsidR="004C24F5">
        <w:rPr>
          <w:rFonts w:ascii="Arial" w:eastAsia="Times New Roman" w:hAnsi="Arial" w:cs="Arial"/>
          <w:color w:val="000000" w:themeColor="text1"/>
          <w:szCs w:val="20"/>
          <w:lang w:eastAsia="es-ES"/>
        </w:rPr>
        <w:t xml:space="preserve"> y C</w:t>
      </w:r>
      <w:r w:rsidRPr="000E0F90">
        <w:rPr>
          <w:rFonts w:ascii="Arial" w:eastAsia="Times New Roman" w:hAnsi="Arial" w:cs="Arial"/>
          <w:color w:val="000000" w:themeColor="text1"/>
          <w:szCs w:val="20"/>
          <w:lang w:eastAsia="es-ES"/>
        </w:rPr>
        <w:t xml:space="preserve">ordillera de los </w:t>
      </w:r>
      <w:r w:rsidR="004C24F5">
        <w:rPr>
          <w:rFonts w:ascii="Arial" w:eastAsia="Times New Roman" w:hAnsi="Arial" w:cs="Arial"/>
          <w:color w:val="000000" w:themeColor="text1"/>
          <w:szCs w:val="20"/>
          <w:lang w:eastAsia="es-ES"/>
        </w:rPr>
        <w:t>A</w:t>
      </w:r>
      <w:r w:rsidRPr="000E0F90">
        <w:rPr>
          <w:rFonts w:ascii="Arial" w:eastAsia="Times New Roman" w:hAnsi="Arial" w:cs="Arial"/>
          <w:color w:val="000000" w:themeColor="text1"/>
          <w:szCs w:val="20"/>
          <w:lang w:eastAsia="es-ES"/>
        </w:rPr>
        <w:t xml:space="preserve">ndes. Estos cordones y valles interrumpen hasta la cordillera de la costa, que en conjunto con la erosión marina, dan paso a planicies costeras (Chañaral) </w:t>
      </w:r>
      <w:sdt>
        <w:sdtPr>
          <w:rPr>
            <w:rFonts w:ascii="Arial" w:hAnsi="Arial" w:cs="Arial"/>
            <w:color w:val="000000" w:themeColor="text1"/>
          </w:rPr>
          <w:id w:val="1420359148"/>
          <w:citation/>
        </w:sdtPr>
        <w:sdtEndPr/>
        <w:sdtContent>
          <w:r w:rsidRPr="000E0F90">
            <w:rPr>
              <w:rFonts w:ascii="Arial" w:hAnsi="Arial" w:cs="Arial"/>
              <w:color w:val="000000" w:themeColor="text1"/>
            </w:rPr>
            <w:fldChar w:fldCharType="begin"/>
          </w:r>
          <w:r w:rsidR="00C50BC6" w:rsidRPr="000E0F90">
            <w:rPr>
              <w:rFonts w:ascii="Arial" w:hAnsi="Arial" w:cs="Arial"/>
              <w:color w:val="000000" w:themeColor="text1"/>
            </w:rPr>
            <w:instrText xml:space="preserve">CITATION DGA04 \t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(DGA, 2004)</w:t>
          </w:r>
          <w:r w:rsidRPr="000E0F90">
            <w:rPr>
              <w:rFonts w:ascii="Arial" w:hAnsi="Arial" w:cs="Arial"/>
              <w:color w:val="000000" w:themeColor="text1"/>
            </w:rPr>
            <w:fldChar w:fldCharType="end"/>
          </w:r>
        </w:sdtContent>
      </w:sdt>
      <w:r w:rsidRPr="000E0F90">
        <w:rPr>
          <w:rFonts w:ascii="Arial" w:hAnsi="Arial" w:cs="Arial"/>
          <w:color w:val="000000" w:themeColor="text1"/>
        </w:rPr>
        <w:t>.</w:t>
      </w:r>
      <w:r w:rsidR="004C24F5">
        <w:rPr>
          <w:rFonts w:ascii="Arial" w:hAnsi="Arial" w:cs="Arial"/>
          <w:color w:val="000000" w:themeColor="text1"/>
        </w:rPr>
        <w:t xml:space="preserve"> </w:t>
      </w:r>
      <w:r w:rsidRPr="000E0F90">
        <w:rPr>
          <w:rFonts w:ascii="Arial" w:eastAsia="Times New Roman" w:hAnsi="Arial" w:cs="Arial"/>
          <w:color w:val="000000" w:themeColor="text1"/>
          <w:szCs w:val="20"/>
          <w:lang w:eastAsia="es-ES"/>
        </w:rPr>
        <w:t xml:space="preserve">Por las fuertes limitantes de geoforma, edáficas y climáticas, los suelos la parte alta de la Cordillera de los Andes de la cuenca del Huasco presentan restringidas aptitudes para los usos y actividades productivos. </w:t>
      </w:r>
      <w:r w:rsidR="00A25B1D" w:rsidRPr="000E0F90">
        <w:rPr>
          <w:rFonts w:ascii="Arial" w:eastAsia="Times New Roman" w:hAnsi="Arial" w:cs="Arial"/>
          <w:color w:val="000000" w:themeColor="text1"/>
          <w:szCs w:val="20"/>
          <w:lang w:eastAsia="es-ES"/>
        </w:rPr>
        <w:t xml:space="preserve">La  única  actividad reconocida es la ganadería, localizada en algunas zonas de la cuenca del río el Toro y a lo largo de la </w:t>
      </w:r>
      <w:r w:rsidR="00A25B1D" w:rsidRPr="000E0F90">
        <w:rPr>
          <w:rFonts w:ascii="Arial" w:eastAsia="Times New Roman" w:hAnsi="Arial" w:cs="Arial"/>
          <w:color w:val="000000" w:themeColor="text1"/>
          <w:szCs w:val="20"/>
          <w:lang w:eastAsia="es-ES"/>
        </w:rPr>
        <w:lastRenderedPageBreak/>
        <w:t xml:space="preserve">cuenca del rio del Estrecho (ARCADIS, 2004). </w:t>
      </w:r>
      <w:r w:rsidRPr="000E0F90">
        <w:rPr>
          <w:rFonts w:ascii="Arial" w:eastAsia="Times New Roman" w:hAnsi="Arial" w:cs="Arial"/>
          <w:color w:val="000000" w:themeColor="text1"/>
          <w:szCs w:val="20"/>
          <w:lang w:eastAsia="es-ES"/>
        </w:rPr>
        <w:t>Los escasos  suelos  con  aptitud  para  actividades  productivas  se  localizan  en general en los fondos de los valles bajo la cota 4.000 m.s.n.m</w:t>
      </w:r>
      <w:r w:rsidR="004C24F5">
        <w:rPr>
          <w:rFonts w:ascii="Arial" w:eastAsia="Times New Roman" w:hAnsi="Arial" w:cs="Arial"/>
          <w:color w:val="000000" w:themeColor="text1"/>
          <w:szCs w:val="20"/>
          <w:lang w:eastAsia="es-ES"/>
        </w:rPr>
        <w:t>, con</w:t>
      </w:r>
      <w:r w:rsidRPr="000E0F90">
        <w:rPr>
          <w:rFonts w:ascii="Arial" w:eastAsia="Times New Roman" w:hAnsi="Arial" w:cs="Arial"/>
          <w:color w:val="000000" w:themeColor="text1"/>
          <w:szCs w:val="20"/>
          <w:lang w:eastAsia="es-ES"/>
        </w:rPr>
        <w:t xml:space="preserve">  capacida</w:t>
      </w:r>
      <w:r w:rsidR="00A25B1D" w:rsidRPr="000E0F90">
        <w:rPr>
          <w:rFonts w:ascii="Arial" w:eastAsia="Times New Roman" w:hAnsi="Arial" w:cs="Arial"/>
          <w:color w:val="000000" w:themeColor="text1"/>
          <w:szCs w:val="20"/>
          <w:lang w:eastAsia="es-ES"/>
        </w:rPr>
        <w:t xml:space="preserve">d  de  uso  clase  VI  y  VII </w:t>
      </w:r>
      <w:r w:rsidRPr="000E0F90">
        <w:rPr>
          <w:rFonts w:ascii="Arial" w:eastAsia="Times New Roman" w:hAnsi="Arial" w:cs="Arial"/>
          <w:color w:val="000000" w:themeColor="text1"/>
          <w:szCs w:val="20"/>
          <w:lang w:eastAsia="es-ES"/>
        </w:rPr>
        <w:t xml:space="preserve">(ARCADIS, 2004). </w:t>
      </w:r>
    </w:p>
    <w:p w:rsidR="004F1745" w:rsidRPr="000E0F90" w:rsidRDefault="003A4AD4" w:rsidP="00702D9A">
      <w:pPr>
        <w:tabs>
          <w:tab w:val="left" w:pos="2835"/>
        </w:tabs>
        <w:spacing w:after="0" w:line="360" w:lineRule="auto"/>
        <w:rPr>
          <w:rFonts w:ascii="Arial" w:eastAsia="Times New Roman" w:hAnsi="Arial" w:cs="Arial"/>
          <w:b/>
          <w:color w:val="000000" w:themeColor="text1"/>
          <w:szCs w:val="20"/>
          <w:lang w:eastAsia="es-ES"/>
        </w:rPr>
      </w:pPr>
      <w:r w:rsidRPr="000E0F90">
        <w:rPr>
          <w:rFonts w:ascii="Arial" w:eastAsia="Times New Roman" w:hAnsi="Arial" w:cs="Arial"/>
          <w:b/>
          <w:color w:val="000000" w:themeColor="text1"/>
          <w:szCs w:val="20"/>
          <w:lang w:eastAsia="es-ES"/>
        </w:rPr>
        <w:t>Hid</w:t>
      </w:r>
      <w:r w:rsidR="004F1745" w:rsidRPr="000E0F90">
        <w:rPr>
          <w:rFonts w:ascii="Arial" w:eastAsia="Times New Roman" w:hAnsi="Arial" w:cs="Arial"/>
          <w:b/>
          <w:color w:val="000000" w:themeColor="text1"/>
          <w:szCs w:val="20"/>
          <w:lang w:eastAsia="es-ES"/>
        </w:rPr>
        <w:t>roestructura</w:t>
      </w:r>
    </w:p>
    <w:p w:rsidR="00926FB1" w:rsidRPr="000E0F90" w:rsidRDefault="00A73E88" w:rsidP="00702D9A">
      <w:pPr>
        <w:spacing w:line="360" w:lineRule="auto"/>
        <w:rPr>
          <w:rFonts w:ascii="Arial" w:eastAsia="Times New Roman" w:hAnsi="Arial" w:cs="Arial"/>
          <w:color w:val="000000" w:themeColor="text1"/>
          <w:szCs w:val="20"/>
          <w:lang w:eastAsia="es-ES"/>
        </w:rPr>
      </w:pPr>
      <w:r w:rsidRPr="000E0F90">
        <w:rPr>
          <w:rFonts w:ascii="Arial" w:eastAsia="Times New Roman" w:hAnsi="Arial" w:cs="Arial"/>
          <w:color w:val="000000" w:themeColor="text1"/>
          <w:szCs w:val="20"/>
          <w:lang w:eastAsia="es-ES"/>
        </w:rPr>
        <w:t xml:space="preserve">La comuna de Alto del Carmen, se localiza en la zona alta de la cuenca del río Huasco. </w:t>
      </w:r>
      <w:r w:rsidR="005D3743" w:rsidRPr="000E0F90">
        <w:rPr>
          <w:rFonts w:ascii="Arial" w:hAnsi="Arial" w:cs="Arial"/>
          <w:color w:val="000000" w:themeColor="text1"/>
        </w:rPr>
        <w:t xml:space="preserve">La cuenca hidrográfica del río Huasco </w:t>
      </w:r>
      <w:r w:rsidR="004C39CF" w:rsidRPr="000E0F90">
        <w:rPr>
          <w:rFonts w:ascii="Arial" w:hAnsi="Arial" w:cs="Arial"/>
          <w:color w:val="000000" w:themeColor="text1"/>
        </w:rPr>
        <w:t xml:space="preserve">presenta una </w:t>
      </w:r>
      <w:r w:rsidR="005D3743" w:rsidRPr="000E0F90">
        <w:rPr>
          <w:rFonts w:ascii="Arial" w:hAnsi="Arial" w:cs="Arial"/>
          <w:color w:val="000000" w:themeColor="text1"/>
        </w:rPr>
        <w:t>extensión de 9.8</w:t>
      </w:r>
      <w:r w:rsidR="001E5FD1" w:rsidRPr="000E0F90">
        <w:rPr>
          <w:rFonts w:ascii="Arial" w:hAnsi="Arial" w:cs="Arial"/>
          <w:color w:val="000000" w:themeColor="text1"/>
        </w:rPr>
        <w:t>50</w:t>
      </w:r>
      <w:r w:rsidR="005D3743" w:rsidRPr="000E0F90">
        <w:rPr>
          <w:rFonts w:ascii="Arial" w:hAnsi="Arial" w:cs="Arial"/>
          <w:color w:val="000000" w:themeColor="text1"/>
        </w:rPr>
        <w:t xml:space="preserve"> km2. </w:t>
      </w:r>
      <w:r w:rsidR="004C39CF" w:rsidRPr="000E0F90">
        <w:rPr>
          <w:rFonts w:ascii="Arial" w:hAnsi="Arial" w:cs="Arial"/>
          <w:color w:val="000000" w:themeColor="text1"/>
        </w:rPr>
        <w:t>S</w:t>
      </w:r>
      <w:r w:rsidR="005D3743" w:rsidRPr="000E0F90">
        <w:rPr>
          <w:rFonts w:ascii="Arial" w:hAnsi="Arial" w:cs="Arial"/>
          <w:color w:val="000000" w:themeColor="text1"/>
        </w:rPr>
        <w:t xml:space="preserve">e forma en </w:t>
      </w:r>
      <w:r w:rsidR="00731D3A" w:rsidRPr="000E0F90">
        <w:rPr>
          <w:rFonts w:ascii="Arial" w:hAnsi="Arial" w:cs="Arial"/>
          <w:color w:val="000000" w:themeColor="text1"/>
        </w:rPr>
        <w:t xml:space="preserve">la comuna de Alto del Carmen, en la </w:t>
      </w:r>
      <w:r w:rsidR="005D3743" w:rsidRPr="000E0F90">
        <w:rPr>
          <w:rFonts w:ascii="Arial" w:hAnsi="Arial" w:cs="Arial"/>
          <w:color w:val="000000" w:themeColor="text1"/>
        </w:rPr>
        <w:t xml:space="preserve">Junta del Carmen, </w:t>
      </w:r>
      <w:r w:rsidRPr="000E0F90">
        <w:rPr>
          <w:rFonts w:ascii="Arial" w:hAnsi="Arial" w:cs="Arial"/>
          <w:color w:val="000000" w:themeColor="text1"/>
        </w:rPr>
        <w:t xml:space="preserve">por la confluencia de las sub cuencas de los </w:t>
      </w:r>
      <w:r w:rsidR="00BB6B97" w:rsidRPr="000E0F90">
        <w:rPr>
          <w:rFonts w:ascii="Arial" w:hAnsi="Arial" w:cs="Arial"/>
          <w:color w:val="000000" w:themeColor="text1"/>
        </w:rPr>
        <w:t>ríos, de</w:t>
      </w:r>
      <w:r w:rsidR="005D3743" w:rsidRPr="000E0F90">
        <w:rPr>
          <w:rFonts w:ascii="Arial" w:hAnsi="Arial" w:cs="Arial"/>
          <w:color w:val="000000" w:themeColor="text1"/>
        </w:rPr>
        <w:t xml:space="preserve">l Tránsito </w:t>
      </w:r>
      <w:r w:rsidR="00BB6B97" w:rsidRPr="000E0F90">
        <w:rPr>
          <w:rFonts w:ascii="Arial" w:hAnsi="Arial" w:cs="Arial"/>
          <w:color w:val="000000" w:themeColor="text1"/>
        </w:rPr>
        <w:t>y de</w:t>
      </w:r>
      <w:r w:rsidR="005D3743" w:rsidRPr="000E0F90">
        <w:rPr>
          <w:rFonts w:ascii="Arial" w:hAnsi="Arial" w:cs="Arial"/>
          <w:color w:val="000000" w:themeColor="text1"/>
        </w:rPr>
        <w:t>l Carmen</w:t>
      </w:r>
      <w:r w:rsidR="00BB6B97" w:rsidRPr="000E0F90">
        <w:rPr>
          <w:rFonts w:ascii="Arial" w:hAnsi="Arial" w:cs="Arial"/>
          <w:color w:val="000000" w:themeColor="text1"/>
        </w:rPr>
        <w:t>, ubicados al noreste y sureste del río Huasco</w:t>
      </w:r>
      <w:r w:rsidR="001E5FD1" w:rsidRPr="000E0F90">
        <w:rPr>
          <w:rFonts w:ascii="Arial" w:hAnsi="Arial" w:cs="Arial"/>
          <w:color w:val="000000" w:themeColor="text1"/>
        </w:rPr>
        <w:t xml:space="preserve"> </w:t>
      </w:r>
      <w:sdt>
        <w:sdtPr>
          <w:rPr>
            <w:rFonts w:ascii="Arial" w:hAnsi="Arial" w:cs="Arial"/>
            <w:color w:val="000000" w:themeColor="text1"/>
          </w:rPr>
          <w:id w:val="-869833472"/>
          <w:citation/>
        </w:sdtPr>
        <w:sdtEndPr/>
        <w:sdtContent>
          <w:r w:rsidR="001E5FD1" w:rsidRPr="000E0F90">
            <w:rPr>
              <w:rFonts w:ascii="Arial" w:hAnsi="Arial" w:cs="Arial"/>
              <w:color w:val="000000" w:themeColor="text1"/>
            </w:rPr>
            <w:fldChar w:fldCharType="begin"/>
          </w:r>
          <w:r w:rsidR="002E3B01" w:rsidRPr="000E0F90">
            <w:rPr>
              <w:rFonts w:ascii="Arial" w:hAnsi="Arial" w:cs="Arial"/>
              <w:color w:val="000000" w:themeColor="text1"/>
            </w:rPr>
            <w:instrText xml:space="preserve">CITATION DGA04 \t  \l 13322 </w:instrText>
          </w:r>
          <w:r w:rsidR="001E5FD1" w:rsidRPr="000E0F90">
            <w:rPr>
              <w:rFonts w:ascii="Arial" w:hAnsi="Arial" w:cs="Arial"/>
              <w:color w:val="000000" w:themeColor="text1"/>
            </w:rPr>
            <w:fldChar w:fldCharType="separate"/>
          </w:r>
          <w:r w:rsidR="008D0261" w:rsidRPr="000E0F90">
            <w:rPr>
              <w:rFonts w:ascii="Arial" w:hAnsi="Arial" w:cs="Arial"/>
              <w:noProof/>
              <w:color w:val="000000" w:themeColor="text1"/>
            </w:rPr>
            <w:t>(DGA, 2004)</w:t>
          </w:r>
          <w:r w:rsidR="001E5FD1" w:rsidRPr="000E0F90">
            <w:rPr>
              <w:rFonts w:ascii="Arial" w:hAnsi="Arial" w:cs="Arial"/>
              <w:color w:val="000000" w:themeColor="text1"/>
            </w:rPr>
            <w:fldChar w:fldCharType="end"/>
          </w:r>
        </w:sdtContent>
      </w:sdt>
      <w:r w:rsidR="00BB6B97" w:rsidRPr="000E0F90">
        <w:rPr>
          <w:rFonts w:ascii="Arial" w:hAnsi="Arial" w:cs="Arial"/>
          <w:color w:val="000000" w:themeColor="text1"/>
        </w:rPr>
        <w:t>.</w:t>
      </w:r>
      <w:r w:rsidR="008A4C32" w:rsidRPr="000E0F90">
        <w:rPr>
          <w:rFonts w:ascii="Arial" w:hAnsi="Arial" w:cs="Arial"/>
          <w:color w:val="000000" w:themeColor="text1"/>
        </w:rPr>
        <w:t xml:space="preserve"> </w:t>
      </w:r>
      <w:r w:rsidRPr="000E0F90">
        <w:rPr>
          <w:rFonts w:ascii="Arial" w:hAnsi="Arial" w:cs="Arial"/>
          <w:color w:val="000000" w:themeColor="text1"/>
        </w:rPr>
        <w:t xml:space="preserve">El  régimen  del  río  Huasco  es  nival,  con una pequeña influencia pluvial en las zonas bajas </w:t>
      </w:r>
      <w:sdt>
        <w:sdtPr>
          <w:rPr>
            <w:rFonts w:ascii="Arial" w:hAnsi="Arial" w:cs="Arial"/>
            <w:color w:val="000000" w:themeColor="text1"/>
          </w:rPr>
          <w:id w:val="231971752"/>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KNI13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(KNIGHT PIÉSOLD S.A., 2013)</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w:t>
      </w:r>
      <w:r w:rsidR="00926FB1" w:rsidRPr="000E0F90">
        <w:rPr>
          <w:rFonts w:ascii="Arial" w:eastAsia="Times New Roman" w:hAnsi="Arial" w:cs="Arial"/>
          <w:color w:val="000000" w:themeColor="text1"/>
          <w:szCs w:val="20"/>
          <w:lang w:eastAsia="es-ES"/>
        </w:rPr>
        <w:t xml:space="preserve">Tanto en el río Huasco como sus tributarios, </w:t>
      </w:r>
      <w:r w:rsidR="00926FB1" w:rsidRPr="000E0F90">
        <w:rPr>
          <w:rFonts w:ascii="Arial" w:hAnsi="Arial" w:cs="Arial"/>
          <w:color w:val="000000" w:themeColor="text1"/>
        </w:rPr>
        <w:t xml:space="preserve">los ríos del Tránsito y del Carmen, presentan sectores de ensanchamiento correspondiente a conos de deyección aprovechadas para cultivos </w:t>
      </w:r>
      <w:sdt>
        <w:sdtPr>
          <w:rPr>
            <w:rFonts w:ascii="Arial" w:hAnsi="Arial" w:cs="Arial"/>
            <w:color w:val="000000" w:themeColor="text1"/>
          </w:rPr>
          <w:id w:val="-1390179649"/>
          <w:citation/>
        </w:sdtPr>
        <w:sdtEndPr/>
        <w:sdtContent>
          <w:r w:rsidR="00926FB1" w:rsidRPr="000E0F90">
            <w:rPr>
              <w:rFonts w:ascii="Arial" w:hAnsi="Arial" w:cs="Arial"/>
              <w:color w:val="000000" w:themeColor="text1"/>
            </w:rPr>
            <w:fldChar w:fldCharType="begin"/>
          </w:r>
          <w:r w:rsidR="00926FB1" w:rsidRPr="000E0F90">
            <w:rPr>
              <w:rFonts w:ascii="Arial" w:hAnsi="Arial" w:cs="Arial"/>
              <w:color w:val="000000" w:themeColor="text1"/>
            </w:rPr>
            <w:instrText xml:space="preserve">CITATION DGA04 \t  \l 13322 </w:instrText>
          </w:r>
          <w:r w:rsidR="00926FB1" w:rsidRPr="000E0F90">
            <w:rPr>
              <w:rFonts w:ascii="Arial" w:hAnsi="Arial" w:cs="Arial"/>
              <w:color w:val="000000" w:themeColor="text1"/>
            </w:rPr>
            <w:fldChar w:fldCharType="separate"/>
          </w:r>
          <w:r w:rsidR="008D0261" w:rsidRPr="000E0F90">
            <w:rPr>
              <w:rFonts w:ascii="Arial" w:hAnsi="Arial" w:cs="Arial"/>
              <w:noProof/>
              <w:color w:val="000000" w:themeColor="text1"/>
            </w:rPr>
            <w:t>(DGA, 2004)</w:t>
          </w:r>
          <w:r w:rsidR="00926FB1" w:rsidRPr="000E0F90">
            <w:rPr>
              <w:rFonts w:ascii="Arial" w:hAnsi="Arial" w:cs="Arial"/>
              <w:color w:val="000000" w:themeColor="text1"/>
            </w:rPr>
            <w:fldChar w:fldCharType="end"/>
          </w:r>
        </w:sdtContent>
      </w:sdt>
      <w:r w:rsidR="00926FB1" w:rsidRPr="000E0F90">
        <w:rPr>
          <w:rFonts w:ascii="Arial" w:hAnsi="Arial" w:cs="Arial"/>
          <w:color w:val="000000" w:themeColor="text1"/>
        </w:rPr>
        <w:t>.</w:t>
      </w:r>
      <w:r w:rsidR="00926FB1" w:rsidRPr="000E0F90">
        <w:rPr>
          <w:rFonts w:ascii="Arial" w:eastAsia="Times New Roman" w:hAnsi="Arial" w:cs="Arial"/>
          <w:color w:val="000000" w:themeColor="text1"/>
          <w:szCs w:val="20"/>
          <w:lang w:eastAsia="es-ES"/>
        </w:rPr>
        <w:t xml:space="preserve">   </w:t>
      </w:r>
    </w:p>
    <w:p w:rsidR="00A17ADC" w:rsidRPr="00A17ADC" w:rsidRDefault="00FE1C51" w:rsidP="00A17ADC">
      <w:pPr>
        <w:pStyle w:val="OT"/>
        <w:spacing w:before="0" w:line="360" w:lineRule="auto"/>
        <w:rPr>
          <w:rFonts w:ascii="Arial" w:hAnsi="Arial" w:cs="Arial"/>
          <w:b/>
          <w:bCs/>
          <w:iCs/>
          <w:color w:val="000000" w:themeColor="text1"/>
          <w:sz w:val="22"/>
          <w:szCs w:val="22"/>
        </w:rPr>
      </w:pPr>
      <w:r w:rsidRPr="000E0F90">
        <w:rPr>
          <w:rFonts w:ascii="Arial" w:hAnsi="Arial" w:cs="Arial"/>
          <w:b/>
          <w:bCs/>
          <w:iCs/>
          <w:color w:val="000000" w:themeColor="text1"/>
        </w:rPr>
        <w:t>Vegetación</w:t>
      </w:r>
      <w:r w:rsidR="00A17ADC">
        <w:rPr>
          <w:rFonts w:ascii="Arial" w:hAnsi="Arial" w:cs="Arial"/>
          <w:b/>
          <w:bCs/>
          <w:iCs/>
          <w:color w:val="000000" w:themeColor="text1"/>
        </w:rPr>
        <w:t xml:space="preserve"> y</w:t>
      </w:r>
      <w:r w:rsidRPr="000E0F90">
        <w:rPr>
          <w:rFonts w:ascii="Arial" w:hAnsi="Arial" w:cs="Arial"/>
          <w:b/>
          <w:bCs/>
          <w:iCs/>
          <w:color w:val="000000" w:themeColor="text1"/>
        </w:rPr>
        <w:t xml:space="preserve"> </w:t>
      </w:r>
      <w:r w:rsidR="00A17ADC" w:rsidRPr="00A17ADC">
        <w:rPr>
          <w:rFonts w:ascii="Arial" w:hAnsi="Arial" w:cs="Arial"/>
          <w:b/>
          <w:bCs/>
          <w:iCs/>
          <w:color w:val="000000" w:themeColor="text1"/>
          <w:sz w:val="22"/>
          <w:szCs w:val="22"/>
        </w:rPr>
        <w:t xml:space="preserve">Fauna: </w:t>
      </w:r>
    </w:p>
    <w:p w:rsidR="003327D9" w:rsidRPr="000E0F90" w:rsidRDefault="003327D9" w:rsidP="00A17ADC">
      <w:pPr>
        <w:spacing w:after="0" w:line="360" w:lineRule="auto"/>
        <w:rPr>
          <w:rFonts w:ascii="Arial" w:hAnsi="Arial" w:cs="Arial"/>
          <w:color w:val="000000" w:themeColor="text1"/>
        </w:rPr>
      </w:pPr>
      <w:r w:rsidRPr="000E0F90">
        <w:rPr>
          <w:rFonts w:ascii="Arial" w:hAnsi="Arial" w:cs="Arial"/>
          <w:color w:val="000000" w:themeColor="text1"/>
        </w:rPr>
        <w:t xml:space="preserve">En relación a la vegetación, de acuerdo a lo señalado por </w:t>
      </w:r>
      <w:sdt>
        <w:sdtPr>
          <w:rPr>
            <w:rFonts w:ascii="Arial" w:hAnsi="Arial" w:cs="Arial"/>
            <w:color w:val="000000" w:themeColor="text1"/>
          </w:rPr>
          <w:id w:val="573630766"/>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Lue06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(Luebert &amp; Pliscoff, 2006)</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en la zona occidental, se observa el </w:t>
      </w:r>
      <w:r w:rsidRPr="000E0F90">
        <w:rPr>
          <w:rFonts w:ascii="Arial" w:hAnsi="Arial" w:cs="Arial"/>
          <w:i/>
          <w:color w:val="000000" w:themeColor="text1"/>
        </w:rPr>
        <w:t>matorral desértico mediterráneo interior</w:t>
      </w:r>
      <w:r w:rsidRPr="000E0F90">
        <w:rPr>
          <w:rFonts w:ascii="Arial" w:hAnsi="Arial" w:cs="Arial"/>
          <w:color w:val="000000" w:themeColor="text1"/>
        </w:rPr>
        <w:t xml:space="preserve"> </w:t>
      </w:r>
      <w:r w:rsidRPr="000E0F90">
        <w:rPr>
          <w:rFonts w:ascii="Arial" w:hAnsi="Arial" w:cs="Arial"/>
          <w:i/>
          <w:color w:val="000000" w:themeColor="text1"/>
        </w:rPr>
        <w:t>con</w:t>
      </w:r>
      <w:r w:rsidRPr="000E0F90">
        <w:rPr>
          <w:rFonts w:ascii="Arial" w:hAnsi="Arial" w:cs="Arial"/>
          <w:color w:val="000000" w:themeColor="text1"/>
        </w:rPr>
        <w:t xml:space="preserve"> arbustos altos y bajos, y las herbáceas en primavera de años lluviosos. </w:t>
      </w:r>
      <w:r w:rsidR="001305AE">
        <w:rPr>
          <w:rFonts w:ascii="Arial" w:hAnsi="Arial" w:cs="Arial"/>
          <w:color w:val="000000" w:themeColor="text1"/>
        </w:rPr>
        <w:t>E</w:t>
      </w:r>
      <w:r w:rsidRPr="000E0F90">
        <w:rPr>
          <w:rFonts w:ascii="Arial" w:hAnsi="Arial" w:cs="Arial"/>
          <w:color w:val="000000" w:themeColor="text1"/>
        </w:rPr>
        <w:t xml:space="preserve">l </w:t>
      </w:r>
      <w:r w:rsidR="003A4AD4" w:rsidRPr="000E0F90">
        <w:rPr>
          <w:rFonts w:ascii="Arial" w:hAnsi="Arial" w:cs="Arial"/>
          <w:color w:val="000000" w:themeColor="text1"/>
        </w:rPr>
        <w:t>m</w:t>
      </w:r>
      <w:r w:rsidRPr="000E0F90">
        <w:rPr>
          <w:rFonts w:ascii="Arial" w:hAnsi="Arial" w:cs="Arial"/>
          <w:i/>
          <w:color w:val="000000" w:themeColor="text1"/>
        </w:rPr>
        <w:t xml:space="preserve">atorral bajo desértico mediterráneo andino, </w:t>
      </w:r>
      <w:r w:rsidRPr="000E0F90">
        <w:rPr>
          <w:rFonts w:ascii="Arial" w:hAnsi="Arial" w:cs="Arial"/>
          <w:color w:val="000000" w:themeColor="text1"/>
        </w:rPr>
        <w:t>con arbustos y herbáceas</w:t>
      </w:r>
      <w:r w:rsidR="003A4AD4" w:rsidRPr="000E0F90">
        <w:rPr>
          <w:rFonts w:ascii="Arial" w:hAnsi="Arial" w:cs="Arial"/>
          <w:color w:val="000000" w:themeColor="text1"/>
        </w:rPr>
        <w:t xml:space="preserve">. </w:t>
      </w:r>
      <w:r w:rsidR="001305AE">
        <w:rPr>
          <w:rFonts w:ascii="Arial" w:hAnsi="Arial" w:cs="Arial"/>
          <w:color w:val="000000" w:themeColor="text1"/>
        </w:rPr>
        <w:t>E</w:t>
      </w:r>
      <w:r w:rsidRPr="000E0F90">
        <w:rPr>
          <w:rFonts w:ascii="Arial" w:hAnsi="Arial" w:cs="Arial"/>
          <w:color w:val="000000" w:themeColor="text1"/>
        </w:rPr>
        <w:t xml:space="preserve">n sentido altitudinal, </w:t>
      </w:r>
      <w:r w:rsidR="003A4AD4" w:rsidRPr="000E0F90">
        <w:rPr>
          <w:rFonts w:ascii="Arial" w:hAnsi="Arial" w:cs="Arial"/>
          <w:color w:val="000000" w:themeColor="text1"/>
        </w:rPr>
        <w:t xml:space="preserve">se presenta el </w:t>
      </w:r>
      <w:r w:rsidR="003A4AD4" w:rsidRPr="001305AE">
        <w:rPr>
          <w:rFonts w:ascii="Arial" w:hAnsi="Arial" w:cs="Arial"/>
          <w:i/>
          <w:color w:val="000000" w:themeColor="text1"/>
        </w:rPr>
        <w:t>Matorral bajo tropical-mediterráneo andino</w:t>
      </w:r>
      <w:r w:rsidR="003A4AD4" w:rsidRPr="000E0F90">
        <w:rPr>
          <w:rFonts w:ascii="Arial" w:hAnsi="Arial" w:cs="Arial"/>
          <w:color w:val="000000" w:themeColor="text1"/>
        </w:rPr>
        <w:t xml:space="preserve">, </w:t>
      </w:r>
      <w:r w:rsidRPr="000E0F90">
        <w:rPr>
          <w:rFonts w:ascii="Arial" w:hAnsi="Arial" w:cs="Arial"/>
          <w:color w:val="000000" w:themeColor="text1"/>
        </w:rPr>
        <w:t>matorral espinoso xeromórfico, con arbustos q</w:t>
      </w:r>
      <w:r w:rsidR="001305AE">
        <w:rPr>
          <w:rFonts w:ascii="Arial" w:hAnsi="Arial" w:cs="Arial"/>
          <w:color w:val="000000" w:themeColor="text1"/>
        </w:rPr>
        <w:t>ue llegan a más de 1m de altura</w:t>
      </w:r>
      <w:r w:rsidRPr="000E0F90">
        <w:rPr>
          <w:rFonts w:ascii="Arial" w:hAnsi="Arial" w:cs="Arial"/>
          <w:color w:val="000000" w:themeColor="text1"/>
        </w:rPr>
        <w:t xml:space="preserve">. A mayor altitud se </w:t>
      </w:r>
      <w:r w:rsidR="003A4AD4" w:rsidRPr="000E0F90">
        <w:rPr>
          <w:rFonts w:ascii="Arial" w:hAnsi="Arial" w:cs="Arial"/>
          <w:color w:val="000000" w:themeColor="text1"/>
        </w:rPr>
        <w:t>presenta como matorral</w:t>
      </w:r>
      <w:r w:rsidRPr="000E0F90">
        <w:rPr>
          <w:rFonts w:ascii="Arial" w:hAnsi="Arial" w:cs="Arial"/>
          <w:color w:val="000000" w:themeColor="text1"/>
        </w:rPr>
        <w:t xml:space="preserve"> bajo </w:t>
      </w:r>
      <w:r w:rsidR="003A4AD4" w:rsidRPr="000E0F90">
        <w:rPr>
          <w:rFonts w:ascii="Arial" w:hAnsi="Arial" w:cs="Arial"/>
          <w:color w:val="000000" w:themeColor="text1"/>
        </w:rPr>
        <w:t xml:space="preserve">y </w:t>
      </w:r>
      <w:r w:rsidR="001305AE">
        <w:rPr>
          <w:rFonts w:ascii="Arial" w:hAnsi="Arial" w:cs="Arial"/>
          <w:color w:val="000000" w:themeColor="text1"/>
        </w:rPr>
        <w:t xml:space="preserve">abierto, </w:t>
      </w:r>
      <w:r w:rsidRPr="000E0F90">
        <w:rPr>
          <w:rFonts w:ascii="Arial" w:hAnsi="Arial" w:cs="Arial"/>
          <w:color w:val="000000" w:themeColor="text1"/>
        </w:rPr>
        <w:t xml:space="preserve">espinoso, plantas en cojín y hierbas rosuladas. El </w:t>
      </w:r>
      <w:r w:rsidRPr="000E0F90">
        <w:rPr>
          <w:rFonts w:ascii="Arial" w:hAnsi="Arial" w:cs="Arial"/>
          <w:i/>
          <w:color w:val="000000" w:themeColor="text1"/>
        </w:rPr>
        <w:t>Herbazal tropical andino</w:t>
      </w:r>
      <w:r w:rsidRPr="000E0F90">
        <w:rPr>
          <w:rFonts w:ascii="Arial" w:hAnsi="Arial" w:cs="Arial"/>
          <w:color w:val="000000" w:themeColor="text1"/>
        </w:rPr>
        <w:t xml:space="preserve">, </w:t>
      </w:r>
      <w:r w:rsidR="001305AE">
        <w:rPr>
          <w:rFonts w:ascii="Arial" w:hAnsi="Arial" w:cs="Arial"/>
          <w:color w:val="000000" w:themeColor="text1"/>
        </w:rPr>
        <w:t xml:space="preserve">se </w:t>
      </w:r>
      <w:r w:rsidRPr="000E0F90">
        <w:rPr>
          <w:rFonts w:ascii="Arial" w:hAnsi="Arial" w:cs="Arial"/>
          <w:color w:val="000000" w:themeColor="text1"/>
        </w:rPr>
        <w:t xml:space="preserve">ubica en las zonas  altas de la </w:t>
      </w:r>
      <w:r w:rsidR="001305AE">
        <w:rPr>
          <w:rFonts w:ascii="Arial" w:hAnsi="Arial" w:cs="Arial"/>
          <w:color w:val="000000" w:themeColor="text1"/>
        </w:rPr>
        <w:t>C</w:t>
      </w:r>
      <w:r w:rsidRPr="000E0F90">
        <w:rPr>
          <w:rFonts w:ascii="Arial" w:hAnsi="Arial" w:cs="Arial"/>
          <w:color w:val="000000" w:themeColor="text1"/>
        </w:rPr>
        <w:t xml:space="preserve">ordillera de los </w:t>
      </w:r>
      <w:r w:rsidR="001305AE">
        <w:rPr>
          <w:rFonts w:ascii="Arial" w:hAnsi="Arial" w:cs="Arial"/>
          <w:color w:val="000000" w:themeColor="text1"/>
        </w:rPr>
        <w:t>A</w:t>
      </w:r>
      <w:r w:rsidRPr="000E0F90">
        <w:rPr>
          <w:rFonts w:ascii="Arial" w:hAnsi="Arial" w:cs="Arial"/>
          <w:color w:val="000000" w:themeColor="text1"/>
        </w:rPr>
        <w:t>ndes</w:t>
      </w:r>
      <w:r w:rsidR="001305AE">
        <w:rPr>
          <w:rFonts w:ascii="Arial" w:hAnsi="Arial" w:cs="Arial"/>
          <w:color w:val="000000" w:themeColor="text1"/>
        </w:rPr>
        <w:t>.</w:t>
      </w:r>
    </w:p>
    <w:p w:rsidR="008A12D9" w:rsidRPr="000E0F90" w:rsidRDefault="008A12D9" w:rsidP="00702D9A">
      <w:pPr>
        <w:pStyle w:val="OT"/>
        <w:spacing w:before="0" w:line="360" w:lineRule="auto"/>
        <w:rPr>
          <w:rFonts w:ascii="Arial" w:hAnsi="Arial" w:cs="Arial"/>
          <w:color w:val="000000" w:themeColor="text1"/>
          <w:sz w:val="22"/>
          <w:szCs w:val="22"/>
        </w:rPr>
      </w:pPr>
      <w:r w:rsidRPr="000E0F90">
        <w:rPr>
          <w:rFonts w:ascii="Arial" w:hAnsi="Arial" w:cs="Arial"/>
          <w:bCs/>
          <w:iCs/>
          <w:color w:val="000000" w:themeColor="text1"/>
          <w:sz w:val="22"/>
          <w:szCs w:val="22"/>
        </w:rPr>
        <w:t>Dentro de las especies de fauna</w:t>
      </w:r>
      <w:r w:rsidR="00926FB1" w:rsidRPr="000E0F90">
        <w:rPr>
          <w:rFonts w:ascii="Arial" w:hAnsi="Arial" w:cs="Arial"/>
          <w:bCs/>
          <w:iCs/>
          <w:color w:val="000000" w:themeColor="text1"/>
          <w:sz w:val="22"/>
          <w:szCs w:val="22"/>
        </w:rPr>
        <w:t xml:space="preserve">, </w:t>
      </w:r>
      <w:r w:rsidRPr="000E0F90">
        <w:rPr>
          <w:rFonts w:ascii="Arial" w:hAnsi="Arial" w:cs="Arial"/>
          <w:bCs/>
          <w:iCs/>
          <w:color w:val="000000" w:themeColor="text1"/>
          <w:sz w:val="22"/>
          <w:szCs w:val="22"/>
        </w:rPr>
        <w:t xml:space="preserve"> </w:t>
      </w:r>
      <w:r w:rsidR="00941540" w:rsidRPr="000E0F90">
        <w:rPr>
          <w:rFonts w:ascii="Arial" w:hAnsi="Arial" w:cs="Arial"/>
          <w:bCs/>
          <w:iCs/>
          <w:color w:val="000000" w:themeColor="text1"/>
          <w:sz w:val="22"/>
          <w:szCs w:val="22"/>
        </w:rPr>
        <w:t xml:space="preserve">los reptiles identificados </w:t>
      </w:r>
      <w:r w:rsidRPr="000E0F90">
        <w:rPr>
          <w:rFonts w:ascii="Arial" w:hAnsi="Arial" w:cs="Arial"/>
          <w:bCs/>
          <w:iCs/>
          <w:color w:val="000000" w:themeColor="text1"/>
          <w:sz w:val="22"/>
          <w:szCs w:val="22"/>
        </w:rPr>
        <w:t>en la comuna corresponden a los lagartos</w:t>
      </w:r>
      <w:r w:rsidR="00941540" w:rsidRPr="000E0F90">
        <w:rPr>
          <w:rFonts w:ascii="Arial" w:hAnsi="Arial" w:cs="Arial"/>
          <w:bCs/>
          <w:iCs/>
          <w:color w:val="000000" w:themeColor="text1"/>
          <w:sz w:val="22"/>
          <w:szCs w:val="22"/>
        </w:rPr>
        <w:t>,</w:t>
      </w:r>
      <w:r w:rsidRPr="000E0F90">
        <w:rPr>
          <w:rFonts w:ascii="Arial" w:hAnsi="Arial" w:cs="Arial"/>
          <w:bCs/>
          <w:iCs/>
          <w:color w:val="000000" w:themeColor="text1"/>
          <w:sz w:val="22"/>
          <w:szCs w:val="22"/>
        </w:rPr>
        <w:t xml:space="preserve"> </w:t>
      </w:r>
      <w:r w:rsidRPr="000E0F90">
        <w:rPr>
          <w:rFonts w:ascii="Arial" w:hAnsi="Arial" w:cs="Arial"/>
          <w:i/>
          <w:color w:val="000000" w:themeColor="text1"/>
          <w:sz w:val="22"/>
          <w:szCs w:val="22"/>
        </w:rPr>
        <w:t>lorenzmuelleri</w:t>
      </w:r>
      <w:r w:rsidR="001426C5" w:rsidRPr="000E0F90">
        <w:rPr>
          <w:rFonts w:ascii="Arial" w:hAnsi="Arial" w:cs="Arial"/>
          <w:color w:val="000000" w:themeColor="text1"/>
          <w:sz w:val="22"/>
          <w:szCs w:val="22"/>
        </w:rPr>
        <w:t xml:space="preserve"> y </w:t>
      </w:r>
      <w:r w:rsidRPr="000E0F90">
        <w:rPr>
          <w:rFonts w:ascii="Arial" w:hAnsi="Arial" w:cs="Arial"/>
          <w:i/>
          <w:color w:val="000000" w:themeColor="text1"/>
          <w:sz w:val="22"/>
          <w:szCs w:val="22"/>
        </w:rPr>
        <w:t>robertoi</w:t>
      </w:r>
      <w:r w:rsidRPr="000E0F90">
        <w:rPr>
          <w:rFonts w:ascii="Arial" w:hAnsi="Arial" w:cs="Arial"/>
          <w:color w:val="000000" w:themeColor="text1"/>
          <w:sz w:val="22"/>
          <w:szCs w:val="22"/>
        </w:rPr>
        <w:t xml:space="preserve">, </w:t>
      </w:r>
      <w:r w:rsidR="00E25FB9" w:rsidRPr="000E0F90">
        <w:rPr>
          <w:rFonts w:ascii="Arial" w:hAnsi="Arial" w:cs="Arial"/>
          <w:color w:val="000000" w:themeColor="text1"/>
          <w:sz w:val="22"/>
          <w:szCs w:val="22"/>
        </w:rPr>
        <w:t xml:space="preserve">ambos </w:t>
      </w:r>
      <w:r w:rsidRPr="000E0F90">
        <w:rPr>
          <w:rFonts w:ascii="Arial" w:hAnsi="Arial" w:cs="Arial"/>
          <w:color w:val="000000" w:themeColor="text1"/>
          <w:sz w:val="22"/>
          <w:szCs w:val="22"/>
        </w:rPr>
        <w:t>endémico</w:t>
      </w:r>
      <w:r w:rsidR="00E25FB9" w:rsidRPr="000E0F90">
        <w:rPr>
          <w:rFonts w:ascii="Arial" w:hAnsi="Arial" w:cs="Arial"/>
          <w:color w:val="000000" w:themeColor="text1"/>
          <w:sz w:val="22"/>
          <w:szCs w:val="22"/>
        </w:rPr>
        <w:t>s</w:t>
      </w:r>
      <w:r w:rsidRPr="000E0F90">
        <w:rPr>
          <w:rFonts w:ascii="Arial" w:hAnsi="Arial" w:cs="Arial"/>
          <w:color w:val="000000" w:themeColor="text1"/>
          <w:sz w:val="22"/>
          <w:szCs w:val="22"/>
        </w:rPr>
        <w:t xml:space="preserve"> del país</w:t>
      </w:r>
      <w:r w:rsidR="00BC18D1" w:rsidRPr="000E0F90">
        <w:rPr>
          <w:rFonts w:ascii="Arial" w:hAnsi="Arial" w:cs="Arial"/>
          <w:color w:val="000000" w:themeColor="text1"/>
          <w:sz w:val="22"/>
          <w:szCs w:val="22"/>
        </w:rPr>
        <w:t xml:space="preserve"> y pertenecientes a la categoría de conservación como vulnerable</w:t>
      </w:r>
      <w:r w:rsidR="00C20B7B" w:rsidRPr="000E0F90">
        <w:rPr>
          <w:rFonts w:ascii="Arial" w:hAnsi="Arial" w:cs="Arial"/>
          <w:color w:val="000000" w:themeColor="text1"/>
          <w:sz w:val="22"/>
          <w:szCs w:val="22"/>
        </w:rPr>
        <w:t xml:space="preserve"> </w:t>
      </w:r>
      <w:sdt>
        <w:sdtPr>
          <w:rPr>
            <w:rFonts w:ascii="Arial" w:hAnsi="Arial" w:cs="Arial"/>
            <w:color w:val="000000" w:themeColor="text1"/>
            <w:sz w:val="22"/>
            <w:szCs w:val="22"/>
          </w:rPr>
          <w:id w:val="-1248958795"/>
          <w:citation/>
        </w:sdtPr>
        <w:sdtEndPr/>
        <w:sdtContent>
          <w:r w:rsidR="00C20B7B" w:rsidRPr="000E0F90">
            <w:rPr>
              <w:rFonts w:ascii="Arial" w:hAnsi="Arial" w:cs="Arial"/>
              <w:color w:val="000000" w:themeColor="text1"/>
              <w:sz w:val="22"/>
              <w:szCs w:val="22"/>
            </w:rPr>
            <w:fldChar w:fldCharType="begin"/>
          </w:r>
          <w:r w:rsidR="00C20B7B" w:rsidRPr="000E0F90">
            <w:rPr>
              <w:rFonts w:ascii="Arial" w:hAnsi="Arial" w:cs="Arial"/>
              <w:color w:val="000000" w:themeColor="text1"/>
              <w:sz w:val="22"/>
              <w:szCs w:val="22"/>
            </w:rPr>
            <w:instrText xml:space="preserve">CITATION ARC04 \t  \l 13322 </w:instrText>
          </w:r>
          <w:r w:rsidR="00C20B7B" w:rsidRPr="000E0F90">
            <w:rPr>
              <w:rFonts w:ascii="Arial" w:hAnsi="Arial" w:cs="Arial"/>
              <w:color w:val="000000" w:themeColor="text1"/>
              <w:sz w:val="22"/>
              <w:szCs w:val="22"/>
            </w:rPr>
            <w:fldChar w:fldCharType="separate"/>
          </w:r>
          <w:r w:rsidR="008D0261" w:rsidRPr="000E0F90">
            <w:rPr>
              <w:rFonts w:ascii="Arial" w:hAnsi="Arial" w:cs="Arial"/>
              <w:noProof/>
              <w:color w:val="000000" w:themeColor="text1"/>
              <w:sz w:val="22"/>
              <w:szCs w:val="22"/>
            </w:rPr>
            <w:t>(ARCADIS, 2004)</w:t>
          </w:r>
          <w:r w:rsidR="00C20B7B" w:rsidRPr="000E0F90">
            <w:rPr>
              <w:rFonts w:ascii="Arial" w:hAnsi="Arial" w:cs="Arial"/>
              <w:color w:val="000000" w:themeColor="text1"/>
              <w:sz w:val="22"/>
              <w:szCs w:val="22"/>
            </w:rPr>
            <w:fldChar w:fldCharType="end"/>
          </w:r>
        </w:sdtContent>
      </w:sdt>
      <w:r w:rsidR="00C20B7B" w:rsidRPr="000E0F90">
        <w:rPr>
          <w:rFonts w:ascii="Arial" w:hAnsi="Arial" w:cs="Arial"/>
          <w:color w:val="000000" w:themeColor="text1"/>
          <w:sz w:val="22"/>
          <w:szCs w:val="22"/>
        </w:rPr>
        <w:t>.</w:t>
      </w:r>
      <w:r w:rsidR="00280805" w:rsidRPr="000E0F90">
        <w:rPr>
          <w:rFonts w:ascii="Arial" w:hAnsi="Arial" w:cs="Arial"/>
          <w:color w:val="000000" w:themeColor="text1"/>
          <w:sz w:val="22"/>
          <w:szCs w:val="22"/>
        </w:rPr>
        <w:t xml:space="preserve"> </w:t>
      </w:r>
      <w:r w:rsidR="00BC18D1" w:rsidRPr="000E0F90">
        <w:rPr>
          <w:rFonts w:ascii="Arial" w:hAnsi="Arial" w:cs="Arial"/>
          <w:color w:val="000000" w:themeColor="text1"/>
          <w:sz w:val="22"/>
          <w:szCs w:val="22"/>
        </w:rPr>
        <w:t xml:space="preserve"> </w:t>
      </w:r>
      <w:r w:rsidR="00E25FB9" w:rsidRPr="000E0F90">
        <w:rPr>
          <w:rFonts w:ascii="Arial" w:hAnsi="Arial" w:cs="Arial"/>
          <w:color w:val="000000" w:themeColor="text1"/>
          <w:sz w:val="22"/>
          <w:szCs w:val="22"/>
        </w:rPr>
        <w:t>Respecto a las aves, se han identificado 4 órdenes, destacando el orden passeriformes</w:t>
      </w:r>
      <w:r w:rsidRPr="000E0F90">
        <w:rPr>
          <w:rFonts w:ascii="Arial" w:hAnsi="Arial" w:cs="Arial"/>
          <w:color w:val="000000" w:themeColor="text1"/>
          <w:sz w:val="22"/>
          <w:szCs w:val="22"/>
        </w:rPr>
        <w:t xml:space="preserve"> </w:t>
      </w:r>
      <w:r w:rsidR="00E25FB9" w:rsidRPr="000E0F90">
        <w:rPr>
          <w:rFonts w:ascii="Arial" w:hAnsi="Arial" w:cs="Arial"/>
          <w:color w:val="000000" w:themeColor="text1"/>
          <w:sz w:val="22"/>
          <w:szCs w:val="22"/>
        </w:rPr>
        <w:t>con las familias Furnaridae, Tyranidos y Fingilidos, siendo las es</w:t>
      </w:r>
      <w:r w:rsidR="003F2E43" w:rsidRPr="000E0F90">
        <w:rPr>
          <w:rFonts w:ascii="Arial" w:hAnsi="Arial" w:cs="Arial"/>
          <w:color w:val="000000" w:themeColor="text1"/>
          <w:sz w:val="22"/>
          <w:szCs w:val="22"/>
        </w:rPr>
        <w:t>pecies más comunes el Chirihue</w:t>
      </w:r>
      <w:r w:rsidR="00E25FB9" w:rsidRPr="000E0F90">
        <w:rPr>
          <w:rFonts w:ascii="Arial" w:hAnsi="Arial" w:cs="Arial"/>
          <w:color w:val="000000" w:themeColor="text1"/>
          <w:sz w:val="22"/>
          <w:szCs w:val="22"/>
        </w:rPr>
        <w:t>, la golondrina y dormilona</w:t>
      </w:r>
      <w:r w:rsidR="001305AE">
        <w:rPr>
          <w:rFonts w:ascii="Arial" w:hAnsi="Arial" w:cs="Arial"/>
          <w:color w:val="000000" w:themeColor="text1"/>
          <w:sz w:val="22"/>
          <w:szCs w:val="22"/>
        </w:rPr>
        <w:t>; l</w:t>
      </w:r>
      <w:r w:rsidR="00E25FB9" w:rsidRPr="000E0F90">
        <w:rPr>
          <w:rFonts w:ascii="Arial" w:hAnsi="Arial" w:cs="Arial"/>
          <w:color w:val="000000" w:themeColor="text1"/>
          <w:sz w:val="22"/>
          <w:szCs w:val="22"/>
        </w:rPr>
        <w:t xml:space="preserve">a perdicita cordillerana especie </w:t>
      </w:r>
      <w:r w:rsidR="001305AE">
        <w:rPr>
          <w:rFonts w:ascii="Arial" w:hAnsi="Arial" w:cs="Arial"/>
          <w:color w:val="000000" w:themeColor="text1"/>
          <w:sz w:val="22"/>
          <w:szCs w:val="22"/>
        </w:rPr>
        <w:t>ra</w:t>
      </w:r>
      <w:r w:rsidR="00E25FB9" w:rsidRPr="000E0F90">
        <w:rPr>
          <w:rFonts w:ascii="Arial" w:hAnsi="Arial" w:cs="Arial"/>
          <w:color w:val="000000" w:themeColor="text1"/>
          <w:sz w:val="22"/>
          <w:szCs w:val="22"/>
        </w:rPr>
        <w:t>ra y de poblaciones reducidas</w:t>
      </w:r>
      <w:r w:rsidR="001305AE">
        <w:rPr>
          <w:rFonts w:ascii="Arial" w:hAnsi="Arial" w:cs="Arial"/>
          <w:color w:val="000000" w:themeColor="text1"/>
          <w:sz w:val="22"/>
          <w:szCs w:val="22"/>
        </w:rPr>
        <w:t>;</w:t>
      </w:r>
      <w:r w:rsidR="00197CDA" w:rsidRPr="000E0F90">
        <w:rPr>
          <w:rFonts w:ascii="Arial" w:hAnsi="Arial" w:cs="Arial"/>
          <w:color w:val="000000" w:themeColor="text1"/>
          <w:sz w:val="22"/>
          <w:szCs w:val="22"/>
        </w:rPr>
        <w:t xml:space="preserve"> el </w:t>
      </w:r>
      <w:r w:rsidR="00F35AF7" w:rsidRPr="000E0F90">
        <w:rPr>
          <w:rFonts w:ascii="Arial" w:hAnsi="Arial" w:cs="Arial"/>
          <w:color w:val="000000" w:themeColor="text1"/>
          <w:sz w:val="22"/>
          <w:szCs w:val="22"/>
        </w:rPr>
        <w:t>cóndor</w:t>
      </w:r>
      <w:r w:rsidR="00197CDA" w:rsidRPr="000E0F90">
        <w:rPr>
          <w:rFonts w:ascii="Arial" w:hAnsi="Arial" w:cs="Arial"/>
          <w:color w:val="000000" w:themeColor="text1"/>
          <w:sz w:val="22"/>
          <w:szCs w:val="22"/>
        </w:rPr>
        <w:t xml:space="preserve"> y</w:t>
      </w:r>
      <w:r w:rsidR="001426C5" w:rsidRPr="000E0F90">
        <w:rPr>
          <w:rFonts w:ascii="Arial" w:hAnsi="Arial" w:cs="Arial"/>
          <w:color w:val="000000" w:themeColor="text1"/>
          <w:sz w:val="22"/>
          <w:szCs w:val="22"/>
        </w:rPr>
        <w:t xml:space="preserve"> el piquén</w:t>
      </w:r>
      <w:r w:rsidR="003F2E43" w:rsidRPr="000E0F90">
        <w:rPr>
          <w:rFonts w:ascii="Arial" w:hAnsi="Arial" w:cs="Arial"/>
          <w:color w:val="000000" w:themeColor="text1"/>
          <w:sz w:val="22"/>
          <w:szCs w:val="22"/>
        </w:rPr>
        <w:t>,</w:t>
      </w:r>
      <w:r w:rsidR="001426C5" w:rsidRPr="000E0F90">
        <w:rPr>
          <w:rFonts w:ascii="Arial" w:hAnsi="Arial" w:cs="Arial"/>
          <w:color w:val="000000" w:themeColor="text1"/>
          <w:sz w:val="22"/>
          <w:szCs w:val="22"/>
        </w:rPr>
        <w:t xml:space="preserve"> ambas</w:t>
      </w:r>
      <w:r w:rsidR="00197CDA" w:rsidRPr="000E0F90">
        <w:rPr>
          <w:rFonts w:ascii="Arial" w:hAnsi="Arial" w:cs="Arial"/>
          <w:color w:val="000000" w:themeColor="text1"/>
          <w:sz w:val="22"/>
          <w:szCs w:val="22"/>
        </w:rPr>
        <w:t xml:space="preserve"> </w:t>
      </w:r>
      <w:r w:rsidR="001426C5" w:rsidRPr="000E0F90">
        <w:rPr>
          <w:rFonts w:ascii="Arial" w:hAnsi="Arial" w:cs="Arial"/>
          <w:color w:val="000000" w:themeColor="text1"/>
          <w:sz w:val="22"/>
          <w:szCs w:val="22"/>
        </w:rPr>
        <w:t>especies catalogadas como vulnerable</w:t>
      </w:r>
      <w:r w:rsidR="00E25FB9" w:rsidRPr="000E0F90">
        <w:rPr>
          <w:rFonts w:ascii="Arial" w:hAnsi="Arial" w:cs="Arial"/>
          <w:color w:val="000000" w:themeColor="text1"/>
          <w:sz w:val="22"/>
          <w:szCs w:val="22"/>
        </w:rPr>
        <w:t xml:space="preserve">. En cuanto a los mamíferos, se registra el </w:t>
      </w:r>
      <w:r w:rsidR="00F35AF7" w:rsidRPr="000E0F90">
        <w:rPr>
          <w:rFonts w:ascii="Arial" w:hAnsi="Arial" w:cs="Arial"/>
          <w:color w:val="000000" w:themeColor="text1"/>
          <w:sz w:val="22"/>
          <w:szCs w:val="22"/>
        </w:rPr>
        <w:t>ratón</w:t>
      </w:r>
      <w:r w:rsidR="00E25FB9" w:rsidRPr="000E0F90">
        <w:rPr>
          <w:rFonts w:ascii="Arial" w:hAnsi="Arial" w:cs="Arial"/>
          <w:color w:val="000000" w:themeColor="text1"/>
          <w:sz w:val="22"/>
          <w:szCs w:val="22"/>
        </w:rPr>
        <w:t xml:space="preserve"> orejudo, la laucha andina y la vizcacha</w:t>
      </w:r>
      <w:r w:rsidR="001426C5" w:rsidRPr="000E0F90">
        <w:rPr>
          <w:rFonts w:ascii="Arial" w:hAnsi="Arial" w:cs="Arial"/>
          <w:color w:val="000000" w:themeColor="text1"/>
          <w:sz w:val="22"/>
          <w:szCs w:val="22"/>
        </w:rPr>
        <w:t xml:space="preserve"> catalogada como especie vulnerable</w:t>
      </w:r>
      <w:r w:rsidR="00E25FB9" w:rsidRPr="000E0F90">
        <w:rPr>
          <w:rFonts w:ascii="Arial" w:hAnsi="Arial" w:cs="Arial"/>
          <w:color w:val="000000" w:themeColor="text1"/>
          <w:sz w:val="22"/>
          <w:szCs w:val="22"/>
        </w:rPr>
        <w:t>, al igual que guanacos</w:t>
      </w:r>
      <w:r w:rsidR="003F2E43" w:rsidRPr="000E0F90">
        <w:rPr>
          <w:rFonts w:ascii="Arial" w:hAnsi="Arial" w:cs="Arial"/>
          <w:color w:val="000000" w:themeColor="text1"/>
          <w:sz w:val="22"/>
          <w:szCs w:val="22"/>
        </w:rPr>
        <w:t>,</w:t>
      </w:r>
      <w:r w:rsidR="00947B1F" w:rsidRPr="000E0F90">
        <w:rPr>
          <w:rFonts w:ascii="Arial" w:hAnsi="Arial" w:cs="Arial"/>
          <w:color w:val="000000" w:themeColor="text1"/>
          <w:sz w:val="22"/>
          <w:szCs w:val="22"/>
        </w:rPr>
        <w:t xml:space="preserve"> el zorro culpeo,</w:t>
      </w:r>
      <w:r w:rsidR="00926FB1" w:rsidRPr="000E0F90">
        <w:rPr>
          <w:rFonts w:ascii="Arial" w:hAnsi="Arial" w:cs="Arial"/>
          <w:color w:val="000000" w:themeColor="text1"/>
          <w:sz w:val="22"/>
          <w:szCs w:val="22"/>
        </w:rPr>
        <w:t xml:space="preserve"> especie de preocupación menor</w:t>
      </w:r>
      <w:r w:rsidR="00947B1F" w:rsidRPr="000E0F90">
        <w:rPr>
          <w:rFonts w:ascii="Arial" w:hAnsi="Arial" w:cs="Arial"/>
          <w:color w:val="000000" w:themeColor="text1"/>
          <w:sz w:val="22"/>
          <w:szCs w:val="22"/>
        </w:rPr>
        <w:t xml:space="preserve"> </w:t>
      </w:r>
      <w:sdt>
        <w:sdtPr>
          <w:rPr>
            <w:rFonts w:ascii="Arial" w:hAnsi="Arial" w:cs="Arial"/>
            <w:color w:val="000000" w:themeColor="text1"/>
            <w:sz w:val="22"/>
            <w:szCs w:val="22"/>
          </w:rPr>
          <w:id w:val="829405447"/>
          <w:citation/>
        </w:sdtPr>
        <w:sdtEndPr/>
        <w:sdtContent>
          <w:r w:rsidR="00197CDA" w:rsidRPr="000E0F90">
            <w:rPr>
              <w:rFonts w:ascii="Arial" w:hAnsi="Arial" w:cs="Arial"/>
              <w:color w:val="000000" w:themeColor="text1"/>
              <w:sz w:val="22"/>
              <w:szCs w:val="22"/>
            </w:rPr>
            <w:fldChar w:fldCharType="begin"/>
          </w:r>
          <w:r w:rsidR="00197CDA" w:rsidRPr="000E0F90">
            <w:rPr>
              <w:rFonts w:ascii="Arial" w:hAnsi="Arial" w:cs="Arial"/>
              <w:color w:val="000000" w:themeColor="text1"/>
              <w:sz w:val="22"/>
              <w:szCs w:val="22"/>
            </w:rPr>
            <w:instrText xml:space="preserve">CITATION ARC04 \t  \l 13322 </w:instrText>
          </w:r>
          <w:r w:rsidR="00197CDA" w:rsidRPr="000E0F90">
            <w:rPr>
              <w:rFonts w:ascii="Arial" w:hAnsi="Arial" w:cs="Arial"/>
              <w:color w:val="000000" w:themeColor="text1"/>
              <w:sz w:val="22"/>
              <w:szCs w:val="22"/>
            </w:rPr>
            <w:fldChar w:fldCharType="separate"/>
          </w:r>
          <w:r w:rsidR="008D0261" w:rsidRPr="000E0F90">
            <w:rPr>
              <w:rFonts w:ascii="Arial" w:hAnsi="Arial" w:cs="Arial"/>
              <w:noProof/>
              <w:color w:val="000000" w:themeColor="text1"/>
              <w:sz w:val="22"/>
              <w:szCs w:val="22"/>
            </w:rPr>
            <w:t>(ARCADIS, 2004)</w:t>
          </w:r>
          <w:r w:rsidR="00197CDA" w:rsidRPr="000E0F90">
            <w:rPr>
              <w:rFonts w:ascii="Arial" w:hAnsi="Arial" w:cs="Arial"/>
              <w:color w:val="000000" w:themeColor="text1"/>
              <w:sz w:val="22"/>
              <w:szCs w:val="22"/>
            </w:rPr>
            <w:fldChar w:fldCharType="end"/>
          </w:r>
        </w:sdtContent>
      </w:sdt>
      <w:r w:rsidR="00197CDA" w:rsidRPr="000E0F90">
        <w:rPr>
          <w:rFonts w:ascii="Arial" w:hAnsi="Arial" w:cs="Arial"/>
          <w:color w:val="000000" w:themeColor="text1"/>
          <w:sz w:val="22"/>
          <w:szCs w:val="22"/>
        </w:rPr>
        <w:t xml:space="preserve">. </w:t>
      </w:r>
    </w:p>
    <w:p w:rsidR="00CD6030" w:rsidRPr="000E0F90" w:rsidRDefault="00624FDB" w:rsidP="00702D9A">
      <w:pPr>
        <w:pStyle w:val="Ttulo4"/>
        <w:spacing w:line="360" w:lineRule="auto"/>
        <w:rPr>
          <w:rFonts w:ascii="Arial" w:hAnsi="Arial" w:cs="Arial"/>
          <w:color w:val="000000" w:themeColor="text1"/>
        </w:rPr>
      </w:pPr>
      <w:r>
        <w:rPr>
          <w:rFonts w:ascii="Arial" w:hAnsi="Arial" w:cs="Arial"/>
          <w:color w:val="000000" w:themeColor="text1"/>
        </w:rPr>
        <w:lastRenderedPageBreak/>
        <w:t xml:space="preserve">Socioestructura </w:t>
      </w:r>
      <w:r w:rsidR="00CD6030" w:rsidRPr="000E0F90">
        <w:rPr>
          <w:rFonts w:ascii="Arial" w:hAnsi="Arial" w:cs="Arial"/>
          <w:color w:val="000000" w:themeColor="text1"/>
        </w:rPr>
        <w:t>Comuna Alto del Carmen</w:t>
      </w:r>
    </w:p>
    <w:p w:rsidR="0086156A" w:rsidRPr="000E0F90" w:rsidRDefault="00624FDB" w:rsidP="00624FDB">
      <w:pPr>
        <w:pStyle w:val="Epgrafe"/>
        <w:spacing w:after="0" w:line="360" w:lineRule="auto"/>
        <w:jc w:val="center"/>
        <w:rPr>
          <w:rFonts w:ascii="Arial" w:hAnsi="Arial" w:cs="Arial"/>
          <w:b w:val="0"/>
          <w:color w:val="000000" w:themeColor="text1"/>
        </w:rPr>
      </w:pPr>
      <w:r>
        <w:rPr>
          <w:noProof/>
          <w:lang w:eastAsia="es-CL"/>
        </w:rPr>
        <w:drawing>
          <wp:inline distT="0" distB="0" distL="0" distR="0" wp14:anchorId="3EAA3364" wp14:editId="22824B1D">
            <wp:extent cx="5431790" cy="7219647"/>
            <wp:effectExtent l="0" t="0" r="0" b="635"/>
            <wp:docPr id="51"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5431790" cy="7219647"/>
                    </a:xfrm>
                    <a:prstGeom prst="rect">
                      <a:avLst/>
                    </a:prstGeom>
                  </pic:spPr>
                </pic:pic>
              </a:graphicData>
            </a:graphic>
          </wp:inline>
        </w:drawing>
      </w:r>
      <w:r w:rsidR="006B15AA" w:rsidRPr="000E0F90">
        <w:rPr>
          <w:rFonts w:ascii="Arial" w:hAnsi="Arial" w:cs="Arial"/>
          <w:b w:val="0"/>
          <w:color w:val="000000" w:themeColor="text1"/>
          <w:sz w:val="22"/>
        </w:rPr>
        <w:t xml:space="preserve">Figura </w:t>
      </w:r>
      <w:r w:rsidR="006B15AA" w:rsidRPr="000E0F90">
        <w:rPr>
          <w:rFonts w:ascii="Arial" w:hAnsi="Arial" w:cs="Arial"/>
          <w:b w:val="0"/>
          <w:color w:val="000000" w:themeColor="text1"/>
          <w:sz w:val="22"/>
        </w:rPr>
        <w:fldChar w:fldCharType="begin"/>
      </w:r>
      <w:r w:rsidR="006B15AA" w:rsidRPr="000E0F90">
        <w:rPr>
          <w:rFonts w:ascii="Arial" w:hAnsi="Arial" w:cs="Arial"/>
          <w:b w:val="0"/>
          <w:color w:val="000000" w:themeColor="text1"/>
          <w:sz w:val="22"/>
        </w:rPr>
        <w:instrText xml:space="preserve"> SEQ Figura \* ARABIC </w:instrText>
      </w:r>
      <w:r w:rsidR="006B15AA" w:rsidRPr="000E0F90">
        <w:rPr>
          <w:rFonts w:ascii="Arial" w:hAnsi="Arial" w:cs="Arial"/>
          <w:b w:val="0"/>
          <w:color w:val="000000" w:themeColor="text1"/>
          <w:sz w:val="22"/>
        </w:rPr>
        <w:fldChar w:fldCharType="separate"/>
      </w:r>
      <w:r w:rsidR="00225844">
        <w:rPr>
          <w:rFonts w:ascii="Arial" w:hAnsi="Arial" w:cs="Arial"/>
          <w:b w:val="0"/>
          <w:noProof/>
          <w:color w:val="000000" w:themeColor="text1"/>
          <w:sz w:val="22"/>
        </w:rPr>
        <w:t>12</w:t>
      </w:r>
      <w:r w:rsidR="006B15AA" w:rsidRPr="000E0F90">
        <w:rPr>
          <w:rFonts w:ascii="Arial" w:hAnsi="Arial" w:cs="Arial"/>
          <w:b w:val="0"/>
          <w:color w:val="000000" w:themeColor="text1"/>
          <w:sz w:val="22"/>
        </w:rPr>
        <w:fldChar w:fldCharType="end"/>
      </w:r>
      <w:r w:rsidR="006B15AA" w:rsidRPr="000E0F90">
        <w:rPr>
          <w:rFonts w:ascii="Arial" w:hAnsi="Arial" w:cs="Arial"/>
          <w:b w:val="0"/>
          <w:color w:val="000000" w:themeColor="text1"/>
          <w:sz w:val="22"/>
        </w:rPr>
        <w:t>: Mapa de Socioestructura de comuna de Alto del Carmen (Elaboración propia)</w:t>
      </w:r>
      <w:r w:rsidR="0086156A" w:rsidRPr="000E0F90">
        <w:rPr>
          <w:rFonts w:ascii="Arial" w:hAnsi="Arial" w:cs="Arial"/>
          <w:b w:val="0"/>
          <w:color w:val="000000" w:themeColor="text1"/>
        </w:rPr>
        <w:br w:type="page"/>
      </w:r>
    </w:p>
    <w:p w:rsidR="00EC0D6C" w:rsidRPr="000E0F90" w:rsidRDefault="00EC0D6C" w:rsidP="00702D9A">
      <w:pPr>
        <w:spacing w:before="240" w:after="0" w:line="360" w:lineRule="auto"/>
        <w:rPr>
          <w:rFonts w:ascii="Arial" w:hAnsi="Arial" w:cs="Arial"/>
          <w:b/>
          <w:color w:val="000000" w:themeColor="text1"/>
        </w:rPr>
      </w:pPr>
      <w:r w:rsidRPr="000E0F90">
        <w:rPr>
          <w:rFonts w:ascii="Arial" w:hAnsi="Arial" w:cs="Arial"/>
          <w:b/>
          <w:color w:val="000000" w:themeColor="text1"/>
        </w:rPr>
        <w:lastRenderedPageBreak/>
        <w:t>Población:</w:t>
      </w:r>
    </w:p>
    <w:p w:rsidR="002115CE" w:rsidRPr="000E0F90" w:rsidRDefault="00CD6030" w:rsidP="00702D9A">
      <w:pPr>
        <w:spacing w:line="360" w:lineRule="auto"/>
        <w:rPr>
          <w:rFonts w:ascii="Arial" w:hAnsi="Arial" w:cs="Arial"/>
          <w:color w:val="000000" w:themeColor="text1"/>
        </w:rPr>
      </w:pPr>
      <w:r w:rsidRPr="000E0F90">
        <w:rPr>
          <w:rFonts w:ascii="Arial" w:hAnsi="Arial" w:cs="Arial"/>
          <w:color w:val="000000" w:themeColor="text1"/>
        </w:rPr>
        <w:t>En la comuna de Alto del Carmen se registra una población de 4.849, co</w:t>
      </w:r>
      <w:r w:rsidR="00090D9E" w:rsidRPr="000E0F90">
        <w:rPr>
          <w:rFonts w:ascii="Arial" w:hAnsi="Arial" w:cs="Arial"/>
          <w:color w:val="000000" w:themeColor="text1"/>
        </w:rPr>
        <w:t xml:space="preserve">rrespondiente al </w:t>
      </w:r>
      <w:r w:rsidRPr="000E0F90">
        <w:rPr>
          <w:rFonts w:ascii="Arial" w:hAnsi="Arial" w:cs="Arial"/>
          <w:color w:val="000000" w:themeColor="text1"/>
        </w:rPr>
        <w:t xml:space="preserve"> 100% de población rural </w:t>
      </w:r>
      <w:sdt>
        <w:sdtPr>
          <w:rPr>
            <w:rFonts w:ascii="Arial" w:hAnsi="Arial" w:cs="Arial"/>
            <w:color w:val="000000" w:themeColor="text1"/>
          </w:rPr>
          <w:id w:val="1011873492"/>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INE07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(INE, 2007)</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w:t>
      </w:r>
      <w:r w:rsidR="002115CE" w:rsidRPr="000E0F90">
        <w:rPr>
          <w:rFonts w:ascii="Arial" w:hAnsi="Arial" w:cs="Arial"/>
          <w:color w:val="000000" w:themeColor="text1"/>
        </w:rPr>
        <w:t xml:space="preserve">Respecto a la población perteneciente a etnia indígena, en la comuna existen 256 personas </w:t>
      </w:r>
      <w:r w:rsidR="00F17101" w:rsidRPr="000E0F90">
        <w:rPr>
          <w:rFonts w:ascii="Arial" w:hAnsi="Arial" w:cs="Arial"/>
          <w:color w:val="000000" w:themeColor="text1"/>
        </w:rPr>
        <w:t>(5,27% de la población comuna)</w:t>
      </w:r>
      <w:r w:rsidR="002115CE" w:rsidRPr="000E0F90">
        <w:rPr>
          <w:rFonts w:ascii="Arial" w:hAnsi="Arial" w:cs="Arial"/>
          <w:color w:val="000000" w:themeColor="text1"/>
        </w:rPr>
        <w:t>, siendo la etnia atacameño</w:t>
      </w:r>
      <w:r w:rsidR="00A95C11" w:rsidRPr="000E0F90">
        <w:rPr>
          <w:rFonts w:ascii="Arial" w:hAnsi="Arial" w:cs="Arial"/>
          <w:color w:val="000000" w:themeColor="text1"/>
        </w:rPr>
        <w:t xml:space="preserve"> (69,14%)</w:t>
      </w:r>
      <w:r w:rsidR="002115CE" w:rsidRPr="000E0F90">
        <w:rPr>
          <w:rFonts w:ascii="Arial" w:hAnsi="Arial" w:cs="Arial"/>
          <w:color w:val="000000" w:themeColor="text1"/>
        </w:rPr>
        <w:t xml:space="preserve">, colla </w:t>
      </w:r>
      <w:r w:rsidR="00A95C11" w:rsidRPr="000E0F90">
        <w:rPr>
          <w:rFonts w:ascii="Arial" w:hAnsi="Arial" w:cs="Arial"/>
          <w:color w:val="000000" w:themeColor="text1"/>
        </w:rPr>
        <w:t xml:space="preserve">(14,84%) </w:t>
      </w:r>
      <w:r w:rsidR="002115CE" w:rsidRPr="000E0F90">
        <w:rPr>
          <w:rFonts w:ascii="Arial" w:hAnsi="Arial" w:cs="Arial"/>
          <w:color w:val="000000" w:themeColor="text1"/>
        </w:rPr>
        <w:t xml:space="preserve">y mapuche </w:t>
      </w:r>
      <w:r w:rsidR="00A95C11" w:rsidRPr="000E0F90">
        <w:rPr>
          <w:rFonts w:ascii="Arial" w:hAnsi="Arial" w:cs="Arial"/>
          <w:color w:val="000000" w:themeColor="text1"/>
        </w:rPr>
        <w:t xml:space="preserve">(12,11%) </w:t>
      </w:r>
      <w:r w:rsidR="002115CE" w:rsidRPr="000E0F90">
        <w:rPr>
          <w:rFonts w:ascii="Arial" w:hAnsi="Arial" w:cs="Arial"/>
          <w:color w:val="000000" w:themeColor="text1"/>
        </w:rPr>
        <w:t>las más frecuent</w:t>
      </w:r>
      <w:r w:rsidR="00C512EC" w:rsidRPr="000E0F90">
        <w:rPr>
          <w:rFonts w:ascii="Arial" w:hAnsi="Arial" w:cs="Arial"/>
          <w:color w:val="000000" w:themeColor="text1"/>
        </w:rPr>
        <w:t>es</w:t>
      </w:r>
      <w:r w:rsidR="00A95C11" w:rsidRPr="000E0F90">
        <w:rPr>
          <w:rFonts w:ascii="Arial" w:hAnsi="Arial" w:cs="Arial"/>
          <w:color w:val="000000" w:themeColor="text1"/>
        </w:rPr>
        <w:t xml:space="preserve"> </w:t>
      </w:r>
      <w:sdt>
        <w:sdtPr>
          <w:rPr>
            <w:rFonts w:ascii="Arial" w:hAnsi="Arial" w:cs="Arial"/>
            <w:color w:val="000000" w:themeColor="text1"/>
          </w:rPr>
          <w:id w:val="-565727869"/>
          <w:citation/>
        </w:sdtPr>
        <w:sdtEndPr/>
        <w:sdtContent>
          <w:r w:rsidR="002115CE" w:rsidRPr="000E0F90">
            <w:rPr>
              <w:rFonts w:ascii="Arial" w:hAnsi="Arial" w:cs="Arial"/>
              <w:color w:val="000000" w:themeColor="text1"/>
            </w:rPr>
            <w:fldChar w:fldCharType="begin"/>
          </w:r>
          <w:r w:rsidR="002115CE" w:rsidRPr="000E0F90">
            <w:rPr>
              <w:rFonts w:ascii="Arial" w:hAnsi="Arial" w:cs="Arial"/>
              <w:color w:val="000000" w:themeColor="text1"/>
            </w:rPr>
            <w:instrText xml:space="preserve">CITATION INE02 \t  \l 13322 </w:instrText>
          </w:r>
          <w:r w:rsidR="002115CE" w:rsidRPr="000E0F90">
            <w:rPr>
              <w:rFonts w:ascii="Arial" w:hAnsi="Arial" w:cs="Arial"/>
              <w:color w:val="000000" w:themeColor="text1"/>
            </w:rPr>
            <w:fldChar w:fldCharType="separate"/>
          </w:r>
          <w:r w:rsidR="008D0261" w:rsidRPr="000E0F90">
            <w:rPr>
              <w:rFonts w:ascii="Arial" w:hAnsi="Arial" w:cs="Arial"/>
              <w:noProof/>
              <w:color w:val="000000" w:themeColor="text1"/>
            </w:rPr>
            <w:t>(INE, 2002)</w:t>
          </w:r>
          <w:r w:rsidR="002115CE" w:rsidRPr="000E0F90">
            <w:rPr>
              <w:rFonts w:ascii="Arial" w:hAnsi="Arial" w:cs="Arial"/>
              <w:color w:val="000000" w:themeColor="text1"/>
            </w:rPr>
            <w:fldChar w:fldCharType="end"/>
          </w:r>
        </w:sdtContent>
      </w:sdt>
    </w:p>
    <w:p w:rsidR="00D23203" w:rsidRPr="000E0F90" w:rsidRDefault="00EC0D6C" w:rsidP="00702D9A">
      <w:pPr>
        <w:spacing w:after="0" w:line="360" w:lineRule="auto"/>
        <w:rPr>
          <w:rFonts w:ascii="Arial" w:hAnsi="Arial" w:cs="Arial"/>
          <w:b/>
          <w:color w:val="000000" w:themeColor="text1"/>
        </w:rPr>
      </w:pPr>
      <w:r w:rsidRPr="000E0F90">
        <w:rPr>
          <w:rFonts w:ascii="Arial" w:hAnsi="Arial" w:cs="Arial"/>
          <w:b/>
          <w:color w:val="000000" w:themeColor="text1"/>
        </w:rPr>
        <w:t>Actividades Económicas</w:t>
      </w:r>
    </w:p>
    <w:p w:rsidR="00CD6030" w:rsidRPr="000E0F90" w:rsidRDefault="00090D9E" w:rsidP="00702D9A">
      <w:pPr>
        <w:spacing w:after="0" w:line="360" w:lineRule="auto"/>
        <w:rPr>
          <w:rFonts w:ascii="Arial" w:hAnsi="Arial" w:cs="Arial"/>
          <w:color w:val="000000" w:themeColor="text1"/>
        </w:rPr>
      </w:pPr>
      <w:r w:rsidRPr="000E0F90">
        <w:rPr>
          <w:rFonts w:ascii="Arial" w:hAnsi="Arial" w:cs="Arial"/>
          <w:color w:val="000000" w:themeColor="text1"/>
        </w:rPr>
        <w:t>En cuanto a la cantidad de empresas y trabajadores por actividad económica, al año 2013 se identifican 383 empr</w:t>
      </w:r>
      <w:r w:rsidR="00CD6030" w:rsidRPr="000E0F90">
        <w:rPr>
          <w:rFonts w:ascii="Arial" w:hAnsi="Arial" w:cs="Arial"/>
          <w:color w:val="000000" w:themeColor="text1"/>
        </w:rPr>
        <w:t>e</w:t>
      </w:r>
      <w:r w:rsidRPr="000E0F90">
        <w:rPr>
          <w:rFonts w:ascii="Arial" w:hAnsi="Arial" w:cs="Arial"/>
          <w:color w:val="000000" w:themeColor="text1"/>
        </w:rPr>
        <w:t>sas</w:t>
      </w:r>
      <w:r w:rsidR="00CD6030" w:rsidRPr="000E0F90">
        <w:rPr>
          <w:rFonts w:ascii="Arial" w:hAnsi="Arial" w:cs="Arial"/>
          <w:color w:val="000000" w:themeColor="text1"/>
        </w:rPr>
        <w:t>,</w:t>
      </w:r>
      <w:r w:rsidRPr="000E0F90">
        <w:rPr>
          <w:rFonts w:ascii="Arial" w:hAnsi="Arial" w:cs="Arial"/>
          <w:color w:val="000000" w:themeColor="text1"/>
        </w:rPr>
        <w:t xml:space="preserve"> de las cuales</w:t>
      </w:r>
      <w:r w:rsidR="00CD6030" w:rsidRPr="000E0F90">
        <w:rPr>
          <w:rFonts w:ascii="Arial" w:hAnsi="Arial" w:cs="Arial"/>
          <w:color w:val="000000" w:themeColor="text1"/>
        </w:rPr>
        <w:t xml:space="preserve"> el 40% corresponde a empres</w:t>
      </w:r>
      <w:r w:rsidR="00F35AF7" w:rsidRPr="000E0F90">
        <w:rPr>
          <w:rFonts w:ascii="Arial" w:hAnsi="Arial" w:cs="Arial"/>
          <w:color w:val="000000" w:themeColor="text1"/>
        </w:rPr>
        <w:t>as del rubro silvoagropecuario</w:t>
      </w:r>
      <w:r w:rsidR="00D23203" w:rsidRPr="000E0F90">
        <w:rPr>
          <w:rFonts w:ascii="Arial" w:hAnsi="Arial" w:cs="Arial"/>
          <w:color w:val="000000" w:themeColor="text1"/>
        </w:rPr>
        <w:t>,</w:t>
      </w:r>
      <w:r w:rsidR="00CD6030" w:rsidRPr="000E0F90">
        <w:rPr>
          <w:rFonts w:ascii="Arial" w:hAnsi="Arial" w:cs="Arial"/>
          <w:color w:val="000000" w:themeColor="text1"/>
        </w:rPr>
        <w:t xml:space="preserve"> el 30% a empresas de comercio</w:t>
      </w:r>
      <w:r w:rsidR="00D23203" w:rsidRPr="000E0F90">
        <w:rPr>
          <w:rFonts w:ascii="Arial" w:hAnsi="Arial" w:cs="Arial"/>
          <w:color w:val="000000" w:themeColor="text1"/>
        </w:rPr>
        <w:t>, seguido de hoteles y restaurantes (6,0%) y construcción (5,2%)</w:t>
      </w:r>
      <w:r w:rsidR="00CD6030" w:rsidRPr="000E0F90">
        <w:rPr>
          <w:rFonts w:ascii="Arial" w:hAnsi="Arial" w:cs="Arial"/>
          <w:color w:val="000000" w:themeColor="text1"/>
        </w:rPr>
        <w:t>. En cuanto al número de trabajadores por rama de actividad, del total de 825 trabajadores registrados en la comuna, 564 se identificaron en el sector silvoagropecuario, y 128 en construcción</w:t>
      </w:r>
      <w:r w:rsidR="00D23203" w:rsidRPr="000E0F90">
        <w:rPr>
          <w:rFonts w:ascii="Arial" w:hAnsi="Arial" w:cs="Arial"/>
          <w:color w:val="000000" w:themeColor="text1"/>
        </w:rPr>
        <w:t xml:space="preserve"> </w:t>
      </w:r>
      <w:sdt>
        <w:sdtPr>
          <w:rPr>
            <w:rFonts w:ascii="Arial" w:hAnsi="Arial" w:cs="Arial"/>
            <w:color w:val="000000" w:themeColor="text1"/>
          </w:rPr>
          <w:id w:val="605320461"/>
          <w:citation/>
        </w:sdtPr>
        <w:sdtEndPr/>
        <w:sdtContent>
          <w:r w:rsidR="00CD6030" w:rsidRPr="000E0F90">
            <w:rPr>
              <w:rFonts w:ascii="Arial" w:hAnsi="Arial" w:cs="Arial"/>
              <w:color w:val="000000" w:themeColor="text1"/>
            </w:rPr>
            <w:fldChar w:fldCharType="begin"/>
          </w:r>
          <w:r w:rsidR="008A32ED" w:rsidRPr="000E0F90">
            <w:rPr>
              <w:rFonts w:ascii="Arial" w:hAnsi="Arial" w:cs="Arial"/>
              <w:color w:val="000000" w:themeColor="text1"/>
            </w:rPr>
            <w:instrText xml:space="preserve">CITATION Bib17 \l 13322 </w:instrText>
          </w:r>
          <w:r w:rsidR="00CD6030" w:rsidRPr="000E0F90">
            <w:rPr>
              <w:rFonts w:ascii="Arial" w:hAnsi="Arial" w:cs="Arial"/>
              <w:color w:val="000000" w:themeColor="text1"/>
            </w:rPr>
            <w:fldChar w:fldCharType="separate"/>
          </w:r>
          <w:r w:rsidR="008D0261" w:rsidRPr="000E0F90">
            <w:rPr>
              <w:rFonts w:ascii="Arial" w:hAnsi="Arial" w:cs="Arial"/>
              <w:noProof/>
              <w:color w:val="000000" w:themeColor="text1"/>
            </w:rPr>
            <w:t>(BCN, 2017)</w:t>
          </w:r>
          <w:r w:rsidR="00CD6030" w:rsidRPr="000E0F90">
            <w:rPr>
              <w:rFonts w:ascii="Arial" w:hAnsi="Arial" w:cs="Arial"/>
              <w:color w:val="000000" w:themeColor="text1"/>
            </w:rPr>
            <w:fldChar w:fldCharType="end"/>
          </w:r>
        </w:sdtContent>
      </w:sdt>
      <w:r w:rsidR="00B35339">
        <w:rPr>
          <w:rFonts w:ascii="Arial" w:hAnsi="Arial" w:cs="Arial"/>
          <w:color w:val="000000" w:themeColor="text1"/>
        </w:rPr>
        <w:t xml:space="preserve"> (Figura 13</w:t>
      </w:r>
      <w:r w:rsidR="00BA1041">
        <w:rPr>
          <w:rFonts w:ascii="Arial" w:hAnsi="Arial" w:cs="Arial"/>
          <w:color w:val="000000" w:themeColor="text1"/>
        </w:rPr>
        <w:t>)</w:t>
      </w:r>
      <w:r w:rsidR="00CD6030" w:rsidRPr="000E0F90">
        <w:rPr>
          <w:rFonts w:ascii="Arial" w:hAnsi="Arial" w:cs="Arial"/>
          <w:color w:val="000000" w:themeColor="text1"/>
        </w:rPr>
        <w:t>.</w:t>
      </w:r>
    </w:p>
    <w:p w:rsidR="00CD6030" w:rsidRPr="000E0F90" w:rsidRDefault="00CD6030" w:rsidP="00702D9A">
      <w:pPr>
        <w:spacing w:before="120" w:after="0" w:line="360" w:lineRule="auto"/>
        <w:jc w:val="left"/>
        <w:rPr>
          <w:rFonts w:ascii="Arial" w:hAnsi="Arial" w:cs="Arial"/>
          <w:b/>
          <w:color w:val="000000" w:themeColor="text1"/>
        </w:rPr>
      </w:pPr>
      <w:r w:rsidRPr="000E0F90">
        <w:rPr>
          <w:rFonts w:ascii="Arial" w:hAnsi="Arial" w:cs="Arial"/>
          <w:noProof/>
          <w:color w:val="000000" w:themeColor="text1"/>
          <w:lang w:eastAsia="es-CL"/>
        </w:rPr>
        <w:drawing>
          <wp:inline distT="0" distB="0" distL="0" distR="0" wp14:anchorId="7B884B75" wp14:editId="36C3C2FD">
            <wp:extent cx="5474525" cy="2173185"/>
            <wp:effectExtent l="0" t="0" r="12065" b="17780"/>
            <wp:docPr id="14" name="Gráfico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D23203" w:rsidRPr="000E0F90" w:rsidRDefault="006B15AA" w:rsidP="00702D9A">
      <w:pPr>
        <w:pStyle w:val="Epgrafe"/>
        <w:spacing w:line="360" w:lineRule="auto"/>
        <w:jc w:val="center"/>
        <w:rPr>
          <w:rFonts w:ascii="Arial" w:hAnsi="Arial" w:cs="Arial"/>
          <w:b w:val="0"/>
          <w:color w:val="000000" w:themeColor="text1"/>
          <w:sz w:val="22"/>
        </w:rPr>
      </w:pPr>
      <w:r w:rsidRPr="000E0F90">
        <w:rPr>
          <w:rFonts w:ascii="Arial" w:hAnsi="Arial" w:cs="Arial"/>
          <w:b w:val="0"/>
          <w:color w:val="000000" w:themeColor="text1"/>
          <w:sz w:val="22"/>
        </w:rPr>
        <w:t xml:space="preserve">Figura </w:t>
      </w:r>
      <w:r w:rsidRPr="000E0F90">
        <w:rPr>
          <w:rFonts w:ascii="Arial" w:hAnsi="Arial" w:cs="Arial"/>
          <w:b w:val="0"/>
          <w:color w:val="000000" w:themeColor="text1"/>
          <w:sz w:val="22"/>
        </w:rPr>
        <w:fldChar w:fldCharType="begin"/>
      </w:r>
      <w:r w:rsidRPr="000E0F90">
        <w:rPr>
          <w:rFonts w:ascii="Arial" w:hAnsi="Arial" w:cs="Arial"/>
          <w:b w:val="0"/>
          <w:color w:val="000000" w:themeColor="text1"/>
          <w:sz w:val="22"/>
        </w:rPr>
        <w:instrText xml:space="preserve"> SEQ Figura \* ARABIC </w:instrText>
      </w:r>
      <w:r w:rsidRPr="000E0F90">
        <w:rPr>
          <w:rFonts w:ascii="Arial" w:hAnsi="Arial" w:cs="Arial"/>
          <w:b w:val="0"/>
          <w:color w:val="000000" w:themeColor="text1"/>
          <w:sz w:val="22"/>
        </w:rPr>
        <w:fldChar w:fldCharType="separate"/>
      </w:r>
      <w:r w:rsidR="00225844">
        <w:rPr>
          <w:rFonts w:ascii="Arial" w:hAnsi="Arial" w:cs="Arial"/>
          <w:b w:val="0"/>
          <w:noProof/>
          <w:color w:val="000000" w:themeColor="text1"/>
          <w:sz w:val="22"/>
        </w:rPr>
        <w:t>13</w:t>
      </w:r>
      <w:r w:rsidRPr="000E0F90">
        <w:rPr>
          <w:rFonts w:ascii="Arial" w:hAnsi="Arial" w:cs="Arial"/>
          <w:b w:val="0"/>
          <w:color w:val="000000" w:themeColor="text1"/>
          <w:sz w:val="22"/>
        </w:rPr>
        <w:fldChar w:fldCharType="end"/>
      </w:r>
      <w:r w:rsidR="005A0C47" w:rsidRPr="000E0F90">
        <w:rPr>
          <w:rFonts w:ascii="Arial" w:hAnsi="Arial" w:cs="Arial"/>
          <w:b w:val="0"/>
          <w:color w:val="000000" w:themeColor="text1"/>
          <w:sz w:val="22"/>
        </w:rPr>
        <w:t xml:space="preserve">: Participación de empresas u número de trabajadores según actividad económica de la comuna de Alto del Carmen (Año 2013). </w:t>
      </w:r>
      <w:r w:rsidR="00D23203" w:rsidRPr="000E0F90">
        <w:rPr>
          <w:rFonts w:ascii="Arial" w:hAnsi="Arial" w:cs="Arial"/>
          <w:b w:val="0"/>
          <w:color w:val="000000" w:themeColor="text1"/>
          <w:sz w:val="22"/>
        </w:rPr>
        <w:t xml:space="preserve">Fuente: </w:t>
      </w:r>
      <w:sdt>
        <w:sdtPr>
          <w:rPr>
            <w:rFonts w:ascii="Arial" w:hAnsi="Arial" w:cs="Arial"/>
            <w:b w:val="0"/>
            <w:color w:val="000000" w:themeColor="text1"/>
            <w:sz w:val="22"/>
          </w:rPr>
          <w:id w:val="91987124"/>
          <w:citation/>
        </w:sdtPr>
        <w:sdtEndPr/>
        <w:sdtContent>
          <w:r w:rsidR="00D23203" w:rsidRPr="000E0F90">
            <w:rPr>
              <w:rFonts w:ascii="Arial" w:hAnsi="Arial" w:cs="Arial"/>
              <w:b w:val="0"/>
              <w:color w:val="000000" w:themeColor="text1"/>
              <w:sz w:val="22"/>
            </w:rPr>
            <w:fldChar w:fldCharType="begin"/>
          </w:r>
          <w:r w:rsidR="008A32ED" w:rsidRPr="000E0F90">
            <w:rPr>
              <w:rFonts w:ascii="Arial" w:hAnsi="Arial" w:cs="Arial"/>
              <w:b w:val="0"/>
              <w:color w:val="000000" w:themeColor="text1"/>
              <w:sz w:val="22"/>
            </w:rPr>
            <w:instrText xml:space="preserve">CITATION Bib17 \l 13322 </w:instrText>
          </w:r>
          <w:r w:rsidR="00D23203" w:rsidRPr="000E0F90">
            <w:rPr>
              <w:rFonts w:ascii="Arial" w:hAnsi="Arial" w:cs="Arial"/>
              <w:b w:val="0"/>
              <w:color w:val="000000" w:themeColor="text1"/>
              <w:sz w:val="22"/>
            </w:rPr>
            <w:fldChar w:fldCharType="separate"/>
          </w:r>
          <w:r w:rsidR="008D0261" w:rsidRPr="000E0F90">
            <w:rPr>
              <w:rFonts w:ascii="Arial" w:hAnsi="Arial" w:cs="Arial"/>
              <w:noProof/>
              <w:color w:val="000000" w:themeColor="text1"/>
              <w:sz w:val="22"/>
            </w:rPr>
            <w:t>(BCN, 2017)</w:t>
          </w:r>
          <w:r w:rsidR="00D23203" w:rsidRPr="000E0F90">
            <w:rPr>
              <w:rFonts w:ascii="Arial" w:hAnsi="Arial" w:cs="Arial"/>
              <w:b w:val="0"/>
              <w:color w:val="000000" w:themeColor="text1"/>
              <w:sz w:val="22"/>
            </w:rPr>
            <w:fldChar w:fldCharType="end"/>
          </w:r>
        </w:sdtContent>
      </w:sdt>
      <w:r w:rsidR="00D23203" w:rsidRPr="000E0F90">
        <w:rPr>
          <w:rFonts w:ascii="Arial" w:hAnsi="Arial" w:cs="Arial"/>
          <w:b w:val="0"/>
          <w:color w:val="000000" w:themeColor="text1"/>
          <w:sz w:val="22"/>
        </w:rPr>
        <w:t>.</w:t>
      </w:r>
    </w:p>
    <w:p w:rsidR="00CD6030" w:rsidRPr="000E0F90" w:rsidRDefault="00CD6030" w:rsidP="00702D9A">
      <w:pPr>
        <w:spacing w:after="0" w:line="360" w:lineRule="auto"/>
        <w:rPr>
          <w:rFonts w:ascii="Arial" w:hAnsi="Arial" w:cs="Arial"/>
          <w:b/>
          <w:color w:val="000000" w:themeColor="text1"/>
        </w:rPr>
      </w:pPr>
      <w:r w:rsidRPr="000E0F90">
        <w:rPr>
          <w:rFonts w:ascii="Arial" w:hAnsi="Arial" w:cs="Arial"/>
          <w:b/>
          <w:color w:val="000000" w:themeColor="text1"/>
        </w:rPr>
        <w:t>Actividad Minera</w:t>
      </w:r>
    </w:p>
    <w:p w:rsidR="00CD6030" w:rsidRDefault="00A25B1D" w:rsidP="00702D9A">
      <w:pPr>
        <w:spacing w:after="0" w:line="360" w:lineRule="auto"/>
        <w:rPr>
          <w:rFonts w:ascii="Arial" w:hAnsi="Arial" w:cs="Arial"/>
          <w:color w:val="000000" w:themeColor="text1"/>
        </w:rPr>
      </w:pPr>
      <w:r w:rsidRPr="000E0F90">
        <w:rPr>
          <w:rFonts w:ascii="Arial" w:hAnsi="Arial" w:cs="Arial"/>
          <w:color w:val="000000" w:themeColor="text1"/>
        </w:rPr>
        <w:t xml:space="preserve">En relación a los minerales existentes en la comuna corresponden a yacimientos de oro, cobre y mármol, con una gran dotación de faenas mineras irregulares </w:t>
      </w:r>
      <w:sdt>
        <w:sdtPr>
          <w:rPr>
            <w:rFonts w:ascii="Arial" w:hAnsi="Arial" w:cs="Arial"/>
            <w:color w:val="000000" w:themeColor="text1"/>
          </w:rPr>
          <w:id w:val="-2058235422"/>
          <w:citation/>
        </w:sdtPr>
        <w:sdtEndPr/>
        <w:sdtContent>
          <w:r w:rsidRPr="000E0F90">
            <w:rPr>
              <w:rFonts w:ascii="Arial" w:hAnsi="Arial" w:cs="Arial"/>
              <w:color w:val="000000" w:themeColor="text1"/>
            </w:rPr>
            <w:fldChar w:fldCharType="begin"/>
          </w:r>
          <w:r w:rsidR="00954120" w:rsidRPr="000E0F90">
            <w:rPr>
              <w:rFonts w:ascii="Arial" w:hAnsi="Arial" w:cs="Arial"/>
              <w:color w:val="000000" w:themeColor="text1"/>
            </w:rPr>
            <w:instrText xml:space="preserve">CITATION SER16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(SERNAGEOMIN, 2010)</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w:t>
      </w:r>
      <w:r w:rsidR="00CD6030" w:rsidRPr="000E0F90">
        <w:rPr>
          <w:rFonts w:ascii="Arial" w:hAnsi="Arial" w:cs="Arial"/>
          <w:color w:val="000000" w:themeColor="text1"/>
        </w:rPr>
        <w:t>En la comuna, de acuerdo a información de SERNAGEOMIN se identifican 29 faenas mineras</w:t>
      </w:r>
      <w:r w:rsidR="001305AE">
        <w:rPr>
          <w:rFonts w:ascii="Arial" w:hAnsi="Arial" w:cs="Arial"/>
          <w:color w:val="000000" w:themeColor="text1"/>
        </w:rPr>
        <w:t xml:space="preserve"> (</w:t>
      </w:r>
      <w:r w:rsidR="00CD6030" w:rsidRPr="000E0F90">
        <w:rPr>
          <w:rFonts w:ascii="Arial" w:hAnsi="Arial" w:cs="Arial"/>
          <w:color w:val="000000" w:themeColor="text1"/>
        </w:rPr>
        <w:t xml:space="preserve">1,38% </w:t>
      </w:r>
      <w:r w:rsidR="001305AE">
        <w:rPr>
          <w:rFonts w:ascii="Arial" w:hAnsi="Arial" w:cs="Arial"/>
          <w:color w:val="000000" w:themeColor="text1"/>
        </w:rPr>
        <w:t>regional)</w:t>
      </w:r>
      <w:r w:rsidR="00CD6030" w:rsidRPr="000E0F90">
        <w:rPr>
          <w:rFonts w:ascii="Arial" w:hAnsi="Arial" w:cs="Arial"/>
          <w:color w:val="000000" w:themeColor="text1"/>
        </w:rPr>
        <w:t xml:space="preserve">, de las cuales 25 </w:t>
      </w:r>
      <w:r w:rsidR="00F35AF7" w:rsidRPr="000E0F90">
        <w:rPr>
          <w:rFonts w:ascii="Arial" w:hAnsi="Arial" w:cs="Arial"/>
          <w:color w:val="000000" w:themeColor="text1"/>
        </w:rPr>
        <w:t>corresponden</w:t>
      </w:r>
      <w:r w:rsidR="00CD6030" w:rsidRPr="000E0F90">
        <w:rPr>
          <w:rFonts w:ascii="Arial" w:hAnsi="Arial" w:cs="Arial"/>
          <w:color w:val="000000" w:themeColor="text1"/>
        </w:rPr>
        <w:t xml:space="preserve"> a Categoría D y 2 a categoría A y 2 a categoría B</w:t>
      </w:r>
      <w:r w:rsidR="00BA1041">
        <w:rPr>
          <w:rFonts w:ascii="Arial" w:hAnsi="Arial" w:cs="Arial"/>
          <w:color w:val="000000" w:themeColor="text1"/>
        </w:rPr>
        <w:t xml:space="preserve"> (Figura 1</w:t>
      </w:r>
      <w:r w:rsidR="00B35339">
        <w:rPr>
          <w:rFonts w:ascii="Arial" w:hAnsi="Arial" w:cs="Arial"/>
          <w:color w:val="000000" w:themeColor="text1"/>
        </w:rPr>
        <w:t>4</w:t>
      </w:r>
      <w:r w:rsidR="00BA1041">
        <w:rPr>
          <w:rFonts w:ascii="Arial" w:hAnsi="Arial" w:cs="Arial"/>
          <w:color w:val="000000" w:themeColor="text1"/>
        </w:rPr>
        <w:t>)</w:t>
      </w:r>
      <w:r w:rsidR="00CD6030" w:rsidRPr="000E0F90">
        <w:rPr>
          <w:rFonts w:ascii="Arial" w:hAnsi="Arial" w:cs="Arial"/>
          <w:color w:val="000000" w:themeColor="text1"/>
        </w:rPr>
        <w:t xml:space="preserve">. No se identificó existencia </w:t>
      </w:r>
      <w:r w:rsidR="00CD6030" w:rsidRPr="000E0F90">
        <w:rPr>
          <w:rFonts w:ascii="Arial" w:hAnsi="Arial" w:cs="Arial"/>
          <w:color w:val="000000" w:themeColor="text1"/>
        </w:rPr>
        <w:lastRenderedPageBreak/>
        <w:t>de relaves</w:t>
      </w:r>
      <w:r w:rsidR="00A34B31" w:rsidRPr="000E0F90">
        <w:rPr>
          <w:rFonts w:ascii="Arial" w:hAnsi="Arial" w:cs="Arial"/>
          <w:color w:val="000000" w:themeColor="text1"/>
        </w:rPr>
        <w:t xml:space="preserve"> ni </w:t>
      </w:r>
      <w:r w:rsidR="00CD6030" w:rsidRPr="000E0F90">
        <w:rPr>
          <w:rFonts w:ascii="Arial" w:hAnsi="Arial" w:cs="Arial"/>
          <w:color w:val="000000" w:themeColor="text1"/>
        </w:rPr>
        <w:t>pa</w:t>
      </w:r>
      <w:r w:rsidR="00AC6F2E" w:rsidRPr="000E0F90">
        <w:rPr>
          <w:rFonts w:ascii="Arial" w:hAnsi="Arial" w:cs="Arial"/>
          <w:color w:val="000000" w:themeColor="text1"/>
        </w:rPr>
        <w:t xml:space="preserve">sivos ambientales mineros </w:t>
      </w:r>
      <w:sdt>
        <w:sdtPr>
          <w:rPr>
            <w:rFonts w:ascii="Arial" w:hAnsi="Arial" w:cs="Arial"/>
            <w:color w:val="000000" w:themeColor="text1"/>
          </w:rPr>
          <w:id w:val="2030674871"/>
          <w:citation/>
        </w:sdtPr>
        <w:sdtEndPr/>
        <w:sdtContent>
          <w:r w:rsidR="00CD6030" w:rsidRPr="000E0F90">
            <w:rPr>
              <w:rFonts w:ascii="Arial" w:hAnsi="Arial" w:cs="Arial"/>
              <w:color w:val="000000" w:themeColor="text1"/>
            </w:rPr>
            <w:fldChar w:fldCharType="begin"/>
          </w:r>
          <w:r w:rsidR="00954120" w:rsidRPr="000E0F90">
            <w:rPr>
              <w:rFonts w:ascii="Arial" w:hAnsi="Arial" w:cs="Arial"/>
              <w:color w:val="000000" w:themeColor="text1"/>
            </w:rPr>
            <w:instrText xml:space="preserve">CITATION SER16 \l 13322 </w:instrText>
          </w:r>
          <w:r w:rsidR="00CD6030" w:rsidRPr="000E0F90">
            <w:rPr>
              <w:rFonts w:ascii="Arial" w:hAnsi="Arial" w:cs="Arial"/>
              <w:color w:val="000000" w:themeColor="text1"/>
            </w:rPr>
            <w:fldChar w:fldCharType="separate"/>
          </w:r>
          <w:r w:rsidR="008D0261" w:rsidRPr="000E0F90">
            <w:rPr>
              <w:rFonts w:ascii="Arial" w:hAnsi="Arial" w:cs="Arial"/>
              <w:noProof/>
              <w:color w:val="000000" w:themeColor="text1"/>
            </w:rPr>
            <w:t>(SERNAGEOMIN, 2010)</w:t>
          </w:r>
          <w:r w:rsidR="00CD6030" w:rsidRPr="000E0F90">
            <w:rPr>
              <w:rFonts w:ascii="Arial" w:hAnsi="Arial" w:cs="Arial"/>
              <w:color w:val="000000" w:themeColor="text1"/>
            </w:rPr>
            <w:fldChar w:fldCharType="end"/>
          </w:r>
        </w:sdtContent>
      </w:sdt>
      <w:r w:rsidR="00CD6030" w:rsidRPr="000E0F90">
        <w:rPr>
          <w:rFonts w:ascii="Arial" w:hAnsi="Arial" w:cs="Arial"/>
          <w:color w:val="000000" w:themeColor="text1"/>
        </w:rPr>
        <w:t xml:space="preserve">. </w:t>
      </w:r>
      <w:r w:rsidR="003A4AD4" w:rsidRPr="000E0F90">
        <w:rPr>
          <w:rFonts w:ascii="Arial" w:hAnsi="Arial" w:cs="Arial"/>
          <w:color w:val="000000" w:themeColor="text1"/>
        </w:rPr>
        <w:t xml:space="preserve">Destacan algunos mega proyectos mineros como El Morro y Pascua Lama </w:t>
      </w:r>
      <w:r w:rsidR="001305AE">
        <w:rPr>
          <w:rFonts w:ascii="Arial" w:hAnsi="Arial" w:cs="Arial"/>
          <w:color w:val="000000" w:themeColor="text1"/>
        </w:rPr>
        <w:t>(Gasto et al., 2015).</w:t>
      </w:r>
    </w:p>
    <w:p w:rsidR="00BA1041" w:rsidRPr="000E0F90" w:rsidRDefault="00BA1041" w:rsidP="00702D9A">
      <w:pPr>
        <w:spacing w:after="0" w:line="360" w:lineRule="auto"/>
        <w:rPr>
          <w:rFonts w:ascii="Arial" w:hAnsi="Arial" w:cs="Arial"/>
          <w:color w:val="000000" w:themeColor="text1"/>
        </w:rPr>
      </w:pPr>
    </w:p>
    <w:p w:rsidR="00CD6030" w:rsidRPr="000E0F90" w:rsidRDefault="00CD6030" w:rsidP="00702D9A">
      <w:pPr>
        <w:spacing w:after="0" w:line="360" w:lineRule="auto"/>
        <w:jc w:val="center"/>
        <w:rPr>
          <w:rFonts w:ascii="Arial" w:hAnsi="Arial" w:cs="Arial"/>
          <w:color w:val="000000" w:themeColor="text1"/>
        </w:rPr>
      </w:pPr>
      <w:r w:rsidRPr="000E0F90">
        <w:rPr>
          <w:rFonts w:ascii="Arial" w:hAnsi="Arial" w:cs="Arial"/>
          <w:noProof/>
          <w:color w:val="000000" w:themeColor="text1"/>
          <w:lang w:eastAsia="es-CL"/>
        </w:rPr>
        <w:drawing>
          <wp:inline distT="0" distB="0" distL="0" distR="0" wp14:anchorId="0F1C2494" wp14:editId="45B3EBE0">
            <wp:extent cx="4859079" cy="2402958"/>
            <wp:effectExtent l="0" t="0" r="17780" b="16510"/>
            <wp:docPr id="24" name="Gráfico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CD6030" w:rsidRPr="00124631" w:rsidRDefault="006B15AA" w:rsidP="00702D9A">
      <w:pPr>
        <w:pStyle w:val="Epgrafe"/>
        <w:spacing w:line="360" w:lineRule="auto"/>
        <w:jc w:val="center"/>
        <w:rPr>
          <w:rFonts w:ascii="Arial" w:hAnsi="Arial" w:cs="Arial"/>
          <w:b w:val="0"/>
          <w:color w:val="000000" w:themeColor="text1"/>
          <w:sz w:val="22"/>
        </w:rPr>
      </w:pPr>
      <w:r w:rsidRPr="000E0F90">
        <w:rPr>
          <w:rFonts w:ascii="Arial" w:hAnsi="Arial" w:cs="Arial"/>
          <w:b w:val="0"/>
          <w:color w:val="000000" w:themeColor="text1"/>
          <w:sz w:val="22"/>
        </w:rPr>
        <w:t xml:space="preserve">Figura </w:t>
      </w:r>
      <w:r w:rsidRPr="000E0F90">
        <w:rPr>
          <w:rFonts w:ascii="Arial" w:hAnsi="Arial" w:cs="Arial"/>
          <w:b w:val="0"/>
          <w:color w:val="000000" w:themeColor="text1"/>
          <w:sz w:val="22"/>
        </w:rPr>
        <w:fldChar w:fldCharType="begin"/>
      </w:r>
      <w:r w:rsidRPr="000E0F90">
        <w:rPr>
          <w:rFonts w:ascii="Arial" w:hAnsi="Arial" w:cs="Arial"/>
          <w:b w:val="0"/>
          <w:color w:val="000000" w:themeColor="text1"/>
          <w:sz w:val="22"/>
        </w:rPr>
        <w:instrText xml:space="preserve"> SEQ Figura \* ARABIC </w:instrText>
      </w:r>
      <w:r w:rsidRPr="000E0F90">
        <w:rPr>
          <w:rFonts w:ascii="Arial" w:hAnsi="Arial" w:cs="Arial"/>
          <w:b w:val="0"/>
          <w:color w:val="000000" w:themeColor="text1"/>
          <w:sz w:val="22"/>
        </w:rPr>
        <w:fldChar w:fldCharType="separate"/>
      </w:r>
      <w:r w:rsidR="00225844">
        <w:rPr>
          <w:rFonts w:ascii="Arial" w:hAnsi="Arial" w:cs="Arial"/>
          <w:b w:val="0"/>
          <w:noProof/>
          <w:color w:val="000000" w:themeColor="text1"/>
          <w:sz w:val="22"/>
        </w:rPr>
        <w:t>14</w:t>
      </w:r>
      <w:r w:rsidRPr="000E0F90">
        <w:rPr>
          <w:rFonts w:ascii="Arial" w:hAnsi="Arial" w:cs="Arial"/>
          <w:b w:val="0"/>
          <w:color w:val="000000" w:themeColor="text1"/>
          <w:sz w:val="22"/>
        </w:rPr>
        <w:fldChar w:fldCharType="end"/>
      </w:r>
      <w:r w:rsidR="005A0C47" w:rsidRPr="000E0F90">
        <w:rPr>
          <w:rFonts w:ascii="Arial" w:hAnsi="Arial" w:cs="Arial"/>
          <w:b w:val="0"/>
          <w:color w:val="000000" w:themeColor="text1"/>
          <w:sz w:val="22"/>
        </w:rPr>
        <w:t xml:space="preserve">: Faenas Mineras de explotación de Alto del Carmen según categorías de </w:t>
      </w:r>
      <w:r w:rsidR="005A0C47" w:rsidRPr="00124631">
        <w:rPr>
          <w:rFonts w:ascii="Arial" w:hAnsi="Arial" w:cs="Arial"/>
          <w:b w:val="0"/>
          <w:color w:val="000000" w:themeColor="text1"/>
          <w:sz w:val="22"/>
        </w:rPr>
        <w:t xml:space="preserve">SERNAGEOMIN. </w:t>
      </w:r>
      <w:r w:rsidR="00CD6030" w:rsidRPr="00124631">
        <w:rPr>
          <w:rFonts w:ascii="Arial" w:hAnsi="Arial" w:cs="Arial"/>
          <w:b w:val="0"/>
          <w:color w:val="000000" w:themeColor="text1"/>
          <w:sz w:val="22"/>
        </w:rPr>
        <w:t xml:space="preserve">Fuente: </w:t>
      </w:r>
      <w:sdt>
        <w:sdtPr>
          <w:rPr>
            <w:rFonts w:ascii="Arial" w:hAnsi="Arial" w:cs="Arial"/>
            <w:b w:val="0"/>
            <w:color w:val="000000" w:themeColor="text1"/>
            <w:sz w:val="22"/>
          </w:rPr>
          <w:id w:val="-523398205"/>
          <w:citation/>
        </w:sdtPr>
        <w:sdtEndPr/>
        <w:sdtContent>
          <w:r w:rsidR="00CD6030" w:rsidRPr="00124631">
            <w:rPr>
              <w:rFonts w:ascii="Arial" w:hAnsi="Arial" w:cs="Arial"/>
              <w:b w:val="0"/>
              <w:color w:val="000000" w:themeColor="text1"/>
              <w:sz w:val="22"/>
            </w:rPr>
            <w:fldChar w:fldCharType="begin"/>
          </w:r>
          <w:r w:rsidR="00CD6030" w:rsidRPr="00124631">
            <w:rPr>
              <w:rFonts w:ascii="Arial" w:hAnsi="Arial" w:cs="Arial"/>
              <w:b w:val="0"/>
              <w:color w:val="000000" w:themeColor="text1"/>
              <w:sz w:val="22"/>
            </w:rPr>
            <w:instrText xml:space="preserve"> CITATION SER13 \l 13322 </w:instrText>
          </w:r>
          <w:r w:rsidR="00CD6030" w:rsidRPr="00124631">
            <w:rPr>
              <w:rFonts w:ascii="Arial" w:hAnsi="Arial" w:cs="Arial"/>
              <w:b w:val="0"/>
              <w:color w:val="000000" w:themeColor="text1"/>
              <w:sz w:val="22"/>
            </w:rPr>
            <w:fldChar w:fldCharType="separate"/>
          </w:r>
          <w:r w:rsidR="008D0261" w:rsidRPr="00124631">
            <w:rPr>
              <w:rFonts w:ascii="Arial" w:hAnsi="Arial" w:cs="Arial"/>
              <w:noProof/>
              <w:color w:val="000000" w:themeColor="text1"/>
              <w:sz w:val="22"/>
            </w:rPr>
            <w:t>(SERNAGEOMIN, 2013)</w:t>
          </w:r>
          <w:r w:rsidR="00CD6030" w:rsidRPr="00124631">
            <w:rPr>
              <w:rFonts w:ascii="Arial" w:hAnsi="Arial" w:cs="Arial"/>
              <w:b w:val="0"/>
              <w:color w:val="000000" w:themeColor="text1"/>
              <w:sz w:val="22"/>
            </w:rPr>
            <w:fldChar w:fldCharType="end"/>
          </w:r>
        </w:sdtContent>
      </w:sdt>
    </w:p>
    <w:p w:rsidR="00A162DC" w:rsidRPr="00124631" w:rsidRDefault="00A162DC" w:rsidP="00702D9A">
      <w:pPr>
        <w:tabs>
          <w:tab w:val="left" w:pos="3183"/>
        </w:tabs>
        <w:spacing w:before="240" w:after="0" w:line="360" w:lineRule="auto"/>
        <w:rPr>
          <w:rFonts w:ascii="Arial" w:hAnsi="Arial" w:cs="Arial"/>
          <w:b/>
          <w:color w:val="000000" w:themeColor="text1"/>
        </w:rPr>
      </w:pPr>
      <w:r w:rsidRPr="00124631">
        <w:rPr>
          <w:rFonts w:ascii="Arial" w:hAnsi="Arial" w:cs="Arial"/>
          <w:b/>
          <w:color w:val="000000" w:themeColor="text1"/>
        </w:rPr>
        <w:t>Agricultura y Ganadería</w:t>
      </w:r>
    </w:p>
    <w:p w:rsidR="000F7CFE" w:rsidRPr="00B91E84" w:rsidRDefault="001305AE" w:rsidP="00702D9A">
      <w:pPr>
        <w:tabs>
          <w:tab w:val="left" w:pos="3183"/>
        </w:tabs>
        <w:spacing w:line="360" w:lineRule="auto"/>
        <w:rPr>
          <w:rFonts w:ascii="Arial" w:hAnsi="Arial" w:cs="Arial"/>
          <w:color w:val="000000" w:themeColor="text1"/>
          <w:highlight w:val="green"/>
        </w:rPr>
      </w:pPr>
      <w:r w:rsidRPr="00124631">
        <w:rPr>
          <w:rFonts w:ascii="Arial" w:hAnsi="Arial" w:cs="Arial"/>
          <w:color w:val="000000" w:themeColor="text1"/>
        </w:rPr>
        <w:t>La comuna p</w:t>
      </w:r>
      <w:r w:rsidR="00A162DC" w:rsidRPr="00124631">
        <w:rPr>
          <w:rFonts w:ascii="Arial" w:hAnsi="Arial" w:cs="Arial"/>
          <w:color w:val="000000" w:themeColor="text1"/>
        </w:rPr>
        <w:t xml:space="preserve">resenta una superficie perteneciente a explotaciones silvoagropeuarias que asciende a 458.333,2 ha </w:t>
      </w:r>
      <w:r w:rsidR="00124631">
        <w:rPr>
          <w:rFonts w:ascii="Arial" w:hAnsi="Arial" w:cs="Arial"/>
          <w:color w:val="000000" w:themeColor="text1"/>
        </w:rPr>
        <w:t>(</w:t>
      </w:r>
      <w:r w:rsidR="00A162DC" w:rsidRPr="00124631">
        <w:rPr>
          <w:rFonts w:ascii="Arial" w:hAnsi="Arial" w:cs="Arial"/>
          <w:color w:val="000000" w:themeColor="text1"/>
        </w:rPr>
        <w:t>77,17% de la</w:t>
      </w:r>
      <w:r w:rsidR="00124631">
        <w:rPr>
          <w:rFonts w:ascii="Arial" w:hAnsi="Arial" w:cs="Arial"/>
          <w:color w:val="000000" w:themeColor="text1"/>
        </w:rPr>
        <w:t xml:space="preserve"> región)</w:t>
      </w:r>
      <w:r w:rsidR="00A162DC" w:rsidRPr="00124631">
        <w:rPr>
          <w:rFonts w:ascii="Arial" w:hAnsi="Arial" w:cs="Arial"/>
          <w:color w:val="000000" w:themeColor="text1"/>
        </w:rPr>
        <w:t>.</w:t>
      </w:r>
      <w:r w:rsidRPr="00124631">
        <w:rPr>
          <w:rFonts w:ascii="Arial" w:hAnsi="Arial" w:cs="Arial"/>
          <w:color w:val="000000" w:themeColor="text1"/>
        </w:rPr>
        <w:t xml:space="preserve"> L</w:t>
      </w:r>
      <w:r w:rsidR="00A162DC" w:rsidRPr="00124631">
        <w:rPr>
          <w:rFonts w:ascii="Arial" w:hAnsi="Arial" w:cs="Arial"/>
          <w:color w:val="000000" w:themeColor="text1"/>
        </w:rPr>
        <w:t xml:space="preserve">a superficie destinada a cultivos asciende a 2.118,84 ha, de las cuales </w:t>
      </w:r>
      <w:r w:rsidRPr="00124631">
        <w:rPr>
          <w:rFonts w:ascii="Arial" w:hAnsi="Arial" w:cs="Arial"/>
          <w:color w:val="000000" w:themeColor="text1"/>
        </w:rPr>
        <w:t>1.461,5</w:t>
      </w:r>
      <w:r w:rsidR="00B91E84" w:rsidRPr="00124631">
        <w:rPr>
          <w:rFonts w:ascii="Arial" w:hAnsi="Arial" w:cs="Arial"/>
          <w:color w:val="000000" w:themeColor="text1"/>
        </w:rPr>
        <w:t xml:space="preserve"> ha</w:t>
      </w:r>
      <w:r w:rsidRPr="00124631">
        <w:rPr>
          <w:rFonts w:ascii="Arial" w:hAnsi="Arial" w:cs="Arial"/>
          <w:color w:val="000000" w:themeColor="text1"/>
        </w:rPr>
        <w:t xml:space="preserve"> </w:t>
      </w:r>
      <w:r w:rsidR="00B91E84" w:rsidRPr="00124631">
        <w:rPr>
          <w:rFonts w:ascii="Arial" w:hAnsi="Arial" w:cs="Arial"/>
          <w:color w:val="000000" w:themeColor="text1"/>
        </w:rPr>
        <w:t xml:space="preserve">(68,98%), </w:t>
      </w:r>
      <w:r w:rsidR="00124631">
        <w:rPr>
          <w:rFonts w:ascii="Arial" w:hAnsi="Arial" w:cs="Arial"/>
          <w:color w:val="000000" w:themeColor="text1"/>
        </w:rPr>
        <w:t>corresponden</w:t>
      </w:r>
      <w:r w:rsidR="00B91E84" w:rsidRPr="00124631">
        <w:rPr>
          <w:rFonts w:ascii="Arial" w:hAnsi="Arial" w:cs="Arial"/>
          <w:color w:val="000000" w:themeColor="text1"/>
        </w:rPr>
        <w:t xml:space="preserve"> a producción de frutales,</w:t>
      </w:r>
      <w:r w:rsidR="00A162DC" w:rsidRPr="00124631">
        <w:rPr>
          <w:rFonts w:ascii="Arial" w:hAnsi="Arial" w:cs="Arial"/>
          <w:color w:val="000000" w:themeColor="text1"/>
        </w:rPr>
        <w:t xml:space="preserve"> seguida de la producción de viñas y parronales con 305,80 ha (14,43%), </w:t>
      </w:r>
      <w:r w:rsidR="00B91E84" w:rsidRPr="00124631">
        <w:rPr>
          <w:rFonts w:ascii="Arial" w:hAnsi="Arial" w:cs="Arial"/>
          <w:color w:val="000000" w:themeColor="text1"/>
        </w:rPr>
        <w:t>y</w:t>
      </w:r>
      <w:r w:rsidR="008911BD" w:rsidRPr="00124631">
        <w:rPr>
          <w:rFonts w:ascii="Arial" w:hAnsi="Arial" w:cs="Arial"/>
          <w:color w:val="000000" w:themeColor="text1"/>
        </w:rPr>
        <w:t xml:space="preserve"> del cultivo de plantas forrajeras 171,2 ha (8,08%)</w:t>
      </w:r>
      <w:r w:rsidR="00BA1041">
        <w:rPr>
          <w:rFonts w:ascii="Arial" w:hAnsi="Arial" w:cs="Arial"/>
          <w:color w:val="000000" w:themeColor="text1"/>
        </w:rPr>
        <w:t xml:space="preserve"> (Figura 1</w:t>
      </w:r>
      <w:r w:rsidR="00B35339">
        <w:rPr>
          <w:rFonts w:ascii="Arial" w:hAnsi="Arial" w:cs="Arial"/>
          <w:color w:val="000000" w:themeColor="text1"/>
        </w:rPr>
        <w:t>5</w:t>
      </w:r>
      <w:r w:rsidR="00BA1041">
        <w:rPr>
          <w:rFonts w:ascii="Arial" w:hAnsi="Arial" w:cs="Arial"/>
          <w:color w:val="000000" w:themeColor="text1"/>
        </w:rPr>
        <w:t>)</w:t>
      </w:r>
      <w:r w:rsidR="008911BD" w:rsidRPr="00124631">
        <w:rPr>
          <w:rFonts w:ascii="Arial" w:hAnsi="Arial" w:cs="Arial"/>
          <w:color w:val="000000" w:themeColor="text1"/>
        </w:rPr>
        <w:t xml:space="preserve">. </w:t>
      </w:r>
      <w:r w:rsidR="00C315A2" w:rsidRPr="00124631">
        <w:rPr>
          <w:rFonts w:ascii="Arial" w:eastAsia="Times New Roman" w:hAnsi="Arial" w:cs="Arial"/>
          <w:color w:val="000000" w:themeColor="text1"/>
          <w:szCs w:val="20"/>
          <w:lang w:eastAsia="es-ES"/>
        </w:rPr>
        <w:t>La actividad agrícola se relaciona con la uva de exportación, y hacia el interior de la comuna se desarrolla la agricultura tradicional destinada al comercio local</w:t>
      </w:r>
      <w:r w:rsidR="00C315A2" w:rsidRPr="00124631">
        <w:rPr>
          <w:rFonts w:ascii="Arial" w:hAnsi="Arial" w:cs="Arial"/>
          <w:color w:val="000000" w:themeColor="text1"/>
        </w:rPr>
        <w:t xml:space="preserve">. </w:t>
      </w:r>
      <w:r w:rsidR="00C315A2" w:rsidRPr="00124631">
        <w:rPr>
          <w:rFonts w:ascii="Arial" w:eastAsia="Times New Roman" w:hAnsi="Arial" w:cs="Arial"/>
          <w:color w:val="000000" w:themeColor="text1"/>
          <w:szCs w:val="20"/>
          <w:lang w:eastAsia="es-ES"/>
        </w:rPr>
        <w:t>Se señala como un factor limitante la escas</w:t>
      </w:r>
      <w:r w:rsidR="00B91E84" w:rsidRPr="00124631">
        <w:rPr>
          <w:rFonts w:ascii="Arial" w:eastAsia="Times New Roman" w:hAnsi="Arial" w:cs="Arial"/>
          <w:color w:val="000000" w:themeColor="text1"/>
          <w:szCs w:val="20"/>
          <w:lang w:eastAsia="es-ES"/>
        </w:rPr>
        <w:t xml:space="preserve">ez hídrica, además de la reducida </w:t>
      </w:r>
      <w:r w:rsidR="00C315A2" w:rsidRPr="00124631">
        <w:rPr>
          <w:rFonts w:ascii="Arial" w:eastAsia="Times New Roman" w:hAnsi="Arial" w:cs="Arial"/>
          <w:color w:val="000000" w:themeColor="text1"/>
          <w:szCs w:val="20"/>
          <w:lang w:eastAsia="es-ES"/>
        </w:rPr>
        <w:t>implementación de tecnologías de eficiencia hídrica y la escasa implementación de cultivos adaptados a suelos áridos</w:t>
      </w:r>
      <w:r w:rsidR="00C315A2" w:rsidRPr="00124631">
        <w:rPr>
          <w:rFonts w:ascii="Arial" w:hAnsi="Arial" w:cs="Arial"/>
          <w:color w:val="000000" w:themeColor="text1"/>
        </w:rPr>
        <w:t xml:space="preserve"> </w:t>
      </w:r>
      <w:sdt>
        <w:sdtPr>
          <w:rPr>
            <w:rFonts w:ascii="Arial" w:hAnsi="Arial" w:cs="Arial"/>
            <w:color w:val="000000" w:themeColor="text1"/>
          </w:rPr>
          <w:id w:val="57759845"/>
          <w:citation/>
        </w:sdtPr>
        <w:sdtEndPr/>
        <w:sdtContent>
          <w:r w:rsidR="00C315A2" w:rsidRPr="00124631">
            <w:rPr>
              <w:rFonts w:ascii="Arial" w:hAnsi="Arial" w:cs="Arial"/>
              <w:color w:val="000000" w:themeColor="text1"/>
            </w:rPr>
            <w:fldChar w:fldCharType="begin"/>
          </w:r>
          <w:r w:rsidR="00C315A2" w:rsidRPr="00124631">
            <w:rPr>
              <w:rFonts w:ascii="Arial" w:hAnsi="Arial" w:cs="Arial"/>
              <w:color w:val="000000" w:themeColor="text1"/>
            </w:rPr>
            <w:instrText xml:space="preserve">CITATION ARC04 \t  \l 13322 </w:instrText>
          </w:r>
          <w:r w:rsidR="00C315A2" w:rsidRPr="00124631">
            <w:rPr>
              <w:rFonts w:ascii="Arial" w:hAnsi="Arial" w:cs="Arial"/>
              <w:color w:val="000000" w:themeColor="text1"/>
            </w:rPr>
            <w:fldChar w:fldCharType="separate"/>
          </w:r>
          <w:r w:rsidR="008D0261" w:rsidRPr="00124631">
            <w:rPr>
              <w:rFonts w:ascii="Arial" w:hAnsi="Arial" w:cs="Arial"/>
              <w:noProof/>
              <w:color w:val="000000" w:themeColor="text1"/>
            </w:rPr>
            <w:t>(ARCADIS, 2004)</w:t>
          </w:r>
          <w:r w:rsidR="00C315A2" w:rsidRPr="00124631">
            <w:rPr>
              <w:rFonts w:ascii="Arial" w:hAnsi="Arial" w:cs="Arial"/>
              <w:color w:val="000000" w:themeColor="text1"/>
            </w:rPr>
            <w:fldChar w:fldCharType="end"/>
          </w:r>
        </w:sdtContent>
      </w:sdt>
      <w:r w:rsidR="00C315A2" w:rsidRPr="00124631">
        <w:rPr>
          <w:rFonts w:ascii="Arial" w:hAnsi="Arial" w:cs="Arial"/>
          <w:color w:val="000000" w:themeColor="text1"/>
        </w:rPr>
        <w:t>.</w:t>
      </w:r>
      <w:r w:rsidR="00124631">
        <w:rPr>
          <w:rFonts w:ascii="Arial" w:hAnsi="Arial" w:cs="Arial"/>
          <w:color w:val="000000" w:themeColor="text1"/>
        </w:rPr>
        <w:t xml:space="preserve"> </w:t>
      </w:r>
      <w:r w:rsidR="00D957ED" w:rsidRPr="00124631">
        <w:rPr>
          <w:rFonts w:ascii="Arial" w:hAnsi="Arial" w:cs="Arial"/>
          <w:color w:val="000000" w:themeColor="text1"/>
        </w:rPr>
        <w:t xml:space="preserve">Respecto al </w:t>
      </w:r>
      <w:sdt>
        <w:sdtPr>
          <w:rPr>
            <w:rFonts w:ascii="Arial" w:hAnsi="Arial" w:cs="Arial"/>
            <w:color w:val="000000" w:themeColor="text1"/>
          </w:rPr>
          <w:id w:val="1941573616"/>
          <w:citation/>
        </w:sdtPr>
        <w:sdtEndPr/>
        <w:sdtContent>
          <w:r w:rsidR="00D957ED" w:rsidRPr="00124631">
            <w:rPr>
              <w:rFonts w:ascii="Arial" w:hAnsi="Arial" w:cs="Arial"/>
              <w:color w:val="000000" w:themeColor="text1"/>
            </w:rPr>
            <w:fldChar w:fldCharType="begin"/>
          </w:r>
          <w:r w:rsidR="00D957ED" w:rsidRPr="00124631">
            <w:rPr>
              <w:rFonts w:ascii="Arial" w:hAnsi="Arial" w:cs="Arial"/>
              <w:color w:val="000000" w:themeColor="text1"/>
            </w:rPr>
            <w:instrText xml:space="preserve"> CITATION Cen07 \l 13322 </w:instrText>
          </w:r>
          <w:r w:rsidR="00D957ED" w:rsidRPr="00124631">
            <w:rPr>
              <w:rFonts w:ascii="Arial" w:hAnsi="Arial" w:cs="Arial"/>
              <w:color w:val="000000" w:themeColor="text1"/>
            </w:rPr>
            <w:fldChar w:fldCharType="separate"/>
          </w:r>
          <w:r w:rsidR="008D0261" w:rsidRPr="00124631">
            <w:rPr>
              <w:rFonts w:ascii="Arial" w:hAnsi="Arial" w:cs="Arial"/>
              <w:noProof/>
              <w:color w:val="000000" w:themeColor="text1"/>
            </w:rPr>
            <w:t>(Censo Agropecuario, 2007)</w:t>
          </w:r>
          <w:r w:rsidR="00D957ED" w:rsidRPr="00124631">
            <w:rPr>
              <w:rFonts w:ascii="Arial" w:hAnsi="Arial" w:cs="Arial"/>
              <w:color w:val="000000" w:themeColor="text1"/>
            </w:rPr>
            <w:fldChar w:fldCharType="end"/>
          </w:r>
        </w:sdtContent>
      </w:sdt>
      <w:r w:rsidR="00D957ED" w:rsidRPr="00124631">
        <w:rPr>
          <w:rFonts w:ascii="Arial" w:hAnsi="Arial" w:cs="Arial"/>
          <w:color w:val="000000" w:themeColor="text1"/>
        </w:rPr>
        <w:t xml:space="preserve"> en la comuna, del total de cabezas de ganado en la comuna (</w:t>
      </w:r>
      <w:r w:rsidR="00EC7689" w:rsidRPr="00124631">
        <w:rPr>
          <w:rFonts w:ascii="Arial" w:hAnsi="Arial" w:cs="Arial"/>
          <w:color w:val="000000" w:themeColor="text1"/>
        </w:rPr>
        <w:t>8.486</w:t>
      </w:r>
      <w:r w:rsidR="00D957ED" w:rsidRPr="00124631">
        <w:rPr>
          <w:rFonts w:ascii="Arial" w:hAnsi="Arial" w:cs="Arial"/>
          <w:color w:val="000000" w:themeColor="text1"/>
        </w:rPr>
        <w:t>cab)</w:t>
      </w:r>
      <w:r w:rsidR="00EC7689" w:rsidRPr="00124631">
        <w:rPr>
          <w:rFonts w:ascii="Arial" w:hAnsi="Arial" w:cs="Arial"/>
          <w:color w:val="000000" w:themeColor="text1"/>
        </w:rPr>
        <w:t xml:space="preserve">, el ganado caprino representa 49,7%, seguido de equinos (20,3%) y ovinos (14,7%). </w:t>
      </w:r>
      <w:r w:rsidR="000F7CFE" w:rsidRPr="00124631">
        <w:rPr>
          <w:rFonts w:ascii="Arial" w:hAnsi="Arial" w:cs="Arial"/>
          <w:color w:val="000000" w:themeColor="text1"/>
        </w:rPr>
        <w:t xml:space="preserve">Cabe destacar en la comuna la existencia de comunidades agrícolas, como la comunidad de los Huascoaltinos, </w:t>
      </w:r>
      <w:r w:rsidR="005062AA" w:rsidRPr="00124631">
        <w:rPr>
          <w:rFonts w:ascii="Arial" w:hAnsi="Arial" w:cs="Arial"/>
          <w:color w:val="000000" w:themeColor="text1"/>
        </w:rPr>
        <w:t>que presenta</w:t>
      </w:r>
      <w:r w:rsidR="00AC6F2E" w:rsidRPr="00124631">
        <w:rPr>
          <w:rFonts w:ascii="Arial" w:hAnsi="Arial" w:cs="Arial"/>
          <w:color w:val="000000" w:themeColor="text1"/>
        </w:rPr>
        <w:t xml:space="preserve"> una </w:t>
      </w:r>
      <w:r w:rsidR="00F35AF7" w:rsidRPr="00124631">
        <w:rPr>
          <w:rFonts w:ascii="Arial" w:hAnsi="Arial" w:cs="Arial"/>
          <w:color w:val="000000" w:themeColor="text1"/>
        </w:rPr>
        <w:t>superficie</w:t>
      </w:r>
      <w:r w:rsidR="00AC6F2E" w:rsidRPr="00124631">
        <w:rPr>
          <w:rFonts w:ascii="Arial" w:hAnsi="Arial" w:cs="Arial"/>
          <w:color w:val="000000" w:themeColor="text1"/>
        </w:rPr>
        <w:t xml:space="preserve"> de 239.918,8 ha.</w:t>
      </w:r>
    </w:p>
    <w:p w:rsidR="008911BD" w:rsidRPr="000E0F90" w:rsidRDefault="008911BD" w:rsidP="00702D9A">
      <w:pPr>
        <w:tabs>
          <w:tab w:val="left" w:pos="3183"/>
        </w:tabs>
        <w:spacing w:after="0" w:line="360" w:lineRule="auto"/>
        <w:jc w:val="center"/>
        <w:rPr>
          <w:rFonts w:ascii="Arial" w:hAnsi="Arial" w:cs="Arial"/>
          <w:color w:val="000000" w:themeColor="text1"/>
        </w:rPr>
      </w:pPr>
      <w:r w:rsidRPr="000E0F90">
        <w:rPr>
          <w:rFonts w:ascii="Arial" w:hAnsi="Arial" w:cs="Arial"/>
          <w:noProof/>
          <w:color w:val="000000" w:themeColor="text1"/>
          <w:lang w:eastAsia="es-CL"/>
        </w:rPr>
        <w:lastRenderedPageBreak/>
        <w:drawing>
          <wp:inline distT="0" distB="0" distL="0" distR="0" wp14:anchorId="226CCD5D" wp14:editId="430F2C39">
            <wp:extent cx="5390707" cy="2200939"/>
            <wp:effectExtent l="0" t="0" r="19685" b="27940"/>
            <wp:docPr id="30" name="Gráfico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A162DC" w:rsidRPr="000E0F90" w:rsidRDefault="006B15AA" w:rsidP="00702D9A">
      <w:pPr>
        <w:pStyle w:val="Epgrafe"/>
        <w:spacing w:line="360" w:lineRule="auto"/>
        <w:jc w:val="center"/>
        <w:rPr>
          <w:rFonts w:ascii="Arial" w:hAnsi="Arial" w:cs="Arial"/>
          <w:b w:val="0"/>
          <w:color w:val="000000" w:themeColor="text1"/>
          <w:sz w:val="22"/>
        </w:rPr>
      </w:pPr>
      <w:r w:rsidRPr="000E0F90">
        <w:rPr>
          <w:rFonts w:ascii="Arial" w:hAnsi="Arial" w:cs="Arial"/>
          <w:b w:val="0"/>
          <w:color w:val="000000" w:themeColor="text1"/>
          <w:sz w:val="22"/>
        </w:rPr>
        <w:t xml:space="preserve">Figura </w:t>
      </w:r>
      <w:r w:rsidRPr="000E0F90">
        <w:rPr>
          <w:rFonts w:ascii="Arial" w:hAnsi="Arial" w:cs="Arial"/>
          <w:b w:val="0"/>
          <w:color w:val="000000" w:themeColor="text1"/>
          <w:sz w:val="22"/>
        </w:rPr>
        <w:fldChar w:fldCharType="begin"/>
      </w:r>
      <w:r w:rsidRPr="000E0F90">
        <w:rPr>
          <w:rFonts w:ascii="Arial" w:hAnsi="Arial" w:cs="Arial"/>
          <w:b w:val="0"/>
          <w:color w:val="000000" w:themeColor="text1"/>
          <w:sz w:val="22"/>
        </w:rPr>
        <w:instrText xml:space="preserve"> SEQ Figura \* ARABIC </w:instrText>
      </w:r>
      <w:r w:rsidRPr="000E0F90">
        <w:rPr>
          <w:rFonts w:ascii="Arial" w:hAnsi="Arial" w:cs="Arial"/>
          <w:b w:val="0"/>
          <w:color w:val="000000" w:themeColor="text1"/>
          <w:sz w:val="22"/>
        </w:rPr>
        <w:fldChar w:fldCharType="separate"/>
      </w:r>
      <w:r w:rsidR="00225844">
        <w:rPr>
          <w:rFonts w:ascii="Arial" w:hAnsi="Arial" w:cs="Arial"/>
          <w:b w:val="0"/>
          <w:noProof/>
          <w:color w:val="000000" w:themeColor="text1"/>
          <w:sz w:val="22"/>
        </w:rPr>
        <w:t>15</w:t>
      </w:r>
      <w:r w:rsidRPr="000E0F90">
        <w:rPr>
          <w:rFonts w:ascii="Arial" w:hAnsi="Arial" w:cs="Arial"/>
          <w:b w:val="0"/>
          <w:color w:val="000000" w:themeColor="text1"/>
          <w:sz w:val="22"/>
        </w:rPr>
        <w:fldChar w:fldCharType="end"/>
      </w:r>
      <w:r w:rsidR="00AC6F2E" w:rsidRPr="000E0F90">
        <w:rPr>
          <w:rFonts w:ascii="Arial" w:hAnsi="Arial" w:cs="Arial"/>
          <w:b w:val="0"/>
          <w:color w:val="000000" w:themeColor="text1"/>
          <w:sz w:val="22"/>
        </w:rPr>
        <w:t xml:space="preserve">: Participación de principales </w:t>
      </w:r>
      <w:r w:rsidR="00F35AF7" w:rsidRPr="000E0F90">
        <w:rPr>
          <w:rFonts w:ascii="Arial" w:hAnsi="Arial" w:cs="Arial"/>
          <w:b w:val="0"/>
          <w:color w:val="000000" w:themeColor="text1"/>
          <w:sz w:val="22"/>
        </w:rPr>
        <w:t>cultivos</w:t>
      </w:r>
      <w:r w:rsidR="00AC6F2E" w:rsidRPr="000E0F90">
        <w:rPr>
          <w:rFonts w:ascii="Arial" w:hAnsi="Arial" w:cs="Arial"/>
          <w:b w:val="0"/>
          <w:color w:val="000000" w:themeColor="text1"/>
          <w:sz w:val="22"/>
        </w:rPr>
        <w:t xml:space="preserve"> silvoagrícolas de la comuna, según superficie. </w:t>
      </w:r>
      <w:r w:rsidR="008911BD" w:rsidRPr="000E0F90">
        <w:rPr>
          <w:rFonts w:ascii="Arial" w:hAnsi="Arial" w:cs="Arial"/>
          <w:b w:val="0"/>
          <w:color w:val="000000" w:themeColor="text1"/>
          <w:sz w:val="22"/>
        </w:rPr>
        <w:t xml:space="preserve">Fuente: </w:t>
      </w:r>
      <w:sdt>
        <w:sdtPr>
          <w:rPr>
            <w:rFonts w:ascii="Arial" w:hAnsi="Arial" w:cs="Arial"/>
            <w:b w:val="0"/>
            <w:color w:val="000000" w:themeColor="text1"/>
            <w:sz w:val="22"/>
          </w:rPr>
          <w:id w:val="183640912"/>
          <w:citation/>
        </w:sdtPr>
        <w:sdtEndPr/>
        <w:sdtContent>
          <w:r w:rsidR="008911BD" w:rsidRPr="000E0F90">
            <w:rPr>
              <w:rFonts w:ascii="Arial" w:hAnsi="Arial" w:cs="Arial"/>
              <w:b w:val="0"/>
              <w:color w:val="000000" w:themeColor="text1"/>
              <w:sz w:val="22"/>
            </w:rPr>
            <w:fldChar w:fldCharType="begin"/>
          </w:r>
          <w:r w:rsidR="008911BD" w:rsidRPr="000E0F90">
            <w:rPr>
              <w:rFonts w:ascii="Arial" w:hAnsi="Arial" w:cs="Arial"/>
              <w:b w:val="0"/>
              <w:color w:val="000000" w:themeColor="text1"/>
              <w:sz w:val="22"/>
            </w:rPr>
            <w:instrText xml:space="preserve"> CITATION Cen07 \l 13322 </w:instrText>
          </w:r>
          <w:r w:rsidR="008911BD" w:rsidRPr="000E0F90">
            <w:rPr>
              <w:rFonts w:ascii="Arial" w:hAnsi="Arial" w:cs="Arial"/>
              <w:b w:val="0"/>
              <w:color w:val="000000" w:themeColor="text1"/>
              <w:sz w:val="22"/>
            </w:rPr>
            <w:fldChar w:fldCharType="separate"/>
          </w:r>
          <w:r w:rsidR="008D0261" w:rsidRPr="000E0F90">
            <w:rPr>
              <w:rFonts w:ascii="Arial" w:hAnsi="Arial" w:cs="Arial"/>
              <w:noProof/>
              <w:color w:val="000000" w:themeColor="text1"/>
              <w:sz w:val="22"/>
            </w:rPr>
            <w:t>(Censo Agropecuario, 2007)</w:t>
          </w:r>
          <w:r w:rsidR="008911BD" w:rsidRPr="000E0F90">
            <w:rPr>
              <w:rFonts w:ascii="Arial" w:hAnsi="Arial" w:cs="Arial"/>
              <w:b w:val="0"/>
              <w:color w:val="000000" w:themeColor="text1"/>
              <w:sz w:val="22"/>
            </w:rPr>
            <w:fldChar w:fldCharType="end"/>
          </w:r>
        </w:sdtContent>
      </w:sdt>
    </w:p>
    <w:p w:rsidR="00A162DC" w:rsidRPr="000E0F90" w:rsidRDefault="00A162DC" w:rsidP="00702D9A">
      <w:pPr>
        <w:tabs>
          <w:tab w:val="left" w:pos="1306"/>
        </w:tabs>
        <w:spacing w:before="240" w:after="0" w:line="360" w:lineRule="auto"/>
        <w:rPr>
          <w:rFonts w:ascii="Arial" w:hAnsi="Arial" w:cs="Arial"/>
          <w:b/>
          <w:color w:val="000000" w:themeColor="text1"/>
        </w:rPr>
      </w:pPr>
      <w:r w:rsidRPr="000E0F90">
        <w:rPr>
          <w:rFonts w:ascii="Arial" w:hAnsi="Arial" w:cs="Arial"/>
          <w:b/>
          <w:color w:val="000000" w:themeColor="text1"/>
        </w:rPr>
        <w:t>Turismo</w:t>
      </w:r>
      <w:r w:rsidRPr="000E0F90">
        <w:rPr>
          <w:rFonts w:ascii="Arial" w:hAnsi="Arial" w:cs="Arial"/>
          <w:b/>
          <w:color w:val="000000" w:themeColor="text1"/>
        </w:rPr>
        <w:tab/>
      </w:r>
    </w:p>
    <w:p w:rsidR="001A681B" w:rsidRPr="000E0F90" w:rsidRDefault="001A681B" w:rsidP="00702D9A">
      <w:pPr>
        <w:spacing w:line="360" w:lineRule="auto"/>
        <w:rPr>
          <w:rFonts w:ascii="Arial" w:hAnsi="Arial" w:cs="Arial"/>
          <w:color w:val="000000" w:themeColor="text1"/>
        </w:rPr>
      </w:pPr>
      <w:r w:rsidRPr="000E0F90">
        <w:rPr>
          <w:rFonts w:ascii="Arial" w:hAnsi="Arial" w:cs="Arial"/>
          <w:color w:val="000000" w:themeColor="text1"/>
        </w:rPr>
        <w:t>Respecto a datos de SERNATUR, en la comuna de Alto del Carmen, se identifican servicios</w:t>
      </w:r>
      <w:r w:rsidR="00B91E84">
        <w:rPr>
          <w:rFonts w:ascii="Arial" w:hAnsi="Arial" w:cs="Arial"/>
          <w:color w:val="000000" w:themeColor="text1"/>
        </w:rPr>
        <w:t xml:space="preserve"> turísticos correspondientes a</w:t>
      </w:r>
      <w:r w:rsidRPr="000E0F90">
        <w:rPr>
          <w:rFonts w:ascii="Arial" w:hAnsi="Arial" w:cs="Arial"/>
          <w:color w:val="000000" w:themeColor="text1"/>
        </w:rPr>
        <w:t xml:space="preserve"> 1 hospedaje y 2 Restau</w:t>
      </w:r>
      <w:r w:rsidR="00C315A2" w:rsidRPr="000E0F90">
        <w:rPr>
          <w:rFonts w:ascii="Arial" w:hAnsi="Arial" w:cs="Arial"/>
          <w:color w:val="000000" w:themeColor="text1"/>
        </w:rPr>
        <w:t>rantes, uno ubicado en San Félix</w:t>
      </w:r>
      <w:r w:rsidRPr="000E0F90">
        <w:rPr>
          <w:rFonts w:ascii="Arial" w:hAnsi="Arial" w:cs="Arial"/>
          <w:color w:val="000000" w:themeColor="text1"/>
        </w:rPr>
        <w:t xml:space="preserve"> y el otro en Alto del Carmen. Existe un operador turístico local, además del desarrollo de turismo aventura, y elaboración de artesanías locales</w:t>
      </w:r>
      <w:r w:rsidR="00A162DC" w:rsidRPr="000E0F90">
        <w:rPr>
          <w:rFonts w:ascii="Arial" w:hAnsi="Arial" w:cs="Arial"/>
          <w:color w:val="000000" w:themeColor="text1"/>
        </w:rPr>
        <w:t xml:space="preserve"> </w:t>
      </w:r>
      <w:sdt>
        <w:sdtPr>
          <w:rPr>
            <w:rFonts w:ascii="Arial" w:hAnsi="Arial" w:cs="Arial"/>
            <w:color w:val="000000" w:themeColor="text1"/>
          </w:rPr>
          <w:id w:val="-2017910353"/>
          <w:citation/>
        </w:sdtPr>
        <w:sdtEndPr/>
        <w:sdtContent>
          <w:r w:rsidR="00A162DC" w:rsidRPr="000E0F90">
            <w:rPr>
              <w:rFonts w:ascii="Arial" w:hAnsi="Arial" w:cs="Arial"/>
              <w:color w:val="000000" w:themeColor="text1"/>
            </w:rPr>
            <w:fldChar w:fldCharType="begin"/>
          </w:r>
          <w:r w:rsidR="00A162DC" w:rsidRPr="000E0F90">
            <w:rPr>
              <w:rFonts w:ascii="Arial" w:hAnsi="Arial" w:cs="Arial"/>
              <w:color w:val="000000" w:themeColor="text1"/>
            </w:rPr>
            <w:instrText xml:space="preserve"> CITATION SER17 \l 13322 </w:instrText>
          </w:r>
          <w:r w:rsidR="00A162DC" w:rsidRPr="000E0F90">
            <w:rPr>
              <w:rFonts w:ascii="Arial" w:hAnsi="Arial" w:cs="Arial"/>
              <w:color w:val="000000" w:themeColor="text1"/>
            </w:rPr>
            <w:fldChar w:fldCharType="separate"/>
          </w:r>
          <w:r w:rsidR="008D0261" w:rsidRPr="000E0F90">
            <w:rPr>
              <w:rFonts w:ascii="Arial" w:hAnsi="Arial" w:cs="Arial"/>
              <w:noProof/>
              <w:color w:val="000000" w:themeColor="text1"/>
            </w:rPr>
            <w:t>(SERNATUR, 2017)</w:t>
          </w:r>
          <w:r w:rsidR="00A162DC" w:rsidRPr="000E0F90">
            <w:rPr>
              <w:rFonts w:ascii="Arial" w:hAnsi="Arial" w:cs="Arial"/>
              <w:color w:val="000000" w:themeColor="text1"/>
            </w:rPr>
            <w:fldChar w:fldCharType="end"/>
          </w:r>
        </w:sdtContent>
      </w:sdt>
      <w:r w:rsidR="00A162DC" w:rsidRPr="000E0F90">
        <w:rPr>
          <w:rFonts w:ascii="Arial" w:hAnsi="Arial" w:cs="Arial"/>
          <w:color w:val="000000" w:themeColor="text1"/>
        </w:rPr>
        <w:t>.</w:t>
      </w:r>
      <w:r w:rsidR="00BD616A" w:rsidRPr="000E0F90">
        <w:rPr>
          <w:rFonts w:ascii="Arial" w:hAnsi="Arial" w:cs="Arial"/>
          <w:color w:val="000000" w:themeColor="text1"/>
        </w:rPr>
        <w:t xml:space="preserve"> En la comuna se identifican los Sitios Prioritarios para la Conservación, Laguna Grande, Laguna Chica y Laguna Valeriano, ubicados dentro de la Reserva Privada de Huascoaltinos</w:t>
      </w:r>
      <w:r w:rsidR="00C315A2" w:rsidRPr="000E0F90">
        <w:rPr>
          <w:rFonts w:ascii="Arial" w:hAnsi="Arial" w:cs="Arial"/>
          <w:color w:val="000000" w:themeColor="text1"/>
        </w:rPr>
        <w:t>, además del fenómeno estacional del Desierto Florido</w:t>
      </w:r>
      <w:r w:rsidR="00BD616A" w:rsidRPr="000E0F90">
        <w:rPr>
          <w:rFonts w:ascii="Arial" w:hAnsi="Arial" w:cs="Arial"/>
          <w:color w:val="000000" w:themeColor="text1"/>
        </w:rPr>
        <w:t>.</w:t>
      </w:r>
    </w:p>
    <w:p w:rsidR="00CD6030" w:rsidRPr="000E0F90" w:rsidRDefault="00CD6030" w:rsidP="00702D9A">
      <w:pPr>
        <w:spacing w:before="240" w:after="0" w:line="360" w:lineRule="auto"/>
        <w:rPr>
          <w:rFonts w:ascii="Arial" w:hAnsi="Arial" w:cs="Arial"/>
          <w:b/>
          <w:color w:val="000000" w:themeColor="text1"/>
        </w:rPr>
      </w:pPr>
      <w:r w:rsidRPr="000E0F90">
        <w:rPr>
          <w:rFonts w:ascii="Arial" w:hAnsi="Arial" w:cs="Arial"/>
          <w:b/>
          <w:color w:val="000000" w:themeColor="text1"/>
        </w:rPr>
        <w:t>Situación Socioeconómica</w:t>
      </w:r>
    </w:p>
    <w:p w:rsidR="003A4AD4" w:rsidRPr="000E0F90" w:rsidRDefault="003A4AD4" w:rsidP="00702D9A">
      <w:pPr>
        <w:spacing w:after="0" w:line="360" w:lineRule="auto"/>
        <w:rPr>
          <w:rFonts w:ascii="Arial" w:hAnsi="Arial" w:cs="Arial"/>
          <w:color w:val="000000" w:themeColor="text1"/>
        </w:rPr>
      </w:pPr>
      <w:r w:rsidRPr="000E0F90">
        <w:rPr>
          <w:rFonts w:ascii="Arial" w:hAnsi="Arial" w:cs="Arial"/>
          <w:color w:val="000000" w:themeColor="text1"/>
        </w:rPr>
        <w:t>En cuanto a la provisión de servicios, hacia el interior de la comuna se evidencian dotación limitada de servi</w:t>
      </w:r>
      <w:r w:rsidR="00B91E84">
        <w:rPr>
          <w:rFonts w:ascii="Arial" w:hAnsi="Arial" w:cs="Arial"/>
          <w:color w:val="000000" w:themeColor="text1"/>
        </w:rPr>
        <w:t>cios básicos y complementarios</w:t>
      </w:r>
      <w:r w:rsidRPr="000E0F90">
        <w:rPr>
          <w:rFonts w:ascii="Arial" w:hAnsi="Arial" w:cs="Arial"/>
          <w:color w:val="000000" w:themeColor="text1"/>
        </w:rPr>
        <w:t xml:space="preserve"> </w:t>
      </w:r>
      <w:sdt>
        <w:sdtPr>
          <w:rPr>
            <w:rFonts w:ascii="Arial" w:hAnsi="Arial" w:cs="Arial"/>
            <w:color w:val="000000" w:themeColor="text1"/>
          </w:rPr>
          <w:id w:val="117418023"/>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CITATION ARC04 \t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(ARCADIS, 2004)</w:t>
          </w:r>
          <w:r w:rsidRPr="000E0F90">
            <w:rPr>
              <w:rFonts w:ascii="Arial" w:hAnsi="Arial" w:cs="Arial"/>
              <w:color w:val="000000" w:themeColor="text1"/>
            </w:rPr>
            <w:fldChar w:fldCharType="end"/>
          </w:r>
        </w:sdtContent>
      </w:sdt>
      <w:r w:rsidRPr="000E0F90">
        <w:rPr>
          <w:rFonts w:ascii="Arial" w:hAnsi="Arial" w:cs="Arial"/>
          <w:color w:val="000000" w:themeColor="text1"/>
        </w:rPr>
        <w:t>.</w:t>
      </w:r>
      <w:r w:rsidR="00B91E84">
        <w:rPr>
          <w:rFonts w:ascii="Arial" w:hAnsi="Arial" w:cs="Arial"/>
          <w:color w:val="000000" w:themeColor="text1"/>
        </w:rPr>
        <w:t xml:space="preserve"> </w:t>
      </w:r>
      <w:r w:rsidR="00CD6030" w:rsidRPr="000E0F90">
        <w:rPr>
          <w:rFonts w:ascii="Arial" w:hAnsi="Arial" w:cs="Arial"/>
          <w:color w:val="000000" w:themeColor="text1"/>
        </w:rPr>
        <w:t xml:space="preserve">Respecto a los servicios de salud existentes en Alto del Carmen, se identifican 5 establecimientos, correspondiente al 6,75% de la existencia regional </w:t>
      </w:r>
      <w:sdt>
        <w:sdtPr>
          <w:rPr>
            <w:rFonts w:ascii="Arial" w:hAnsi="Arial" w:cs="Arial"/>
            <w:color w:val="000000" w:themeColor="text1"/>
          </w:rPr>
          <w:id w:val="1663049841"/>
          <w:citation/>
        </w:sdtPr>
        <w:sdtEndPr/>
        <w:sdtContent>
          <w:r w:rsidR="00CD6030" w:rsidRPr="000E0F90">
            <w:rPr>
              <w:rFonts w:ascii="Arial" w:hAnsi="Arial" w:cs="Arial"/>
              <w:color w:val="000000" w:themeColor="text1"/>
            </w:rPr>
            <w:fldChar w:fldCharType="begin"/>
          </w:r>
          <w:r w:rsidR="008A32ED" w:rsidRPr="000E0F90">
            <w:rPr>
              <w:rFonts w:ascii="Arial" w:hAnsi="Arial" w:cs="Arial"/>
              <w:color w:val="000000" w:themeColor="text1"/>
            </w:rPr>
            <w:instrText xml:space="preserve">CITATION Bib17 \l 13322 </w:instrText>
          </w:r>
          <w:r w:rsidR="00CD6030" w:rsidRPr="000E0F90">
            <w:rPr>
              <w:rFonts w:ascii="Arial" w:hAnsi="Arial" w:cs="Arial"/>
              <w:color w:val="000000" w:themeColor="text1"/>
            </w:rPr>
            <w:fldChar w:fldCharType="separate"/>
          </w:r>
          <w:r w:rsidR="008D0261" w:rsidRPr="000E0F90">
            <w:rPr>
              <w:rFonts w:ascii="Arial" w:hAnsi="Arial" w:cs="Arial"/>
              <w:noProof/>
              <w:color w:val="000000" w:themeColor="text1"/>
            </w:rPr>
            <w:t>(BCN, 2017)</w:t>
          </w:r>
          <w:r w:rsidR="00CD6030" w:rsidRPr="000E0F90">
            <w:rPr>
              <w:rFonts w:ascii="Arial" w:hAnsi="Arial" w:cs="Arial"/>
              <w:color w:val="000000" w:themeColor="text1"/>
            </w:rPr>
            <w:fldChar w:fldCharType="end"/>
          </w:r>
        </w:sdtContent>
      </w:sdt>
      <w:r w:rsidR="00CD6030" w:rsidRPr="000E0F90">
        <w:rPr>
          <w:rFonts w:ascii="Arial" w:hAnsi="Arial" w:cs="Arial"/>
          <w:color w:val="000000" w:themeColor="text1"/>
        </w:rPr>
        <w:t xml:space="preserve">. En cuanto a los establecimientos de educación, en Alto del Carmen, se identifican 17 </w:t>
      </w:r>
      <w:r w:rsidR="00F35AF7" w:rsidRPr="000E0F90">
        <w:rPr>
          <w:rFonts w:ascii="Arial" w:hAnsi="Arial" w:cs="Arial"/>
          <w:color w:val="000000" w:themeColor="text1"/>
        </w:rPr>
        <w:t>establecimientos</w:t>
      </w:r>
      <w:r w:rsidR="00B91E84">
        <w:rPr>
          <w:rFonts w:ascii="Arial" w:hAnsi="Arial" w:cs="Arial"/>
          <w:color w:val="000000" w:themeColor="text1"/>
        </w:rPr>
        <w:t xml:space="preserve"> (</w:t>
      </w:r>
      <w:r w:rsidR="00CD6030" w:rsidRPr="000E0F90">
        <w:rPr>
          <w:rFonts w:ascii="Arial" w:hAnsi="Arial" w:cs="Arial"/>
          <w:color w:val="000000" w:themeColor="text1"/>
        </w:rPr>
        <w:t>9,5%</w:t>
      </w:r>
      <w:r w:rsidR="00B91E84">
        <w:rPr>
          <w:rFonts w:ascii="Arial" w:hAnsi="Arial" w:cs="Arial"/>
          <w:color w:val="000000" w:themeColor="text1"/>
        </w:rPr>
        <w:t xml:space="preserve"> regional)</w:t>
      </w:r>
      <w:r w:rsidR="00CD6030" w:rsidRPr="000E0F90">
        <w:rPr>
          <w:rFonts w:ascii="Arial" w:hAnsi="Arial" w:cs="Arial"/>
          <w:color w:val="000000" w:themeColor="text1"/>
        </w:rPr>
        <w:t>, lo</w:t>
      </w:r>
      <w:r w:rsidR="0054694E" w:rsidRPr="000E0F90">
        <w:rPr>
          <w:rFonts w:ascii="Arial" w:hAnsi="Arial" w:cs="Arial"/>
          <w:color w:val="000000" w:themeColor="text1"/>
        </w:rPr>
        <w:t>s</w:t>
      </w:r>
      <w:r w:rsidR="00CD6030" w:rsidRPr="000E0F90">
        <w:rPr>
          <w:rFonts w:ascii="Arial" w:hAnsi="Arial" w:cs="Arial"/>
          <w:color w:val="000000" w:themeColor="text1"/>
        </w:rPr>
        <w:t xml:space="preserve"> cuales imparten educación parvularia, y básica y media para niños, sin existir </w:t>
      </w:r>
      <w:r w:rsidR="00F35AF7" w:rsidRPr="000E0F90">
        <w:rPr>
          <w:rFonts w:ascii="Arial" w:hAnsi="Arial" w:cs="Arial"/>
          <w:color w:val="000000" w:themeColor="text1"/>
        </w:rPr>
        <w:t>matrícula</w:t>
      </w:r>
      <w:r w:rsidR="00CD6030" w:rsidRPr="000E0F90">
        <w:rPr>
          <w:rFonts w:ascii="Arial" w:hAnsi="Arial" w:cs="Arial"/>
          <w:color w:val="000000" w:themeColor="text1"/>
        </w:rPr>
        <w:t xml:space="preserve"> para adultos o educación especial </w:t>
      </w:r>
      <w:sdt>
        <w:sdtPr>
          <w:rPr>
            <w:rFonts w:ascii="Arial" w:hAnsi="Arial" w:cs="Arial"/>
            <w:color w:val="000000" w:themeColor="text1"/>
          </w:rPr>
          <w:id w:val="-727369845"/>
          <w:citation/>
        </w:sdtPr>
        <w:sdtEndPr/>
        <w:sdtContent>
          <w:r w:rsidR="00CD6030" w:rsidRPr="000E0F90">
            <w:rPr>
              <w:rFonts w:ascii="Arial" w:hAnsi="Arial" w:cs="Arial"/>
              <w:color w:val="000000" w:themeColor="text1"/>
            </w:rPr>
            <w:fldChar w:fldCharType="begin"/>
          </w:r>
          <w:r w:rsidR="008A32ED" w:rsidRPr="000E0F90">
            <w:rPr>
              <w:rFonts w:ascii="Arial" w:hAnsi="Arial" w:cs="Arial"/>
              <w:color w:val="000000" w:themeColor="text1"/>
            </w:rPr>
            <w:instrText xml:space="preserve">CITATION Bib17 \l 13322 </w:instrText>
          </w:r>
          <w:r w:rsidR="00CD6030" w:rsidRPr="000E0F90">
            <w:rPr>
              <w:rFonts w:ascii="Arial" w:hAnsi="Arial" w:cs="Arial"/>
              <w:color w:val="000000" w:themeColor="text1"/>
            </w:rPr>
            <w:fldChar w:fldCharType="separate"/>
          </w:r>
          <w:r w:rsidR="008D0261" w:rsidRPr="000E0F90">
            <w:rPr>
              <w:rFonts w:ascii="Arial" w:hAnsi="Arial" w:cs="Arial"/>
              <w:noProof/>
              <w:color w:val="000000" w:themeColor="text1"/>
            </w:rPr>
            <w:t>(BCN, 2017)</w:t>
          </w:r>
          <w:r w:rsidR="00CD6030" w:rsidRPr="000E0F90">
            <w:rPr>
              <w:rFonts w:ascii="Arial" w:hAnsi="Arial" w:cs="Arial"/>
              <w:color w:val="000000" w:themeColor="text1"/>
            </w:rPr>
            <w:fldChar w:fldCharType="end"/>
          </w:r>
        </w:sdtContent>
      </w:sdt>
      <w:r w:rsidRPr="000E0F90">
        <w:rPr>
          <w:rFonts w:ascii="Arial" w:hAnsi="Arial" w:cs="Arial"/>
          <w:color w:val="000000" w:themeColor="text1"/>
        </w:rPr>
        <w:t xml:space="preserve">. </w:t>
      </w:r>
      <w:r w:rsidR="00B91E84">
        <w:rPr>
          <w:rFonts w:ascii="Arial" w:eastAsia="Times New Roman" w:hAnsi="Arial" w:cs="Arial"/>
          <w:color w:val="000000" w:themeColor="text1"/>
          <w:szCs w:val="20"/>
          <w:lang w:eastAsia="es-ES"/>
        </w:rPr>
        <w:t xml:space="preserve">Existe </w:t>
      </w:r>
      <w:r w:rsidRPr="000E0F90">
        <w:rPr>
          <w:rFonts w:ascii="Arial" w:eastAsia="Times New Roman" w:hAnsi="Arial" w:cs="Arial"/>
          <w:color w:val="000000" w:themeColor="text1"/>
          <w:szCs w:val="20"/>
          <w:lang w:eastAsia="es-ES"/>
        </w:rPr>
        <w:t xml:space="preserve">déficit en alternativas de ocio y esparcimiento familiar al igual que en infraestructura comunitaria </w:t>
      </w:r>
      <w:sdt>
        <w:sdtPr>
          <w:rPr>
            <w:rFonts w:ascii="Arial" w:hAnsi="Arial" w:cs="Arial"/>
            <w:color w:val="000000" w:themeColor="text1"/>
          </w:rPr>
          <w:id w:val="692738728"/>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CITATION ARC04 \t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(ARCADIS, 2004)</w:t>
          </w:r>
          <w:r w:rsidRPr="000E0F90">
            <w:rPr>
              <w:rFonts w:ascii="Arial" w:hAnsi="Arial" w:cs="Arial"/>
              <w:color w:val="000000" w:themeColor="text1"/>
            </w:rPr>
            <w:fldChar w:fldCharType="end"/>
          </w:r>
        </w:sdtContent>
      </w:sdt>
    </w:p>
    <w:p w:rsidR="00CD6030" w:rsidRPr="000E0F90" w:rsidRDefault="00CD6030" w:rsidP="00702D9A">
      <w:pPr>
        <w:spacing w:line="360" w:lineRule="auto"/>
        <w:jc w:val="left"/>
        <w:rPr>
          <w:rFonts w:ascii="Arial" w:eastAsia="Times New Roman" w:hAnsi="Arial" w:cs="Arial"/>
          <w:b/>
          <w:color w:val="000000" w:themeColor="text1"/>
          <w:szCs w:val="20"/>
          <w:lang w:eastAsia="es-ES"/>
        </w:rPr>
      </w:pPr>
    </w:p>
    <w:p w:rsidR="00C315A2" w:rsidRPr="000E0F90" w:rsidRDefault="00C315A2" w:rsidP="00702D9A">
      <w:pPr>
        <w:spacing w:line="360" w:lineRule="auto"/>
        <w:jc w:val="left"/>
        <w:rPr>
          <w:rFonts w:ascii="Arial" w:hAnsi="Arial" w:cs="Arial"/>
          <w:b/>
          <w:color w:val="000000" w:themeColor="text1"/>
        </w:rPr>
      </w:pPr>
      <w:r w:rsidRPr="000E0F90">
        <w:rPr>
          <w:rFonts w:ascii="Arial" w:hAnsi="Arial" w:cs="Arial"/>
          <w:b/>
          <w:color w:val="000000" w:themeColor="text1"/>
        </w:rPr>
        <w:br w:type="page"/>
      </w:r>
    </w:p>
    <w:p w:rsidR="00432DB8" w:rsidRPr="000E0F90" w:rsidRDefault="006B15AA" w:rsidP="00702D9A">
      <w:pPr>
        <w:pStyle w:val="Epgrafe"/>
        <w:spacing w:line="360" w:lineRule="auto"/>
        <w:rPr>
          <w:rFonts w:ascii="Arial" w:hAnsi="Arial" w:cs="Arial"/>
          <w:b w:val="0"/>
          <w:color w:val="000000" w:themeColor="text1"/>
          <w:sz w:val="22"/>
        </w:rPr>
      </w:pPr>
      <w:r w:rsidRPr="000E0F90">
        <w:rPr>
          <w:rFonts w:ascii="Arial" w:hAnsi="Arial" w:cs="Arial"/>
          <w:b w:val="0"/>
          <w:color w:val="000000" w:themeColor="text1"/>
          <w:sz w:val="22"/>
        </w:rPr>
        <w:lastRenderedPageBreak/>
        <w:t xml:space="preserve">Cuadro </w:t>
      </w:r>
      <w:r w:rsidRPr="000E0F90">
        <w:rPr>
          <w:rFonts w:ascii="Arial" w:hAnsi="Arial" w:cs="Arial"/>
          <w:b w:val="0"/>
          <w:color w:val="000000" w:themeColor="text1"/>
          <w:sz w:val="22"/>
        </w:rPr>
        <w:fldChar w:fldCharType="begin"/>
      </w:r>
      <w:r w:rsidRPr="000E0F90">
        <w:rPr>
          <w:rFonts w:ascii="Arial" w:hAnsi="Arial" w:cs="Arial"/>
          <w:b w:val="0"/>
          <w:color w:val="000000" w:themeColor="text1"/>
          <w:sz w:val="22"/>
        </w:rPr>
        <w:instrText xml:space="preserve"> SEQ Cuadro \* ARABIC </w:instrText>
      </w:r>
      <w:r w:rsidRPr="000E0F90">
        <w:rPr>
          <w:rFonts w:ascii="Arial" w:hAnsi="Arial" w:cs="Arial"/>
          <w:b w:val="0"/>
          <w:color w:val="000000" w:themeColor="text1"/>
          <w:sz w:val="22"/>
        </w:rPr>
        <w:fldChar w:fldCharType="separate"/>
      </w:r>
      <w:r w:rsidR="00225844">
        <w:rPr>
          <w:rFonts w:ascii="Arial" w:hAnsi="Arial" w:cs="Arial"/>
          <w:b w:val="0"/>
          <w:noProof/>
          <w:color w:val="000000" w:themeColor="text1"/>
          <w:sz w:val="22"/>
        </w:rPr>
        <w:t>10</w:t>
      </w:r>
      <w:r w:rsidRPr="000E0F90">
        <w:rPr>
          <w:rFonts w:ascii="Arial" w:hAnsi="Arial" w:cs="Arial"/>
          <w:b w:val="0"/>
          <w:color w:val="000000" w:themeColor="text1"/>
          <w:sz w:val="22"/>
        </w:rPr>
        <w:fldChar w:fldCharType="end"/>
      </w:r>
      <w:r w:rsidRPr="000E0F90">
        <w:rPr>
          <w:rFonts w:ascii="Arial" w:hAnsi="Arial" w:cs="Arial"/>
          <w:b w:val="0"/>
          <w:color w:val="000000" w:themeColor="text1"/>
          <w:sz w:val="22"/>
        </w:rPr>
        <w:t xml:space="preserve">: </w:t>
      </w:r>
      <w:r w:rsidR="00432DB8" w:rsidRPr="000E0F90">
        <w:rPr>
          <w:rFonts w:ascii="Arial" w:hAnsi="Arial" w:cs="Arial"/>
          <w:b w:val="0"/>
          <w:color w:val="000000" w:themeColor="text1"/>
          <w:sz w:val="22"/>
        </w:rPr>
        <w:t>Cuadro comparativo caracterización comunal</w:t>
      </w:r>
      <w:r w:rsidR="00740D3D" w:rsidRPr="000E0F90">
        <w:rPr>
          <w:rFonts w:ascii="Arial" w:hAnsi="Arial" w:cs="Arial"/>
          <w:b w:val="0"/>
          <w:color w:val="000000" w:themeColor="text1"/>
          <w:sz w:val="22"/>
        </w:rPr>
        <w:t>, de acuerdo a biogeoestructura y socioestructura</w:t>
      </w:r>
      <w:r w:rsidR="003F2E43" w:rsidRPr="000E0F90">
        <w:rPr>
          <w:rFonts w:ascii="Arial" w:hAnsi="Arial" w:cs="Arial"/>
          <w:b w:val="0"/>
          <w:color w:val="000000" w:themeColor="text1"/>
          <w:sz w:val="22"/>
        </w:rPr>
        <w:t>. Región de Atacama.</w:t>
      </w:r>
    </w:p>
    <w:tbl>
      <w:tblPr>
        <w:tblStyle w:val="Tablaconcuadrcula"/>
        <w:tblW w:w="8784" w:type="dxa"/>
        <w:tblBorders>
          <w:left w:val="none" w:sz="0" w:space="0" w:color="auto"/>
          <w:right w:val="none" w:sz="0" w:space="0" w:color="auto"/>
        </w:tblBorders>
        <w:tblLook w:val="04A0" w:firstRow="1" w:lastRow="0" w:firstColumn="1" w:lastColumn="0" w:noHBand="0" w:noVBand="1"/>
      </w:tblPr>
      <w:tblGrid>
        <w:gridCol w:w="2394"/>
        <w:gridCol w:w="3195"/>
        <w:gridCol w:w="3195"/>
      </w:tblGrid>
      <w:tr w:rsidR="00C901F3" w:rsidRPr="000E0F90" w:rsidTr="002613F4">
        <w:tc>
          <w:tcPr>
            <w:tcW w:w="8784" w:type="dxa"/>
            <w:gridSpan w:val="3"/>
            <w:tcBorders>
              <w:bottom w:val="nil"/>
            </w:tcBorders>
            <w:shd w:val="clear" w:color="auto" w:fill="D9D9D9" w:themeFill="background1" w:themeFillShade="D9"/>
          </w:tcPr>
          <w:p w:rsidR="00C901F3" w:rsidRPr="000E0F90" w:rsidRDefault="00C901F3" w:rsidP="00FA07B6">
            <w:pPr>
              <w:jc w:val="left"/>
              <w:rPr>
                <w:rFonts w:ascii="Arial" w:hAnsi="Arial" w:cs="Arial"/>
                <w:b/>
                <w:color w:val="000000" w:themeColor="text1"/>
                <w:sz w:val="20"/>
                <w:szCs w:val="20"/>
              </w:rPr>
            </w:pPr>
            <w:r w:rsidRPr="000E0F90">
              <w:rPr>
                <w:rFonts w:ascii="Arial" w:hAnsi="Arial" w:cs="Arial"/>
                <w:b/>
                <w:color w:val="000000" w:themeColor="text1"/>
                <w:sz w:val="20"/>
                <w:szCs w:val="20"/>
              </w:rPr>
              <w:t>BIOGEOESTRUCTURA</w:t>
            </w:r>
          </w:p>
        </w:tc>
      </w:tr>
      <w:tr w:rsidR="00432DB8" w:rsidRPr="000E0F90" w:rsidTr="002613F4">
        <w:tc>
          <w:tcPr>
            <w:tcW w:w="2394" w:type="dxa"/>
            <w:tcBorders>
              <w:top w:val="nil"/>
              <w:bottom w:val="single" w:sz="4" w:space="0" w:color="auto"/>
              <w:right w:val="nil"/>
            </w:tcBorders>
            <w:shd w:val="clear" w:color="auto" w:fill="D9D9D9" w:themeFill="background1" w:themeFillShade="D9"/>
          </w:tcPr>
          <w:p w:rsidR="00432DB8" w:rsidRPr="000E0F90" w:rsidRDefault="00C901F3" w:rsidP="00FA07B6">
            <w:pPr>
              <w:jc w:val="left"/>
              <w:rPr>
                <w:rFonts w:ascii="Arial" w:hAnsi="Arial" w:cs="Arial"/>
                <w:b/>
                <w:color w:val="000000" w:themeColor="text1"/>
                <w:sz w:val="20"/>
                <w:szCs w:val="20"/>
              </w:rPr>
            </w:pPr>
            <w:r w:rsidRPr="000E0F90">
              <w:rPr>
                <w:rFonts w:ascii="Arial" w:hAnsi="Arial" w:cs="Arial"/>
                <w:b/>
                <w:color w:val="000000" w:themeColor="text1"/>
                <w:sz w:val="20"/>
                <w:szCs w:val="20"/>
              </w:rPr>
              <w:t>Temas</w:t>
            </w:r>
          </w:p>
        </w:tc>
        <w:tc>
          <w:tcPr>
            <w:tcW w:w="3195" w:type="dxa"/>
            <w:tcBorders>
              <w:top w:val="nil"/>
              <w:left w:val="nil"/>
              <w:bottom w:val="single" w:sz="4" w:space="0" w:color="auto"/>
              <w:right w:val="nil"/>
            </w:tcBorders>
            <w:shd w:val="clear" w:color="auto" w:fill="D9D9D9" w:themeFill="background1" w:themeFillShade="D9"/>
          </w:tcPr>
          <w:p w:rsidR="00432DB8" w:rsidRPr="000E0F90" w:rsidRDefault="00C901F3" w:rsidP="00FA07B6">
            <w:pPr>
              <w:jc w:val="left"/>
              <w:rPr>
                <w:rFonts w:ascii="Arial" w:hAnsi="Arial" w:cs="Arial"/>
                <w:color w:val="000000" w:themeColor="text1"/>
                <w:sz w:val="20"/>
                <w:szCs w:val="20"/>
              </w:rPr>
            </w:pPr>
            <w:r w:rsidRPr="000E0F90">
              <w:rPr>
                <w:rFonts w:ascii="Arial" w:hAnsi="Arial" w:cs="Arial"/>
                <w:b/>
                <w:color w:val="000000" w:themeColor="text1"/>
                <w:sz w:val="20"/>
                <w:szCs w:val="20"/>
              </w:rPr>
              <w:t>Comuna Tierra Amarilla</w:t>
            </w:r>
          </w:p>
        </w:tc>
        <w:tc>
          <w:tcPr>
            <w:tcW w:w="3195" w:type="dxa"/>
            <w:tcBorders>
              <w:top w:val="nil"/>
              <w:left w:val="nil"/>
              <w:bottom w:val="single" w:sz="4" w:space="0" w:color="auto"/>
            </w:tcBorders>
            <w:shd w:val="clear" w:color="auto" w:fill="D9D9D9" w:themeFill="background1" w:themeFillShade="D9"/>
          </w:tcPr>
          <w:p w:rsidR="00432DB8" w:rsidRPr="000E0F90" w:rsidRDefault="00C901F3" w:rsidP="00FA07B6">
            <w:pPr>
              <w:jc w:val="left"/>
              <w:rPr>
                <w:rFonts w:ascii="Arial" w:hAnsi="Arial" w:cs="Arial"/>
                <w:color w:val="000000" w:themeColor="text1"/>
                <w:sz w:val="20"/>
                <w:szCs w:val="20"/>
              </w:rPr>
            </w:pPr>
            <w:r w:rsidRPr="000E0F90">
              <w:rPr>
                <w:rFonts w:ascii="Arial" w:hAnsi="Arial" w:cs="Arial"/>
                <w:b/>
                <w:color w:val="000000" w:themeColor="text1"/>
                <w:sz w:val="20"/>
                <w:szCs w:val="20"/>
              </w:rPr>
              <w:t>Comuna Alto del Carmen</w:t>
            </w:r>
          </w:p>
        </w:tc>
      </w:tr>
      <w:tr w:rsidR="001A681B" w:rsidRPr="000E0F90" w:rsidTr="002A21E4">
        <w:tc>
          <w:tcPr>
            <w:tcW w:w="2394" w:type="dxa"/>
            <w:tcBorders>
              <w:bottom w:val="nil"/>
              <w:right w:val="nil"/>
            </w:tcBorders>
          </w:tcPr>
          <w:p w:rsidR="001A681B" w:rsidRPr="000E0F90" w:rsidRDefault="001A681B" w:rsidP="00FA07B6">
            <w:pPr>
              <w:jc w:val="left"/>
              <w:rPr>
                <w:rFonts w:ascii="Arial" w:hAnsi="Arial" w:cs="Arial"/>
                <w:b/>
                <w:color w:val="000000" w:themeColor="text1"/>
                <w:sz w:val="20"/>
                <w:szCs w:val="20"/>
              </w:rPr>
            </w:pPr>
            <w:r w:rsidRPr="000E0F90">
              <w:rPr>
                <w:rFonts w:ascii="Arial" w:hAnsi="Arial" w:cs="Arial"/>
                <w:b/>
                <w:color w:val="000000" w:themeColor="text1"/>
                <w:sz w:val="20"/>
                <w:szCs w:val="20"/>
              </w:rPr>
              <w:t>Localización</w:t>
            </w:r>
          </w:p>
        </w:tc>
        <w:tc>
          <w:tcPr>
            <w:tcW w:w="3195" w:type="dxa"/>
            <w:tcBorders>
              <w:left w:val="nil"/>
              <w:bottom w:val="nil"/>
              <w:right w:val="nil"/>
            </w:tcBorders>
          </w:tcPr>
          <w:p w:rsidR="001A681B" w:rsidRPr="000E0F90" w:rsidRDefault="001A681B" w:rsidP="00432DB8">
            <w:pPr>
              <w:jc w:val="left"/>
              <w:rPr>
                <w:rFonts w:ascii="Arial" w:hAnsi="Arial" w:cs="Arial"/>
                <w:color w:val="000000" w:themeColor="text1"/>
                <w:sz w:val="20"/>
                <w:szCs w:val="20"/>
              </w:rPr>
            </w:pPr>
            <w:r w:rsidRPr="000E0F90">
              <w:rPr>
                <w:rFonts w:ascii="Arial" w:hAnsi="Arial" w:cs="Arial"/>
                <w:color w:val="000000" w:themeColor="text1"/>
                <w:sz w:val="20"/>
                <w:szCs w:val="20"/>
              </w:rPr>
              <w:t>Superficie: 11.191 km2 (</w:t>
            </w:r>
            <w:r w:rsidR="0054694E" w:rsidRPr="000E0F90">
              <w:rPr>
                <w:rFonts w:ascii="Arial" w:hAnsi="Arial" w:cs="Arial"/>
                <w:color w:val="000000" w:themeColor="text1"/>
                <w:sz w:val="20"/>
                <w:szCs w:val="20"/>
              </w:rPr>
              <w:t>14,8% su</w:t>
            </w:r>
            <w:r w:rsidRPr="000E0F90">
              <w:rPr>
                <w:rFonts w:ascii="Arial" w:hAnsi="Arial" w:cs="Arial"/>
                <w:color w:val="000000" w:themeColor="text1"/>
                <w:sz w:val="20"/>
                <w:szCs w:val="20"/>
              </w:rPr>
              <w:t>p</w:t>
            </w:r>
            <w:r w:rsidR="0054694E" w:rsidRPr="000E0F90">
              <w:rPr>
                <w:rFonts w:ascii="Arial" w:hAnsi="Arial" w:cs="Arial"/>
                <w:color w:val="000000" w:themeColor="text1"/>
                <w:sz w:val="20"/>
                <w:szCs w:val="20"/>
              </w:rPr>
              <w:t>e</w:t>
            </w:r>
            <w:r w:rsidRPr="000E0F90">
              <w:rPr>
                <w:rFonts w:ascii="Arial" w:hAnsi="Arial" w:cs="Arial"/>
                <w:color w:val="000000" w:themeColor="text1"/>
                <w:sz w:val="20"/>
                <w:szCs w:val="20"/>
              </w:rPr>
              <w:t xml:space="preserve">rficie regional). </w:t>
            </w:r>
          </w:p>
          <w:p w:rsidR="001A681B" w:rsidRPr="000E0F90" w:rsidRDefault="001A681B" w:rsidP="00432DB8">
            <w:pPr>
              <w:jc w:val="left"/>
              <w:rPr>
                <w:rFonts w:ascii="Arial" w:hAnsi="Arial" w:cs="Arial"/>
                <w:color w:val="000000" w:themeColor="text1"/>
                <w:sz w:val="20"/>
                <w:szCs w:val="20"/>
              </w:rPr>
            </w:pPr>
            <w:r w:rsidRPr="000E0F90">
              <w:rPr>
                <w:rFonts w:ascii="Arial" w:hAnsi="Arial" w:cs="Arial"/>
                <w:i/>
                <w:color w:val="000000" w:themeColor="text1"/>
                <w:sz w:val="20"/>
                <w:szCs w:val="20"/>
              </w:rPr>
              <w:t>Administrativa:</w:t>
            </w:r>
            <w:r w:rsidRPr="000E0F90">
              <w:rPr>
                <w:rFonts w:ascii="Arial" w:hAnsi="Arial" w:cs="Arial"/>
                <w:color w:val="000000" w:themeColor="text1"/>
                <w:sz w:val="20"/>
                <w:szCs w:val="20"/>
              </w:rPr>
              <w:t xml:space="preserve"> mac</w:t>
            </w:r>
            <w:r w:rsidR="00B53A2F" w:rsidRPr="000E0F90">
              <w:rPr>
                <w:rFonts w:ascii="Arial" w:hAnsi="Arial" w:cs="Arial"/>
                <w:color w:val="000000" w:themeColor="text1"/>
                <w:sz w:val="20"/>
                <w:szCs w:val="20"/>
              </w:rPr>
              <w:t xml:space="preserve">rorregión de Sudamérica, país </w:t>
            </w:r>
            <w:r w:rsidRPr="000E0F90">
              <w:rPr>
                <w:rFonts w:ascii="Arial" w:hAnsi="Arial" w:cs="Arial"/>
                <w:color w:val="000000" w:themeColor="text1"/>
                <w:sz w:val="20"/>
                <w:szCs w:val="20"/>
              </w:rPr>
              <w:t xml:space="preserve">Chile, III Región de Atacama, Provincia de Copiapó. </w:t>
            </w:r>
          </w:p>
          <w:p w:rsidR="006F3AFC" w:rsidRPr="000E0F90" w:rsidRDefault="001A681B" w:rsidP="00432DB8">
            <w:pPr>
              <w:jc w:val="left"/>
              <w:rPr>
                <w:rFonts w:ascii="Arial" w:hAnsi="Arial" w:cs="Arial"/>
                <w:color w:val="000000" w:themeColor="text1"/>
                <w:sz w:val="20"/>
                <w:szCs w:val="20"/>
              </w:rPr>
            </w:pPr>
            <w:r w:rsidRPr="000E0F90">
              <w:rPr>
                <w:rFonts w:ascii="Arial" w:hAnsi="Arial" w:cs="Arial"/>
                <w:i/>
                <w:color w:val="000000" w:themeColor="text1"/>
                <w:sz w:val="20"/>
                <w:szCs w:val="20"/>
              </w:rPr>
              <w:t>Ecológica</w:t>
            </w:r>
            <w:r w:rsidRPr="000E0F90">
              <w:rPr>
                <w:rFonts w:ascii="Arial" w:hAnsi="Arial" w:cs="Arial"/>
                <w:color w:val="000000" w:themeColor="text1"/>
                <w:sz w:val="20"/>
                <w:szCs w:val="20"/>
              </w:rPr>
              <w:t xml:space="preserve">: Reino Seco, Dominio Desértico y </w:t>
            </w:r>
            <w:r w:rsidR="006F3AFC" w:rsidRPr="000E0F90">
              <w:rPr>
                <w:rFonts w:ascii="Arial" w:hAnsi="Arial" w:cs="Arial"/>
                <w:color w:val="000000" w:themeColor="text1"/>
                <w:sz w:val="20"/>
                <w:szCs w:val="20"/>
              </w:rPr>
              <w:t xml:space="preserve">Estepario, con </w:t>
            </w:r>
            <w:r w:rsidRPr="000E0F90">
              <w:rPr>
                <w:rFonts w:ascii="Arial" w:hAnsi="Arial" w:cs="Arial"/>
                <w:color w:val="000000" w:themeColor="text1"/>
                <w:sz w:val="20"/>
                <w:szCs w:val="20"/>
              </w:rPr>
              <w:t xml:space="preserve">presencia del </w:t>
            </w:r>
            <w:r w:rsidR="006F3AFC" w:rsidRPr="000E0F90">
              <w:rPr>
                <w:rFonts w:ascii="Arial" w:hAnsi="Arial" w:cs="Arial"/>
                <w:color w:val="000000" w:themeColor="text1"/>
                <w:sz w:val="20"/>
                <w:szCs w:val="20"/>
              </w:rPr>
              <w:t xml:space="preserve">Reino </w:t>
            </w:r>
            <w:r w:rsidRPr="000E0F90">
              <w:rPr>
                <w:rFonts w:ascii="Arial" w:hAnsi="Arial" w:cs="Arial"/>
                <w:color w:val="000000" w:themeColor="text1"/>
                <w:sz w:val="20"/>
                <w:szCs w:val="20"/>
              </w:rPr>
              <w:t xml:space="preserve">Nevado hacia zonas altas. </w:t>
            </w:r>
          </w:p>
          <w:p w:rsidR="001A681B" w:rsidRPr="000E0F90" w:rsidRDefault="001A681B" w:rsidP="00432DB8">
            <w:pPr>
              <w:jc w:val="left"/>
              <w:rPr>
                <w:rFonts w:ascii="Arial" w:hAnsi="Arial" w:cs="Arial"/>
                <w:color w:val="000000" w:themeColor="text1"/>
                <w:sz w:val="20"/>
                <w:szCs w:val="20"/>
              </w:rPr>
            </w:pPr>
            <w:r w:rsidRPr="000E0F90">
              <w:rPr>
                <w:rFonts w:ascii="Arial" w:hAnsi="Arial" w:cs="Arial"/>
                <w:i/>
                <w:color w:val="000000" w:themeColor="text1"/>
                <w:sz w:val="20"/>
                <w:szCs w:val="20"/>
              </w:rPr>
              <w:t>Provincias</w:t>
            </w:r>
            <w:r w:rsidR="0054694E" w:rsidRPr="000E0F90">
              <w:rPr>
                <w:rFonts w:ascii="Arial" w:hAnsi="Arial" w:cs="Arial"/>
                <w:i/>
                <w:color w:val="000000" w:themeColor="text1"/>
                <w:sz w:val="20"/>
                <w:szCs w:val="20"/>
              </w:rPr>
              <w:t xml:space="preserve"> </w:t>
            </w:r>
            <w:r w:rsidRPr="000E0F90">
              <w:rPr>
                <w:rFonts w:ascii="Arial" w:hAnsi="Arial" w:cs="Arial"/>
                <w:i/>
                <w:color w:val="000000" w:themeColor="text1"/>
                <w:sz w:val="20"/>
                <w:szCs w:val="20"/>
              </w:rPr>
              <w:t xml:space="preserve">ecológicas: </w:t>
            </w:r>
          </w:p>
          <w:p w:rsidR="001A681B" w:rsidRPr="000E0F90" w:rsidRDefault="001A681B" w:rsidP="006F3AFC">
            <w:pPr>
              <w:jc w:val="left"/>
              <w:rPr>
                <w:rFonts w:ascii="Arial" w:hAnsi="Arial" w:cs="Arial"/>
                <w:color w:val="000000" w:themeColor="text1"/>
                <w:sz w:val="20"/>
                <w:szCs w:val="20"/>
              </w:rPr>
            </w:pPr>
            <w:r w:rsidRPr="000E0F90">
              <w:rPr>
                <w:rFonts w:ascii="Arial" w:hAnsi="Arial" w:cs="Arial"/>
                <w:color w:val="000000" w:themeColor="text1"/>
                <w:sz w:val="20"/>
                <w:szCs w:val="20"/>
              </w:rPr>
              <w:t xml:space="preserve">Desértica </w:t>
            </w:r>
            <w:r w:rsidR="006F3AFC" w:rsidRPr="000E0F90">
              <w:rPr>
                <w:rFonts w:ascii="Arial" w:hAnsi="Arial" w:cs="Arial"/>
                <w:color w:val="000000" w:themeColor="text1"/>
                <w:sz w:val="20"/>
                <w:szCs w:val="20"/>
              </w:rPr>
              <w:t>Transicional, Desértica de Altura, Esteparia de Montaña y Nival de Altura</w:t>
            </w:r>
          </w:p>
        </w:tc>
        <w:tc>
          <w:tcPr>
            <w:tcW w:w="3195" w:type="dxa"/>
            <w:tcBorders>
              <w:left w:val="nil"/>
              <w:bottom w:val="nil"/>
            </w:tcBorders>
          </w:tcPr>
          <w:p w:rsidR="001A681B" w:rsidRPr="000E0F90" w:rsidRDefault="001A681B" w:rsidP="00FA07B6">
            <w:pPr>
              <w:jc w:val="left"/>
              <w:rPr>
                <w:rFonts w:ascii="Arial" w:hAnsi="Arial" w:cs="Arial"/>
                <w:color w:val="000000" w:themeColor="text1"/>
                <w:sz w:val="20"/>
                <w:szCs w:val="20"/>
              </w:rPr>
            </w:pPr>
            <w:r w:rsidRPr="000E0F90">
              <w:rPr>
                <w:rFonts w:ascii="Arial" w:hAnsi="Arial" w:cs="Arial"/>
                <w:color w:val="000000" w:themeColor="text1"/>
                <w:sz w:val="20"/>
                <w:szCs w:val="20"/>
              </w:rPr>
              <w:t xml:space="preserve">Superficie: </w:t>
            </w:r>
            <w:r w:rsidR="0054694E" w:rsidRPr="000E0F90">
              <w:rPr>
                <w:rFonts w:ascii="Arial" w:hAnsi="Arial" w:cs="Arial"/>
                <w:color w:val="000000" w:themeColor="text1"/>
                <w:sz w:val="20"/>
                <w:szCs w:val="20"/>
              </w:rPr>
              <w:t>5.939 km2</w:t>
            </w:r>
            <w:r w:rsidRPr="000E0F90">
              <w:rPr>
                <w:rFonts w:ascii="Arial" w:hAnsi="Arial" w:cs="Arial"/>
                <w:color w:val="000000" w:themeColor="text1"/>
                <w:sz w:val="20"/>
                <w:szCs w:val="20"/>
              </w:rPr>
              <w:t xml:space="preserve"> (</w:t>
            </w:r>
            <w:r w:rsidR="0054694E" w:rsidRPr="000E0F90">
              <w:rPr>
                <w:rFonts w:ascii="Arial" w:hAnsi="Arial" w:cs="Arial"/>
                <w:color w:val="000000" w:themeColor="text1"/>
                <w:sz w:val="20"/>
                <w:szCs w:val="20"/>
              </w:rPr>
              <w:t>7,9%</w:t>
            </w:r>
            <w:r w:rsidRPr="000E0F90">
              <w:rPr>
                <w:rFonts w:ascii="Arial" w:hAnsi="Arial" w:cs="Arial"/>
                <w:color w:val="000000" w:themeColor="text1"/>
                <w:sz w:val="20"/>
                <w:szCs w:val="20"/>
              </w:rPr>
              <w:t xml:space="preserve"> su</w:t>
            </w:r>
            <w:r w:rsidR="0054694E" w:rsidRPr="000E0F90">
              <w:rPr>
                <w:rFonts w:ascii="Arial" w:hAnsi="Arial" w:cs="Arial"/>
                <w:color w:val="000000" w:themeColor="text1"/>
                <w:sz w:val="20"/>
                <w:szCs w:val="20"/>
              </w:rPr>
              <w:t>e</w:t>
            </w:r>
            <w:r w:rsidRPr="000E0F90">
              <w:rPr>
                <w:rFonts w:ascii="Arial" w:hAnsi="Arial" w:cs="Arial"/>
                <w:color w:val="000000" w:themeColor="text1"/>
                <w:sz w:val="20"/>
                <w:szCs w:val="20"/>
              </w:rPr>
              <w:t xml:space="preserve">prficie regional). </w:t>
            </w:r>
          </w:p>
          <w:p w:rsidR="001A681B" w:rsidRPr="000E0F90" w:rsidRDefault="001A681B" w:rsidP="00FA07B6">
            <w:pPr>
              <w:jc w:val="left"/>
              <w:rPr>
                <w:rFonts w:ascii="Arial" w:hAnsi="Arial" w:cs="Arial"/>
                <w:color w:val="000000" w:themeColor="text1"/>
                <w:sz w:val="20"/>
                <w:szCs w:val="20"/>
              </w:rPr>
            </w:pPr>
            <w:r w:rsidRPr="000E0F90">
              <w:rPr>
                <w:rFonts w:ascii="Arial" w:hAnsi="Arial" w:cs="Arial"/>
                <w:i/>
                <w:color w:val="000000" w:themeColor="text1"/>
                <w:sz w:val="20"/>
                <w:szCs w:val="20"/>
              </w:rPr>
              <w:t>Administrativa:</w:t>
            </w:r>
            <w:r w:rsidRPr="000E0F90">
              <w:rPr>
                <w:rFonts w:ascii="Arial" w:hAnsi="Arial" w:cs="Arial"/>
                <w:color w:val="000000" w:themeColor="text1"/>
                <w:sz w:val="20"/>
                <w:szCs w:val="20"/>
              </w:rPr>
              <w:t xml:space="preserve"> macrorregión de Sudamérica,</w:t>
            </w:r>
            <w:r w:rsidR="006F3AFC" w:rsidRPr="000E0F90">
              <w:rPr>
                <w:rFonts w:ascii="Arial" w:hAnsi="Arial" w:cs="Arial"/>
                <w:color w:val="000000" w:themeColor="text1"/>
                <w:sz w:val="20"/>
                <w:szCs w:val="20"/>
              </w:rPr>
              <w:t xml:space="preserve"> país </w:t>
            </w:r>
            <w:r w:rsidRPr="000E0F90">
              <w:rPr>
                <w:rFonts w:ascii="Arial" w:hAnsi="Arial" w:cs="Arial"/>
                <w:color w:val="000000" w:themeColor="text1"/>
                <w:sz w:val="20"/>
                <w:szCs w:val="20"/>
              </w:rPr>
              <w:t xml:space="preserve">Chile, III Región de Atacama, Provincia de </w:t>
            </w:r>
            <w:r w:rsidR="0054694E" w:rsidRPr="000E0F90">
              <w:rPr>
                <w:rFonts w:ascii="Arial" w:hAnsi="Arial" w:cs="Arial"/>
                <w:color w:val="000000" w:themeColor="text1"/>
                <w:sz w:val="20"/>
                <w:szCs w:val="20"/>
              </w:rPr>
              <w:t>Huasco</w:t>
            </w:r>
            <w:r w:rsidRPr="000E0F90">
              <w:rPr>
                <w:rFonts w:ascii="Arial" w:hAnsi="Arial" w:cs="Arial"/>
                <w:color w:val="000000" w:themeColor="text1"/>
                <w:sz w:val="20"/>
                <w:szCs w:val="20"/>
              </w:rPr>
              <w:t xml:space="preserve"> </w:t>
            </w:r>
          </w:p>
          <w:p w:rsidR="0054694E" w:rsidRPr="000E0F90" w:rsidRDefault="001A681B" w:rsidP="00FA07B6">
            <w:pPr>
              <w:jc w:val="left"/>
              <w:rPr>
                <w:rFonts w:ascii="Arial" w:hAnsi="Arial" w:cs="Arial"/>
                <w:color w:val="000000" w:themeColor="text1"/>
                <w:sz w:val="20"/>
                <w:szCs w:val="20"/>
              </w:rPr>
            </w:pPr>
            <w:r w:rsidRPr="000E0F90">
              <w:rPr>
                <w:rFonts w:ascii="Arial" w:hAnsi="Arial" w:cs="Arial"/>
                <w:i/>
                <w:color w:val="000000" w:themeColor="text1"/>
                <w:sz w:val="20"/>
                <w:szCs w:val="20"/>
              </w:rPr>
              <w:t>Ecológica</w:t>
            </w:r>
            <w:r w:rsidRPr="000E0F90">
              <w:rPr>
                <w:rFonts w:ascii="Arial" w:hAnsi="Arial" w:cs="Arial"/>
                <w:color w:val="000000" w:themeColor="text1"/>
                <w:sz w:val="20"/>
                <w:szCs w:val="20"/>
              </w:rPr>
              <w:t xml:space="preserve">: Reino Seco, Dominio Desértico y </w:t>
            </w:r>
            <w:r w:rsidR="0054694E" w:rsidRPr="000E0F90">
              <w:rPr>
                <w:rFonts w:ascii="Arial" w:hAnsi="Arial" w:cs="Arial"/>
                <w:color w:val="000000" w:themeColor="text1"/>
                <w:sz w:val="20"/>
                <w:szCs w:val="20"/>
              </w:rPr>
              <w:t xml:space="preserve">Estepario, con </w:t>
            </w:r>
            <w:r w:rsidRPr="000E0F90">
              <w:rPr>
                <w:rFonts w:ascii="Arial" w:hAnsi="Arial" w:cs="Arial"/>
                <w:color w:val="000000" w:themeColor="text1"/>
                <w:sz w:val="20"/>
                <w:szCs w:val="20"/>
              </w:rPr>
              <w:t xml:space="preserve">presencia del </w:t>
            </w:r>
            <w:r w:rsidR="0054694E" w:rsidRPr="000E0F90">
              <w:rPr>
                <w:rFonts w:ascii="Arial" w:hAnsi="Arial" w:cs="Arial"/>
                <w:color w:val="000000" w:themeColor="text1"/>
                <w:sz w:val="20"/>
                <w:szCs w:val="20"/>
              </w:rPr>
              <w:t xml:space="preserve">Reino </w:t>
            </w:r>
            <w:r w:rsidRPr="000E0F90">
              <w:rPr>
                <w:rFonts w:ascii="Arial" w:hAnsi="Arial" w:cs="Arial"/>
                <w:color w:val="000000" w:themeColor="text1"/>
                <w:sz w:val="20"/>
                <w:szCs w:val="20"/>
              </w:rPr>
              <w:t xml:space="preserve">Nevado </w:t>
            </w:r>
            <w:r w:rsidR="0054694E" w:rsidRPr="000E0F90">
              <w:rPr>
                <w:rFonts w:ascii="Arial" w:hAnsi="Arial" w:cs="Arial"/>
                <w:color w:val="000000" w:themeColor="text1"/>
                <w:sz w:val="20"/>
                <w:szCs w:val="20"/>
              </w:rPr>
              <w:t>en sector suroriente</w:t>
            </w:r>
            <w:r w:rsidRPr="000E0F90">
              <w:rPr>
                <w:rFonts w:ascii="Arial" w:hAnsi="Arial" w:cs="Arial"/>
                <w:color w:val="000000" w:themeColor="text1"/>
                <w:sz w:val="20"/>
                <w:szCs w:val="20"/>
              </w:rPr>
              <w:t xml:space="preserve">. </w:t>
            </w:r>
          </w:p>
          <w:p w:rsidR="001A681B" w:rsidRPr="000E0F90" w:rsidRDefault="001A681B" w:rsidP="00FA07B6">
            <w:pPr>
              <w:jc w:val="left"/>
              <w:rPr>
                <w:rFonts w:ascii="Arial" w:hAnsi="Arial" w:cs="Arial"/>
                <w:i/>
                <w:color w:val="000000" w:themeColor="text1"/>
                <w:sz w:val="20"/>
                <w:szCs w:val="20"/>
              </w:rPr>
            </w:pPr>
            <w:r w:rsidRPr="000E0F90">
              <w:rPr>
                <w:rFonts w:ascii="Arial" w:hAnsi="Arial" w:cs="Arial"/>
                <w:i/>
                <w:color w:val="000000" w:themeColor="text1"/>
                <w:sz w:val="20"/>
                <w:szCs w:val="20"/>
              </w:rPr>
              <w:t>Provincias</w:t>
            </w:r>
            <w:r w:rsidR="0054694E" w:rsidRPr="000E0F90">
              <w:rPr>
                <w:rFonts w:ascii="Arial" w:hAnsi="Arial" w:cs="Arial"/>
                <w:i/>
                <w:color w:val="000000" w:themeColor="text1"/>
                <w:sz w:val="20"/>
                <w:szCs w:val="20"/>
              </w:rPr>
              <w:t xml:space="preserve"> </w:t>
            </w:r>
            <w:r w:rsidRPr="000E0F90">
              <w:rPr>
                <w:rFonts w:ascii="Arial" w:hAnsi="Arial" w:cs="Arial"/>
                <w:i/>
                <w:color w:val="000000" w:themeColor="text1"/>
                <w:sz w:val="20"/>
                <w:szCs w:val="20"/>
              </w:rPr>
              <w:t xml:space="preserve">ecológicas: </w:t>
            </w:r>
          </w:p>
          <w:p w:rsidR="001A681B" w:rsidRPr="000E0F90" w:rsidRDefault="006F3AFC" w:rsidP="006F3AFC">
            <w:pPr>
              <w:jc w:val="left"/>
              <w:rPr>
                <w:rFonts w:ascii="Arial" w:hAnsi="Arial" w:cs="Arial"/>
                <w:color w:val="000000" w:themeColor="text1"/>
                <w:sz w:val="20"/>
                <w:szCs w:val="20"/>
              </w:rPr>
            </w:pPr>
            <w:r w:rsidRPr="000E0F90">
              <w:rPr>
                <w:rFonts w:ascii="Arial" w:hAnsi="Arial" w:cs="Arial"/>
                <w:color w:val="000000" w:themeColor="text1"/>
                <w:sz w:val="20"/>
                <w:szCs w:val="20"/>
              </w:rPr>
              <w:t>Desértica Transicional, Desértica de Altura, Esteparia de Montaña y Nival de Altura</w:t>
            </w:r>
          </w:p>
        </w:tc>
      </w:tr>
      <w:tr w:rsidR="001A681B" w:rsidRPr="000E0F90" w:rsidTr="002A21E4">
        <w:tc>
          <w:tcPr>
            <w:tcW w:w="2394" w:type="dxa"/>
            <w:tcBorders>
              <w:top w:val="nil"/>
              <w:bottom w:val="nil"/>
              <w:right w:val="nil"/>
            </w:tcBorders>
          </w:tcPr>
          <w:p w:rsidR="001A681B" w:rsidRPr="000E0F90" w:rsidRDefault="001A681B" w:rsidP="00FA07B6">
            <w:pPr>
              <w:jc w:val="left"/>
              <w:rPr>
                <w:rFonts w:ascii="Arial" w:hAnsi="Arial" w:cs="Arial"/>
                <w:b/>
                <w:color w:val="000000" w:themeColor="text1"/>
                <w:sz w:val="20"/>
                <w:szCs w:val="20"/>
                <w:highlight w:val="green"/>
              </w:rPr>
            </w:pPr>
            <w:r w:rsidRPr="000E0F90">
              <w:rPr>
                <w:rFonts w:ascii="Arial" w:hAnsi="Arial" w:cs="Arial"/>
                <w:b/>
                <w:color w:val="000000" w:themeColor="text1"/>
                <w:sz w:val="20"/>
                <w:szCs w:val="20"/>
              </w:rPr>
              <w:t>Clima</w:t>
            </w:r>
          </w:p>
        </w:tc>
        <w:tc>
          <w:tcPr>
            <w:tcW w:w="3195" w:type="dxa"/>
            <w:tcBorders>
              <w:top w:val="nil"/>
              <w:left w:val="nil"/>
              <w:bottom w:val="nil"/>
              <w:right w:val="nil"/>
            </w:tcBorders>
          </w:tcPr>
          <w:p w:rsidR="001A681B" w:rsidRPr="000E0F90" w:rsidRDefault="00C464F0" w:rsidP="00573503">
            <w:pPr>
              <w:jc w:val="left"/>
              <w:rPr>
                <w:rFonts w:ascii="Arial" w:hAnsi="Arial" w:cs="Arial"/>
                <w:color w:val="000000" w:themeColor="text1"/>
                <w:sz w:val="20"/>
                <w:szCs w:val="20"/>
              </w:rPr>
            </w:pPr>
            <w:r w:rsidRPr="000E0F90">
              <w:rPr>
                <w:rFonts w:ascii="Arial" w:hAnsi="Arial" w:cs="Arial"/>
                <w:color w:val="000000" w:themeColor="text1"/>
                <w:sz w:val="20"/>
                <w:szCs w:val="20"/>
              </w:rPr>
              <w:t>Precipitaciones invernales alcanz</w:t>
            </w:r>
            <w:r w:rsidR="00573503" w:rsidRPr="000E0F90">
              <w:rPr>
                <w:rFonts w:ascii="Arial" w:hAnsi="Arial" w:cs="Arial"/>
                <w:color w:val="000000" w:themeColor="text1"/>
                <w:sz w:val="20"/>
                <w:szCs w:val="20"/>
              </w:rPr>
              <w:t>an 1</w:t>
            </w:r>
            <w:r w:rsidRPr="000E0F90">
              <w:rPr>
                <w:rFonts w:ascii="Arial" w:hAnsi="Arial" w:cs="Arial"/>
                <w:color w:val="000000" w:themeColor="text1"/>
                <w:sz w:val="20"/>
                <w:szCs w:val="20"/>
              </w:rPr>
              <w:t>0</w:t>
            </w:r>
            <w:r w:rsidR="00573503" w:rsidRPr="000E0F90">
              <w:rPr>
                <w:rFonts w:ascii="Arial" w:hAnsi="Arial" w:cs="Arial"/>
                <w:color w:val="000000" w:themeColor="text1"/>
                <w:sz w:val="20"/>
                <w:szCs w:val="20"/>
              </w:rPr>
              <w:t>-110</w:t>
            </w:r>
            <w:r w:rsidRPr="000E0F90">
              <w:rPr>
                <w:rFonts w:ascii="Arial" w:hAnsi="Arial" w:cs="Arial"/>
                <w:color w:val="000000" w:themeColor="text1"/>
                <w:sz w:val="20"/>
                <w:szCs w:val="20"/>
              </w:rPr>
              <w:t>mm; Temperaturas entre 1</w:t>
            </w:r>
            <w:r w:rsidR="00131309" w:rsidRPr="000E0F90">
              <w:rPr>
                <w:rFonts w:ascii="Arial" w:hAnsi="Arial" w:cs="Arial"/>
                <w:color w:val="000000" w:themeColor="text1"/>
                <w:sz w:val="20"/>
                <w:szCs w:val="20"/>
              </w:rPr>
              <w:t>4</w:t>
            </w:r>
            <w:r w:rsidRPr="000E0F90">
              <w:rPr>
                <w:rFonts w:ascii="Arial" w:hAnsi="Arial" w:cs="Arial"/>
                <w:color w:val="000000" w:themeColor="text1"/>
                <w:sz w:val="20"/>
                <w:szCs w:val="20"/>
              </w:rPr>
              <w:t>°C y 2</w:t>
            </w:r>
            <w:r w:rsidR="00131309" w:rsidRPr="000E0F90">
              <w:rPr>
                <w:rFonts w:ascii="Arial" w:hAnsi="Arial" w:cs="Arial"/>
                <w:color w:val="000000" w:themeColor="text1"/>
                <w:sz w:val="20"/>
                <w:szCs w:val="20"/>
              </w:rPr>
              <w:t>1</w:t>
            </w:r>
            <w:r w:rsidRPr="000E0F90">
              <w:rPr>
                <w:rFonts w:ascii="Arial" w:hAnsi="Arial" w:cs="Arial"/>
                <w:color w:val="000000" w:themeColor="text1"/>
                <w:sz w:val="20"/>
                <w:szCs w:val="20"/>
              </w:rPr>
              <w:t>°C</w:t>
            </w:r>
          </w:p>
        </w:tc>
        <w:tc>
          <w:tcPr>
            <w:tcW w:w="3195" w:type="dxa"/>
            <w:tcBorders>
              <w:top w:val="nil"/>
              <w:left w:val="nil"/>
              <w:bottom w:val="nil"/>
            </w:tcBorders>
          </w:tcPr>
          <w:p w:rsidR="001A681B" w:rsidRPr="000E0F90" w:rsidRDefault="00C464F0" w:rsidP="00573503">
            <w:pPr>
              <w:jc w:val="left"/>
              <w:rPr>
                <w:rFonts w:ascii="Arial" w:hAnsi="Arial" w:cs="Arial"/>
                <w:color w:val="000000" w:themeColor="text1"/>
                <w:sz w:val="20"/>
                <w:szCs w:val="20"/>
              </w:rPr>
            </w:pPr>
            <w:r w:rsidRPr="000E0F90">
              <w:rPr>
                <w:rFonts w:ascii="Arial" w:hAnsi="Arial" w:cs="Arial"/>
                <w:color w:val="000000" w:themeColor="text1"/>
                <w:sz w:val="20"/>
                <w:szCs w:val="20"/>
              </w:rPr>
              <w:t xml:space="preserve">Precipitaciones invernales alcanzan </w:t>
            </w:r>
            <w:r w:rsidR="00573503" w:rsidRPr="000E0F90">
              <w:rPr>
                <w:rFonts w:ascii="Arial" w:hAnsi="Arial" w:cs="Arial"/>
                <w:color w:val="000000" w:themeColor="text1"/>
                <w:sz w:val="20"/>
                <w:szCs w:val="20"/>
              </w:rPr>
              <w:t>15-135mm</w:t>
            </w:r>
            <w:r w:rsidRPr="000E0F90">
              <w:rPr>
                <w:rFonts w:ascii="Arial" w:hAnsi="Arial" w:cs="Arial"/>
                <w:color w:val="000000" w:themeColor="text1"/>
                <w:sz w:val="20"/>
                <w:szCs w:val="20"/>
              </w:rPr>
              <w:t>; Temperaturas entre 1</w:t>
            </w:r>
            <w:r w:rsidR="00131309" w:rsidRPr="000E0F90">
              <w:rPr>
                <w:rFonts w:ascii="Arial" w:hAnsi="Arial" w:cs="Arial"/>
                <w:color w:val="000000" w:themeColor="text1"/>
                <w:sz w:val="20"/>
                <w:szCs w:val="20"/>
              </w:rPr>
              <w:t>3</w:t>
            </w:r>
            <w:r w:rsidRPr="000E0F90">
              <w:rPr>
                <w:rFonts w:ascii="Arial" w:hAnsi="Arial" w:cs="Arial"/>
                <w:color w:val="000000" w:themeColor="text1"/>
                <w:sz w:val="20"/>
                <w:szCs w:val="20"/>
              </w:rPr>
              <w:t>°C y 2</w:t>
            </w:r>
            <w:r w:rsidR="00131309" w:rsidRPr="000E0F90">
              <w:rPr>
                <w:rFonts w:ascii="Arial" w:hAnsi="Arial" w:cs="Arial"/>
                <w:color w:val="000000" w:themeColor="text1"/>
                <w:sz w:val="20"/>
                <w:szCs w:val="20"/>
              </w:rPr>
              <w:t>1</w:t>
            </w:r>
            <w:r w:rsidRPr="000E0F90">
              <w:rPr>
                <w:rFonts w:ascii="Arial" w:hAnsi="Arial" w:cs="Arial"/>
                <w:color w:val="000000" w:themeColor="text1"/>
                <w:sz w:val="20"/>
                <w:szCs w:val="20"/>
              </w:rPr>
              <w:t>°C</w:t>
            </w:r>
          </w:p>
        </w:tc>
      </w:tr>
      <w:tr w:rsidR="001A681B" w:rsidRPr="000E0F90" w:rsidTr="002A21E4">
        <w:tc>
          <w:tcPr>
            <w:tcW w:w="2394" w:type="dxa"/>
            <w:tcBorders>
              <w:top w:val="nil"/>
              <w:bottom w:val="nil"/>
              <w:right w:val="nil"/>
            </w:tcBorders>
          </w:tcPr>
          <w:p w:rsidR="001A681B" w:rsidRPr="000E0F90" w:rsidRDefault="001A681B" w:rsidP="00FA07B6">
            <w:pPr>
              <w:jc w:val="left"/>
              <w:rPr>
                <w:rFonts w:ascii="Arial" w:hAnsi="Arial" w:cs="Arial"/>
                <w:b/>
                <w:color w:val="000000" w:themeColor="text1"/>
                <w:sz w:val="20"/>
                <w:szCs w:val="20"/>
              </w:rPr>
            </w:pPr>
            <w:r w:rsidRPr="000E0F90">
              <w:rPr>
                <w:rFonts w:ascii="Arial" w:hAnsi="Arial" w:cs="Arial"/>
                <w:b/>
                <w:color w:val="000000" w:themeColor="text1"/>
                <w:sz w:val="20"/>
                <w:szCs w:val="20"/>
              </w:rPr>
              <w:t>Geoforma e Hidrografía</w:t>
            </w:r>
          </w:p>
        </w:tc>
        <w:tc>
          <w:tcPr>
            <w:tcW w:w="3195" w:type="dxa"/>
            <w:tcBorders>
              <w:top w:val="nil"/>
              <w:left w:val="nil"/>
              <w:bottom w:val="nil"/>
              <w:right w:val="nil"/>
            </w:tcBorders>
          </w:tcPr>
          <w:p w:rsidR="0054694E" w:rsidRPr="000E0F90" w:rsidRDefault="0054694E" w:rsidP="006A48E4">
            <w:pPr>
              <w:jc w:val="left"/>
              <w:rPr>
                <w:rFonts w:ascii="Arial" w:hAnsi="Arial" w:cs="Arial"/>
                <w:color w:val="000000" w:themeColor="text1"/>
                <w:sz w:val="20"/>
                <w:szCs w:val="20"/>
              </w:rPr>
            </w:pPr>
            <w:r w:rsidRPr="000E0F90">
              <w:rPr>
                <w:rFonts w:ascii="Arial" w:hAnsi="Arial" w:cs="Arial"/>
                <w:i/>
                <w:color w:val="000000" w:themeColor="text1"/>
                <w:sz w:val="20"/>
                <w:szCs w:val="20"/>
              </w:rPr>
              <w:t>Formaciones Geológicas:</w:t>
            </w:r>
            <w:r w:rsidRPr="000E0F90">
              <w:rPr>
                <w:rFonts w:ascii="Arial" w:hAnsi="Arial" w:cs="Arial"/>
                <w:color w:val="000000" w:themeColor="text1"/>
                <w:sz w:val="20"/>
                <w:szCs w:val="20"/>
              </w:rPr>
              <w:t xml:space="preserve"> Depresión intermedia con pampa ondulante o austral, Precordillera de Domeyko, </w:t>
            </w:r>
            <w:r w:rsidR="00F74481" w:rsidRPr="000E0F90">
              <w:rPr>
                <w:rFonts w:ascii="Arial" w:hAnsi="Arial" w:cs="Arial"/>
                <w:color w:val="000000" w:themeColor="text1"/>
                <w:sz w:val="20"/>
                <w:szCs w:val="20"/>
              </w:rPr>
              <w:t>Valles Tra</w:t>
            </w:r>
            <w:r w:rsidR="004F1745" w:rsidRPr="000E0F90">
              <w:rPr>
                <w:rFonts w:ascii="Arial" w:hAnsi="Arial" w:cs="Arial"/>
                <w:color w:val="000000" w:themeColor="text1"/>
                <w:sz w:val="20"/>
                <w:szCs w:val="20"/>
              </w:rPr>
              <w:t>n</w:t>
            </w:r>
            <w:r w:rsidR="00F74481" w:rsidRPr="000E0F90">
              <w:rPr>
                <w:rFonts w:ascii="Arial" w:hAnsi="Arial" w:cs="Arial"/>
                <w:color w:val="000000" w:themeColor="text1"/>
                <w:sz w:val="20"/>
                <w:szCs w:val="20"/>
              </w:rPr>
              <w:t>s</w:t>
            </w:r>
            <w:r w:rsidR="004F1745" w:rsidRPr="000E0F90">
              <w:rPr>
                <w:rFonts w:ascii="Arial" w:hAnsi="Arial" w:cs="Arial"/>
                <w:color w:val="000000" w:themeColor="text1"/>
                <w:sz w:val="20"/>
                <w:szCs w:val="20"/>
              </w:rPr>
              <w:t>versales, Cordillera de los Andes</w:t>
            </w:r>
          </w:p>
          <w:p w:rsidR="009E5F14" w:rsidRPr="000E0F90" w:rsidRDefault="009E5F14" w:rsidP="009E5F14">
            <w:pPr>
              <w:jc w:val="left"/>
              <w:rPr>
                <w:rFonts w:ascii="Arial" w:hAnsi="Arial" w:cs="Arial"/>
                <w:color w:val="000000" w:themeColor="text1"/>
                <w:sz w:val="20"/>
                <w:szCs w:val="20"/>
              </w:rPr>
            </w:pPr>
            <w:r w:rsidRPr="000E0F90">
              <w:rPr>
                <w:rFonts w:ascii="Arial" w:hAnsi="Arial" w:cs="Arial"/>
                <w:i/>
                <w:color w:val="000000" w:themeColor="text1"/>
                <w:sz w:val="20"/>
                <w:szCs w:val="20"/>
              </w:rPr>
              <w:t>Suelos: A</w:t>
            </w:r>
            <w:r w:rsidRPr="000E0F90">
              <w:rPr>
                <w:rFonts w:ascii="Arial" w:hAnsi="Arial" w:cs="Arial"/>
                <w:color w:val="000000" w:themeColor="text1"/>
                <w:sz w:val="20"/>
                <w:szCs w:val="20"/>
              </w:rPr>
              <w:t>ptitud agrícola y ganadera</w:t>
            </w:r>
          </w:p>
          <w:p w:rsidR="001A681B" w:rsidRPr="000E0F90" w:rsidRDefault="001A681B" w:rsidP="009E5F14">
            <w:pPr>
              <w:jc w:val="left"/>
              <w:rPr>
                <w:rFonts w:ascii="Arial" w:hAnsi="Arial" w:cs="Arial"/>
                <w:color w:val="000000" w:themeColor="text1"/>
                <w:sz w:val="20"/>
                <w:szCs w:val="20"/>
              </w:rPr>
            </w:pPr>
            <w:r w:rsidRPr="000E0F90">
              <w:rPr>
                <w:rFonts w:ascii="Arial" w:hAnsi="Arial" w:cs="Arial"/>
                <w:i/>
                <w:color w:val="000000" w:themeColor="text1"/>
                <w:sz w:val="20"/>
                <w:szCs w:val="20"/>
              </w:rPr>
              <w:t>Cuencas hidrográficas:</w:t>
            </w:r>
            <w:r w:rsidR="006F3AFC" w:rsidRPr="000E0F90">
              <w:rPr>
                <w:rFonts w:ascii="Arial" w:hAnsi="Arial" w:cs="Arial"/>
                <w:color w:val="000000" w:themeColor="text1"/>
                <w:sz w:val="20"/>
                <w:szCs w:val="20"/>
              </w:rPr>
              <w:t xml:space="preserve"> Cuenca Río Copiap,</w:t>
            </w:r>
            <w:r w:rsidRPr="000E0F90">
              <w:rPr>
                <w:rFonts w:ascii="Arial" w:hAnsi="Arial" w:cs="Arial"/>
                <w:color w:val="000000" w:themeColor="text1"/>
                <w:sz w:val="20"/>
                <w:szCs w:val="20"/>
              </w:rPr>
              <w:t xml:space="preserve"> </w:t>
            </w:r>
            <w:r w:rsidR="00F5061E" w:rsidRPr="000E0F90">
              <w:rPr>
                <w:rFonts w:ascii="Arial" w:hAnsi="Arial" w:cs="Arial"/>
                <w:color w:val="000000" w:themeColor="text1"/>
                <w:sz w:val="20"/>
                <w:szCs w:val="20"/>
              </w:rPr>
              <w:t>Subc</w:t>
            </w:r>
            <w:r w:rsidR="006F3AFC" w:rsidRPr="000E0F90">
              <w:rPr>
                <w:rFonts w:ascii="Arial" w:hAnsi="Arial" w:cs="Arial"/>
                <w:color w:val="000000" w:themeColor="text1"/>
                <w:sz w:val="20"/>
                <w:szCs w:val="20"/>
              </w:rPr>
              <w:t>uenca Río Pulido y</w:t>
            </w:r>
            <w:r w:rsidR="00F5061E" w:rsidRPr="000E0F90">
              <w:rPr>
                <w:rFonts w:ascii="Arial" w:hAnsi="Arial" w:cs="Arial"/>
                <w:color w:val="000000" w:themeColor="text1"/>
                <w:sz w:val="20"/>
                <w:szCs w:val="20"/>
              </w:rPr>
              <w:t xml:space="preserve"> Subc</w:t>
            </w:r>
            <w:r w:rsidRPr="000E0F90">
              <w:rPr>
                <w:rFonts w:ascii="Arial" w:hAnsi="Arial" w:cs="Arial"/>
                <w:color w:val="000000" w:themeColor="text1"/>
                <w:sz w:val="20"/>
                <w:szCs w:val="20"/>
              </w:rPr>
              <w:t xml:space="preserve">uenca Río Jorquera </w:t>
            </w:r>
          </w:p>
        </w:tc>
        <w:tc>
          <w:tcPr>
            <w:tcW w:w="3195" w:type="dxa"/>
            <w:tcBorders>
              <w:top w:val="nil"/>
              <w:left w:val="nil"/>
              <w:bottom w:val="nil"/>
            </w:tcBorders>
          </w:tcPr>
          <w:p w:rsidR="001A681B" w:rsidRPr="000E0F90" w:rsidRDefault="004F1745" w:rsidP="00FA07B6">
            <w:pPr>
              <w:jc w:val="left"/>
              <w:rPr>
                <w:rFonts w:ascii="Arial" w:hAnsi="Arial" w:cs="Arial"/>
                <w:color w:val="000000" w:themeColor="text1"/>
                <w:sz w:val="20"/>
                <w:szCs w:val="20"/>
              </w:rPr>
            </w:pPr>
            <w:r w:rsidRPr="000E0F90">
              <w:rPr>
                <w:rFonts w:ascii="Arial" w:hAnsi="Arial" w:cs="Arial"/>
                <w:i/>
                <w:color w:val="000000" w:themeColor="text1"/>
                <w:sz w:val="20"/>
                <w:szCs w:val="20"/>
              </w:rPr>
              <w:t xml:space="preserve">Formaciones Geológicas: </w:t>
            </w:r>
            <w:r w:rsidRPr="000E0F90">
              <w:rPr>
                <w:rFonts w:ascii="Arial" w:hAnsi="Arial" w:cs="Arial"/>
                <w:color w:val="000000" w:themeColor="text1"/>
                <w:sz w:val="20"/>
                <w:szCs w:val="20"/>
              </w:rPr>
              <w:t xml:space="preserve">Valles transversales </w:t>
            </w:r>
            <w:r w:rsidR="00F5061E" w:rsidRPr="000E0F90">
              <w:rPr>
                <w:rFonts w:ascii="Arial" w:hAnsi="Arial" w:cs="Arial"/>
                <w:color w:val="000000" w:themeColor="text1"/>
                <w:sz w:val="20"/>
                <w:szCs w:val="20"/>
              </w:rPr>
              <w:t>predominantes en la totalidad de la comuna</w:t>
            </w:r>
          </w:p>
          <w:p w:rsidR="001C05A5" w:rsidRPr="000E0F90" w:rsidRDefault="001C05A5" w:rsidP="001C05A5">
            <w:pPr>
              <w:jc w:val="left"/>
              <w:rPr>
                <w:rFonts w:ascii="Arial" w:hAnsi="Arial" w:cs="Arial"/>
                <w:color w:val="000000" w:themeColor="text1"/>
                <w:sz w:val="20"/>
                <w:szCs w:val="20"/>
              </w:rPr>
            </w:pPr>
            <w:r w:rsidRPr="000E0F90">
              <w:rPr>
                <w:rFonts w:ascii="Arial" w:hAnsi="Arial" w:cs="Arial"/>
                <w:i/>
                <w:color w:val="000000" w:themeColor="text1"/>
                <w:sz w:val="20"/>
                <w:szCs w:val="20"/>
              </w:rPr>
              <w:t>Suelos: A</w:t>
            </w:r>
            <w:r w:rsidRPr="000E0F90">
              <w:rPr>
                <w:rFonts w:ascii="Arial" w:hAnsi="Arial" w:cs="Arial"/>
                <w:color w:val="000000" w:themeColor="text1"/>
                <w:sz w:val="20"/>
                <w:szCs w:val="20"/>
              </w:rPr>
              <w:t>ptitud agrícola y ganadera</w:t>
            </w:r>
          </w:p>
          <w:p w:rsidR="004F1745" w:rsidRPr="000E0F90" w:rsidRDefault="006F3AFC" w:rsidP="00FA07B6">
            <w:pPr>
              <w:jc w:val="left"/>
              <w:rPr>
                <w:rFonts w:ascii="Arial" w:hAnsi="Arial" w:cs="Arial"/>
                <w:color w:val="000000" w:themeColor="text1"/>
                <w:sz w:val="20"/>
                <w:szCs w:val="20"/>
              </w:rPr>
            </w:pPr>
            <w:r w:rsidRPr="000E0F90">
              <w:rPr>
                <w:rFonts w:ascii="Arial" w:hAnsi="Arial" w:cs="Arial"/>
                <w:i/>
                <w:color w:val="000000" w:themeColor="text1"/>
                <w:sz w:val="20"/>
                <w:szCs w:val="20"/>
              </w:rPr>
              <w:t>Cuencas Hidro</w:t>
            </w:r>
            <w:r w:rsidR="004F1745" w:rsidRPr="000E0F90">
              <w:rPr>
                <w:rFonts w:ascii="Arial" w:hAnsi="Arial" w:cs="Arial"/>
                <w:i/>
                <w:color w:val="000000" w:themeColor="text1"/>
                <w:sz w:val="20"/>
                <w:szCs w:val="20"/>
              </w:rPr>
              <w:t>gráficas</w:t>
            </w:r>
            <w:r w:rsidR="004F1745" w:rsidRPr="000E0F90">
              <w:rPr>
                <w:rFonts w:ascii="Arial" w:hAnsi="Arial" w:cs="Arial"/>
                <w:color w:val="000000" w:themeColor="text1"/>
                <w:sz w:val="20"/>
                <w:szCs w:val="20"/>
              </w:rPr>
              <w:t>: Cue</w:t>
            </w:r>
            <w:r w:rsidR="00F5061E" w:rsidRPr="000E0F90">
              <w:rPr>
                <w:rFonts w:ascii="Arial" w:hAnsi="Arial" w:cs="Arial"/>
                <w:color w:val="000000" w:themeColor="text1"/>
                <w:sz w:val="20"/>
                <w:szCs w:val="20"/>
              </w:rPr>
              <w:t>nca del río Huasco</w:t>
            </w:r>
            <w:r w:rsidRPr="000E0F90">
              <w:rPr>
                <w:rFonts w:ascii="Arial" w:hAnsi="Arial" w:cs="Arial"/>
                <w:color w:val="000000" w:themeColor="text1"/>
                <w:sz w:val="20"/>
                <w:szCs w:val="20"/>
              </w:rPr>
              <w:t>,</w:t>
            </w:r>
            <w:r w:rsidR="004F1745" w:rsidRPr="000E0F90">
              <w:rPr>
                <w:rFonts w:ascii="Arial" w:hAnsi="Arial" w:cs="Arial"/>
                <w:color w:val="000000" w:themeColor="text1"/>
                <w:sz w:val="20"/>
                <w:szCs w:val="20"/>
              </w:rPr>
              <w:t xml:space="preserve"> Subcue</w:t>
            </w:r>
            <w:r w:rsidRPr="000E0F90">
              <w:rPr>
                <w:rFonts w:ascii="Arial" w:hAnsi="Arial" w:cs="Arial"/>
                <w:color w:val="000000" w:themeColor="text1"/>
                <w:sz w:val="20"/>
                <w:szCs w:val="20"/>
              </w:rPr>
              <w:t>nca río Del Carmen y</w:t>
            </w:r>
            <w:r w:rsidR="004F1745" w:rsidRPr="000E0F90">
              <w:rPr>
                <w:rFonts w:ascii="Arial" w:hAnsi="Arial" w:cs="Arial"/>
                <w:color w:val="000000" w:themeColor="text1"/>
                <w:sz w:val="20"/>
                <w:szCs w:val="20"/>
              </w:rPr>
              <w:t xml:space="preserve"> Sub</w:t>
            </w:r>
            <w:r w:rsidRPr="000E0F90">
              <w:rPr>
                <w:rFonts w:ascii="Arial" w:hAnsi="Arial" w:cs="Arial"/>
                <w:color w:val="000000" w:themeColor="text1"/>
                <w:sz w:val="20"/>
                <w:szCs w:val="20"/>
              </w:rPr>
              <w:t xml:space="preserve">cuenca río Tránsito </w:t>
            </w:r>
            <w:r w:rsidR="004F1745" w:rsidRPr="000E0F90">
              <w:rPr>
                <w:rFonts w:ascii="Arial" w:hAnsi="Arial" w:cs="Arial"/>
                <w:color w:val="000000" w:themeColor="text1"/>
                <w:sz w:val="20"/>
                <w:szCs w:val="20"/>
              </w:rPr>
              <w:t xml:space="preserve">  </w:t>
            </w:r>
          </w:p>
          <w:p w:rsidR="004F1745" w:rsidRPr="000E0F90" w:rsidRDefault="004F1745" w:rsidP="00BC18D1">
            <w:pPr>
              <w:jc w:val="left"/>
              <w:rPr>
                <w:rFonts w:ascii="Arial" w:hAnsi="Arial" w:cs="Arial"/>
                <w:color w:val="000000" w:themeColor="text1"/>
                <w:sz w:val="20"/>
                <w:szCs w:val="20"/>
              </w:rPr>
            </w:pPr>
          </w:p>
        </w:tc>
      </w:tr>
      <w:tr w:rsidR="001A681B" w:rsidRPr="000E0F90" w:rsidTr="002A21E4">
        <w:tc>
          <w:tcPr>
            <w:tcW w:w="2394" w:type="dxa"/>
            <w:tcBorders>
              <w:top w:val="nil"/>
              <w:bottom w:val="nil"/>
              <w:right w:val="nil"/>
            </w:tcBorders>
          </w:tcPr>
          <w:p w:rsidR="001A681B" w:rsidRPr="000E0F90" w:rsidRDefault="001A681B" w:rsidP="00FA07B6">
            <w:pPr>
              <w:jc w:val="left"/>
              <w:rPr>
                <w:rFonts w:ascii="Arial" w:hAnsi="Arial" w:cs="Arial"/>
                <w:b/>
                <w:color w:val="000000" w:themeColor="text1"/>
                <w:sz w:val="20"/>
                <w:szCs w:val="20"/>
                <w:highlight w:val="green"/>
              </w:rPr>
            </w:pPr>
            <w:r w:rsidRPr="000E0F90">
              <w:rPr>
                <w:rFonts w:ascii="Arial" w:hAnsi="Arial" w:cs="Arial"/>
                <w:b/>
                <w:color w:val="000000" w:themeColor="text1"/>
                <w:sz w:val="20"/>
                <w:szCs w:val="20"/>
              </w:rPr>
              <w:t>Vegetación</w:t>
            </w:r>
          </w:p>
        </w:tc>
        <w:tc>
          <w:tcPr>
            <w:tcW w:w="3195" w:type="dxa"/>
            <w:tcBorders>
              <w:top w:val="nil"/>
              <w:left w:val="nil"/>
              <w:bottom w:val="nil"/>
              <w:right w:val="nil"/>
            </w:tcBorders>
          </w:tcPr>
          <w:p w:rsidR="001A681B" w:rsidRPr="000E0F90" w:rsidRDefault="00F5061E" w:rsidP="00FA07B6">
            <w:pPr>
              <w:jc w:val="left"/>
              <w:rPr>
                <w:rFonts w:ascii="Arial" w:hAnsi="Arial" w:cs="Arial"/>
                <w:color w:val="000000" w:themeColor="text1"/>
                <w:sz w:val="20"/>
                <w:szCs w:val="20"/>
              </w:rPr>
            </w:pPr>
            <w:r w:rsidRPr="000E0F90">
              <w:rPr>
                <w:rFonts w:ascii="Arial" w:hAnsi="Arial" w:cs="Arial"/>
                <w:color w:val="000000" w:themeColor="text1"/>
                <w:sz w:val="20"/>
                <w:szCs w:val="20"/>
              </w:rPr>
              <w:t>Matorral</w:t>
            </w:r>
            <w:r w:rsidR="00BC18D1" w:rsidRPr="000E0F90">
              <w:rPr>
                <w:rFonts w:ascii="Arial" w:hAnsi="Arial" w:cs="Arial"/>
                <w:color w:val="000000" w:themeColor="text1"/>
                <w:sz w:val="20"/>
                <w:szCs w:val="20"/>
              </w:rPr>
              <w:t xml:space="preserve"> </w:t>
            </w:r>
            <w:r w:rsidR="00C901F3" w:rsidRPr="000E0F90">
              <w:rPr>
                <w:rFonts w:ascii="Arial" w:hAnsi="Arial" w:cs="Arial"/>
                <w:color w:val="000000" w:themeColor="text1"/>
                <w:sz w:val="20"/>
                <w:szCs w:val="20"/>
              </w:rPr>
              <w:t>desértico</w:t>
            </w:r>
            <w:r w:rsidR="00BC18D1" w:rsidRPr="000E0F90">
              <w:rPr>
                <w:rFonts w:ascii="Arial" w:hAnsi="Arial" w:cs="Arial"/>
                <w:color w:val="000000" w:themeColor="text1"/>
                <w:sz w:val="20"/>
                <w:szCs w:val="20"/>
              </w:rPr>
              <w:t xml:space="preserve"> mediterráneo interior</w:t>
            </w:r>
          </w:p>
          <w:p w:rsidR="00BC18D1" w:rsidRPr="000E0F90" w:rsidRDefault="00BC18D1" w:rsidP="00FA07B6">
            <w:pPr>
              <w:jc w:val="left"/>
              <w:rPr>
                <w:rFonts w:ascii="Arial" w:hAnsi="Arial" w:cs="Arial"/>
                <w:color w:val="000000" w:themeColor="text1"/>
                <w:sz w:val="20"/>
                <w:szCs w:val="20"/>
              </w:rPr>
            </w:pPr>
            <w:r w:rsidRPr="000E0F90">
              <w:rPr>
                <w:rFonts w:ascii="Arial" w:hAnsi="Arial" w:cs="Arial"/>
                <w:color w:val="000000" w:themeColor="text1"/>
                <w:sz w:val="20"/>
                <w:szCs w:val="20"/>
              </w:rPr>
              <w:t xml:space="preserve">Matorral bajo </w:t>
            </w:r>
            <w:r w:rsidR="001258C1" w:rsidRPr="000E0F90">
              <w:rPr>
                <w:rFonts w:ascii="Arial" w:hAnsi="Arial" w:cs="Arial"/>
                <w:color w:val="000000" w:themeColor="text1"/>
                <w:sz w:val="20"/>
                <w:szCs w:val="20"/>
              </w:rPr>
              <w:t>desértico tropical</w:t>
            </w:r>
            <w:r w:rsidRPr="000E0F90">
              <w:rPr>
                <w:rFonts w:ascii="Arial" w:hAnsi="Arial" w:cs="Arial"/>
                <w:color w:val="000000" w:themeColor="text1"/>
                <w:sz w:val="20"/>
                <w:szCs w:val="20"/>
              </w:rPr>
              <w:t>-</w:t>
            </w:r>
            <w:r w:rsidR="00C901F3" w:rsidRPr="000E0F90">
              <w:rPr>
                <w:rFonts w:ascii="Arial" w:hAnsi="Arial" w:cs="Arial"/>
                <w:color w:val="000000" w:themeColor="text1"/>
                <w:sz w:val="20"/>
                <w:szCs w:val="20"/>
              </w:rPr>
              <w:t>mediterráneo</w:t>
            </w:r>
            <w:r w:rsidRPr="000E0F90">
              <w:rPr>
                <w:rFonts w:ascii="Arial" w:hAnsi="Arial" w:cs="Arial"/>
                <w:color w:val="000000" w:themeColor="text1"/>
                <w:sz w:val="20"/>
                <w:szCs w:val="20"/>
              </w:rPr>
              <w:t xml:space="preserve"> andino</w:t>
            </w:r>
          </w:p>
          <w:p w:rsidR="00D5637E" w:rsidRPr="000E0F90" w:rsidRDefault="001258C1" w:rsidP="00FA07B6">
            <w:pPr>
              <w:jc w:val="left"/>
              <w:rPr>
                <w:rFonts w:ascii="Arial" w:hAnsi="Arial" w:cs="Arial"/>
                <w:color w:val="000000" w:themeColor="text1"/>
                <w:sz w:val="20"/>
                <w:szCs w:val="20"/>
              </w:rPr>
            </w:pPr>
            <w:r w:rsidRPr="000E0F90">
              <w:rPr>
                <w:rFonts w:ascii="Arial" w:hAnsi="Arial" w:cs="Arial"/>
                <w:color w:val="000000" w:themeColor="text1"/>
                <w:sz w:val="20"/>
                <w:szCs w:val="20"/>
              </w:rPr>
              <w:t xml:space="preserve">Matorral bajo tropical-mediterráneo </w:t>
            </w:r>
            <w:r w:rsidR="00D5637E" w:rsidRPr="000E0F90">
              <w:rPr>
                <w:rFonts w:ascii="Arial" w:hAnsi="Arial" w:cs="Arial"/>
                <w:color w:val="000000" w:themeColor="text1"/>
                <w:sz w:val="20"/>
                <w:szCs w:val="20"/>
              </w:rPr>
              <w:t>andino</w:t>
            </w:r>
          </w:p>
          <w:p w:rsidR="001258C1" w:rsidRPr="000E0F90" w:rsidRDefault="001258C1" w:rsidP="00FA07B6">
            <w:pPr>
              <w:jc w:val="left"/>
              <w:rPr>
                <w:rFonts w:ascii="Arial" w:hAnsi="Arial" w:cs="Arial"/>
                <w:color w:val="000000" w:themeColor="text1"/>
                <w:sz w:val="20"/>
                <w:szCs w:val="20"/>
              </w:rPr>
            </w:pPr>
            <w:r w:rsidRPr="000E0F90">
              <w:rPr>
                <w:rFonts w:ascii="Arial" w:hAnsi="Arial" w:cs="Arial"/>
                <w:color w:val="000000" w:themeColor="text1"/>
                <w:sz w:val="20"/>
                <w:szCs w:val="20"/>
              </w:rPr>
              <w:t>Matorral bajo tropical andino</w:t>
            </w:r>
          </w:p>
          <w:p w:rsidR="00BC18D1" w:rsidRPr="000E0F90" w:rsidRDefault="00D5637E" w:rsidP="00FA07B6">
            <w:pPr>
              <w:jc w:val="left"/>
              <w:rPr>
                <w:rFonts w:ascii="Arial" w:hAnsi="Arial" w:cs="Arial"/>
                <w:color w:val="000000" w:themeColor="text1"/>
                <w:sz w:val="20"/>
                <w:szCs w:val="20"/>
              </w:rPr>
            </w:pPr>
            <w:r w:rsidRPr="000E0F90">
              <w:rPr>
                <w:rFonts w:ascii="Arial" w:hAnsi="Arial" w:cs="Arial"/>
                <w:color w:val="000000" w:themeColor="text1"/>
                <w:sz w:val="20"/>
                <w:szCs w:val="20"/>
              </w:rPr>
              <w:t>Herbazal tropical andino</w:t>
            </w:r>
          </w:p>
        </w:tc>
        <w:tc>
          <w:tcPr>
            <w:tcW w:w="3195" w:type="dxa"/>
            <w:tcBorders>
              <w:top w:val="nil"/>
              <w:left w:val="nil"/>
              <w:bottom w:val="nil"/>
            </w:tcBorders>
          </w:tcPr>
          <w:p w:rsidR="00BC18D1" w:rsidRPr="000E0F90" w:rsidRDefault="00BC18D1" w:rsidP="00BC18D1">
            <w:pPr>
              <w:jc w:val="left"/>
              <w:rPr>
                <w:rFonts w:ascii="Arial" w:hAnsi="Arial" w:cs="Arial"/>
                <w:color w:val="000000" w:themeColor="text1"/>
                <w:sz w:val="20"/>
                <w:szCs w:val="20"/>
              </w:rPr>
            </w:pPr>
            <w:r w:rsidRPr="000E0F90">
              <w:rPr>
                <w:rFonts w:ascii="Arial" w:hAnsi="Arial" w:cs="Arial"/>
                <w:color w:val="000000" w:themeColor="text1"/>
                <w:sz w:val="20"/>
                <w:szCs w:val="20"/>
              </w:rPr>
              <w:t xml:space="preserve">Matorral </w:t>
            </w:r>
            <w:r w:rsidR="00C901F3" w:rsidRPr="000E0F90">
              <w:rPr>
                <w:rFonts w:ascii="Arial" w:hAnsi="Arial" w:cs="Arial"/>
                <w:color w:val="000000" w:themeColor="text1"/>
                <w:sz w:val="20"/>
                <w:szCs w:val="20"/>
              </w:rPr>
              <w:t>desértico</w:t>
            </w:r>
            <w:r w:rsidRPr="000E0F90">
              <w:rPr>
                <w:rFonts w:ascii="Arial" w:hAnsi="Arial" w:cs="Arial"/>
                <w:color w:val="000000" w:themeColor="text1"/>
                <w:sz w:val="20"/>
                <w:szCs w:val="20"/>
              </w:rPr>
              <w:t xml:space="preserve"> mediterráneo interior</w:t>
            </w:r>
          </w:p>
          <w:p w:rsidR="00BC18D1" w:rsidRPr="000E0F90" w:rsidRDefault="00BC18D1" w:rsidP="00BC18D1">
            <w:pPr>
              <w:jc w:val="left"/>
              <w:rPr>
                <w:rFonts w:ascii="Arial" w:hAnsi="Arial" w:cs="Arial"/>
                <w:color w:val="000000" w:themeColor="text1"/>
                <w:sz w:val="20"/>
                <w:szCs w:val="20"/>
              </w:rPr>
            </w:pPr>
            <w:r w:rsidRPr="000E0F90">
              <w:rPr>
                <w:rFonts w:ascii="Arial" w:hAnsi="Arial" w:cs="Arial"/>
                <w:color w:val="000000" w:themeColor="text1"/>
                <w:sz w:val="20"/>
                <w:szCs w:val="20"/>
              </w:rPr>
              <w:t xml:space="preserve">Matorral bajo desértico </w:t>
            </w:r>
            <w:r w:rsidR="00C901F3" w:rsidRPr="000E0F90">
              <w:rPr>
                <w:rFonts w:ascii="Arial" w:hAnsi="Arial" w:cs="Arial"/>
                <w:color w:val="000000" w:themeColor="text1"/>
                <w:sz w:val="20"/>
                <w:szCs w:val="20"/>
              </w:rPr>
              <w:t>mediterráneo</w:t>
            </w:r>
            <w:r w:rsidRPr="000E0F90">
              <w:rPr>
                <w:rFonts w:ascii="Arial" w:hAnsi="Arial" w:cs="Arial"/>
                <w:color w:val="000000" w:themeColor="text1"/>
                <w:sz w:val="20"/>
                <w:szCs w:val="20"/>
              </w:rPr>
              <w:t xml:space="preserve"> andino</w:t>
            </w:r>
          </w:p>
          <w:p w:rsidR="001A681B" w:rsidRPr="000E0F90" w:rsidRDefault="00BC18D1" w:rsidP="00FA07B6">
            <w:pPr>
              <w:jc w:val="left"/>
              <w:rPr>
                <w:rFonts w:ascii="Arial" w:hAnsi="Arial" w:cs="Arial"/>
                <w:color w:val="000000" w:themeColor="text1"/>
                <w:sz w:val="20"/>
                <w:szCs w:val="20"/>
              </w:rPr>
            </w:pPr>
            <w:r w:rsidRPr="000E0F90">
              <w:rPr>
                <w:rFonts w:ascii="Arial" w:hAnsi="Arial" w:cs="Arial"/>
                <w:color w:val="000000" w:themeColor="text1"/>
                <w:sz w:val="20"/>
                <w:szCs w:val="20"/>
              </w:rPr>
              <w:t xml:space="preserve">Matorral bajo </w:t>
            </w:r>
            <w:r w:rsidR="00DE119A" w:rsidRPr="000E0F90">
              <w:rPr>
                <w:rFonts w:ascii="Arial" w:hAnsi="Arial" w:cs="Arial"/>
                <w:color w:val="000000" w:themeColor="text1"/>
                <w:sz w:val="20"/>
                <w:szCs w:val="20"/>
              </w:rPr>
              <w:t>tropical-</w:t>
            </w:r>
            <w:r w:rsidRPr="000E0F90">
              <w:rPr>
                <w:rFonts w:ascii="Arial" w:hAnsi="Arial" w:cs="Arial"/>
                <w:color w:val="000000" w:themeColor="text1"/>
                <w:sz w:val="20"/>
                <w:szCs w:val="20"/>
              </w:rPr>
              <w:t xml:space="preserve"> </w:t>
            </w:r>
            <w:r w:rsidR="00C901F3" w:rsidRPr="000E0F90">
              <w:rPr>
                <w:rFonts w:ascii="Arial" w:hAnsi="Arial" w:cs="Arial"/>
                <w:color w:val="000000" w:themeColor="text1"/>
                <w:sz w:val="20"/>
                <w:szCs w:val="20"/>
              </w:rPr>
              <w:t>mediterráneo</w:t>
            </w:r>
            <w:r w:rsidRPr="000E0F90">
              <w:rPr>
                <w:rFonts w:ascii="Arial" w:hAnsi="Arial" w:cs="Arial"/>
                <w:color w:val="000000" w:themeColor="text1"/>
                <w:sz w:val="20"/>
                <w:szCs w:val="20"/>
              </w:rPr>
              <w:t xml:space="preserve"> andino</w:t>
            </w:r>
          </w:p>
          <w:p w:rsidR="00BC18D1" w:rsidRPr="000E0F90" w:rsidRDefault="00BC18D1" w:rsidP="00FA07B6">
            <w:pPr>
              <w:jc w:val="left"/>
              <w:rPr>
                <w:rFonts w:ascii="Arial" w:hAnsi="Arial" w:cs="Arial"/>
                <w:color w:val="000000" w:themeColor="text1"/>
                <w:sz w:val="20"/>
                <w:szCs w:val="20"/>
              </w:rPr>
            </w:pPr>
            <w:r w:rsidRPr="000E0F90">
              <w:rPr>
                <w:rFonts w:ascii="Arial" w:hAnsi="Arial" w:cs="Arial"/>
                <w:color w:val="000000" w:themeColor="text1"/>
                <w:sz w:val="20"/>
                <w:szCs w:val="20"/>
              </w:rPr>
              <w:t>Herbazal tropical andino</w:t>
            </w:r>
          </w:p>
        </w:tc>
      </w:tr>
      <w:tr w:rsidR="001A681B" w:rsidRPr="000E0F90" w:rsidTr="002A21E4">
        <w:tc>
          <w:tcPr>
            <w:tcW w:w="2394" w:type="dxa"/>
            <w:tcBorders>
              <w:top w:val="nil"/>
              <w:right w:val="nil"/>
            </w:tcBorders>
          </w:tcPr>
          <w:p w:rsidR="001A681B" w:rsidRPr="000E0F90" w:rsidRDefault="00BA1041" w:rsidP="00FA07B6">
            <w:pPr>
              <w:jc w:val="left"/>
              <w:rPr>
                <w:rFonts w:ascii="Arial" w:hAnsi="Arial" w:cs="Arial"/>
                <w:b/>
                <w:color w:val="000000" w:themeColor="text1"/>
                <w:sz w:val="20"/>
                <w:szCs w:val="20"/>
                <w:highlight w:val="green"/>
              </w:rPr>
            </w:pPr>
            <w:r>
              <w:rPr>
                <w:rFonts w:ascii="Arial" w:hAnsi="Arial" w:cs="Arial"/>
                <w:b/>
                <w:color w:val="000000" w:themeColor="text1"/>
                <w:sz w:val="20"/>
                <w:szCs w:val="20"/>
              </w:rPr>
              <w:t>Fauna</w:t>
            </w:r>
          </w:p>
        </w:tc>
        <w:tc>
          <w:tcPr>
            <w:tcW w:w="3195" w:type="dxa"/>
            <w:tcBorders>
              <w:top w:val="nil"/>
              <w:left w:val="nil"/>
              <w:right w:val="nil"/>
            </w:tcBorders>
          </w:tcPr>
          <w:p w:rsidR="001A681B" w:rsidRPr="000E0F90" w:rsidRDefault="00F5061E" w:rsidP="00FA07B6">
            <w:pPr>
              <w:jc w:val="left"/>
              <w:rPr>
                <w:rFonts w:ascii="Arial" w:hAnsi="Arial" w:cs="Arial"/>
                <w:color w:val="000000" w:themeColor="text1"/>
                <w:sz w:val="20"/>
                <w:szCs w:val="20"/>
              </w:rPr>
            </w:pPr>
            <w:r w:rsidRPr="000E0F90">
              <w:rPr>
                <w:rFonts w:ascii="Arial" w:hAnsi="Arial" w:cs="Arial"/>
                <w:color w:val="000000" w:themeColor="text1"/>
                <w:sz w:val="20"/>
                <w:szCs w:val="20"/>
              </w:rPr>
              <w:t>Fauna terrestre: reptiles, aves y mamíferos</w:t>
            </w:r>
          </w:p>
          <w:p w:rsidR="008256A3" w:rsidRPr="000E0F90" w:rsidRDefault="008256A3" w:rsidP="008256A3">
            <w:pPr>
              <w:jc w:val="left"/>
              <w:rPr>
                <w:rFonts w:ascii="Arial" w:hAnsi="Arial" w:cs="Arial"/>
                <w:i/>
                <w:color w:val="000000" w:themeColor="text1"/>
                <w:sz w:val="20"/>
                <w:szCs w:val="20"/>
              </w:rPr>
            </w:pPr>
            <w:r w:rsidRPr="000E0F90">
              <w:rPr>
                <w:rFonts w:ascii="Arial" w:hAnsi="Arial" w:cs="Arial"/>
                <w:i/>
                <w:color w:val="000000" w:themeColor="text1"/>
                <w:sz w:val="20"/>
                <w:szCs w:val="20"/>
              </w:rPr>
              <w:t xml:space="preserve">Estado de conservación: </w:t>
            </w:r>
          </w:p>
          <w:p w:rsidR="00F5061E" w:rsidRPr="000E0F90" w:rsidRDefault="00553820" w:rsidP="00FA07B6">
            <w:pPr>
              <w:jc w:val="left"/>
              <w:rPr>
                <w:rFonts w:ascii="Arial" w:hAnsi="Arial" w:cs="Arial"/>
                <w:color w:val="000000" w:themeColor="text1"/>
                <w:sz w:val="20"/>
                <w:szCs w:val="20"/>
              </w:rPr>
            </w:pPr>
            <w:r w:rsidRPr="000E0F90">
              <w:rPr>
                <w:rFonts w:ascii="Arial" w:hAnsi="Arial" w:cs="Arial"/>
                <w:color w:val="000000" w:themeColor="text1"/>
                <w:sz w:val="20"/>
                <w:szCs w:val="20"/>
              </w:rPr>
              <w:t>Preocupación menor: zorro chilla, zorro culpeo, ratón orejudo de Darwin, ratoncito oliváceo, lagartija de atacama</w:t>
            </w:r>
          </w:p>
        </w:tc>
        <w:tc>
          <w:tcPr>
            <w:tcW w:w="3195" w:type="dxa"/>
            <w:tcBorders>
              <w:top w:val="nil"/>
              <w:left w:val="nil"/>
            </w:tcBorders>
          </w:tcPr>
          <w:p w:rsidR="00F5061E" w:rsidRPr="000E0F90" w:rsidRDefault="00F5061E" w:rsidP="00F5061E">
            <w:pPr>
              <w:jc w:val="left"/>
              <w:rPr>
                <w:rFonts w:ascii="Arial" w:hAnsi="Arial" w:cs="Arial"/>
                <w:color w:val="000000" w:themeColor="text1"/>
                <w:sz w:val="20"/>
                <w:szCs w:val="20"/>
              </w:rPr>
            </w:pPr>
            <w:r w:rsidRPr="000E0F90">
              <w:rPr>
                <w:rFonts w:ascii="Arial" w:hAnsi="Arial" w:cs="Arial"/>
                <w:color w:val="000000" w:themeColor="text1"/>
                <w:sz w:val="20"/>
                <w:szCs w:val="20"/>
              </w:rPr>
              <w:t>Fauna terrestre: reptiles, aves y mamíferos</w:t>
            </w:r>
          </w:p>
          <w:p w:rsidR="001A681B" w:rsidRPr="000E0F90" w:rsidRDefault="00280805" w:rsidP="00FA07B6">
            <w:pPr>
              <w:jc w:val="left"/>
              <w:rPr>
                <w:rFonts w:ascii="Arial" w:hAnsi="Arial" w:cs="Arial"/>
                <w:i/>
                <w:color w:val="000000" w:themeColor="text1"/>
                <w:sz w:val="20"/>
                <w:szCs w:val="20"/>
              </w:rPr>
            </w:pPr>
            <w:r w:rsidRPr="000E0F90">
              <w:rPr>
                <w:rFonts w:ascii="Arial" w:hAnsi="Arial" w:cs="Arial"/>
                <w:i/>
                <w:color w:val="000000" w:themeColor="text1"/>
                <w:sz w:val="20"/>
                <w:szCs w:val="20"/>
              </w:rPr>
              <w:t>E</w:t>
            </w:r>
            <w:r w:rsidR="00F5061E" w:rsidRPr="000E0F90">
              <w:rPr>
                <w:rFonts w:ascii="Arial" w:hAnsi="Arial" w:cs="Arial"/>
                <w:i/>
                <w:color w:val="000000" w:themeColor="text1"/>
                <w:sz w:val="20"/>
                <w:szCs w:val="20"/>
              </w:rPr>
              <w:t>stado de co</w:t>
            </w:r>
            <w:r w:rsidRPr="000E0F90">
              <w:rPr>
                <w:rFonts w:ascii="Arial" w:hAnsi="Arial" w:cs="Arial"/>
                <w:i/>
                <w:color w:val="000000" w:themeColor="text1"/>
                <w:sz w:val="20"/>
                <w:szCs w:val="20"/>
              </w:rPr>
              <w:t>ns</w:t>
            </w:r>
            <w:r w:rsidR="00F5061E" w:rsidRPr="000E0F90">
              <w:rPr>
                <w:rFonts w:ascii="Arial" w:hAnsi="Arial" w:cs="Arial"/>
                <w:i/>
                <w:color w:val="000000" w:themeColor="text1"/>
                <w:sz w:val="20"/>
                <w:szCs w:val="20"/>
              </w:rPr>
              <w:t>ervación:</w:t>
            </w:r>
            <w:r w:rsidR="00BC18D1" w:rsidRPr="000E0F90">
              <w:rPr>
                <w:rFonts w:ascii="Arial" w:hAnsi="Arial" w:cs="Arial"/>
                <w:i/>
                <w:color w:val="000000" w:themeColor="text1"/>
                <w:sz w:val="20"/>
                <w:szCs w:val="20"/>
              </w:rPr>
              <w:t xml:space="preserve"> </w:t>
            </w:r>
          </w:p>
          <w:p w:rsidR="00280805" w:rsidRPr="000E0F90" w:rsidRDefault="00280805" w:rsidP="00FA07B6">
            <w:pPr>
              <w:jc w:val="left"/>
              <w:rPr>
                <w:rFonts w:ascii="Arial" w:hAnsi="Arial" w:cs="Arial"/>
                <w:color w:val="000000" w:themeColor="text1"/>
                <w:sz w:val="20"/>
                <w:szCs w:val="20"/>
              </w:rPr>
            </w:pPr>
            <w:r w:rsidRPr="000E0F90">
              <w:rPr>
                <w:rFonts w:ascii="Arial" w:hAnsi="Arial" w:cs="Arial"/>
                <w:color w:val="000000" w:themeColor="text1"/>
                <w:sz w:val="20"/>
                <w:szCs w:val="20"/>
              </w:rPr>
              <w:t xml:space="preserve">Vulnerable: Lagarto de Lorenzmüeller, Lagarto de Roberto, </w:t>
            </w:r>
            <w:r w:rsidR="009F22EB" w:rsidRPr="000E0F90">
              <w:rPr>
                <w:rFonts w:ascii="Arial" w:hAnsi="Arial" w:cs="Arial"/>
                <w:color w:val="000000" w:themeColor="text1"/>
                <w:sz w:val="20"/>
                <w:szCs w:val="20"/>
              </w:rPr>
              <w:t>Cóndor</w:t>
            </w:r>
            <w:r w:rsidRPr="000E0F90">
              <w:rPr>
                <w:rFonts w:ascii="Arial" w:hAnsi="Arial" w:cs="Arial"/>
                <w:color w:val="000000" w:themeColor="text1"/>
                <w:sz w:val="20"/>
                <w:szCs w:val="20"/>
              </w:rPr>
              <w:t>, Piquén, ratón orejudo, laucha andina y vizcacha</w:t>
            </w:r>
          </w:p>
          <w:p w:rsidR="00280805" w:rsidRPr="000E0F90" w:rsidRDefault="00280805" w:rsidP="00280805">
            <w:pPr>
              <w:jc w:val="left"/>
              <w:rPr>
                <w:rFonts w:ascii="Arial" w:hAnsi="Arial" w:cs="Arial"/>
                <w:color w:val="000000" w:themeColor="text1"/>
                <w:sz w:val="20"/>
                <w:szCs w:val="20"/>
              </w:rPr>
            </w:pPr>
            <w:r w:rsidRPr="000E0F90">
              <w:rPr>
                <w:rFonts w:ascii="Arial" w:hAnsi="Arial" w:cs="Arial"/>
                <w:color w:val="000000" w:themeColor="text1"/>
                <w:sz w:val="20"/>
                <w:szCs w:val="20"/>
              </w:rPr>
              <w:t>Rara: Perdicita cordillerana</w:t>
            </w:r>
          </w:p>
        </w:tc>
      </w:tr>
    </w:tbl>
    <w:p w:rsidR="003146B0" w:rsidRDefault="003146B0" w:rsidP="003146B0">
      <w:pPr>
        <w:rPr>
          <w:lang w:eastAsia="es-ES"/>
        </w:rPr>
      </w:pPr>
    </w:p>
    <w:tbl>
      <w:tblPr>
        <w:tblStyle w:val="Tablaconcuadrcula"/>
        <w:tblW w:w="8784" w:type="dxa"/>
        <w:tblBorders>
          <w:left w:val="none" w:sz="0" w:space="0" w:color="auto"/>
          <w:right w:val="none" w:sz="0" w:space="0" w:color="auto"/>
        </w:tblBorders>
        <w:tblLook w:val="04A0" w:firstRow="1" w:lastRow="0" w:firstColumn="1" w:lastColumn="0" w:noHBand="0" w:noVBand="1"/>
      </w:tblPr>
      <w:tblGrid>
        <w:gridCol w:w="2394"/>
        <w:gridCol w:w="3195"/>
        <w:gridCol w:w="3195"/>
      </w:tblGrid>
      <w:tr w:rsidR="003146B0" w:rsidRPr="000E0F90" w:rsidTr="002A21E4">
        <w:tc>
          <w:tcPr>
            <w:tcW w:w="2394" w:type="dxa"/>
            <w:tcBorders>
              <w:bottom w:val="single" w:sz="4" w:space="0" w:color="auto"/>
              <w:right w:val="nil"/>
            </w:tcBorders>
            <w:shd w:val="clear" w:color="auto" w:fill="D9D9D9" w:themeFill="background1" w:themeFillShade="D9"/>
          </w:tcPr>
          <w:p w:rsidR="003146B0" w:rsidRPr="000E0F90" w:rsidRDefault="003146B0" w:rsidP="002D30B3">
            <w:pPr>
              <w:jc w:val="left"/>
              <w:rPr>
                <w:rFonts w:ascii="Arial" w:hAnsi="Arial" w:cs="Arial"/>
                <w:b/>
                <w:color w:val="000000" w:themeColor="text1"/>
                <w:sz w:val="20"/>
                <w:szCs w:val="20"/>
              </w:rPr>
            </w:pPr>
            <w:r w:rsidRPr="000E0F90">
              <w:rPr>
                <w:rFonts w:ascii="Arial" w:hAnsi="Arial" w:cs="Arial"/>
                <w:b/>
                <w:color w:val="000000" w:themeColor="text1"/>
                <w:sz w:val="20"/>
                <w:szCs w:val="20"/>
              </w:rPr>
              <w:lastRenderedPageBreak/>
              <w:t>SOCIOESTRUCTURA</w:t>
            </w:r>
          </w:p>
        </w:tc>
        <w:tc>
          <w:tcPr>
            <w:tcW w:w="3195" w:type="dxa"/>
            <w:tcBorders>
              <w:left w:val="nil"/>
              <w:bottom w:val="single" w:sz="4" w:space="0" w:color="auto"/>
              <w:right w:val="nil"/>
            </w:tcBorders>
            <w:shd w:val="clear" w:color="auto" w:fill="D9D9D9" w:themeFill="background1" w:themeFillShade="D9"/>
          </w:tcPr>
          <w:p w:rsidR="003146B0" w:rsidRPr="000E0F90" w:rsidRDefault="003146B0" w:rsidP="002D30B3">
            <w:pPr>
              <w:jc w:val="left"/>
              <w:rPr>
                <w:rFonts w:ascii="Arial" w:hAnsi="Arial" w:cs="Arial"/>
                <w:color w:val="000000" w:themeColor="text1"/>
                <w:sz w:val="20"/>
                <w:szCs w:val="20"/>
              </w:rPr>
            </w:pPr>
          </w:p>
        </w:tc>
        <w:tc>
          <w:tcPr>
            <w:tcW w:w="3195" w:type="dxa"/>
            <w:tcBorders>
              <w:left w:val="nil"/>
              <w:bottom w:val="single" w:sz="4" w:space="0" w:color="auto"/>
            </w:tcBorders>
            <w:shd w:val="clear" w:color="auto" w:fill="D9D9D9" w:themeFill="background1" w:themeFillShade="D9"/>
          </w:tcPr>
          <w:p w:rsidR="003146B0" w:rsidRPr="000E0F90" w:rsidRDefault="003146B0" w:rsidP="002D30B3">
            <w:pPr>
              <w:jc w:val="left"/>
              <w:rPr>
                <w:rFonts w:ascii="Arial" w:hAnsi="Arial" w:cs="Arial"/>
                <w:color w:val="000000" w:themeColor="text1"/>
                <w:sz w:val="20"/>
                <w:szCs w:val="20"/>
              </w:rPr>
            </w:pPr>
          </w:p>
        </w:tc>
      </w:tr>
      <w:tr w:rsidR="003146B0" w:rsidRPr="000E0F90" w:rsidTr="002A21E4">
        <w:tc>
          <w:tcPr>
            <w:tcW w:w="2394" w:type="dxa"/>
            <w:tcBorders>
              <w:bottom w:val="nil"/>
              <w:right w:val="nil"/>
            </w:tcBorders>
          </w:tcPr>
          <w:p w:rsidR="003146B0" w:rsidRPr="000E0F90" w:rsidRDefault="003146B0" w:rsidP="002D30B3">
            <w:pPr>
              <w:jc w:val="left"/>
              <w:rPr>
                <w:rFonts w:ascii="Arial" w:hAnsi="Arial" w:cs="Arial"/>
                <w:b/>
                <w:color w:val="000000" w:themeColor="text1"/>
                <w:sz w:val="20"/>
                <w:szCs w:val="20"/>
              </w:rPr>
            </w:pPr>
            <w:r w:rsidRPr="000E0F90">
              <w:rPr>
                <w:rFonts w:ascii="Arial" w:hAnsi="Arial" w:cs="Arial"/>
                <w:b/>
                <w:color w:val="000000" w:themeColor="text1"/>
                <w:sz w:val="20"/>
                <w:szCs w:val="20"/>
              </w:rPr>
              <w:t>Población</w:t>
            </w:r>
          </w:p>
        </w:tc>
        <w:tc>
          <w:tcPr>
            <w:tcW w:w="3195" w:type="dxa"/>
            <w:tcBorders>
              <w:left w:val="nil"/>
              <w:bottom w:val="nil"/>
              <w:right w:val="nil"/>
            </w:tcBorders>
          </w:tcPr>
          <w:p w:rsidR="003146B0" w:rsidRPr="000E0F90" w:rsidRDefault="003146B0" w:rsidP="002D30B3">
            <w:pPr>
              <w:jc w:val="left"/>
              <w:rPr>
                <w:rFonts w:ascii="Arial" w:hAnsi="Arial" w:cs="Arial"/>
                <w:color w:val="000000" w:themeColor="text1"/>
                <w:sz w:val="20"/>
                <w:szCs w:val="20"/>
              </w:rPr>
            </w:pPr>
            <w:r w:rsidRPr="000E0F90">
              <w:rPr>
                <w:rFonts w:ascii="Arial" w:hAnsi="Arial" w:cs="Arial"/>
                <w:color w:val="000000" w:themeColor="text1"/>
                <w:sz w:val="20"/>
                <w:szCs w:val="20"/>
              </w:rPr>
              <w:t xml:space="preserve">12.888 </w:t>
            </w:r>
            <w:r w:rsidR="00C84961" w:rsidRPr="000E0F90">
              <w:rPr>
                <w:rFonts w:ascii="Arial" w:hAnsi="Arial" w:cs="Arial"/>
                <w:color w:val="000000" w:themeColor="text1"/>
                <w:sz w:val="20"/>
                <w:szCs w:val="20"/>
              </w:rPr>
              <w:t>habitantes</w:t>
            </w:r>
            <w:r w:rsidRPr="000E0F90">
              <w:rPr>
                <w:rFonts w:ascii="Arial" w:hAnsi="Arial" w:cs="Arial"/>
                <w:color w:val="000000" w:themeColor="text1"/>
                <w:sz w:val="20"/>
                <w:szCs w:val="20"/>
              </w:rPr>
              <w:t>, con un 33,4% de población rural (4.305hab)</w:t>
            </w:r>
          </w:p>
        </w:tc>
        <w:tc>
          <w:tcPr>
            <w:tcW w:w="3195" w:type="dxa"/>
            <w:tcBorders>
              <w:left w:val="nil"/>
              <w:bottom w:val="nil"/>
            </w:tcBorders>
          </w:tcPr>
          <w:p w:rsidR="003146B0" w:rsidRPr="000E0F90" w:rsidRDefault="003146B0" w:rsidP="002D30B3">
            <w:pPr>
              <w:jc w:val="left"/>
              <w:rPr>
                <w:rFonts w:ascii="Arial" w:hAnsi="Arial" w:cs="Arial"/>
                <w:color w:val="000000" w:themeColor="text1"/>
                <w:sz w:val="20"/>
                <w:szCs w:val="20"/>
              </w:rPr>
            </w:pPr>
            <w:r w:rsidRPr="000E0F90">
              <w:rPr>
                <w:rFonts w:ascii="Arial" w:hAnsi="Arial" w:cs="Arial"/>
                <w:color w:val="000000" w:themeColor="text1"/>
                <w:sz w:val="20"/>
                <w:szCs w:val="20"/>
              </w:rPr>
              <w:t>4.849 habitantes, con un 100% de población rural</w:t>
            </w:r>
          </w:p>
        </w:tc>
      </w:tr>
      <w:tr w:rsidR="003146B0" w:rsidRPr="000E0F90" w:rsidTr="002A21E4">
        <w:tc>
          <w:tcPr>
            <w:tcW w:w="2394" w:type="dxa"/>
            <w:tcBorders>
              <w:top w:val="nil"/>
              <w:bottom w:val="nil"/>
              <w:right w:val="nil"/>
            </w:tcBorders>
          </w:tcPr>
          <w:p w:rsidR="003146B0" w:rsidRPr="000E0F90" w:rsidRDefault="003146B0" w:rsidP="002D30B3">
            <w:pPr>
              <w:jc w:val="left"/>
              <w:rPr>
                <w:rFonts w:ascii="Arial" w:hAnsi="Arial" w:cs="Arial"/>
                <w:b/>
                <w:color w:val="000000" w:themeColor="text1"/>
                <w:sz w:val="20"/>
                <w:szCs w:val="20"/>
              </w:rPr>
            </w:pPr>
            <w:r w:rsidRPr="000E0F90">
              <w:rPr>
                <w:rFonts w:ascii="Arial" w:hAnsi="Arial" w:cs="Arial"/>
                <w:b/>
                <w:color w:val="000000" w:themeColor="text1"/>
                <w:sz w:val="20"/>
                <w:szCs w:val="20"/>
              </w:rPr>
              <w:t>Pueblos Originarios</w:t>
            </w:r>
          </w:p>
        </w:tc>
        <w:tc>
          <w:tcPr>
            <w:tcW w:w="3195" w:type="dxa"/>
            <w:tcBorders>
              <w:top w:val="nil"/>
              <w:left w:val="nil"/>
              <w:bottom w:val="nil"/>
              <w:right w:val="nil"/>
            </w:tcBorders>
          </w:tcPr>
          <w:p w:rsidR="003146B0" w:rsidRPr="000E0F90" w:rsidRDefault="003146B0" w:rsidP="002D30B3">
            <w:pPr>
              <w:jc w:val="left"/>
              <w:rPr>
                <w:rFonts w:ascii="Arial" w:hAnsi="Arial" w:cs="Arial"/>
                <w:color w:val="000000" w:themeColor="text1"/>
                <w:sz w:val="20"/>
                <w:szCs w:val="20"/>
              </w:rPr>
            </w:pPr>
            <w:r w:rsidRPr="000E0F90">
              <w:rPr>
                <w:rFonts w:ascii="Arial" w:hAnsi="Arial" w:cs="Arial"/>
                <w:color w:val="000000" w:themeColor="text1"/>
                <w:sz w:val="20"/>
                <w:szCs w:val="20"/>
              </w:rPr>
              <w:t xml:space="preserve">645 personas pertenecientes a etnia (5,0%). Principales etnias: Colla,  atacameño y mapuche </w:t>
            </w:r>
          </w:p>
        </w:tc>
        <w:tc>
          <w:tcPr>
            <w:tcW w:w="3195" w:type="dxa"/>
            <w:tcBorders>
              <w:top w:val="nil"/>
              <w:left w:val="nil"/>
              <w:bottom w:val="nil"/>
            </w:tcBorders>
          </w:tcPr>
          <w:p w:rsidR="003146B0" w:rsidRPr="000E0F90" w:rsidRDefault="003146B0" w:rsidP="002D30B3">
            <w:pPr>
              <w:jc w:val="left"/>
              <w:rPr>
                <w:rFonts w:ascii="Arial" w:hAnsi="Arial" w:cs="Arial"/>
                <w:color w:val="000000" w:themeColor="text1"/>
                <w:sz w:val="20"/>
                <w:szCs w:val="20"/>
              </w:rPr>
            </w:pPr>
            <w:r w:rsidRPr="000E0F90">
              <w:rPr>
                <w:rFonts w:ascii="Arial" w:hAnsi="Arial" w:cs="Arial"/>
                <w:color w:val="000000" w:themeColor="text1"/>
                <w:sz w:val="20"/>
                <w:szCs w:val="20"/>
              </w:rPr>
              <w:t xml:space="preserve">256 personas pertenecientes a etnia (5,3%). Principales etnias: Atacameño, colla y mapuche </w:t>
            </w:r>
          </w:p>
        </w:tc>
      </w:tr>
      <w:tr w:rsidR="003146B0" w:rsidRPr="000E0F90" w:rsidTr="002A21E4">
        <w:tc>
          <w:tcPr>
            <w:tcW w:w="2394" w:type="dxa"/>
            <w:tcBorders>
              <w:top w:val="nil"/>
              <w:bottom w:val="nil"/>
              <w:right w:val="nil"/>
            </w:tcBorders>
          </w:tcPr>
          <w:p w:rsidR="003146B0" w:rsidRPr="000E0F90" w:rsidRDefault="003146B0" w:rsidP="002D30B3">
            <w:pPr>
              <w:jc w:val="left"/>
              <w:rPr>
                <w:rFonts w:ascii="Arial" w:hAnsi="Arial" w:cs="Arial"/>
                <w:b/>
                <w:color w:val="000000" w:themeColor="text1"/>
                <w:sz w:val="20"/>
                <w:szCs w:val="20"/>
              </w:rPr>
            </w:pPr>
            <w:r w:rsidRPr="000E0F90">
              <w:rPr>
                <w:rFonts w:ascii="Arial" w:hAnsi="Arial" w:cs="Arial"/>
                <w:b/>
                <w:color w:val="000000" w:themeColor="text1"/>
                <w:sz w:val="20"/>
                <w:szCs w:val="20"/>
              </w:rPr>
              <w:t>Recursos territoriales</w:t>
            </w:r>
          </w:p>
        </w:tc>
        <w:tc>
          <w:tcPr>
            <w:tcW w:w="3195" w:type="dxa"/>
            <w:tcBorders>
              <w:top w:val="nil"/>
              <w:left w:val="nil"/>
              <w:bottom w:val="nil"/>
              <w:right w:val="nil"/>
            </w:tcBorders>
          </w:tcPr>
          <w:p w:rsidR="003146B0" w:rsidRPr="000E0F90" w:rsidRDefault="003146B0" w:rsidP="002D30B3">
            <w:pPr>
              <w:jc w:val="left"/>
              <w:rPr>
                <w:rFonts w:ascii="Arial" w:hAnsi="Arial" w:cs="Arial"/>
                <w:color w:val="000000" w:themeColor="text1"/>
                <w:sz w:val="20"/>
                <w:szCs w:val="20"/>
              </w:rPr>
            </w:pPr>
            <w:r w:rsidRPr="000E0F90">
              <w:rPr>
                <w:rFonts w:ascii="Arial" w:hAnsi="Arial" w:cs="Arial"/>
                <w:color w:val="000000" w:themeColor="text1"/>
                <w:sz w:val="20"/>
                <w:szCs w:val="20"/>
              </w:rPr>
              <w:t>Limitada oferta de servicios básicos y complementarios</w:t>
            </w:r>
          </w:p>
          <w:p w:rsidR="003146B0" w:rsidRPr="000E0F90" w:rsidRDefault="003146B0" w:rsidP="002D30B3">
            <w:pPr>
              <w:jc w:val="left"/>
              <w:rPr>
                <w:rFonts w:ascii="Arial" w:hAnsi="Arial" w:cs="Arial"/>
                <w:color w:val="000000" w:themeColor="text1"/>
                <w:sz w:val="20"/>
                <w:szCs w:val="20"/>
              </w:rPr>
            </w:pPr>
            <w:r w:rsidRPr="000E0F90">
              <w:rPr>
                <w:rFonts w:ascii="Arial" w:hAnsi="Arial" w:cs="Arial"/>
                <w:color w:val="000000" w:themeColor="text1"/>
                <w:sz w:val="20"/>
                <w:szCs w:val="20"/>
              </w:rPr>
              <w:t xml:space="preserve">Principalmente uso minero y  agrícola </w:t>
            </w:r>
          </w:p>
          <w:p w:rsidR="003146B0" w:rsidRPr="000E0F90" w:rsidRDefault="003146B0" w:rsidP="002D30B3">
            <w:pPr>
              <w:jc w:val="left"/>
              <w:rPr>
                <w:rFonts w:ascii="Arial" w:hAnsi="Arial" w:cs="Arial"/>
                <w:color w:val="000000" w:themeColor="text1"/>
                <w:sz w:val="20"/>
                <w:szCs w:val="20"/>
              </w:rPr>
            </w:pPr>
            <w:r w:rsidRPr="000E0F90">
              <w:rPr>
                <w:rFonts w:ascii="Arial" w:hAnsi="Arial" w:cs="Arial"/>
                <w:color w:val="000000" w:themeColor="text1"/>
                <w:sz w:val="20"/>
                <w:szCs w:val="20"/>
              </w:rPr>
              <w:t>Actividad agrícola de subsistencia y tradicional, patrón de asentamiento; Agricultura e industrial (Parronales)</w:t>
            </w:r>
          </w:p>
          <w:p w:rsidR="003146B0" w:rsidRPr="000E0F90" w:rsidRDefault="003146B0" w:rsidP="002D30B3">
            <w:pPr>
              <w:jc w:val="left"/>
              <w:rPr>
                <w:rFonts w:ascii="Arial" w:hAnsi="Arial" w:cs="Arial"/>
                <w:color w:val="000000" w:themeColor="text1"/>
                <w:sz w:val="20"/>
                <w:szCs w:val="20"/>
              </w:rPr>
            </w:pPr>
            <w:r w:rsidRPr="000E0F90">
              <w:rPr>
                <w:rFonts w:ascii="Arial" w:hAnsi="Arial" w:cs="Arial"/>
                <w:color w:val="000000" w:themeColor="text1"/>
                <w:sz w:val="20"/>
                <w:szCs w:val="20"/>
              </w:rPr>
              <w:t xml:space="preserve">Pequeña, mediana y gran </w:t>
            </w:r>
            <w:r w:rsidR="009F22EB" w:rsidRPr="000E0F90">
              <w:rPr>
                <w:rFonts w:ascii="Arial" w:hAnsi="Arial" w:cs="Arial"/>
                <w:color w:val="000000" w:themeColor="text1"/>
                <w:sz w:val="20"/>
                <w:szCs w:val="20"/>
              </w:rPr>
              <w:t>Minería</w:t>
            </w:r>
          </w:p>
        </w:tc>
        <w:tc>
          <w:tcPr>
            <w:tcW w:w="3195" w:type="dxa"/>
            <w:tcBorders>
              <w:top w:val="nil"/>
              <w:left w:val="nil"/>
              <w:bottom w:val="nil"/>
            </w:tcBorders>
          </w:tcPr>
          <w:p w:rsidR="003146B0" w:rsidRPr="000E0F90" w:rsidRDefault="003146B0" w:rsidP="002D30B3">
            <w:pPr>
              <w:jc w:val="left"/>
              <w:rPr>
                <w:rFonts w:ascii="Arial" w:hAnsi="Arial" w:cs="Arial"/>
                <w:color w:val="000000" w:themeColor="text1"/>
                <w:sz w:val="20"/>
                <w:szCs w:val="20"/>
              </w:rPr>
            </w:pPr>
            <w:r w:rsidRPr="000E0F90">
              <w:rPr>
                <w:rFonts w:ascii="Arial" w:hAnsi="Arial" w:cs="Arial"/>
                <w:color w:val="000000" w:themeColor="text1"/>
                <w:sz w:val="20"/>
                <w:szCs w:val="20"/>
              </w:rPr>
              <w:t>Disponibilidad parcial de servicios básicos y escasos servicios complementarios.</w:t>
            </w:r>
          </w:p>
          <w:p w:rsidR="003146B0" w:rsidRPr="000E0F90" w:rsidRDefault="003146B0" w:rsidP="002D30B3">
            <w:pPr>
              <w:jc w:val="left"/>
              <w:rPr>
                <w:rFonts w:ascii="Arial" w:hAnsi="Arial" w:cs="Arial"/>
                <w:color w:val="000000" w:themeColor="text1"/>
                <w:sz w:val="20"/>
                <w:szCs w:val="20"/>
              </w:rPr>
            </w:pPr>
            <w:r w:rsidRPr="000E0F90">
              <w:rPr>
                <w:rFonts w:ascii="Arial" w:hAnsi="Arial" w:cs="Arial"/>
                <w:color w:val="000000" w:themeColor="text1"/>
                <w:sz w:val="20"/>
                <w:szCs w:val="20"/>
              </w:rPr>
              <w:t>Principal actividad agrícola, producción de uva de exportación y agricultura tradicional al interior (Comunidades agrícolas)</w:t>
            </w:r>
          </w:p>
          <w:p w:rsidR="003146B0" w:rsidRPr="000E0F90" w:rsidRDefault="003146B0" w:rsidP="002D30B3">
            <w:pPr>
              <w:jc w:val="left"/>
              <w:rPr>
                <w:rFonts w:ascii="Arial" w:hAnsi="Arial" w:cs="Arial"/>
                <w:color w:val="000000" w:themeColor="text1"/>
                <w:sz w:val="20"/>
                <w:szCs w:val="20"/>
              </w:rPr>
            </w:pPr>
            <w:r w:rsidRPr="000E0F90">
              <w:rPr>
                <w:rFonts w:ascii="Arial" w:hAnsi="Arial" w:cs="Arial"/>
                <w:color w:val="000000" w:themeColor="text1"/>
                <w:sz w:val="20"/>
                <w:szCs w:val="20"/>
              </w:rPr>
              <w:t xml:space="preserve">Pequeña minería </w:t>
            </w:r>
          </w:p>
        </w:tc>
      </w:tr>
      <w:tr w:rsidR="003146B0" w:rsidRPr="000E0F90" w:rsidTr="002A21E4">
        <w:tc>
          <w:tcPr>
            <w:tcW w:w="2394" w:type="dxa"/>
            <w:tcBorders>
              <w:top w:val="nil"/>
              <w:bottom w:val="nil"/>
              <w:right w:val="nil"/>
            </w:tcBorders>
          </w:tcPr>
          <w:p w:rsidR="003146B0" w:rsidRPr="000E0F90" w:rsidRDefault="003146B0" w:rsidP="002D30B3">
            <w:pPr>
              <w:jc w:val="left"/>
              <w:rPr>
                <w:rFonts w:ascii="Arial" w:hAnsi="Arial" w:cs="Arial"/>
                <w:b/>
                <w:color w:val="000000" w:themeColor="text1"/>
                <w:sz w:val="20"/>
                <w:szCs w:val="20"/>
              </w:rPr>
            </w:pPr>
            <w:r w:rsidRPr="000E0F90">
              <w:rPr>
                <w:rFonts w:ascii="Arial" w:hAnsi="Arial" w:cs="Arial"/>
                <w:b/>
                <w:color w:val="000000" w:themeColor="text1"/>
                <w:sz w:val="20"/>
                <w:szCs w:val="20"/>
              </w:rPr>
              <w:t>Actividades económicas</w:t>
            </w:r>
          </w:p>
        </w:tc>
        <w:tc>
          <w:tcPr>
            <w:tcW w:w="3195" w:type="dxa"/>
            <w:tcBorders>
              <w:top w:val="nil"/>
              <w:left w:val="nil"/>
              <w:bottom w:val="nil"/>
              <w:right w:val="nil"/>
            </w:tcBorders>
          </w:tcPr>
          <w:p w:rsidR="003146B0" w:rsidRPr="000E0F90" w:rsidRDefault="003146B0" w:rsidP="002D30B3">
            <w:pPr>
              <w:jc w:val="left"/>
              <w:rPr>
                <w:rFonts w:ascii="Arial" w:hAnsi="Arial" w:cs="Arial"/>
                <w:color w:val="000000" w:themeColor="text1"/>
                <w:sz w:val="20"/>
                <w:szCs w:val="20"/>
              </w:rPr>
            </w:pPr>
            <w:r w:rsidRPr="000E0F90">
              <w:rPr>
                <w:rFonts w:ascii="Arial" w:hAnsi="Arial" w:cs="Arial"/>
                <w:i/>
                <w:color w:val="000000" w:themeColor="text1"/>
                <w:sz w:val="20"/>
                <w:szCs w:val="20"/>
              </w:rPr>
              <w:t>Principales Actividades:</w:t>
            </w:r>
            <w:r w:rsidRPr="000E0F90">
              <w:rPr>
                <w:rFonts w:ascii="Arial" w:hAnsi="Arial" w:cs="Arial"/>
                <w:color w:val="000000" w:themeColor="text1"/>
                <w:sz w:val="20"/>
                <w:szCs w:val="20"/>
              </w:rPr>
              <w:t xml:space="preserve"> Comercio, Minería, Hotelería, Silvoagropecuaria y Transporte</w:t>
            </w:r>
          </w:p>
          <w:p w:rsidR="003146B0" w:rsidRPr="000E0F90" w:rsidRDefault="003146B0" w:rsidP="002D30B3">
            <w:pPr>
              <w:jc w:val="left"/>
              <w:rPr>
                <w:rFonts w:ascii="Arial" w:hAnsi="Arial" w:cs="Arial"/>
                <w:color w:val="000000" w:themeColor="text1"/>
                <w:sz w:val="20"/>
                <w:szCs w:val="20"/>
              </w:rPr>
            </w:pPr>
            <w:r w:rsidRPr="000E0F90">
              <w:rPr>
                <w:rFonts w:ascii="Arial" w:hAnsi="Arial" w:cs="Arial"/>
                <w:i/>
                <w:color w:val="000000" w:themeColor="text1"/>
                <w:sz w:val="20"/>
                <w:szCs w:val="20"/>
              </w:rPr>
              <w:t>Empleos:</w:t>
            </w:r>
            <w:r w:rsidRPr="000E0F90">
              <w:rPr>
                <w:rFonts w:ascii="Arial" w:hAnsi="Arial" w:cs="Arial"/>
                <w:color w:val="000000" w:themeColor="text1"/>
                <w:sz w:val="20"/>
                <w:szCs w:val="20"/>
              </w:rPr>
              <w:t xml:space="preserve"> Silvoagropecuaria, inmobiliaria, Administración pública, Minería.</w:t>
            </w:r>
          </w:p>
        </w:tc>
        <w:tc>
          <w:tcPr>
            <w:tcW w:w="3195" w:type="dxa"/>
            <w:tcBorders>
              <w:top w:val="nil"/>
              <w:left w:val="nil"/>
              <w:bottom w:val="nil"/>
            </w:tcBorders>
          </w:tcPr>
          <w:p w:rsidR="003146B0" w:rsidRPr="000E0F90" w:rsidRDefault="003146B0" w:rsidP="002D30B3">
            <w:pPr>
              <w:jc w:val="left"/>
              <w:rPr>
                <w:rFonts w:ascii="Arial" w:hAnsi="Arial" w:cs="Arial"/>
                <w:i/>
                <w:color w:val="000000" w:themeColor="text1"/>
                <w:sz w:val="20"/>
                <w:szCs w:val="20"/>
              </w:rPr>
            </w:pPr>
            <w:r w:rsidRPr="000E0F90">
              <w:rPr>
                <w:rFonts w:ascii="Arial" w:hAnsi="Arial" w:cs="Arial"/>
                <w:i/>
                <w:color w:val="000000" w:themeColor="text1"/>
                <w:sz w:val="20"/>
                <w:szCs w:val="20"/>
              </w:rPr>
              <w:t>Principales actividades:</w:t>
            </w:r>
            <w:r w:rsidRPr="000E0F90">
              <w:rPr>
                <w:rFonts w:ascii="Arial" w:hAnsi="Arial" w:cs="Arial"/>
                <w:color w:val="000000" w:themeColor="text1"/>
                <w:sz w:val="20"/>
                <w:szCs w:val="20"/>
              </w:rPr>
              <w:t xml:space="preserve"> Silvoagropecuario, comercio, Hotelería y Construcción</w:t>
            </w:r>
          </w:p>
          <w:p w:rsidR="003146B0" w:rsidRPr="000E0F90" w:rsidRDefault="003146B0" w:rsidP="002D30B3">
            <w:pPr>
              <w:jc w:val="left"/>
              <w:rPr>
                <w:rFonts w:ascii="Arial" w:hAnsi="Arial" w:cs="Arial"/>
                <w:i/>
                <w:color w:val="000000" w:themeColor="text1"/>
                <w:sz w:val="20"/>
                <w:szCs w:val="20"/>
              </w:rPr>
            </w:pPr>
            <w:r w:rsidRPr="000E0F90">
              <w:rPr>
                <w:rFonts w:ascii="Arial" w:hAnsi="Arial" w:cs="Arial"/>
                <w:i/>
                <w:color w:val="000000" w:themeColor="text1"/>
                <w:sz w:val="20"/>
                <w:szCs w:val="20"/>
              </w:rPr>
              <w:t xml:space="preserve">Empleos: </w:t>
            </w:r>
            <w:r w:rsidRPr="000E0F90">
              <w:rPr>
                <w:rFonts w:ascii="Arial" w:hAnsi="Arial" w:cs="Arial"/>
                <w:color w:val="000000" w:themeColor="text1"/>
                <w:sz w:val="20"/>
                <w:szCs w:val="20"/>
              </w:rPr>
              <w:t>Silvoagropecuario, construcción, hotelería, manufactura</w:t>
            </w:r>
          </w:p>
        </w:tc>
      </w:tr>
      <w:tr w:rsidR="003146B0" w:rsidRPr="000E0F90" w:rsidTr="002A21E4">
        <w:tc>
          <w:tcPr>
            <w:tcW w:w="2394" w:type="dxa"/>
            <w:tcBorders>
              <w:top w:val="nil"/>
              <w:bottom w:val="nil"/>
              <w:right w:val="nil"/>
            </w:tcBorders>
          </w:tcPr>
          <w:p w:rsidR="003146B0" w:rsidRPr="000E0F90" w:rsidRDefault="003146B0" w:rsidP="002D30B3">
            <w:pPr>
              <w:jc w:val="left"/>
              <w:rPr>
                <w:rFonts w:ascii="Arial" w:hAnsi="Arial" w:cs="Arial"/>
                <w:b/>
                <w:color w:val="000000" w:themeColor="text1"/>
                <w:sz w:val="20"/>
                <w:szCs w:val="20"/>
              </w:rPr>
            </w:pPr>
          </w:p>
        </w:tc>
        <w:tc>
          <w:tcPr>
            <w:tcW w:w="3195" w:type="dxa"/>
            <w:tcBorders>
              <w:top w:val="nil"/>
              <w:left w:val="nil"/>
              <w:bottom w:val="nil"/>
              <w:right w:val="nil"/>
            </w:tcBorders>
          </w:tcPr>
          <w:p w:rsidR="003146B0" w:rsidRPr="000E0F90" w:rsidRDefault="003146B0" w:rsidP="002D30B3">
            <w:pPr>
              <w:jc w:val="left"/>
              <w:rPr>
                <w:rFonts w:ascii="Arial" w:hAnsi="Arial" w:cs="Arial"/>
                <w:color w:val="000000" w:themeColor="text1"/>
                <w:sz w:val="20"/>
                <w:szCs w:val="20"/>
              </w:rPr>
            </w:pPr>
            <w:r w:rsidRPr="000E0F90">
              <w:rPr>
                <w:rFonts w:ascii="Arial" w:hAnsi="Arial" w:cs="Arial"/>
                <w:i/>
                <w:color w:val="000000" w:themeColor="text1"/>
                <w:sz w:val="20"/>
                <w:szCs w:val="20"/>
              </w:rPr>
              <w:t>Minería</w:t>
            </w:r>
            <w:r w:rsidRPr="000E0F90">
              <w:rPr>
                <w:rFonts w:ascii="Arial" w:hAnsi="Arial" w:cs="Arial"/>
                <w:color w:val="000000" w:themeColor="text1"/>
                <w:sz w:val="20"/>
                <w:szCs w:val="20"/>
              </w:rPr>
              <w:t>: 258 faenas mineras, principalmente categoría D (49,6%) y A (26,4%) y C (17,1%),</w:t>
            </w:r>
          </w:p>
          <w:p w:rsidR="003146B0" w:rsidRPr="000E0F90" w:rsidRDefault="003146B0" w:rsidP="002D30B3">
            <w:pPr>
              <w:jc w:val="left"/>
              <w:rPr>
                <w:rFonts w:ascii="Arial" w:hAnsi="Arial" w:cs="Arial"/>
                <w:color w:val="000000" w:themeColor="text1"/>
                <w:sz w:val="20"/>
                <w:szCs w:val="20"/>
              </w:rPr>
            </w:pPr>
            <w:r w:rsidRPr="000E0F90">
              <w:rPr>
                <w:rFonts w:ascii="Arial" w:hAnsi="Arial" w:cs="Arial"/>
                <w:i/>
                <w:color w:val="000000" w:themeColor="text1"/>
                <w:sz w:val="20"/>
                <w:szCs w:val="20"/>
              </w:rPr>
              <w:t>Agricultura</w:t>
            </w:r>
            <w:r w:rsidRPr="000E0F90">
              <w:rPr>
                <w:rFonts w:ascii="Arial" w:hAnsi="Arial" w:cs="Arial"/>
                <w:color w:val="000000" w:themeColor="text1"/>
                <w:sz w:val="20"/>
                <w:szCs w:val="20"/>
              </w:rPr>
              <w:t>: Producción de Frutales (6.645,8 ha) y Plantas Forrajeras (206,7ha)</w:t>
            </w:r>
          </w:p>
          <w:p w:rsidR="003146B0" w:rsidRPr="000E0F90" w:rsidRDefault="003146B0" w:rsidP="002D30B3">
            <w:pPr>
              <w:jc w:val="left"/>
              <w:rPr>
                <w:rFonts w:ascii="Arial" w:hAnsi="Arial" w:cs="Arial"/>
                <w:color w:val="000000" w:themeColor="text1"/>
                <w:sz w:val="20"/>
                <w:szCs w:val="20"/>
              </w:rPr>
            </w:pPr>
            <w:r w:rsidRPr="000E0F90">
              <w:rPr>
                <w:rFonts w:ascii="Arial" w:hAnsi="Arial" w:cs="Arial"/>
                <w:i/>
                <w:color w:val="000000" w:themeColor="text1"/>
                <w:sz w:val="20"/>
                <w:szCs w:val="20"/>
              </w:rPr>
              <w:t>Turismo</w:t>
            </w:r>
            <w:r w:rsidRPr="000E0F90">
              <w:rPr>
                <w:rFonts w:ascii="Arial" w:hAnsi="Arial" w:cs="Arial"/>
                <w:color w:val="000000" w:themeColor="text1"/>
                <w:sz w:val="20"/>
                <w:szCs w:val="20"/>
              </w:rPr>
              <w:t>: Parque Nacional Nevado Tres Cruces</w:t>
            </w:r>
          </w:p>
        </w:tc>
        <w:tc>
          <w:tcPr>
            <w:tcW w:w="3195" w:type="dxa"/>
            <w:tcBorders>
              <w:top w:val="nil"/>
              <w:left w:val="nil"/>
              <w:bottom w:val="nil"/>
            </w:tcBorders>
          </w:tcPr>
          <w:p w:rsidR="003146B0" w:rsidRPr="000E0F90" w:rsidRDefault="003146B0" w:rsidP="002D30B3">
            <w:pPr>
              <w:jc w:val="left"/>
              <w:rPr>
                <w:rFonts w:ascii="Arial" w:hAnsi="Arial" w:cs="Arial"/>
                <w:color w:val="000000" w:themeColor="text1"/>
                <w:sz w:val="20"/>
                <w:szCs w:val="20"/>
              </w:rPr>
            </w:pPr>
            <w:r w:rsidRPr="000E0F90">
              <w:rPr>
                <w:rFonts w:ascii="Arial" w:hAnsi="Arial" w:cs="Arial"/>
                <w:i/>
                <w:color w:val="000000" w:themeColor="text1"/>
                <w:sz w:val="20"/>
                <w:szCs w:val="20"/>
              </w:rPr>
              <w:t>Minería</w:t>
            </w:r>
            <w:r w:rsidRPr="000E0F90">
              <w:rPr>
                <w:rFonts w:ascii="Arial" w:hAnsi="Arial" w:cs="Arial"/>
                <w:color w:val="000000" w:themeColor="text1"/>
                <w:sz w:val="20"/>
                <w:szCs w:val="20"/>
              </w:rPr>
              <w:t xml:space="preserve">: 25 faenas mineras, principalmente categoría D (86,21%). </w:t>
            </w:r>
          </w:p>
          <w:p w:rsidR="003146B0" w:rsidRPr="000E0F90" w:rsidRDefault="003146B0" w:rsidP="002D30B3">
            <w:pPr>
              <w:jc w:val="left"/>
              <w:rPr>
                <w:rFonts w:ascii="Arial" w:hAnsi="Arial" w:cs="Arial"/>
                <w:color w:val="000000" w:themeColor="text1"/>
                <w:sz w:val="20"/>
                <w:szCs w:val="20"/>
              </w:rPr>
            </w:pPr>
            <w:r w:rsidRPr="000E0F90">
              <w:rPr>
                <w:rFonts w:ascii="Arial" w:hAnsi="Arial" w:cs="Arial"/>
                <w:i/>
                <w:color w:val="000000" w:themeColor="text1"/>
                <w:sz w:val="20"/>
                <w:szCs w:val="20"/>
              </w:rPr>
              <w:t>Agricultura</w:t>
            </w:r>
            <w:r w:rsidRPr="000E0F90">
              <w:rPr>
                <w:rFonts w:ascii="Arial" w:hAnsi="Arial" w:cs="Arial"/>
                <w:color w:val="000000" w:themeColor="text1"/>
                <w:sz w:val="20"/>
                <w:szCs w:val="20"/>
              </w:rPr>
              <w:t>: Producción de Frutales (1.461,5ha), Viñas y Parronales (305,80ha) y plantas forrajeras (171,2ha).</w:t>
            </w:r>
          </w:p>
          <w:p w:rsidR="003146B0" w:rsidRPr="000E0F90" w:rsidRDefault="003146B0" w:rsidP="002D30B3">
            <w:pPr>
              <w:jc w:val="left"/>
              <w:rPr>
                <w:rFonts w:ascii="Arial" w:hAnsi="Arial" w:cs="Arial"/>
                <w:color w:val="000000" w:themeColor="text1"/>
                <w:sz w:val="20"/>
                <w:szCs w:val="20"/>
              </w:rPr>
            </w:pPr>
            <w:r w:rsidRPr="000E0F90">
              <w:rPr>
                <w:rFonts w:ascii="Arial" w:hAnsi="Arial" w:cs="Arial"/>
                <w:i/>
                <w:color w:val="000000" w:themeColor="text1"/>
                <w:sz w:val="20"/>
                <w:szCs w:val="20"/>
              </w:rPr>
              <w:t>Turismo:</w:t>
            </w:r>
            <w:r w:rsidRPr="000E0F90">
              <w:rPr>
                <w:rFonts w:ascii="Arial" w:hAnsi="Arial" w:cs="Arial"/>
                <w:color w:val="000000" w:themeColor="text1"/>
                <w:sz w:val="20"/>
                <w:szCs w:val="20"/>
              </w:rPr>
              <w:t xml:space="preserve"> Aventura, Artesanía. Parte de Desierto Florido, Sitios Prioritarios</w:t>
            </w:r>
          </w:p>
        </w:tc>
      </w:tr>
      <w:tr w:rsidR="003146B0" w:rsidRPr="000E0F90" w:rsidTr="002A21E4">
        <w:tc>
          <w:tcPr>
            <w:tcW w:w="2394" w:type="dxa"/>
            <w:tcBorders>
              <w:top w:val="nil"/>
              <w:right w:val="nil"/>
            </w:tcBorders>
          </w:tcPr>
          <w:p w:rsidR="003146B0" w:rsidRPr="000E0F90" w:rsidRDefault="003146B0" w:rsidP="002D30B3">
            <w:pPr>
              <w:jc w:val="left"/>
              <w:rPr>
                <w:rFonts w:ascii="Arial" w:hAnsi="Arial" w:cs="Arial"/>
                <w:b/>
                <w:color w:val="000000" w:themeColor="text1"/>
                <w:sz w:val="20"/>
                <w:szCs w:val="20"/>
              </w:rPr>
            </w:pPr>
            <w:r w:rsidRPr="000E0F90">
              <w:rPr>
                <w:rFonts w:ascii="Arial" w:hAnsi="Arial" w:cs="Arial"/>
                <w:b/>
                <w:color w:val="000000" w:themeColor="text1"/>
                <w:sz w:val="20"/>
                <w:szCs w:val="20"/>
              </w:rPr>
              <w:t>Situación Socioeconómica</w:t>
            </w:r>
          </w:p>
        </w:tc>
        <w:tc>
          <w:tcPr>
            <w:tcW w:w="3195" w:type="dxa"/>
            <w:tcBorders>
              <w:top w:val="nil"/>
              <w:left w:val="nil"/>
              <w:right w:val="nil"/>
            </w:tcBorders>
          </w:tcPr>
          <w:p w:rsidR="003146B0" w:rsidRPr="000E0F90" w:rsidRDefault="003146B0" w:rsidP="002D30B3">
            <w:pPr>
              <w:jc w:val="left"/>
              <w:rPr>
                <w:rFonts w:ascii="Arial" w:hAnsi="Arial" w:cs="Arial"/>
                <w:color w:val="000000" w:themeColor="text1"/>
                <w:sz w:val="20"/>
                <w:szCs w:val="20"/>
              </w:rPr>
            </w:pPr>
            <w:r w:rsidRPr="000E0F90">
              <w:rPr>
                <w:rFonts w:ascii="Arial" w:hAnsi="Arial" w:cs="Arial"/>
                <w:color w:val="000000" w:themeColor="text1"/>
                <w:sz w:val="20"/>
                <w:szCs w:val="20"/>
              </w:rPr>
              <w:t xml:space="preserve">Salud: 3 </w:t>
            </w:r>
            <w:r w:rsidR="009F22EB" w:rsidRPr="000E0F90">
              <w:rPr>
                <w:rFonts w:ascii="Arial" w:hAnsi="Arial" w:cs="Arial"/>
                <w:color w:val="000000" w:themeColor="text1"/>
                <w:sz w:val="20"/>
                <w:szCs w:val="20"/>
              </w:rPr>
              <w:t>establecimientos</w:t>
            </w:r>
            <w:r w:rsidRPr="000E0F90">
              <w:rPr>
                <w:rFonts w:ascii="Arial" w:hAnsi="Arial" w:cs="Arial"/>
                <w:color w:val="000000" w:themeColor="text1"/>
                <w:sz w:val="20"/>
                <w:szCs w:val="20"/>
              </w:rPr>
              <w:t xml:space="preserve"> de salud (4,05% región)</w:t>
            </w:r>
          </w:p>
          <w:p w:rsidR="003146B0" w:rsidRPr="000E0F90" w:rsidRDefault="003146B0" w:rsidP="002D30B3">
            <w:pPr>
              <w:jc w:val="left"/>
              <w:rPr>
                <w:rFonts w:ascii="Arial" w:hAnsi="Arial" w:cs="Arial"/>
                <w:color w:val="000000" w:themeColor="text1"/>
                <w:sz w:val="20"/>
                <w:szCs w:val="20"/>
              </w:rPr>
            </w:pPr>
            <w:r w:rsidRPr="000E0F90">
              <w:rPr>
                <w:rFonts w:ascii="Arial" w:hAnsi="Arial" w:cs="Arial"/>
                <w:color w:val="000000" w:themeColor="text1"/>
                <w:sz w:val="20"/>
                <w:szCs w:val="20"/>
              </w:rPr>
              <w:t>Educación: 12 establecimientos (6,7%). Sin educación superior.</w:t>
            </w:r>
          </w:p>
        </w:tc>
        <w:tc>
          <w:tcPr>
            <w:tcW w:w="3195" w:type="dxa"/>
            <w:tcBorders>
              <w:top w:val="nil"/>
              <w:left w:val="nil"/>
            </w:tcBorders>
          </w:tcPr>
          <w:p w:rsidR="003146B0" w:rsidRPr="000E0F90" w:rsidRDefault="003146B0" w:rsidP="002D30B3">
            <w:pPr>
              <w:jc w:val="left"/>
              <w:rPr>
                <w:rFonts w:ascii="Arial" w:hAnsi="Arial" w:cs="Arial"/>
                <w:color w:val="000000" w:themeColor="text1"/>
                <w:sz w:val="20"/>
                <w:szCs w:val="20"/>
              </w:rPr>
            </w:pPr>
            <w:r w:rsidRPr="000E0F90">
              <w:rPr>
                <w:rFonts w:ascii="Arial" w:hAnsi="Arial" w:cs="Arial"/>
                <w:color w:val="000000" w:themeColor="text1"/>
                <w:sz w:val="20"/>
                <w:szCs w:val="20"/>
              </w:rPr>
              <w:t xml:space="preserve">Salud: 5 </w:t>
            </w:r>
            <w:r w:rsidR="009F22EB" w:rsidRPr="000E0F90">
              <w:rPr>
                <w:rFonts w:ascii="Arial" w:hAnsi="Arial" w:cs="Arial"/>
                <w:color w:val="000000" w:themeColor="text1"/>
                <w:sz w:val="20"/>
                <w:szCs w:val="20"/>
              </w:rPr>
              <w:t>establecimientos</w:t>
            </w:r>
            <w:r w:rsidRPr="000E0F90">
              <w:rPr>
                <w:rFonts w:ascii="Arial" w:hAnsi="Arial" w:cs="Arial"/>
                <w:color w:val="000000" w:themeColor="text1"/>
                <w:sz w:val="20"/>
                <w:szCs w:val="20"/>
              </w:rPr>
              <w:t xml:space="preserve"> de salud (6,75%)</w:t>
            </w:r>
          </w:p>
          <w:p w:rsidR="003146B0" w:rsidRPr="000E0F90" w:rsidRDefault="003146B0" w:rsidP="002D30B3">
            <w:pPr>
              <w:jc w:val="left"/>
              <w:rPr>
                <w:rFonts w:ascii="Arial" w:hAnsi="Arial" w:cs="Arial"/>
                <w:color w:val="000000" w:themeColor="text1"/>
                <w:sz w:val="20"/>
                <w:szCs w:val="20"/>
              </w:rPr>
            </w:pPr>
            <w:r w:rsidRPr="000E0F90">
              <w:rPr>
                <w:rFonts w:ascii="Arial" w:hAnsi="Arial" w:cs="Arial"/>
                <w:color w:val="000000" w:themeColor="text1"/>
                <w:sz w:val="20"/>
                <w:szCs w:val="20"/>
              </w:rPr>
              <w:t xml:space="preserve">Educación: 17 establecimientos, sin educación para adultos. Sin educación superior. </w:t>
            </w:r>
          </w:p>
        </w:tc>
      </w:tr>
    </w:tbl>
    <w:p w:rsidR="003146B0" w:rsidRDefault="003146B0" w:rsidP="003146B0">
      <w:pPr>
        <w:rPr>
          <w:lang w:eastAsia="es-ES"/>
        </w:rPr>
      </w:pPr>
    </w:p>
    <w:p w:rsidR="003146B0" w:rsidRPr="003146B0" w:rsidRDefault="003146B0" w:rsidP="003146B0">
      <w:pPr>
        <w:rPr>
          <w:lang w:eastAsia="es-ES"/>
        </w:rPr>
      </w:pPr>
    </w:p>
    <w:p w:rsidR="003146B0" w:rsidRDefault="003146B0" w:rsidP="002F44F7">
      <w:pPr>
        <w:rPr>
          <w:lang w:eastAsia="es-ES"/>
        </w:rPr>
      </w:pPr>
    </w:p>
    <w:p w:rsidR="003146B0" w:rsidRDefault="003146B0" w:rsidP="002F44F7">
      <w:pPr>
        <w:rPr>
          <w:lang w:eastAsia="es-ES"/>
        </w:rPr>
      </w:pPr>
    </w:p>
    <w:p w:rsidR="003146B0" w:rsidRDefault="003146B0" w:rsidP="002F44F7">
      <w:pPr>
        <w:rPr>
          <w:lang w:eastAsia="es-ES"/>
        </w:rPr>
      </w:pPr>
    </w:p>
    <w:p w:rsidR="003146B0" w:rsidRDefault="003146B0" w:rsidP="002F44F7">
      <w:pPr>
        <w:rPr>
          <w:lang w:eastAsia="es-ES"/>
        </w:rPr>
      </w:pPr>
    </w:p>
    <w:p w:rsidR="003146B0" w:rsidRDefault="003146B0" w:rsidP="002F44F7">
      <w:pPr>
        <w:rPr>
          <w:lang w:eastAsia="es-ES"/>
        </w:rPr>
      </w:pPr>
    </w:p>
    <w:p w:rsidR="003146B0" w:rsidRDefault="003146B0">
      <w:pPr>
        <w:jc w:val="left"/>
        <w:rPr>
          <w:rFonts w:ascii="Arial" w:eastAsiaTheme="majorEastAsia" w:hAnsi="Arial" w:cs="Arial"/>
          <w:b/>
          <w:bCs/>
          <w:color w:val="000000" w:themeColor="text1"/>
          <w:lang w:eastAsia="es-ES"/>
        </w:rPr>
      </w:pPr>
      <w:r>
        <w:rPr>
          <w:rFonts w:ascii="Arial" w:hAnsi="Arial" w:cs="Arial"/>
          <w:lang w:eastAsia="es-ES"/>
        </w:rPr>
        <w:br w:type="page"/>
      </w:r>
    </w:p>
    <w:p w:rsidR="003F7077" w:rsidRPr="000E0F90" w:rsidRDefault="00253F8B" w:rsidP="002726FB">
      <w:pPr>
        <w:pStyle w:val="Ttulo3"/>
        <w:rPr>
          <w:rFonts w:ascii="Arial" w:hAnsi="Arial" w:cs="Arial"/>
          <w:lang w:eastAsia="es-ES"/>
        </w:rPr>
      </w:pPr>
      <w:r w:rsidRPr="000E0F90">
        <w:rPr>
          <w:rFonts w:ascii="Arial" w:hAnsi="Arial" w:cs="Arial"/>
          <w:lang w:eastAsia="es-ES"/>
        </w:rPr>
        <w:lastRenderedPageBreak/>
        <w:t>COMUNA DE LA HIGUERA</w:t>
      </w:r>
    </w:p>
    <w:p w:rsidR="001963E4" w:rsidRPr="000E0F90" w:rsidRDefault="00624FDB" w:rsidP="002726FB">
      <w:pPr>
        <w:pStyle w:val="Ttulo4"/>
        <w:rPr>
          <w:rFonts w:ascii="Arial" w:hAnsi="Arial" w:cs="Arial"/>
          <w:color w:val="000000" w:themeColor="text1"/>
          <w:lang w:eastAsia="es-ES"/>
        </w:rPr>
      </w:pPr>
      <w:r>
        <w:rPr>
          <w:noProof/>
          <w:lang w:eastAsia="es-CL"/>
        </w:rPr>
        <w:drawing>
          <wp:anchor distT="0" distB="0" distL="114300" distR="114300" simplePos="0" relativeHeight="251974656" behindDoc="0" locked="0" layoutInCell="1" allowOverlap="1" wp14:anchorId="38204C77" wp14:editId="4A224F31">
            <wp:simplePos x="0" y="0"/>
            <wp:positionH relativeFrom="column">
              <wp:posOffset>-231775</wp:posOffset>
            </wp:positionH>
            <wp:positionV relativeFrom="paragraph">
              <wp:posOffset>354330</wp:posOffset>
            </wp:positionV>
            <wp:extent cx="5762625" cy="4399915"/>
            <wp:effectExtent l="0" t="0" r="9525" b="635"/>
            <wp:wrapSquare wrapText="bothSides"/>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2">
                      <a:extLst>
                        <a:ext uri="{28A0092B-C50C-407E-A947-70E740481C1C}">
                          <a14:useLocalDpi xmlns:a14="http://schemas.microsoft.com/office/drawing/2010/main" val="0"/>
                        </a:ext>
                      </a:extLst>
                    </a:blip>
                    <a:srcRect l="1283" r="1606"/>
                    <a:stretch/>
                  </pic:blipFill>
                  <pic:spPr bwMode="auto">
                    <a:xfrm>
                      <a:off x="0" y="0"/>
                      <a:ext cx="5762625" cy="43999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F7077" w:rsidRPr="000E0F90">
        <w:rPr>
          <w:rFonts w:ascii="Arial" w:hAnsi="Arial" w:cs="Arial"/>
          <w:color w:val="000000" w:themeColor="text1"/>
          <w:lang w:eastAsia="es-ES"/>
        </w:rPr>
        <w:t xml:space="preserve">Biogeoestructura Comuna </w:t>
      </w:r>
      <w:r w:rsidR="00253F8B" w:rsidRPr="000E0F90">
        <w:rPr>
          <w:rFonts w:ascii="Arial" w:hAnsi="Arial" w:cs="Arial"/>
          <w:color w:val="000000" w:themeColor="text1"/>
          <w:lang w:eastAsia="es-ES"/>
        </w:rPr>
        <w:t>L</w:t>
      </w:r>
      <w:r w:rsidR="003F7077" w:rsidRPr="000E0F90">
        <w:rPr>
          <w:rFonts w:ascii="Arial" w:hAnsi="Arial" w:cs="Arial"/>
          <w:color w:val="000000" w:themeColor="text1"/>
          <w:lang w:eastAsia="es-ES"/>
        </w:rPr>
        <w:t>a Higuera</w:t>
      </w:r>
      <w:r w:rsidR="000711EB" w:rsidRPr="000E0F90">
        <w:rPr>
          <w:rFonts w:ascii="Arial" w:hAnsi="Arial" w:cs="Arial"/>
          <w:color w:val="000000" w:themeColor="text1"/>
          <w:lang w:eastAsia="es-ES"/>
        </w:rPr>
        <w:t xml:space="preserve"> </w:t>
      </w:r>
    </w:p>
    <w:p w:rsidR="00740D3D" w:rsidRPr="000E0F90" w:rsidRDefault="00740D3D" w:rsidP="00740D3D">
      <w:pPr>
        <w:pStyle w:val="Epgrafe"/>
        <w:jc w:val="center"/>
        <w:rPr>
          <w:rFonts w:ascii="Arial" w:hAnsi="Arial" w:cs="Arial"/>
          <w:b w:val="0"/>
          <w:color w:val="000000" w:themeColor="text1"/>
          <w:sz w:val="22"/>
          <w:lang w:eastAsia="es-ES"/>
        </w:rPr>
      </w:pPr>
      <w:r w:rsidRPr="000E0F90">
        <w:rPr>
          <w:rFonts w:ascii="Arial" w:hAnsi="Arial" w:cs="Arial"/>
          <w:b w:val="0"/>
          <w:color w:val="000000" w:themeColor="text1"/>
          <w:sz w:val="22"/>
        </w:rPr>
        <w:t xml:space="preserve">Figura </w:t>
      </w:r>
      <w:r w:rsidRPr="000E0F90">
        <w:rPr>
          <w:rFonts w:ascii="Arial" w:hAnsi="Arial" w:cs="Arial"/>
          <w:b w:val="0"/>
          <w:color w:val="000000" w:themeColor="text1"/>
          <w:sz w:val="22"/>
        </w:rPr>
        <w:fldChar w:fldCharType="begin"/>
      </w:r>
      <w:r w:rsidRPr="000E0F90">
        <w:rPr>
          <w:rFonts w:ascii="Arial" w:hAnsi="Arial" w:cs="Arial"/>
          <w:b w:val="0"/>
          <w:color w:val="000000" w:themeColor="text1"/>
          <w:sz w:val="22"/>
        </w:rPr>
        <w:instrText xml:space="preserve"> SEQ Figura \* ARABIC </w:instrText>
      </w:r>
      <w:r w:rsidRPr="000E0F90">
        <w:rPr>
          <w:rFonts w:ascii="Arial" w:hAnsi="Arial" w:cs="Arial"/>
          <w:b w:val="0"/>
          <w:color w:val="000000" w:themeColor="text1"/>
          <w:sz w:val="22"/>
        </w:rPr>
        <w:fldChar w:fldCharType="separate"/>
      </w:r>
      <w:r w:rsidR="00225844">
        <w:rPr>
          <w:rFonts w:ascii="Arial" w:hAnsi="Arial" w:cs="Arial"/>
          <w:b w:val="0"/>
          <w:noProof/>
          <w:color w:val="000000" w:themeColor="text1"/>
          <w:sz w:val="22"/>
        </w:rPr>
        <w:t>16</w:t>
      </w:r>
      <w:r w:rsidRPr="000E0F90">
        <w:rPr>
          <w:rFonts w:ascii="Arial" w:hAnsi="Arial" w:cs="Arial"/>
          <w:b w:val="0"/>
          <w:color w:val="000000" w:themeColor="text1"/>
          <w:sz w:val="22"/>
        </w:rPr>
        <w:fldChar w:fldCharType="end"/>
      </w:r>
      <w:r w:rsidRPr="000E0F90">
        <w:rPr>
          <w:rFonts w:ascii="Arial" w:hAnsi="Arial" w:cs="Arial"/>
          <w:b w:val="0"/>
          <w:color w:val="000000" w:themeColor="text1"/>
          <w:sz w:val="22"/>
        </w:rPr>
        <w:t xml:space="preserve">: </w:t>
      </w:r>
      <w:r w:rsidRPr="000E0F90">
        <w:rPr>
          <w:rFonts w:ascii="Arial" w:eastAsia="Times New Roman" w:hAnsi="Arial" w:cs="Arial"/>
          <w:b w:val="0"/>
          <w:color w:val="000000" w:themeColor="text1"/>
          <w:sz w:val="22"/>
          <w:szCs w:val="20"/>
          <w:lang w:eastAsia="es-ES"/>
        </w:rPr>
        <w:t xml:space="preserve">Mapa de </w:t>
      </w:r>
      <w:r w:rsidRPr="000E0F90">
        <w:rPr>
          <w:rFonts w:ascii="Arial" w:hAnsi="Arial" w:cs="Arial"/>
          <w:b w:val="0"/>
          <w:color w:val="000000" w:themeColor="text1"/>
          <w:sz w:val="22"/>
          <w:lang w:eastAsia="es-ES"/>
        </w:rPr>
        <w:t>Biogeoestructura de la Comuna de La Higuera (Elaboración propia)</w:t>
      </w:r>
    </w:p>
    <w:p w:rsidR="0086156A" w:rsidRPr="000E0F90" w:rsidRDefault="0086156A">
      <w:pPr>
        <w:jc w:val="left"/>
        <w:rPr>
          <w:rFonts w:ascii="Arial" w:eastAsia="Times New Roman" w:hAnsi="Arial" w:cs="Arial"/>
          <w:b/>
          <w:color w:val="000000" w:themeColor="text1"/>
          <w:szCs w:val="20"/>
          <w:lang w:eastAsia="es-ES"/>
        </w:rPr>
      </w:pPr>
    </w:p>
    <w:p w:rsidR="001963E4" w:rsidRPr="000E0F90" w:rsidRDefault="001963E4" w:rsidP="00702D9A">
      <w:pPr>
        <w:spacing w:before="240" w:after="0" w:line="360" w:lineRule="auto"/>
        <w:rPr>
          <w:rFonts w:ascii="Arial" w:hAnsi="Arial" w:cs="Arial"/>
          <w:b/>
          <w:color w:val="000000" w:themeColor="text1"/>
        </w:rPr>
      </w:pPr>
      <w:r w:rsidRPr="000E0F90">
        <w:rPr>
          <w:rFonts w:ascii="Arial" w:eastAsia="Times New Roman" w:hAnsi="Arial" w:cs="Arial"/>
          <w:b/>
          <w:color w:val="000000" w:themeColor="text1"/>
          <w:szCs w:val="20"/>
          <w:lang w:eastAsia="es-ES"/>
        </w:rPr>
        <w:t xml:space="preserve">Localización </w:t>
      </w:r>
      <w:r w:rsidRPr="000E0F90">
        <w:rPr>
          <w:rFonts w:ascii="Arial" w:hAnsi="Arial" w:cs="Arial"/>
          <w:b/>
          <w:color w:val="000000" w:themeColor="text1"/>
        </w:rPr>
        <w:t>geográfica, administrativa y ecológica</w:t>
      </w:r>
    </w:p>
    <w:p w:rsidR="001963E4" w:rsidRPr="000E0F90" w:rsidRDefault="001963E4" w:rsidP="00702D9A">
      <w:pPr>
        <w:spacing w:line="360" w:lineRule="auto"/>
        <w:rPr>
          <w:rFonts w:ascii="Arial" w:hAnsi="Arial" w:cs="Arial"/>
          <w:color w:val="000000" w:themeColor="text1"/>
        </w:rPr>
      </w:pPr>
      <w:r w:rsidRPr="000E0F90">
        <w:rPr>
          <w:rFonts w:ascii="Arial" w:hAnsi="Arial" w:cs="Arial"/>
          <w:color w:val="000000" w:themeColor="text1"/>
        </w:rPr>
        <w:t>Geográficamente la comuna se encuentra ubicada en el extremo n</w:t>
      </w:r>
      <w:r w:rsidR="00A75907" w:rsidRPr="000E0F90">
        <w:rPr>
          <w:rFonts w:ascii="Arial" w:hAnsi="Arial" w:cs="Arial"/>
          <w:color w:val="000000" w:themeColor="text1"/>
        </w:rPr>
        <w:t>or</w:t>
      </w:r>
      <w:r w:rsidR="00124631">
        <w:rPr>
          <w:rFonts w:ascii="Arial" w:hAnsi="Arial" w:cs="Arial"/>
          <w:color w:val="000000" w:themeColor="text1"/>
        </w:rPr>
        <w:t>oriente</w:t>
      </w:r>
      <w:r w:rsidR="00A75907" w:rsidRPr="000E0F90">
        <w:rPr>
          <w:rFonts w:ascii="Arial" w:hAnsi="Arial" w:cs="Arial"/>
          <w:color w:val="000000" w:themeColor="text1"/>
        </w:rPr>
        <w:t xml:space="preserve"> de la región de Coquimbo</w:t>
      </w:r>
      <w:r w:rsidRPr="000E0F90">
        <w:rPr>
          <w:rFonts w:ascii="Arial" w:hAnsi="Arial" w:cs="Arial"/>
          <w:color w:val="000000" w:themeColor="text1"/>
        </w:rPr>
        <w:t xml:space="preserve">. Presenta una superficie de 4.158, 2 km2, correspondiente al 24,6% y al 10,2% de la superficie provincial y regional, respectivamente </w:t>
      </w:r>
      <w:sdt>
        <w:sdtPr>
          <w:rPr>
            <w:rFonts w:ascii="Arial" w:hAnsi="Arial" w:cs="Arial"/>
            <w:color w:val="000000" w:themeColor="text1"/>
          </w:rPr>
          <w:id w:val="1220560263"/>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INE071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(INE, 2007)</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El territorio de la comuna de La Higuera abarca desde la Cordillera de los Andes hasta la costa; limita </w:t>
      </w:r>
      <w:r w:rsidR="003505AB" w:rsidRPr="000E0F90">
        <w:rPr>
          <w:rFonts w:ascii="Arial" w:hAnsi="Arial" w:cs="Arial"/>
          <w:color w:val="000000" w:themeColor="text1"/>
        </w:rPr>
        <w:t xml:space="preserve">al norte con las comunas de Freirina y Vallenar (III Región) y </w:t>
      </w:r>
      <w:r w:rsidRPr="000E0F90">
        <w:rPr>
          <w:rFonts w:ascii="Arial" w:hAnsi="Arial" w:cs="Arial"/>
          <w:color w:val="000000" w:themeColor="text1"/>
        </w:rPr>
        <w:t>al noreste con la comuna de Alto del  Carmen (III Región), al oeste con el Océano Pacífico, al sur con las comunas de La Serena y Vicuña</w:t>
      </w:r>
      <w:r w:rsidR="003505AB" w:rsidRPr="000E0F90">
        <w:rPr>
          <w:rFonts w:ascii="Arial" w:hAnsi="Arial" w:cs="Arial"/>
          <w:color w:val="000000" w:themeColor="text1"/>
        </w:rPr>
        <w:t xml:space="preserve">. </w:t>
      </w:r>
      <w:r w:rsidRPr="000E0F90">
        <w:rPr>
          <w:rFonts w:ascii="Arial" w:hAnsi="Arial" w:cs="Arial"/>
          <w:color w:val="000000" w:themeColor="text1"/>
        </w:rPr>
        <w:t>La localización administrativa de la comuna de La Higuera corresponde a la macrorregión de Sudamérica, en el país Chile, en la IV Región de Coquimbo, siendo la comuna más septentrional de la Provincia de Elqui.</w:t>
      </w:r>
    </w:p>
    <w:p w:rsidR="001963E4" w:rsidRPr="000E0F90" w:rsidRDefault="001963E4" w:rsidP="00702D9A">
      <w:pPr>
        <w:spacing w:line="360" w:lineRule="auto"/>
        <w:rPr>
          <w:rFonts w:ascii="Arial" w:eastAsia="Times New Roman" w:hAnsi="Arial" w:cs="Arial"/>
          <w:color w:val="000000" w:themeColor="text1"/>
          <w:szCs w:val="20"/>
          <w:lang w:eastAsia="es-ES"/>
        </w:rPr>
      </w:pPr>
      <w:r w:rsidRPr="000E0F90">
        <w:rPr>
          <w:rFonts w:ascii="Arial" w:eastAsia="Times New Roman" w:hAnsi="Arial" w:cs="Arial"/>
          <w:color w:val="000000" w:themeColor="text1"/>
          <w:szCs w:val="20"/>
          <w:lang w:eastAsia="es-ES"/>
        </w:rPr>
        <w:lastRenderedPageBreak/>
        <w:t xml:space="preserve">Según  el  Sistema  de  Clasificación  de  Ecorregiones  de  Gastó, Cosio y Panario  (1993), la superficie comunal se encuentra localizada </w:t>
      </w:r>
      <w:r w:rsidR="00842F38">
        <w:rPr>
          <w:rFonts w:ascii="Arial" w:eastAsia="Times New Roman" w:hAnsi="Arial" w:cs="Arial"/>
          <w:color w:val="000000" w:themeColor="text1"/>
          <w:szCs w:val="20"/>
          <w:lang w:eastAsia="es-ES"/>
        </w:rPr>
        <w:t xml:space="preserve">mayormente </w:t>
      </w:r>
      <w:r w:rsidRPr="000E0F90">
        <w:rPr>
          <w:rFonts w:ascii="Arial" w:eastAsia="Times New Roman" w:hAnsi="Arial" w:cs="Arial"/>
          <w:color w:val="000000" w:themeColor="text1"/>
          <w:szCs w:val="20"/>
          <w:lang w:eastAsia="es-ES"/>
        </w:rPr>
        <w:t>en el Reino Seco, Dominio</w:t>
      </w:r>
      <w:r w:rsidR="00842F38">
        <w:rPr>
          <w:rFonts w:ascii="Arial" w:eastAsia="Times New Roman" w:hAnsi="Arial" w:cs="Arial"/>
          <w:color w:val="000000" w:themeColor="text1"/>
          <w:szCs w:val="20"/>
          <w:lang w:eastAsia="es-ES"/>
        </w:rPr>
        <w:t xml:space="preserve"> </w:t>
      </w:r>
      <w:r w:rsidRPr="000E0F90">
        <w:rPr>
          <w:rFonts w:ascii="Arial" w:eastAsia="Times New Roman" w:hAnsi="Arial" w:cs="Arial"/>
          <w:color w:val="000000" w:themeColor="text1"/>
          <w:szCs w:val="20"/>
          <w:lang w:eastAsia="es-ES"/>
        </w:rPr>
        <w:t xml:space="preserve">desértico, caracterizado por la ausencia o escasez de lluvias invernales e irregularidad o insuficiencia de lluvias estivales. </w:t>
      </w:r>
      <w:r w:rsidR="00842F38">
        <w:rPr>
          <w:rFonts w:ascii="Arial" w:eastAsia="Times New Roman" w:hAnsi="Arial" w:cs="Arial"/>
          <w:color w:val="000000" w:themeColor="text1"/>
          <w:szCs w:val="20"/>
          <w:lang w:eastAsia="es-ES"/>
        </w:rPr>
        <w:t>Se identifican las</w:t>
      </w:r>
      <w:r w:rsidRPr="000E0F90">
        <w:rPr>
          <w:rFonts w:ascii="Arial" w:eastAsia="Times New Roman" w:hAnsi="Arial" w:cs="Arial"/>
          <w:color w:val="000000" w:themeColor="text1"/>
          <w:szCs w:val="20"/>
          <w:lang w:eastAsia="es-ES"/>
        </w:rPr>
        <w:t xml:space="preserve">  provincias, Desértica  de Neblina Desértica de Transicional y Desértica de Altura.</w:t>
      </w:r>
      <w:r w:rsidR="00842F38">
        <w:rPr>
          <w:rFonts w:ascii="Arial" w:eastAsia="Times New Roman" w:hAnsi="Arial" w:cs="Arial"/>
          <w:color w:val="000000" w:themeColor="text1"/>
          <w:szCs w:val="20"/>
          <w:lang w:eastAsia="es-ES"/>
        </w:rPr>
        <w:t xml:space="preserve"> </w:t>
      </w:r>
      <w:r w:rsidR="006E7400" w:rsidRPr="000E0F90">
        <w:rPr>
          <w:rFonts w:ascii="Arial" w:eastAsia="Times New Roman" w:hAnsi="Arial" w:cs="Arial"/>
          <w:color w:val="000000" w:themeColor="text1"/>
          <w:szCs w:val="20"/>
          <w:lang w:eastAsia="es-ES"/>
        </w:rPr>
        <w:t>Con una escasa representación de la pro</w:t>
      </w:r>
      <w:r w:rsidR="00842F38">
        <w:rPr>
          <w:rFonts w:ascii="Arial" w:eastAsia="Times New Roman" w:hAnsi="Arial" w:cs="Arial"/>
          <w:color w:val="000000" w:themeColor="text1"/>
          <w:szCs w:val="20"/>
          <w:lang w:eastAsia="es-ES"/>
        </w:rPr>
        <w:t>vincia Esteparia de Montaña y</w:t>
      </w:r>
      <w:r w:rsidR="006E7400" w:rsidRPr="000E0F90">
        <w:rPr>
          <w:rFonts w:ascii="Arial" w:eastAsia="Times New Roman" w:hAnsi="Arial" w:cs="Arial"/>
          <w:color w:val="000000" w:themeColor="text1"/>
          <w:szCs w:val="20"/>
          <w:lang w:eastAsia="es-ES"/>
        </w:rPr>
        <w:t xml:space="preserve"> Esteparia de Neblina</w:t>
      </w:r>
      <w:r w:rsidR="00842F38">
        <w:rPr>
          <w:rFonts w:ascii="Arial" w:eastAsia="Times New Roman" w:hAnsi="Arial" w:cs="Arial"/>
          <w:color w:val="000000" w:themeColor="text1"/>
          <w:szCs w:val="20"/>
          <w:lang w:eastAsia="es-ES"/>
        </w:rPr>
        <w:t>.</w:t>
      </w:r>
      <w:r w:rsidR="006E7400" w:rsidRPr="000E0F90">
        <w:rPr>
          <w:rFonts w:ascii="Arial" w:eastAsia="Times New Roman" w:hAnsi="Arial" w:cs="Arial"/>
          <w:color w:val="000000" w:themeColor="text1"/>
          <w:szCs w:val="20"/>
          <w:lang w:eastAsia="es-ES"/>
        </w:rPr>
        <w:t xml:space="preserve"> </w:t>
      </w:r>
    </w:p>
    <w:p w:rsidR="001963E4" w:rsidRPr="000E0F90" w:rsidRDefault="001963E4" w:rsidP="00702D9A">
      <w:pPr>
        <w:spacing w:after="0" w:line="360" w:lineRule="auto"/>
        <w:rPr>
          <w:rFonts w:ascii="Arial" w:eastAsia="Times New Roman" w:hAnsi="Arial" w:cs="Arial"/>
          <w:b/>
          <w:color w:val="000000" w:themeColor="text1"/>
          <w:lang w:eastAsia="es-ES"/>
        </w:rPr>
      </w:pPr>
      <w:r w:rsidRPr="000E0F90">
        <w:rPr>
          <w:rFonts w:ascii="Arial" w:eastAsia="Times New Roman" w:hAnsi="Arial" w:cs="Arial"/>
          <w:b/>
          <w:color w:val="000000" w:themeColor="text1"/>
          <w:lang w:eastAsia="es-ES"/>
        </w:rPr>
        <w:t xml:space="preserve">Clima: </w:t>
      </w:r>
    </w:p>
    <w:p w:rsidR="001963E4" w:rsidRPr="000E0F90" w:rsidRDefault="001963E4" w:rsidP="00702D9A">
      <w:pPr>
        <w:spacing w:line="360" w:lineRule="auto"/>
        <w:rPr>
          <w:rFonts w:ascii="Arial" w:eastAsia="Times New Roman" w:hAnsi="Arial" w:cs="Arial"/>
          <w:color w:val="000000" w:themeColor="text1"/>
          <w:lang w:eastAsia="es-ES"/>
        </w:rPr>
      </w:pPr>
      <w:r w:rsidRPr="000E0F90">
        <w:rPr>
          <w:rFonts w:ascii="Arial" w:eastAsia="Times New Roman" w:hAnsi="Arial" w:cs="Arial"/>
          <w:color w:val="000000" w:themeColor="text1"/>
          <w:lang w:eastAsia="es-ES"/>
        </w:rPr>
        <w:t>Respecto  a  las  condiciones  climáticas  en  la  comuna  de  La  Higuera,  las  temperaturas promedios en el interior oscilan entre 21</w:t>
      </w:r>
      <w:r w:rsidR="00C220C6" w:rsidRPr="000E0F90">
        <w:rPr>
          <w:rFonts w:ascii="Arial" w:eastAsia="Times New Roman" w:hAnsi="Arial" w:cs="Arial"/>
          <w:color w:val="000000" w:themeColor="text1"/>
          <w:lang w:eastAsia="es-ES"/>
        </w:rPr>
        <w:t>°</w:t>
      </w:r>
      <w:r w:rsidRPr="000E0F90">
        <w:rPr>
          <w:rFonts w:ascii="Arial" w:eastAsia="Times New Roman" w:hAnsi="Arial" w:cs="Arial"/>
          <w:color w:val="000000" w:themeColor="text1"/>
          <w:lang w:eastAsia="es-ES"/>
        </w:rPr>
        <w:t>C la máxima y 10</w:t>
      </w:r>
      <w:r w:rsidR="00C220C6" w:rsidRPr="000E0F90">
        <w:rPr>
          <w:rFonts w:ascii="Arial" w:eastAsia="Times New Roman" w:hAnsi="Arial" w:cs="Arial"/>
          <w:color w:val="000000" w:themeColor="text1"/>
          <w:lang w:eastAsia="es-ES"/>
        </w:rPr>
        <w:t>°</w:t>
      </w:r>
      <w:r w:rsidRPr="000E0F90">
        <w:rPr>
          <w:rFonts w:ascii="Arial" w:eastAsia="Times New Roman" w:hAnsi="Arial" w:cs="Arial"/>
          <w:color w:val="000000" w:themeColor="text1"/>
          <w:lang w:eastAsia="es-ES"/>
        </w:rPr>
        <w:t xml:space="preserve">C la mínima, y en la costa entre 19,3ºC y 12,2ºC respectivamente (Meléndez, 2010). La Higuera </w:t>
      </w:r>
      <w:r w:rsidR="00842F38">
        <w:rPr>
          <w:rFonts w:ascii="Arial" w:eastAsia="Times New Roman" w:hAnsi="Arial" w:cs="Arial"/>
          <w:color w:val="000000" w:themeColor="text1"/>
          <w:lang w:eastAsia="es-ES"/>
        </w:rPr>
        <w:t xml:space="preserve">exhibe un </w:t>
      </w:r>
      <w:r w:rsidRPr="000E0F90">
        <w:rPr>
          <w:rFonts w:ascii="Arial" w:eastAsia="Times New Roman" w:hAnsi="Arial" w:cs="Arial"/>
          <w:color w:val="000000" w:themeColor="text1"/>
          <w:lang w:eastAsia="es-ES"/>
        </w:rPr>
        <w:t>gradiente</w:t>
      </w:r>
      <w:r w:rsidR="00842F38">
        <w:rPr>
          <w:rFonts w:ascii="Arial" w:eastAsia="Times New Roman" w:hAnsi="Arial" w:cs="Arial"/>
          <w:color w:val="000000" w:themeColor="text1"/>
          <w:lang w:eastAsia="es-ES"/>
        </w:rPr>
        <w:t xml:space="preserve"> de precipitaciones </w:t>
      </w:r>
      <w:r w:rsidRPr="000E0F90">
        <w:rPr>
          <w:rFonts w:ascii="Arial" w:eastAsia="Times New Roman" w:hAnsi="Arial" w:cs="Arial"/>
          <w:color w:val="000000" w:themeColor="text1"/>
          <w:lang w:eastAsia="es-ES"/>
        </w:rPr>
        <w:t xml:space="preserve">en sentido oeste-este. </w:t>
      </w:r>
      <w:r w:rsidR="00842F38">
        <w:rPr>
          <w:rFonts w:ascii="Arial" w:eastAsia="Times New Roman" w:hAnsi="Arial" w:cs="Arial"/>
          <w:color w:val="000000" w:themeColor="text1"/>
          <w:lang w:eastAsia="es-ES"/>
        </w:rPr>
        <w:t>Presentándose e</w:t>
      </w:r>
      <w:r w:rsidRPr="000E0F90">
        <w:rPr>
          <w:rFonts w:ascii="Arial" w:eastAsia="Times New Roman" w:hAnsi="Arial" w:cs="Arial"/>
          <w:color w:val="000000" w:themeColor="text1"/>
          <w:lang w:eastAsia="es-ES"/>
        </w:rPr>
        <w:t>n las zonas costeras menos</w:t>
      </w:r>
      <w:r w:rsidR="00554B8F" w:rsidRPr="000E0F90">
        <w:rPr>
          <w:rFonts w:ascii="Arial" w:eastAsia="Times New Roman" w:hAnsi="Arial" w:cs="Arial"/>
          <w:color w:val="000000" w:themeColor="text1"/>
          <w:lang w:eastAsia="es-ES"/>
        </w:rPr>
        <w:t xml:space="preserve"> de 50 mm ó 50-75</w:t>
      </w:r>
      <w:r w:rsidR="00842F38">
        <w:rPr>
          <w:rFonts w:ascii="Arial" w:eastAsia="Times New Roman" w:hAnsi="Arial" w:cs="Arial"/>
          <w:color w:val="000000" w:themeColor="text1"/>
          <w:lang w:eastAsia="es-ES"/>
        </w:rPr>
        <w:t>mm anuales y</w:t>
      </w:r>
      <w:r w:rsidRPr="000E0F90">
        <w:rPr>
          <w:rFonts w:ascii="Arial" w:eastAsia="Times New Roman" w:hAnsi="Arial" w:cs="Arial"/>
          <w:color w:val="000000" w:themeColor="text1"/>
          <w:lang w:eastAsia="es-ES"/>
        </w:rPr>
        <w:t xml:space="preserve"> en las zonas cordilleranas cercanas al borde orien</w:t>
      </w:r>
      <w:r w:rsidR="00554B8F" w:rsidRPr="000E0F90">
        <w:rPr>
          <w:rFonts w:ascii="Arial" w:eastAsia="Times New Roman" w:hAnsi="Arial" w:cs="Arial"/>
          <w:color w:val="000000" w:themeColor="text1"/>
          <w:lang w:eastAsia="es-ES"/>
        </w:rPr>
        <w:t>tal 75-100</w:t>
      </w:r>
      <w:r w:rsidRPr="000E0F90">
        <w:rPr>
          <w:rFonts w:ascii="Arial" w:eastAsia="Times New Roman" w:hAnsi="Arial" w:cs="Arial"/>
          <w:color w:val="000000" w:themeColor="text1"/>
          <w:lang w:eastAsia="es-ES"/>
        </w:rPr>
        <w:t xml:space="preserve">mm anuales </w:t>
      </w:r>
      <w:sdt>
        <w:sdtPr>
          <w:rPr>
            <w:rFonts w:ascii="Arial" w:eastAsia="Times New Roman" w:hAnsi="Arial" w:cs="Arial"/>
            <w:color w:val="000000" w:themeColor="text1"/>
            <w:lang w:eastAsia="es-ES"/>
          </w:rPr>
          <w:id w:val="636069077"/>
          <w:citation/>
        </w:sdtPr>
        <w:sdtEndPr/>
        <w:sdtContent>
          <w:r w:rsidR="00B9715A" w:rsidRPr="000E0F90">
            <w:rPr>
              <w:rFonts w:ascii="Arial" w:eastAsia="Times New Roman" w:hAnsi="Arial" w:cs="Arial"/>
              <w:color w:val="000000" w:themeColor="text1"/>
              <w:lang w:eastAsia="es-ES"/>
            </w:rPr>
            <w:fldChar w:fldCharType="begin"/>
          </w:r>
          <w:r w:rsidR="00B9715A" w:rsidRPr="000E0F90">
            <w:rPr>
              <w:rFonts w:ascii="Arial" w:eastAsia="Times New Roman" w:hAnsi="Arial" w:cs="Arial"/>
              <w:color w:val="000000" w:themeColor="text1"/>
              <w:lang w:eastAsia="es-ES"/>
            </w:rPr>
            <w:instrText xml:space="preserve"> CITATION Inf04 \l 13322 </w:instrText>
          </w:r>
          <w:r w:rsidR="00B9715A" w:rsidRPr="000E0F90">
            <w:rPr>
              <w:rFonts w:ascii="Arial" w:eastAsia="Times New Roman" w:hAnsi="Arial" w:cs="Arial"/>
              <w:color w:val="000000" w:themeColor="text1"/>
              <w:lang w:eastAsia="es-ES"/>
            </w:rPr>
            <w:fldChar w:fldCharType="separate"/>
          </w:r>
          <w:r w:rsidR="008D0261" w:rsidRPr="000E0F90">
            <w:rPr>
              <w:rFonts w:ascii="Arial" w:eastAsia="Times New Roman" w:hAnsi="Arial" w:cs="Arial"/>
              <w:noProof/>
              <w:color w:val="000000" w:themeColor="text1"/>
              <w:lang w:eastAsia="es-ES"/>
            </w:rPr>
            <w:t>(Infracon S.A., 2004)</w:t>
          </w:r>
          <w:r w:rsidR="00B9715A" w:rsidRPr="000E0F90">
            <w:rPr>
              <w:rFonts w:ascii="Arial" w:eastAsia="Times New Roman" w:hAnsi="Arial" w:cs="Arial"/>
              <w:color w:val="000000" w:themeColor="text1"/>
              <w:lang w:eastAsia="es-ES"/>
            </w:rPr>
            <w:fldChar w:fldCharType="end"/>
          </w:r>
        </w:sdtContent>
      </w:sdt>
      <w:r w:rsidRPr="000E0F90">
        <w:rPr>
          <w:rFonts w:ascii="Arial" w:eastAsia="Times New Roman" w:hAnsi="Arial" w:cs="Arial"/>
          <w:color w:val="000000" w:themeColor="text1"/>
          <w:lang w:eastAsia="es-ES"/>
        </w:rPr>
        <w:t xml:space="preserve">. </w:t>
      </w:r>
      <w:r w:rsidR="00842F38">
        <w:rPr>
          <w:rFonts w:ascii="Arial" w:eastAsia="Times New Roman" w:hAnsi="Arial" w:cs="Arial"/>
          <w:color w:val="000000" w:themeColor="text1"/>
          <w:lang w:eastAsia="es-ES"/>
        </w:rPr>
        <w:t>C</w:t>
      </w:r>
      <w:r w:rsidRPr="000E0F90">
        <w:rPr>
          <w:rFonts w:ascii="Arial" w:eastAsia="Times New Roman" w:hAnsi="Arial" w:cs="Arial"/>
          <w:color w:val="000000" w:themeColor="text1"/>
          <w:lang w:eastAsia="es-ES"/>
        </w:rPr>
        <w:t xml:space="preserve">on variaciones temporales en años secos y  húmedos que tienen un rango de 0 hasta más de 100 mm/año </w:t>
      </w:r>
      <w:sdt>
        <w:sdtPr>
          <w:rPr>
            <w:rFonts w:ascii="Arial" w:eastAsia="Times New Roman" w:hAnsi="Arial" w:cs="Arial"/>
            <w:color w:val="000000" w:themeColor="text1"/>
            <w:lang w:eastAsia="es-ES"/>
          </w:rPr>
          <w:id w:val="135618459"/>
          <w:citation/>
        </w:sdtPr>
        <w:sdtEndPr/>
        <w:sdtContent>
          <w:r w:rsidR="00B9715A" w:rsidRPr="000E0F90">
            <w:rPr>
              <w:rFonts w:ascii="Arial" w:eastAsia="Times New Roman" w:hAnsi="Arial" w:cs="Arial"/>
              <w:color w:val="000000" w:themeColor="text1"/>
              <w:lang w:eastAsia="es-ES"/>
            </w:rPr>
            <w:fldChar w:fldCharType="begin"/>
          </w:r>
          <w:r w:rsidR="00B9715A" w:rsidRPr="000E0F90">
            <w:rPr>
              <w:rFonts w:ascii="Arial" w:eastAsia="Times New Roman" w:hAnsi="Arial" w:cs="Arial"/>
              <w:color w:val="000000" w:themeColor="text1"/>
              <w:lang w:eastAsia="es-ES"/>
            </w:rPr>
            <w:instrText xml:space="preserve">CITATION DGA17 \t  \l 13322 </w:instrText>
          </w:r>
          <w:r w:rsidR="00B9715A" w:rsidRPr="000E0F90">
            <w:rPr>
              <w:rFonts w:ascii="Arial" w:eastAsia="Times New Roman" w:hAnsi="Arial" w:cs="Arial"/>
              <w:color w:val="000000" w:themeColor="text1"/>
              <w:lang w:eastAsia="es-ES"/>
            </w:rPr>
            <w:fldChar w:fldCharType="separate"/>
          </w:r>
          <w:r w:rsidR="008D0261" w:rsidRPr="000E0F90">
            <w:rPr>
              <w:rFonts w:ascii="Arial" w:eastAsia="Times New Roman" w:hAnsi="Arial" w:cs="Arial"/>
              <w:noProof/>
              <w:color w:val="000000" w:themeColor="text1"/>
              <w:lang w:eastAsia="es-ES"/>
            </w:rPr>
            <w:t>(DGA, 2017)</w:t>
          </w:r>
          <w:r w:rsidR="00B9715A" w:rsidRPr="000E0F90">
            <w:rPr>
              <w:rFonts w:ascii="Arial" w:eastAsia="Times New Roman" w:hAnsi="Arial" w:cs="Arial"/>
              <w:color w:val="000000" w:themeColor="text1"/>
              <w:lang w:eastAsia="es-ES"/>
            </w:rPr>
            <w:fldChar w:fldCharType="end"/>
          </w:r>
        </w:sdtContent>
      </w:sdt>
    </w:p>
    <w:p w:rsidR="001963E4" w:rsidRPr="000E0F90" w:rsidRDefault="001963E4" w:rsidP="00702D9A">
      <w:pPr>
        <w:spacing w:after="0" w:line="360" w:lineRule="auto"/>
        <w:jc w:val="left"/>
        <w:rPr>
          <w:rFonts w:ascii="Arial" w:eastAsia="Times New Roman" w:hAnsi="Arial" w:cs="Arial"/>
          <w:b/>
          <w:color w:val="000000" w:themeColor="text1"/>
          <w:highlight w:val="green"/>
          <w:lang w:eastAsia="es-ES"/>
        </w:rPr>
      </w:pPr>
      <w:r w:rsidRPr="000E0F90">
        <w:rPr>
          <w:rFonts w:ascii="Arial" w:eastAsia="Times New Roman" w:hAnsi="Arial" w:cs="Arial"/>
          <w:b/>
          <w:color w:val="000000" w:themeColor="text1"/>
          <w:lang w:eastAsia="es-ES"/>
        </w:rPr>
        <w:t>Geoforma y Suelos</w:t>
      </w:r>
    </w:p>
    <w:p w:rsidR="00521C6B" w:rsidRPr="000E0F90" w:rsidRDefault="001963E4" w:rsidP="00702D9A">
      <w:pPr>
        <w:spacing w:line="360" w:lineRule="auto"/>
        <w:rPr>
          <w:rFonts w:ascii="Arial" w:eastAsia="Times New Roman" w:hAnsi="Arial" w:cs="Arial"/>
          <w:b/>
          <w:color w:val="000000" w:themeColor="text1"/>
          <w:szCs w:val="20"/>
          <w:lang w:eastAsia="es-ES"/>
        </w:rPr>
      </w:pPr>
      <w:r w:rsidRPr="000E0F90">
        <w:rPr>
          <w:rFonts w:ascii="Arial" w:hAnsi="Arial" w:cs="Arial"/>
          <w:color w:val="000000" w:themeColor="text1"/>
        </w:rPr>
        <w:t xml:space="preserve">El  territorio  comunal  se  encuentra  inserto  dentro  de  tres  grandes  dominios </w:t>
      </w:r>
      <w:r w:rsidR="00842F38">
        <w:rPr>
          <w:rFonts w:ascii="Arial" w:hAnsi="Arial" w:cs="Arial"/>
          <w:color w:val="000000" w:themeColor="text1"/>
        </w:rPr>
        <w:t>geomorfológicos</w:t>
      </w:r>
      <w:r w:rsidRPr="000E0F90">
        <w:rPr>
          <w:rFonts w:ascii="Arial" w:hAnsi="Arial" w:cs="Arial"/>
          <w:color w:val="000000" w:themeColor="text1"/>
        </w:rPr>
        <w:t xml:space="preserve">:  Dominio  de  Montaña,  de  Media  Montaña  y  Quebradas  Interiores  y  Dominio Semiárido Litoral </w:t>
      </w:r>
      <w:sdt>
        <w:sdtPr>
          <w:rPr>
            <w:rFonts w:ascii="Arial" w:hAnsi="Arial" w:cs="Arial"/>
            <w:color w:val="000000" w:themeColor="text1"/>
          </w:rPr>
          <w:id w:val="1795177154"/>
          <w:citation/>
        </w:sdtPr>
        <w:sdtEndPr/>
        <w:sdtContent>
          <w:r w:rsidR="00B9715A" w:rsidRPr="000E0F90">
            <w:rPr>
              <w:rFonts w:ascii="Arial" w:hAnsi="Arial" w:cs="Arial"/>
              <w:color w:val="000000" w:themeColor="text1"/>
            </w:rPr>
            <w:fldChar w:fldCharType="begin"/>
          </w:r>
          <w:r w:rsidR="00B9715A" w:rsidRPr="000E0F90">
            <w:rPr>
              <w:rFonts w:ascii="Arial" w:hAnsi="Arial" w:cs="Arial"/>
              <w:color w:val="000000" w:themeColor="text1"/>
            </w:rPr>
            <w:instrText xml:space="preserve"> CITATION Inf04 \l 13322 </w:instrText>
          </w:r>
          <w:r w:rsidR="00B9715A" w:rsidRPr="000E0F90">
            <w:rPr>
              <w:rFonts w:ascii="Arial" w:hAnsi="Arial" w:cs="Arial"/>
              <w:color w:val="000000" w:themeColor="text1"/>
            </w:rPr>
            <w:fldChar w:fldCharType="separate"/>
          </w:r>
          <w:r w:rsidR="008D0261" w:rsidRPr="000E0F90">
            <w:rPr>
              <w:rFonts w:ascii="Arial" w:hAnsi="Arial" w:cs="Arial"/>
              <w:noProof/>
              <w:color w:val="000000" w:themeColor="text1"/>
            </w:rPr>
            <w:t>(Infracon S.A., 2004)</w:t>
          </w:r>
          <w:r w:rsidR="00B9715A" w:rsidRPr="000E0F90">
            <w:rPr>
              <w:rFonts w:ascii="Arial" w:hAnsi="Arial" w:cs="Arial"/>
              <w:color w:val="000000" w:themeColor="text1"/>
            </w:rPr>
            <w:fldChar w:fldCharType="end"/>
          </w:r>
        </w:sdtContent>
      </w:sdt>
      <w:r w:rsidR="00554B8F" w:rsidRPr="000E0F90">
        <w:rPr>
          <w:rFonts w:ascii="Arial" w:hAnsi="Arial" w:cs="Arial"/>
          <w:color w:val="000000" w:themeColor="text1"/>
        </w:rPr>
        <w:t xml:space="preserve">. </w:t>
      </w:r>
      <w:r w:rsidR="00521C6B" w:rsidRPr="000E0F90">
        <w:rPr>
          <w:rFonts w:ascii="Arial" w:eastAsia="Times New Roman" w:hAnsi="Arial" w:cs="Arial"/>
          <w:color w:val="000000" w:themeColor="text1"/>
          <w:szCs w:val="20"/>
          <w:lang w:eastAsia="es-ES"/>
        </w:rPr>
        <w:t>Las  capacidades  de  uso  de  los  suelos  del territorio  comunal,  presenta las 2 clases: VI y VII, lo que implica que la principal aptitud del territorio comunal es forestal y pecuario-forestal, sin aptitudes para uso agrícola. La actividad agrícola, se desarrolla en pequeños parches asociados a terrazas de quebradas</w:t>
      </w:r>
      <w:r w:rsidR="00842F38">
        <w:rPr>
          <w:rFonts w:ascii="Arial" w:eastAsia="Times New Roman" w:hAnsi="Arial" w:cs="Arial"/>
          <w:color w:val="000000" w:themeColor="text1"/>
          <w:szCs w:val="20"/>
          <w:lang w:eastAsia="es-ES"/>
        </w:rPr>
        <w:t xml:space="preserve">, con </w:t>
      </w:r>
      <w:r w:rsidR="00521C6B" w:rsidRPr="000E0F90">
        <w:rPr>
          <w:rFonts w:ascii="Arial" w:eastAsia="Times New Roman" w:hAnsi="Arial" w:cs="Arial"/>
          <w:color w:val="000000" w:themeColor="text1"/>
          <w:szCs w:val="20"/>
          <w:lang w:eastAsia="es-ES"/>
        </w:rPr>
        <w:t>categor</w:t>
      </w:r>
      <w:r w:rsidR="00842F38">
        <w:rPr>
          <w:rFonts w:ascii="Arial" w:eastAsia="Times New Roman" w:hAnsi="Arial" w:cs="Arial"/>
          <w:color w:val="000000" w:themeColor="text1"/>
          <w:szCs w:val="20"/>
          <w:lang w:eastAsia="es-ES"/>
        </w:rPr>
        <w:t xml:space="preserve">ía de suelo tipo IV, condicionado a </w:t>
      </w:r>
      <w:r w:rsidR="00400614" w:rsidRPr="000E0F90">
        <w:rPr>
          <w:rFonts w:ascii="Arial" w:eastAsia="Times New Roman" w:hAnsi="Arial" w:cs="Arial"/>
          <w:color w:val="000000" w:themeColor="text1"/>
          <w:szCs w:val="20"/>
          <w:lang w:eastAsia="es-ES"/>
        </w:rPr>
        <w:t>l</w:t>
      </w:r>
      <w:r w:rsidR="00842F38">
        <w:rPr>
          <w:rFonts w:ascii="Arial" w:eastAsia="Times New Roman" w:hAnsi="Arial" w:cs="Arial"/>
          <w:color w:val="000000" w:themeColor="text1"/>
          <w:szCs w:val="20"/>
          <w:lang w:eastAsia="es-ES"/>
        </w:rPr>
        <w:t>a</w:t>
      </w:r>
      <w:r w:rsidR="00400614" w:rsidRPr="000E0F90">
        <w:rPr>
          <w:rFonts w:ascii="Arial" w:eastAsia="Times New Roman" w:hAnsi="Arial" w:cs="Arial"/>
          <w:color w:val="000000" w:themeColor="text1"/>
          <w:szCs w:val="20"/>
          <w:lang w:eastAsia="es-ES"/>
        </w:rPr>
        <w:t xml:space="preserve"> </w:t>
      </w:r>
      <w:r w:rsidR="00521C6B" w:rsidRPr="000E0F90">
        <w:rPr>
          <w:rFonts w:ascii="Arial" w:eastAsia="Times New Roman" w:hAnsi="Arial" w:cs="Arial"/>
          <w:color w:val="000000" w:themeColor="text1"/>
          <w:szCs w:val="20"/>
          <w:lang w:eastAsia="es-ES"/>
        </w:rPr>
        <w:t xml:space="preserve">disponibilidad del recurso hídrico (Infracon S.A., 2004). </w:t>
      </w:r>
    </w:p>
    <w:p w:rsidR="001963E4" w:rsidRPr="000E0F90" w:rsidRDefault="001963E4" w:rsidP="00702D9A">
      <w:pPr>
        <w:spacing w:before="240" w:after="0" w:line="360" w:lineRule="auto"/>
        <w:jc w:val="left"/>
        <w:rPr>
          <w:rFonts w:ascii="Arial" w:eastAsia="Times New Roman" w:hAnsi="Arial" w:cs="Arial"/>
          <w:b/>
          <w:color w:val="000000" w:themeColor="text1"/>
          <w:lang w:eastAsia="es-ES"/>
        </w:rPr>
      </w:pPr>
      <w:r w:rsidRPr="000E0F90">
        <w:rPr>
          <w:rFonts w:ascii="Arial" w:eastAsia="Times New Roman" w:hAnsi="Arial" w:cs="Arial"/>
          <w:b/>
          <w:color w:val="000000" w:themeColor="text1"/>
          <w:lang w:eastAsia="es-ES"/>
        </w:rPr>
        <w:t>Hidroestructura:</w:t>
      </w:r>
    </w:p>
    <w:p w:rsidR="001963E4" w:rsidRPr="000E0F90" w:rsidRDefault="001963E4" w:rsidP="00702D9A">
      <w:pPr>
        <w:spacing w:line="360" w:lineRule="auto"/>
        <w:rPr>
          <w:rFonts w:ascii="Arial" w:hAnsi="Arial" w:cs="Arial"/>
          <w:color w:val="000000" w:themeColor="text1"/>
        </w:rPr>
      </w:pPr>
      <w:r w:rsidRPr="000E0F90">
        <w:rPr>
          <w:rFonts w:ascii="Arial" w:eastAsia="Times New Roman" w:hAnsi="Arial" w:cs="Arial"/>
          <w:color w:val="000000" w:themeColor="text1"/>
          <w:szCs w:val="20"/>
          <w:lang w:eastAsia="es-ES"/>
        </w:rPr>
        <w:t xml:space="preserve">La  comuna  de La  Higuera </w:t>
      </w:r>
      <w:r w:rsidR="00842F38">
        <w:rPr>
          <w:rFonts w:ascii="Arial" w:eastAsia="Times New Roman" w:hAnsi="Arial" w:cs="Arial"/>
          <w:color w:val="000000" w:themeColor="text1"/>
          <w:szCs w:val="20"/>
          <w:lang w:eastAsia="es-ES"/>
        </w:rPr>
        <w:t>se presenta entre</w:t>
      </w:r>
      <w:r w:rsidRPr="000E0F90">
        <w:rPr>
          <w:rFonts w:ascii="Arial" w:eastAsia="Times New Roman" w:hAnsi="Arial" w:cs="Arial"/>
          <w:color w:val="000000" w:themeColor="text1"/>
          <w:szCs w:val="20"/>
          <w:lang w:eastAsia="es-ES"/>
        </w:rPr>
        <w:t xml:space="preserve"> dos cuencas de importancia: la del Río Huasco, en la III Región, y la del río Elqui, en comuna de La Serena. </w:t>
      </w:r>
      <w:r w:rsidRPr="000E0F90">
        <w:rPr>
          <w:rFonts w:ascii="Arial" w:hAnsi="Arial" w:cs="Arial"/>
          <w:color w:val="000000" w:themeColor="text1"/>
        </w:rPr>
        <w:t xml:space="preserve">La hidroestructura </w:t>
      </w:r>
      <w:r w:rsidR="00F44064" w:rsidRPr="000E0F90">
        <w:rPr>
          <w:rFonts w:ascii="Arial" w:hAnsi="Arial" w:cs="Arial"/>
          <w:color w:val="000000" w:themeColor="text1"/>
        </w:rPr>
        <w:t>está</w:t>
      </w:r>
      <w:r w:rsidRPr="000E0F90">
        <w:rPr>
          <w:rFonts w:ascii="Arial" w:hAnsi="Arial" w:cs="Arial"/>
          <w:color w:val="000000" w:themeColor="text1"/>
        </w:rPr>
        <w:t xml:space="preserve"> constituida por cuatro unidades principales: Cuenca Quebrada Los Choros, Cuenca Quebrada Honda, Llano Los Choros y Cuencas litorales menores</w:t>
      </w:r>
      <w:r w:rsidR="00F44064">
        <w:rPr>
          <w:rFonts w:ascii="Arial" w:hAnsi="Arial" w:cs="Arial"/>
          <w:color w:val="000000" w:themeColor="text1"/>
        </w:rPr>
        <w:t>.</w:t>
      </w:r>
      <w:r w:rsidRPr="000E0F90">
        <w:rPr>
          <w:rFonts w:ascii="Arial" w:hAnsi="Arial" w:cs="Arial"/>
          <w:color w:val="000000" w:themeColor="text1"/>
        </w:rPr>
        <w:t xml:space="preserve"> Estas unidades se conforman por cursos de agua provenientes de quebradas, las cuales no presentan escurrimiento superficial permanente, sino que están condicionados a la existencia de precipitaciones </w:t>
      </w:r>
      <w:sdt>
        <w:sdtPr>
          <w:rPr>
            <w:rFonts w:ascii="Arial" w:hAnsi="Arial" w:cs="Arial"/>
            <w:color w:val="000000" w:themeColor="text1"/>
          </w:rPr>
          <w:id w:val="-1231611159"/>
          <w:citation/>
        </w:sdtPr>
        <w:sdtEndPr/>
        <w:sdtContent>
          <w:r w:rsidR="00F64C8B" w:rsidRPr="000E0F90">
            <w:rPr>
              <w:rFonts w:ascii="Arial" w:hAnsi="Arial" w:cs="Arial"/>
              <w:color w:val="000000" w:themeColor="text1"/>
            </w:rPr>
            <w:fldChar w:fldCharType="begin"/>
          </w:r>
          <w:r w:rsidR="00F64C8B" w:rsidRPr="000E0F90">
            <w:rPr>
              <w:rFonts w:ascii="Arial" w:hAnsi="Arial" w:cs="Arial"/>
              <w:color w:val="000000" w:themeColor="text1"/>
            </w:rPr>
            <w:instrText xml:space="preserve">CITATION Inf04 \l 13322 </w:instrText>
          </w:r>
          <w:r w:rsidR="00F64C8B" w:rsidRPr="000E0F90">
            <w:rPr>
              <w:rFonts w:ascii="Arial" w:hAnsi="Arial" w:cs="Arial"/>
              <w:color w:val="000000" w:themeColor="text1"/>
            </w:rPr>
            <w:fldChar w:fldCharType="separate"/>
          </w:r>
          <w:r w:rsidR="008D0261" w:rsidRPr="000E0F90">
            <w:rPr>
              <w:rFonts w:ascii="Arial" w:hAnsi="Arial" w:cs="Arial"/>
              <w:noProof/>
              <w:color w:val="000000" w:themeColor="text1"/>
            </w:rPr>
            <w:t>(Infracon S.A., 2004)</w:t>
          </w:r>
          <w:r w:rsidR="00F64C8B" w:rsidRPr="000E0F90">
            <w:rPr>
              <w:rFonts w:ascii="Arial" w:hAnsi="Arial" w:cs="Arial"/>
              <w:color w:val="000000" w:themeColor="text1"/>
            </w:rPr>
            <w:fldChar w:fldCharType="end"/>
          </w:r>
        </w:sdtContent>
      </w:sdt>
    </w:p>
    <w:p w:rsidR="001963E4" w:rsidRPr="000E0F90" w:rsidRDefault="001963E4" w:rsidP="00702D9A">
      <w:pPr>
        <w:spacing w:line="360" w:lineRule="auto"/>
        <w:rPr>
          <w:rFonts w:ascii="Arial" w:hAnsi="Arial" w:cs="Arial"/>
          <w:color w:val="000000" w:themeColor="text1"/>
        </w:rPr>
      </w:pPr>
      <w:r w:rsidRPr="000E0F90">
        <w:rPr>
          <w:rFonts w:ascii="Arial" w:hAnsi="Arial" w:cs="Arial"/>
          <w:color w:val="000000" w:themeColor="text1"/>
        </w:rPr>
        <w:lastRenderedPageBreak/>
        <w:t xml:space="preserve">La principal estructura comunal corresponde a la Cuenca Quebrada Los Choros, presentando una superficie de 4.058  km²  de  los  4.123  km²  de  la  superficie  total  del  territorio. Esta cuenca no alcanza las cumbres más altas de Los Andes, sino que la precordillera de La Punilla, con cotas máximas de 4.000 msnm, restringiendo el aporte de aguas de origen nival y pluvial, </w:t>
      </w:r>
      <w:sdt>
        <w:sdtPr>
          <w:rPr>
            <w:rFonts w:ascii="Arial" w:eastAsia="Times New Roman" w:hAnsi="Arial" w:cs="Arial"/>
            <w:color w:val="000000" w:themeColor="text1"/>
            <w:lang w:eastAsia="es-ES"/>
          </w:rPr>
          <w:id w:val="-1707945121"/>
          <w:citation/>
        </w:sdtPr>
        <w:sdtEndPr/>
        <w:sdtContent>
          <w:r w:rsidR="00B9715A" w:rsidRPr="000E0F90">
            <w:rPr>
              <w:rFonts w:ascii="Arial" w:eastAsia="Times New Roman" w:hAnsi="Arial" w:cs="Arial"/>
              <w:color w:val="000000" w:themeColor="text1"/>
              <w:lang w:eastAsia="es-ES"/>
            </w:rPr>
            <w:fldChar w:fldCharType="begin"/>
          </w:r>
          <w:r w:rsidR="00B9715A" w:rsidRPr="000E0F90">
            <w:rPr>
              <w:rFonts w:ascii="Arial" w:eastAsia="Times New Roman" w:hAnsi="Arial" w:cs="Arial"/>
              <w:color w:val="000000" w:themeColor="text1"/>
              <w:lang w:eastAsia="es-ES"/>
            </w:rPr>
            <w:instrText xml:space="preserve">CITATION DGA17 \t  \l 13322 </w:instrText>
          </w:r>
          <w:r w:rsidR="00B9715A" w:rsidRPr="000E0F90">
            <w:rPr>
              <w:rFonts w:ascii="Arial" w:eastAsia="Times New Roman" w:hAnsi="Arial" w:cs="Arial"/>
              <w:color w:val="000000" w:themeColor="text1"/>
              <w:lang w:eastAsia="es-ES"/>
            </w:rPr>
            <w:fldChar w:fldCharType="separate"/>
          </w:r>
          <w:r w:rsidR="008D0261" w:rsidRPr="000E0F90">
            <w:rPr>
              <w:rFonts w:ascii="Arial" w:eastAsia="Times New Roman" w:hAnsi="Arial" w:cs="Arial"/>
              <w:noProof/>
              <w:color w:val="000000" w:themeColor="text1"/>
              <w:lang w:eastAsia="es-ES"/>
            </w:rPr>
            <w:t>(DGA, 2017)</w:t>
          </w:r>
          <w:r w:rsidR="00B9715A" w:rsidRPr="000E0F90">
            <w:rPr>
              <w:rFonts w:ascii="Arial" w:eastAsia="Times New Roman" w:hAnsi="Arial" w:cs="Arial"/>
              <w:color w:val="000000" w:themeColor="text1"/>
              <w:lang w:eastAsia="es-ES"/>
            </w:rPr>
            <w:fldChar w:fldCharType="end"/>
          </w:r>
        </w:sdtContent>
      </w:sdt>
      <w:r w:rsidR="00B9715A" w:rsidRPr="000E0F90">
        <w:rPr>
          <w:rFonts w:ascii="Arial" w:eastAsia="Times New Roman" w:hAnsi="Arial" w:cs="Arial"/>
          <w:color w:val="000000" w:themeColor="text1"/>
          <w:lang w:eastAsia="es-ES"/>
        </w:rPr>
        <w:t>. L</w:t>
      </w:r>
      <w:r w:rsidRPr="000E0F90">
        <w:rPr>
          <w:rFonts w:ascii="Arial" w:hAnsi="Arial" w:cs="Arial"/>
          <w:color w:val="000000" w:themeColor="text1"/>
        </w:rPr>
        <w:t xml:space="preserve">o que determina que la cosecha de agua de la cuenca sea limitado, puesto que proviene de escorrentías e infiltración en la parte alta de la cuenca, reduciendo las aguas </w:t>
      </w:r>
      <w:r w:rsidR="00F35AF7" w:rsidRPr="000E0F90">
        <w:rPr>
          <w:rFonts w:ascii="Arial" w:hAnsi="Arial" w:cs="Arial"/>
          <w:color w:val="000000" w:themeColor="text1"/>
        </w:rPr>
        <w:t>subterráneas</w:t>
      </w:r>
      <w:r w:rsidRPr="000E0F90">
        <w:rPr>
          <w:rFonts w:ascii="Arial" w:hAnsi="Arial" w:cs="Arial"/>
          <w:color w:val="000000" w:themeColor="text1"/>
        </w:rPr>
        <w:t xml:space="preserve"> y los afloramientos superficiales </w:t>
      </w:r>
      <w:r w:rsidR="00F44064">
        <w:rPr>
          <w:rFonts w:ascii="Arial" w:hAnsi="Arial" w:cs="Arial"/>
          <w:color w:val="000000" w:themeColor="text1"/>
        </w:rPr>
        <w:t>(Arellano et al., 2013).</w:t>
      </w:r>
    </w:p>
    <w:p w:rsidR="001963E4" w:rsidRPr="000E0F90" w:rsidRDefault="00941540" w:rsidP="00702D9A">
      <w:pPr>
        <w:spacing w:before="240" w:after="0" w:line="360" w:lineRule="auto"/>
        <w:rPr>
          <w:rFonts w:ascii="Arial" w:eastAsia="Times New Roman" w:hAnsi="Arial" w:cs="Arial"/>
          <w:b/>
          <w:bCs/>
          <w:iCs/>
          <w:color w:val="000000" w:themeColor="text1"/>
          <w:lang w:eastAsia="es-ES"/>
        </w:rPr>
      </w:pPr>
      <w:r w:rsidRPr="000E0F90">
        <w:rPr>
          <w:rFonts w:ascii="Arial" w:eastAsia="Times New Roman" w:hAnsi="Arial" w:cs="Arial"/>
          <w:b/>
          <w:bCs/>
          <w:iCs/>
          <w:color w:val="000000" w:themeColor="text1"/>
          <w:lang w:eastAsia="es-ES"/>
        </w:rPr>
        <w:t xml:space="preserve">Vegetación </w:t>
      </w:r>
    </w:p>
    <w:p w:rsidR="00C9729C" w:rsidRPr="000E0F90" w:rsidRDefault="001963E4" w:rsidP="00702D9A">
      <w:pPr>
        <w:spacing w:line="360" w:lineRule="auto"/>
        <w:rPr>
          <w:rFonts w:ascii="Arial" w:hAnsi="Arial" w:cs="Arial"/>
          <w:color w:val="000000" w:themeColor="text1"/>
        </w:rPr>
      </w:pPr>
      <w:r w:rsidRPr="000E0F90">
        <w:rPr>
          <w:rFonts w:ascii="Arial" w:hAnsi="Arial" w:cs="Arial"/>
          <w:color w:val="000000" w:themeColor="text1"/>
        </w:rPr>
        <w:t xml:space="preserve">De acuerdo a </w:t>
      </w:r>
      <w:sdt>
        <w:sdtPr>
          <w:rPr>
            <w:rFonts w:ascii="Arial" w:hAnsi="Arial" w:cs="Arial"/>
            <w:color w:val="000000" w:themeColor="text1"/>
          </w:rPr>
          <w:id w:val="-1932650093"/>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Lue06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(Luebert &amp; Pliscoff, 2006)</w:t>
          </w:r>
          <w:r w:rsidRPr="000E0F90">
            <w:rPr>
              <w:rFonts w:ascii="Arial" w:hAnsi="Arial" w:cs="Arial"/>
              <w:color w:val="000000" w:themeColor="text1"/>
            </w:rPr>
            <w:fldChar w:fldCharType="end"/>
          </w:r>
        </w:sdtContent>
      </w:sdt>
      <w:r w:rsidRPr="000E0F90">
        <w:rPr>
          <w:rFonts w:ascii="Arial" w:hAnsi="Arial" w:cs="Arial"/>
          <w:color w:val="000000" w:themeColor="text1"/>
        </w:rPr>
        <w:t>, en la comuna se observa</w:t>
      </w:r>
      <w:r w:rsidR="008B3C5C" w:rsidRPr="000E0F90">
        <w:rPr>
          <w:rFonts w:ascii="Arial" w:hAnsi="Arial" w:cs="Arial"/>
          <w:color w:val="000000" w:themeColor="text1"/>
        </w:rPr>
        <w:t xml:space="preserve"> el </w:t>
      </w:r>
      <w:r w:rsidR="008B3C5C" w:rsidRPr="000E0F90">
        <w:rPr>
          <w:rFonts w:ascii="Arial" w:hAnsi="Arial" w:cs="Arial"/>
          <w:i/>
          <w:color w:val="000000" w:themeColor="text1"/>
        </w:rPr>
        <w:t>Matorral desértico mediterráneo costero</w:t>
      </w:r>
      <w:r w:rsidR="008B3C5C" w:rsidRPr="000E0F90">
        <w:rPr>
          <w:rFonts w:ascii="Arial" w:hAnsi="Arial" w:cs="Arial"/>
          <w:color w:val="000000" w:themeColor="text1"/>
        </w:rPr>
        <w:t xml:space="preserve"> muy abierto, siendo los arbustos las especies dominantes</w:t>
      </w:r>
      <w:r w:rsidR="00C9729C" w:rsidRPr="000E0F90">
        <w:rPr>
          <w:rFonts w:ascii="Arial" w:hAnsi="Arial" w:cs="Arial"/>
          <w:color w:val="000000" w:themeColor="text1"/>
        </w:rPr>
        <w:t xml:space="preserve">, </w:t>
      </w:r>
      <w:r w:rsidR="008B3C5C" w:rsidRPr="000E0F90">
        <w:rPr>
          <w:rFonts w:ascii="Arial" w:hAnsi="Arial" w:cs="Arial"/>
          <w:color w:val="000000" w:themeColor="text1"/>
        </w:rPr>
        <w:t xml:space="preserve"> desarrollándose el estrato herbáceo en presencia de precipitaciones. En el interior, se presenta </w:t>
      </w:r>
      <w:r w:rsidR="008B3C5C" w:rsidRPr="000E0F90">
        <w:rPr>
          <w:rFonts w:ascii="Arial" w:hAnsi="Arial" w:cs="Arial"/>
          <w:i/>
          <w:color w:val="000000" w:themeColor="text1"/>
        </w:rPr>
        <w:t>el Matorral desértico mediterráneo interior</w:t>
      </w:r>
      <w:r w:rsidR="00C9729C" w:rsidRPr="000E0F90">
        <w:rPr>
          <w:rFonts w:ascii="Arial" w:hAnsi="Arial" w:cs="Arial"/>
          <w:i/>
          <w:color w:val="000000" w:themeColor="text1"/>
        </w:rPr>
        <w:t xml:space="preserve">, </w:t>
      </w:r>
      <w:r w:rsidR="008B3C5C" w:rsidRPr="000E0F90">
        <w:rPr>
          <w:rFonts w:ascii="Arial" w:hAnsi="Arial" w:cs="Arial"/>
          <w:color w:val="000000" w:themeColor="text1"/>
        </w:rPr>
        <w:t>muy abierto, con arbustos bajos y altos, y pres</w:t>
      </w:r>
      <w:r w:rsidR="00F44064">
        <w:rPr>
          <w:rFonts w:ascii="Arial" w:hAnsi="Arial" w:cs="Arial"/>
          <w:color w:val="000000" w:themeColor="text1"/>
        </w:rPr>
        <w:t>encia de cactáceas, y herbáceas</w:t>
      </w:r>
      <w:r w:rsidR="008B3C5C" w:rsidRPr="000E0F90">
        <w:rPr>
          <w:rFonts w:ascii="Arial" w:hAnsi="Arial" w:cs="Arial"/>
          <w:color w:val="000000" w:themeColor="text1"/>
        </w:rPr>
        <w:t xml:space="preserve">. </w:t>
      </w:r>
      <w:r w:rsidR="00FE3A94" w:rsidRPr="000E0F90">
        <w:rPr>
          <w:rFonts w:ascii="Arial" w:hAnsi="Arial" w:cs="Arial"/>
          <w:color w:val="000000" w:themeColor="text1"/>
        </w:rPr>
        <w:t xml:space="preserve">Hacia la cordillera se ubica el </w:t>
      </w:r>
      <w:r w:rsidR="00FE3A94" w:rsidRPr="000E0F90">
        <w:rPr>
          <w:rFonts w:ascii="Arial" w:hAnsi="Arial" w:cs="Arial"/>
          <w:i/>
          <w:color w:val="000000" w:themeColor="text1"/>
        </w:rPr>
        <w:t>Matorral bajo tropical-mediterráneo andino</w:t>
      </w:r>
      <w:r w:rsidR="00FE3A94" w:rsidRPr="000E0F90">
        <w:rPr>
          <w:rFonts w:ascii="Arial" w:hAnsi="Arial" w:cs="Arial"/>
          <w:color w:val="000000" w:themeColor="text1"/>
        </w:rPr>
        <w:t>, matorral espinoso xeromórfico, con arbustos que llegan a más de 1m de altura, subarbusto</w:t>
      </w:r>
      <w:r w:rsidR="00C9729C" w:rsidRPr="000E0F90">
        <w:rPr>
          <w:rFonts w:ascii="Arial" w:hAnsi="Arial" w:cs="Arial"/>
          <w:color w:val="000000" w:themeColor="text1"/>
        </w:rPr>
        <w:t>s</w:t>
      </w:r>
      <w:r w:rsidR="00FE3A94" w:rsidRPr="000E0F90">
        <w:rPr>
          <w:rFonts w:ascii="Arial" w:hAnsi="Arial" w:cs="Arial"/>
          <w:color w:val="000000" w:themeColor="text1"/>
        </w:rPr>
        <w:t xml:space="preserve"> y herbáceas</w:t>
      </w:r>
      <w:r w:rsidR="00C9729C" w:rsidRPr="000E0F90">
        <w:rPr>
          <w:rFonts w:ascii="Arial" w:hAnsi="Arial" w:cs="Arial"/>
          <w:color w:val="000000" w:themeColor="text1"/>
        </w:rPr>
        <w:t>.</w:t>
      </w:r>
    </w:p>
    <w:p w:rsidR="00BA1041" w:rsidRPr="00BA1041" w:rsidRDefault="00BA1041" w:rsidP="00702D9A">
      <w:pPr>
        <w:pStyle w:val="OT"/>
        <w:spacing w:before="0" w:line="360" w:lineRule="auto"/>
        <w:rPr>
          <w:rFonts w:ascii="Arial" w:hAnsi="Arial" w:cs="Arial"/>
          <w:b/>
          <w:color w:val="000000" w:themeColor="text1"/>
          <w:sz w:val="22"/>
          <w:szCs w:val="22"/>
        </w:rPr>
      </w:pPr>
      <w:r w:rsidRPr="00BA1041">
        <w:rPr>
          <w:rFonts w:ascii="Arial" w:hAnsi="Arial" w:cs="Arial"/>
          <w:b/>
          <w:color w:val="000000" w:themeColor="text1"/>
          <w:sz w:val="22"/>
          <w:szCs w:val="22"/>
        </w:rPr>
        <w:t>Fauna</w:t>
      </w:r>
    </w:p>
    <w:p w:rsidR="001963E4" w:rsidRPr="000E0F90" w:rsidRDefault="001963E4" w:rsidP="00702D9A">
      <w:pPr>
        <w:pStyle w:val="OT"/>
        <w:spacing w:before="0" w:line="360" w:lineRule="auto"/>
        <w:rPr>
          <w:rFonts w:ascii="Arial" w:hAnsi="Arial" w:cs="Arial"/>
          <w:bCs/>
          <w:iCs/>
          <w:color w:val="000000" w:themeColor="text1"/>
          <w:sz w:val="22"/>
          <w:szCs w:val="22"/>
        </w:rPr>
      </w:pPr>
      <w:r w:rsidRPr="000E0F90">
        <w:rPr>
          <w:rFonts w:ascii="Arial" w:hAnsi="Arial" w:cs="Arial"/>
          <w:color w:val="000000" w:themeColor="text1"/>
          <w:sz w:val="22"/>
          <w:szCs w:val="22"/>
        </w:rPr>
        <w:t xml:space="preserve">En cuanto a la fauna existente en la comuna, más del </w:t>
      </w:r>
      <w:r w:rsidRPr="000E0F90">
        <w:rPr>
          <w:rFonts w:ascii="Arial" w:hAnsi="Arial" w:cs="Arial"/>
          <w:bCs/>
          <w:iCs/>
          <w:color w:val="000000" w:themeColor="text1"/>
          <w:sz w:val="22"/>
          <w:szCs w:val="22"/>
        </w:rPr>
        <w:t>40% de las especies de vertebrados se encuentra en categorías de conservación, de las cuales un  27,5%  de  especies  que  se  encuentran  ya  sea vulnera</w:t>
      </w:r>
      <w:r w:rsidR="00C90D9F" w:rsidRPr="000E0F90">
        <w:rPr>
          <w:rFonts w:ascii="Arial" w:hAnsi="Arial" w:cs="Arial"/>
          <w:bCs/>
          <w:iCs/>
          <w:color w:val="000000" w:themeColor="text1"/>
          <w:sz w:val="22"/>
          <w:szCs w:val="22"/>
        </w:rPr>
        <w:t>bles o en peligro de extinción (Infracon S.A., 2004).</w:t>
      </w:r>
      <w:r w:rsidR="00B9715A" w:rsidRPr="000E0F90">
        <w:rPr>
          <w:rFonts w:ascii="Arial" w:hAnsi="Arial" w:cs="Arial"/>
          <w:bCs/>
          <w:iCs/>
          <w:color w:val="000000" w:themeColor="text1"/>
          <w:sz w:val="22"/>
          <w:szCs w:val="22"/>
        </w:rPr>
        <w:t xml:space="preserve"> </w:t>
      </w:r>
      <w:r w:rsidRPr="000E0F90">
        <w:rPr>
          <w:rFonts w:ascii="Arial" w:hAnsi="Arial" w:cs="Arial"/>
          <w:bCs/>
          <w:iCs/>
          <w:color w:val="000000" w:themeColor="text1"/>
          <w:sz w:val="22"/>
          <w:szCs w:val="22"/>
        </w:rPr>
        <w:t>Destaca la fauna existente en la Resera Nacional Pingüino de Humboldt, con gran endemismo y diversidad. Con 59 especies de plantas vasculares y 68 especies de vertebrados terrestres, entre éstas, mamíferos como el chungungo, lobo de un pelo, delfines nariz de botella, y aves como  el Pingüino de Humboldt, el Yunco, Cormorán Lile y Guanay</w:t>
      </w:r>
      <w:sdt>
        <w:sdtPr>
          <w:rPr>
            <w:rFonts w:ascii="Arial" w:hAnsi="Arial" w:cs="Arial"/>
            <w:bCs/>
            <w:iCs/>
            <w:color w:val="000000" w:themeColor="text1"/>
            <w:sz w:val="22"/>
            <w:szCs w:val="22"/>
          </w:rPr>
          <w:id w:val="1787776394"/>
          <w:citation/>
        </w:sdtPr>
        <w:sdtEndPr/>
        <w:sdtContent>
          <w:r w:rsidR="00B066FC" w:rsidRPr="000E0F90">
            <w:rPr>
              <w:rFonts w:ascii="Arial" w:hAnsi="Arial" w:cs="Arial"/>
              <w:bCs/>
              <w:iCs/>
              <w:color w:val="000000" w:themeColor="text1"/>
              <w:sz w:val="22"/>
              <w:szCs w:val="22"/>
            </w:rPr>
            <w:fldChar w:fldCharType="begin"/>
          </w:r>
          <w:r w:rsidR="00B066FC" w:rsidRPr="000E0F90">
            <w:rPr>
              <w:rFonts w:ascii="Arial" w:hAnsi="Arial" w:cs="Arial"/>
              <w:bCs/>
              <w:iCs/>
              <w:color w:val="000000" w:themeColor="text1"/>
              <w:sz w:val="22"/>
              <w:szCs w:val="22"/>
            </w:rPr>
            <w:instrText xml:space="preserve">CITATION CON17 \l 13322 </w:instrText>
          </w:r>
          <w:r w:rsidR="00B066FC" w:rsidRPr="000E0F90">
            <w:rPr>
              <w:rFonts w:ascii="Arial" w:hAnsi="Arial" w:cs="Arial"/>
              <w:bCs/>
              <w:iCs/>
              <w:color w:val="000000" w:themeColor="text1"/>
              <w:sz w:val="22"/>
              <w:szCs w:val="22"/>
            </w:rPr>
            <w:fldChar w:fldCharType="separate"/>
          </w:r>
          <w:r w:rsidR="008D0261" w:rsidRPr="000E0F90">
            <w:rPr>
              <w:rFonts w:ascii="Arial" w:hAnsi="Arial" w:cs="Arial"/>
              <w:bCs/>
              <w:iCs/>
              <w:noProof/>
              <w:color w:val="000000" w:themeColor="text1"/>
              <w:sz w:val="22"/>
              <w:szCs w:val="22"/>
            </w:rPr>
            <w:t xml:space="preserve"> </w:t>
          </w:r>
          <w:r w:rsidR="008D0261" w:rsidRPr="000E0F90">
            <w:rPr>
              <w:rFonts w:ascii="Arial" w:hAnsi="Arial" w:cs="Arial"/>
              <w:noProof/>
              <w:color w:val="000000" w:themeColor="text1"/>
              <w:sz w:val="22"/>
              <w:szCs w:val="22"/>
            </w:rPr>
            <w:t>(CONAF, 2017)</w:t>
          </w:r>
          <w:r w:rsidR="00B066FC" w:rsidRPr="000E0F90">
            <w:rPr>
              <w:rFonts w:ascii="Arial" w:hAnsi="Arial" w:cs="Arial"/>
              <w:bCs/>
              <w:iCs/>
              <w:color w:val="000000" w:themeColor="text1"/>
              <w:sz w:val="22"/>
              <w:szCs w:val="22"/>
            </w:rPr>
            <w:fldChar w:fldCharType="end"/>
          </w:r>
        </w:sdtContent>
      </w:sdt>
      <w:r w:rsidR="00C90D9F" w:rsidRPr="000E0F90">
        <w:rPr>
          <w:rFonts w:ascii="Arial" w:hAnsi="Arial" w:cs="Arial"/>
          <w:bCs/>
          <w:iCs/>
          <w:color w:val="000000" w:themeColor="text1"/>
          <w:sz w:val="22"/>
          <w:szCs w:val="22"/>
        </w:rPr>
        <w:t xml:space="preserve">. </w:t>
      </w:r>
      <w:r w:rsidRPr="000E0F90">
        <w:rPr>
          <w:rFonts w:ascii="Arial" w:hAnsi="Arial" w:cs="Arial"/>
          <w:bCs/>
          <w:iCs/>
          <w:color w:val="000000" w:themeColor="text1"/>
          <w:sz w:val="22"/>
          <w:szCs w:val="22"/>
        </w:rPr>
        <w:t>Se identifica</w:t>
      </w:r>
      <w:r w:rsidR="00B066FC" w:rsidRPr="000E0F90">
        <w:rPr>
          <w:rFonts w:ascii="Arial" w:hAnsi="Arial" w:cs="Arial"/>
          <w:bCs/>
          <w:iCs/>
          <w:color w:val="000000" w:themeColor="text1"/>
          <w:sz w:val="22"/>
          <w:szCs w:val="22"/>
        </w:rPr>
        <w:t>n también</w:t>
      </w:r>
      <w:r w:rsidRPr="000E0F90">
        <w:rPr>
          <w:rFonts w:ascii="Arial" w:hAnsi="Arial" w:cs="Arial"/>
          <w:bCs/>
          <w:iCs/>
          <w:color w:val="000000" w:themeColor="text1"/>
          <w:sz w:val="22"/>
          <w:szCs w:val="22"/>
        </w:rPr>
        <w:t xml:space="preserve"> poblaciones de loros tricahue</w:t>
      </w:r>
      <w:r w:rsidR="00C315A2" w:rsidRPr="000E0F90">
        <w:rPr>
          <w:rFonts w:ascii="Arial" w:hAnsi="Arial" w:cs="Arial"/>
          <w:bCs/>
          <w:iCs/>
          <w:color w:val="000000" w:themeColor="text1"/>
          <w:sz w:val="22"/>
          <w:szCs w:val="22"/>
        </w:rPr>
        <w:t xml:space="preserve">, </w:t>
      </w:r>
      <w:r w:rsidRPr="000E0F90">
        <w:rPr>
          <w:rFonts w:ascii="Arial" w:hAnsi="Arial" w:cs="Arial"/>
          <w:bCs/>
          <w:iCs/>
          <w:color w:val="000000" w:themeColor="text1"/>
          <w:sz w:val="22"/>
          <w:szCs w:val="22"/>
        </w:rPr>
        <w:t>en el interior y hacia la cordillera, con un estado  de  conservación  En  Peligro  de  Extinción</w:t>
      </w:r>
      <w:r w:rsidR="004F1EF8" w:rsidRPr="000E0F90">
        <w:rPr>
          <w:rFonts w:ascii="Arial" w:hAnsi="Arial" w:cs="Arial"/>
          <w:bCs/>
          <w:iCs/>
          <w:color w:val="000000" w:themeColor="text1"/>
          <w:sz w:val="22"/>
          <w:szCs w:val="22"/>
        </w:rPr>
        <w:t xml:space="preserve"> (Arellano et al., 2013).</w:t>
      </w:r>
      <w:r w:rsidR="00B066FC" w:rsidRPr="000E0F90">
        <w:rPr>
          <w:rFonts w:ascii="Arial" w:hAnsi="Arial" w:cs="Arial"/>
          <w:bCs/>
          <w:iCs/>
          <w:color w:val="000000" w:themeColor="text1"/>
          <w:sz w:val="22"/>
          <w:szCs w:val="22"/>
        </w:rPr>
        <w:t xml:space="preserve"> </w:t>
      </w:r>
    </w:p>
    <w:p w:rsidR="003F7077" w:rsidRPr="000E0F90" w:rsidRDefault="003F7077" w:rsidP="00702D9A">
      <w:pPr>
        <w:pStyle w:val="Ttulo4"/>
        <w:spacing w:line="360" w:lineRule="auto"/>
        <w:rPr>
          <w:rFonts w:ascii="Arial" w:hAnsi="Arial" w:cs="Arial"/>
          <w:color w:val="000000" w:themeColor="text1"/>
        </w:rPr>
      </w:pPr>
      <w:r w:rsidRPr="000E0F90">
        <w:rPr>
          <w:rFonts w:ascii="Arial" w:hAnsi="Arial" w:cs="Arial"/>
          <w:color w:val="000000" w:themeColor="text1"/>
        </w:rPr>
        <w:lastRenderedPageBreak/>
        <w:t xml:space="preserve">Socioestructura Comuna La Higuera </w:t>
      </w:r>
    </w:p>
    <w:p w:rsidR="00740D3D" w:rsidRPr="000E0F90" w:rsidRDefault="008656EC" w:rsidP="00624FDB">
      <w:pPr>
        <w:keepNext/>
        <w:spacing w:after="0" w:line="360" w:lineRule="auto"/>
        <w:jc w:val="left"/>
        <w:rPr>
          <w:rFonts w:ascii="Arial" w:hAnsi="Arial" w:cs="Arial"/>
          <w:color w:val="000000" w:themeColor="text1"/>
        </w:rPr>
      </w:pPr>
      <w:r>
        <w:rPr>
          <w:noProof/>
          <w:lang w:eastAsia="es-CL"/>
        </w:rPr>
        <w:drawing>
          <wp:inline distT="0" distB="0" distL="0" distR="0" wp14:anchorId="2144DC1A" wp14:editId="69BC87FE">
            <wp:extent cx="5431790" cy="4093817"/>
            <wp:effectExtent l="0" t="0" r="0" b="2540"/>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5431790" cy="4093817"/>
                    </a:xfrm>
                    <a:prstGeom prst="rect">
                      <a:avLst/>
                    </a:prstGeom>
                  </pic:spPr>
                </pic:pic>
              </a:graphicData>
            </a:graphic>
          </wp:inline>
        </w:drawing>
      </w:r>
    </w:p>
    <w:p w:rsidR="00740D3D" w:rsidRPr="000E0F90" w:rsidRDefault="00740D3D" w:rsidP="00702D9A">
      <w:pPr>
        <w:pStyle w:val="Epgrafe"/>
        <w:spacing w:line="360" w:lineRule="auto"/>
        <w:jc w:val="center"/>
        <w:rPr>
          <w:rFonts w:ascii="Arial" w:hAnsi="Arial" w:cs="Arial"/>
          <w:b w:val="0"/>
          <w:color w:val="000000" w:themeColor="text1"/>
          <w:sz w:val="22"/>
        </w:rPr>
      </w:pPr>
      <w:r w:rsidRPr="000E0F90">
        <w:rPr>
          <w:rFonts w:ascii="Arial" w:hAnsi="Arial" w:cs="Arial"/>
          <w:b w:val="0"/>
          <w:color w:val="000000" w:themeColor="text1"/>
          <w:sz w:val="22"/>
        </w:rPr>
        <w:t xml:space="preserve">Figura </w:t>
      </w:r>
      <w:r w:rsidRPr="000E0F90">
        <w:rPr>
          <w:rFonts w:ascii="Arial" w:hAnsi="Arial" w:cs="Arial"/>
          <w:b w:val="0"/>
          <w:color w:val="000000" w:themeColor="text1"/>
          <w:sz w:val="22"/>
        </w:rPr>
        <w:fldChar w:fldCharType="begin"/>
      </w:r>
      <w:r w:rsidRPr="000E0F90">
        <w:rPr>
          <w:rFonts w:ascii="Arial" w:hAnsi="Arial" w:cs="Arial"/>
          <w:b w:val="0"/>
          <w:color w:val="000000" w:themeColor="text1"/>
          <w:sz w:val="22"/>
        </w:rPr>
        <w:instrText xml:space="preserve"> SEQ Figura \* ARABIC </w:instrText>
      </w:r>
      <w:r w:rsidRPr="000E0F90">
        <w:rPr>
          <w:rFonts w:ascii="Arial" w:hAnsi="Arial" w:cs="Arial"/>
          <w:b w:val="0"/>
          <w:color w:val="000000" w:themeColor="text1"/>
          <w:sz w:val="22"/>
        </w:rPr>
        <w:fldChar w:fldCharType="separate"/>
      </w:r>
      <w:r w:rsidR="00225844">
        <w:rPr>
          <w:rFonts w:ascii="Arial" w:hAnsi="Arial" w:cs="Arial"/>
          <w:b w:val="0"/>
          <w:noProof/>
          <w:color w:val="000000" w:themeColor="text1"/>
          <w:sz w:val="22"/>
        </w:rPr>
        <w:t>17</w:t>
      </w:r>
      <w:r w:rsidRPr="000E0F90">
        <w:rPr>
          <w:rFonts w:ascii="Arial" w:hAnsi="Arial" w:cs="Arial"/>
          <w:b w:val="0"/>
          <w:color w:val="000000" w:themeColor="text1"/>
          <w:sz w:val="22"/>
        </w:rPr>
        <w:fldChar w:fldCharType="end"/>
      </w:r>
      <w:r w:rsidRPr="000E0F90">
        <w:rPr>
          <w:rFonts w:ascii="Arial" w:hAnsi="Arial" w:cs="Arial"/>
          <w:b w:val="0"/>
          <w:color w:val="000000" w:themeColor="text1"/>
          <w:sz w:val="22"/>
        </w:rPr>
        <w:t>: Mapa de Socioestructura de comuna de La Higuera (Elaboración propia)</w:t>
      </w:r>
    </w:p>
    <w:p w:rsidR="0086156A" w:rsidRPr="000E0F90" w:rsidRDefault="0086156A">
      <w:pPr>
        <w:jc w:val="left"/>
        <w:rPr>
          <w:rFonts w:ascii="Arial" w:hAnsi="Arial" w:cs="Arial"/>
          <w:b/>
          <w:color w:val="000000" w:themeColor="text1"/>
        </w:rPr>
      </w:pPr>
    </w:p>
    <w:p w:rsidR="004F1EF8" w:rsidRPr="000E0F90" w:rsidRDefault="004F1EF8" w:rsidP="00702D9A">
      <w:pPr>
        <w:spacing w:before="240" w:after="0" w:line="360" w:lineRule="auto"/>
        <w:rPr>
          <w:rFonts w:ascii="Arial" w:hAnsi="Arial" w:cs="Arial"/>
          <w:b/>
          <w:color w:val="000000" w:themeColor="text1"/>
        </w:rPr>
      </w:pPr>
      <w:r w:rsidRPr="000E0F90">
        <w:rPr>
          <w:rFonts w:ascii="Arial" w:hAnsi="Arial" w:cs="Arial"/>
          <w:b/>
          <w:color w:val="000000" w:themeColor="text1"/>
        </w:rPr>
        <w:t>Población:</w:t>
      </w:r>
    </w:p>
    <w:p w:rsidR="002115CE" w:rsidRPr="000E0F90" w:rsidRDefault="003F7077" w:rsidP="00702D9A">
      <w:pPr>
        <w:spacing w:line="360" w:lineRule="auto"/>
        <w:rPr>
          <w:rFonts w:ascii="Arial" w:hAnsi="Arial" w:cs="Arial"/>
          <w:color w:val="000000" w:themeColor="text1"/>
        </w:rPr>
      </w:pPr>
      <w:r w:rsidRPr="000E0F90">
        <w:rPr>
          <w:rFonts w:ascii="Arial" w:hAnsi="Arial" w:cs="Arial"/>
          <w:color w:val="000000" w:themeColor="text1"/>
        </w:rPr>
        <w:t xml:space="preserve">La comuna de La Higuera, de acuerdo a datos del Censo 2002, presenta una población de 3.721 habitantes, representando el 0,61% de la región </w:t>
      </w:r>
      <w:sdt>
        <w:sdtPr>
          <w:rPr>
            <w:rFonts w:ascii="Arial" w:hAnsi="Arial" w:cs="Arial"/>
            <w:color w:val="000000" w:themeColor="text1"/>
          </w:rPr>
          <w:id w:val="22522375"/>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INE071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(INE, 2007)</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La población rural de la comuna asciende a un 70,98%. </w:t>
      </w:r>
      <w:r w:rsidR="002115CE" w:rsidRPr="000E0F90">
        <w:rPr>
          <w:rFonts w:ascii="Arial" w:hAnsi="Arial" w:cs="Arial"/>
          <w:color w:val="000000" w:themeColor="text1"/>
        </w:rPr>
        <w:t xml:space="preserve">Respecto a la población perteneciente a etnia indígena, en la comuna existen </w:t>
      </w:r>
      <w:r w:rsidR="00F17101" w:rsidRPr="000E0F90">
        <w:rPr>
          <w:rFonts w:ascii="Arial" w:hAnsi="Arial" w:cs="Arial"/>
          <w:color w:val="000000" w:themeColor="text1"/>
        </w:rPr>
        <w:t xml:space="preserve">15 </w:t>
      </w:r>
      <w:r w:rsidR="002115CE" w:rsidRPr="000E0F90">
        <w:rPr>
          <w:rFonts w:ascii="Arial" w:hAnsi="Arial" w:cs="Arial"/>
          <w:color w:val="000000" w:themeColor="text1"/>
        </w:rPr>
        <w:t xml:space="preserve">personas </w:t>
      </w:r>
      <w:r w:rsidR="00F17101" w:rsidRPr="000E0F90">
        <w:rPr>
          <w:rFonts w:ascii="Arial" w:hAnsi="Arial" w:cs="Arial"/>
          <w:color w:val="000000" w:themeColor="text1"/>
        </w:rPr>
        <w:t xml:space="preserve">(0,4% de la población) </w:t>
      </w:r>
      <w:r w:rsidR="002115CE" w:rsidRPr="000E0F90">
        <w:rPr>
          <w:rFonts w:ascii="Arial" w:hAnsi="Arial" w:cs="Arial"/>
          <w:color w:val="000000" w:themeColor="text1"/>
        </w:rPr>
        <w:t>que se declararon ser pertenecientes a uno de los grupos étnicos reconocidos por el Estado Chileno, siendo los m</w:t>
      </w:r>
      <w:r w:rsidR="00F17101" w:rsidRPr="000E0F90">
        <w:rPr>
          <w:rFonts w:ascii="Arial" w:hAnsi="Arial" w:cs="Arial"/>
          <w:color w:val="000000" w:themeColor="text1"/>
        </w:rPr>
        <w:t>ás importantes la etnia mapuche</w:t>
      </w:r>
      <w:r w:rsidR="00A95C11" w:rsidRPr="000E0F90">
        <w:rPr>
          <w:rFonts w:ascii="Arial" w:hAnsi="Arial" w:cs="Arial"/>
          <w:color w:val="000000" w:themeColor="text1"/>
        </w:rPr>
        <w:t xml:space="preserve"> (73,33%)</w:t>
      </w:r>
      <w:r w:rsidR="00F17101" w:rsidRPr="000E0F90">
        <w:rPr>
          <w:rFonts w:ascii="Arial" w:hAnsi="Arial" w:cs="Arial"/>
          <w:color w:val="000000" w:themeColor="text1"/>
        </w:rPr>
        <w:t xml:space="preserve"> y</w:t>
      </w:r>
      <w:r w:rsidR="002115CE" w:rsidRPr="000E0F90">
        <w:rPr>
          <w:rFonts w:ascii="Arial" w:hAnsi="Arial" w:cs="Arial"/>
          <w:color w:val="000000" w:themeColor="text1"/>
        </w:rPr>
        <w:t xml:space="preserve"> colla</w:t>
      </w:r>
      <w:r w:rsidR="00A95C11" w:rsidRPr="000E0F90">
        <w:rPr>
          <w:rFonts w:ascii="Arial" w:hAnsi="Arial" w:cs="Arial"/>
          <w:color w:val="000000" w:themeColor="text1"/>
        </w:rPr>
        <w:t xml:space="preserve"> (6,67%)</w:t>
      </w:r>
      <w:r w:rsidR="002115CE" w:rsidRPr="000E0F90">
        <w:rPr>
          <w:rFonts w:ascii="Arial" w:hAnsi="Arial" w:cs="Arial"/>
          <w:color w:val="000000" w:themeColor="text1"/>
        </w:rPr>
        <w:t xml:space="preserve"> </w:t>
      </w:r>
      <w:sdt>
        <w:sdtPr>
          <w:rPr>
            <w:rFonts w:ascii="Arial" w:hAnsi="Arial" w:cs="Arial"/>
            <w:color w:val="000000" w:themeColor="text1"/>
          </w:rPr>
          <w:id w:val="-101582900"/>
          <w:citation/>
        </w:sdtPr>
        <w:sdtEndPr/>
        <w:sdtContent>
          <w:r w:rsidR="002115CE" w:rsidRPr="000E0F90">
            <w:rPr>
              <w:rFonts w:ascii="Arial" w:hAnsi="Arial" w:cs="Arial"/>
              <w:color w:val="000000" w:themeColor="text1"/>
            </w:rPr>
            <w:fldChar w:fldCharType="begin"/>
          </w:r>
          <w:r w:rsidR="002115CE" w:rsidRPr="000E0F90">
            <w:rPr>
              <w:rFonts w:ascii="Arial" w:hAnsi="Arial" w:cs="Arial"/>
              <w:color w:val="000000" w:themeColor="text1"/>
            </w:rPr>
            <w:instrText xml:space="preserve">CITATION INE02 \t  \l 13322 </w:instrText>
          </w:r>
          <w:r w:rsidR="002115CE" w:rsidRPr="000E0F90">
            <w:rPr>
              <w:rFonts w:ascii="Arial" w:hAnsi="Arial" w:cs="Arial"/>
              <w:color w:val="000000" w:themeColor="text1"/>
            </w:rPr>
            <w:fldChar w:fldCharType="separate"/>
          </w:r>
          <w:r w:rsidR="008D0261" w:rsidRPr="000E0F90">
            <w:rPr>
              <w:rFonts w:ascii="Arial" w:hAnsi="Arial" w:cs="Arial"/>
              <w:noProof/>
              <w:color w:val="000000" w:themeColor="text1"/>
            </w:rPr>
            <w:t>(INE, 2002)</w:t>
          </w:r>
          <w:r w:rsidR="002115CE" w:rsidRPr="000E0F90">
            <w:rPr>
              <w:rFonts w:ascii="Arial" w:hAnsi="Arial" w:cs="Arial"/>
              <w:color w:val="000000" w:themeColor="text1"/>
            </w:rPr>
            <w:fldChar w:fldCharType="end"/>
          </w:r>
        </w:sdtContent>
      </w:sdt>
      <w:r w:rsidR="00F44064">
        <w:rPr>
          <w:rFonts w:ascii="Arial" w:hAnsi="Arial" w:cs="Arial"/>
          <w:color w:val="000000" w:themeColor="text1"/>
        </w:rPr>
        <w:t>.</w:t>
      </w:r>
    </w:p>
    <w:p w:rsidR="00F7220D" w:rsidRDefault="00F7220D">
      <w:pPr>
        <w:jc w:val="left"/>
        <w:rPr>
          <w:rFonts w:ascii="Arial" w:hAnsi="Arial" w:cs="Arial"/>
          <w:b/>
          <w:color w:val="000000" w:themeColor="text1"/>
        </w:rPr>
      </w:pPr>
      <w:r>
        <w:rPr>
          <w:rFonts w:ascii="Arial" w:hAnsi="Arial" w:cs="Arial"/>
          <w:b/>
          <w:color w:val="000000" w:themeColor="text1"/>
        </w:rPr>
        <w:br w:type="page"/>
      </w:r>
    </w:p>
    <w:p w:rsidR="003F7077" w:rsidRPr="000E0F90" w:rsidRDefault="003F7077" w:rsidP="00702D9A">
      <w:pPr>
        <w:spacing w:after="0" w:line="360" w:lineRule="auto"/>
        <w:rPr>
          <w:rFonts w:ascii="Arial" w:hAnsi="Arial" w:cs="Arial"/>
          <w:b/>
          <w:color w:val="000000" w:themeColor="text1"/>
        </w:rPr>
      </w:pPr>
      <w:r w:rsidRPr="000E0F90">
        <w:rPr>
          <w:rFonts w:ascii="Arial" w:hAnsi="Arial" w:cs="Arial"/>
          <w:b/>
          <w:color w:val="000000" w:themeColor="text1"/>
        </w:rPr>
        <w:lastRenderedPageBreak/>
        <w:t>Actividades Económicas</w:t>
      </w:r>
    </w:p>
    <w:p w:rsidR="003F7077" w:rsidRPr="000E0F90" w:rsidRDefault="003F7077" w:rsidP="00702D9A">
      <w:pPr>
        <w:spacing w:line="360" w:lineRule="auto"/>
        <w:rPr>
          <w:rFonts w:ascii="Arial" w:hAnsi="Arial" w:cs="Arial"/>
          <w:color w:val="000000" w:themeColor="text1"/>
        </w:rPr>
      </w:pPr>
      <w:r w:rsidRPr="000E0F90">
        <w:rPr>
          <w:rFonts w:ascii="Arial" w:hAnsi="Arial" w:cs="Arial"/>
          <w:color w:val="000000" w:themeColor="text1"/>
        </w:rPr>
        <w:t xml:space="preserve">Respecto a las actividades </w:t>
      </w:r>
      <w:r w:rsidR="00F44064">
        <w:rPr>
          <w:rFonts w:ascii="Arial" w:hAnsi="Arial" w:cs="Arial"/>
          <w:color w:val="000000" w:themeColor="text1"/>
        </w:rPr>
        <w:t>económicas</w:t>
      </w:r>
      <w:r w:rsidRPr="000E0F90">
        <w:rPr>
          <w:rFonts w:ascii="Arial" w:hAnsi="Arial" w:cs="Arial"/>
          <w:color w:val="000000" w:themeColor="text1"/>
        </w:rPr>
        <w:t xml:space="preserve"> existentes en la comuna de La Higuera, el Servicio de Impuestos </w:t>
      </w:r>
      <w:r w:rsidR="00F44064">
        <w:rPr>
          <w:rFonts w:ascii="Arial" w:hAnsi="Arial" w:cs="Arial"/>
          <w:color w:val="000000" w:themeColor="text1"/>
        </w:rPr>
        <w:t>Internos, el año 2013 identificó</w:t>
      </w:r>
      <w:r w:rsidRPr="000E0F90">
        <w:rPr>
          <w:rFonts w:ascii="Arial" w:hAnsi="Arial" w:cs="Arial"/>
          <w:color w:val="000000" w:themeColor="text1"/>
        </w:rPr>
        <w:t xml:space="preserve"> 230 empresas, siendo los principales rubros productivos Comercio (25,22%), Hoteles y Restaurantes (23,91%), Minería (20,43%) y Transporte (6,09%). En cuanto a los trabajadores registrados (309), la mayoría se emplea en Servicios sociales y de Salud (38,51%), Hoteles y Restaurantes (33,01%), Suministro de servicios (9,71%) e industrias manufactureras (8,09%) </w:t>
      </w:r>
      <w:sdt>
        <w:sdtPr>
          <w:rPr>
            <w:rFonts w:ascii="Arial" w:hAnsi="Arial" w:cs="Arial"/>
            <w:color w:val="000000" w:themeColor="text1"/>
          </w:rPr>
          <w:id w:val="510498774"/>
          <w:citation/>
        </w:sdtPr>
        <w:sdtEndPr/>
        <w:sdtContent>
          <w:r w:rsidRPr="000E0F90">
            <w:rPr>
              <w:rFonts w:ascii="Arial" w:hAnsi="Arial" w:cs="Arial"/>
              <w:color w:val="000000" w:themeColor="text1"/>
            </w:rPr>
            <w:fldChar w:fldCharType="begin"/>
          </w:r>
          <w:r w:rsidR="008A32ED" w:rsidRPr="000E0F90">
            <w:rPr>
              <w:rFonts w:ascii="Arial" w:hAnsi="Arial" w:cs="Arial"/>
              <w:color w:val="000000" w:themeColor="text1"/>
            </w:rPr>
            <w:instrText xml:space="preserve">CITATION Bib17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(BCN, 2017)</w:t>
          </w:r>
          <w:r w:rsidRPr="000E0F90">
            <w:rPr>
              <w:rFonts w:ascii="Arial" w:hAnsi="Arial" w:cs="Arial"/>
              <w:color w:val="000000" w:themeColor="text1"/>
            </w:rPr>
            <w:fldChar w:fldCharType="end"/>
          </w:r>
        </w:sdtContent>
      </w:sdt>
      <w:r w:rsidR="00F44064">
        <w:rPr>
          <w:rFonts w:ascii="Arial" w:hAnsi="Arial" w:cs="Arial"/>
          <w:color w:val="000000" w:themeColor="text1"/>
        </w:rPr>
        <w:t xml:space="preserve"> (Figura 1</w:t>
      </w:r>
      <w:r w:rsidR="00B35339">
        <w:rPr>
          <w:rFonts w:ascii="Arial" w:hAnsi="Arial" w:cs="Arial"/>
          <w:color w:val="000000" w:themeColor="text1"/>
        </w:rPr>
        <w:t>8</w:t>
      </w:r>
      <w:r w:rsidR="00F44064">
        <w:rPr>
          <w:rFonts w:ascii="Arial" w:hAnsi="Arial" w:cs="Arial"/>
          <w:color w:val="000000" w:themeColor="text1"/>
        </w:rPr>
        <w:t>).</w:t>
      </w:r>
    </w:p>
    <w:p w:rsidR="003F7077" w:rsidRPr="000E0F90" w:rsidRDefault="003F7077" w:rsidP="00702D9A">
      <w:pPr>
        <w:spacing w:after="0" w:line="360" w:lineRule="auto"/>
        <w:rPr>
          <w:rFonts w:ascii="Arial" w:hAnsi="Arial" w:cs="Arial"/>
          <w:color w:val="000000" w:themeColor="text1"/>
        </w:rPr>
      </w:pPr>
      <w:r w:rsidRPr="000E0F90">
        <w:rPr>
          <w:rFonts w:ascii="Arial" w:hAnsi="Arial" w:cs="Arial"/>
          <w:noProof/>
          <w:color w:val="000000" w:themeColor="text1"/>
          <w:sz w:val="16"/>
          <w:lang w:eastAsia="es-CL"/>
        </w:rPr>
        <w:drawing>
          <wp:inline distT="0" distB="0" distL="0" distR="0" wp14:anchorId="00B9FE1C" wp14:editId="7A561BAF">
            <wp:extent cx="5514975" cy="2524125"/>
            <wp:effectExtent l="0" t="0" r="9525" b="9525"/>
            <wp:docPr id="2" name="Gráfico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3F7077" w:rsidRPr="000E0F90" w:rsidRDefault="00740D3D" w:rsidP="00702D9A">
      <w:pPr>
        <w:pStyle w:val="Epgrafe"/>
        <w:spacing w:line="360" w:lineRule="auto"/>
        <w:jc w:val="center"/>
        <w:rPr>
          <w:rFonts w:ascii="Arial" w:hAnsi="Arial" w:cs="Arial"/>
          <w:b w:val="0"/>
          <w:color w:val="000000" w:themeColor="text1"/>
          <w:sz w:val="22"/>
        </w:rPr>
      </w:pPr>
      <w:r w:rsidRPr="000E0F90">
        <w:rPr>
          <w:rFonts w:ascii="Arial" w:hAnsi="Arial" w:cs="Arial"/>
          <w:b w:val="0"/>
          <w:color w:val="000000" w:themeColor="text1"/>
          <w:sz w:val="22"/>
        </w:rPr>
        <w:t xml:space="preserve">Figura </w:t>
      </w:r>
      <w:r w:rsidRPr="000E0F90">
        <w:rPr>
          <w:rFonts w:ascii="Arial" w:hAnsi="Arial" w:cs="Arial"/>
          <w:b w:val="0"/>
          <w:color w:val="000000" w:themeColor="text1"/>
          <w:sz w:val="22"/>
        </w:rPr>
        <w:fldChar w:fldCharType="begin"/>
      </w:r>
      <w:r w:rsidRPr="000E0F90">
        <w:rPr>
          <w:rFonts w:ascii="Arial" w:hAnsi="Arial" w:cs="Arial"/>
          <w:b w:val="0"/>
          <w:color w:val="000000" w:themeColor="text1"/>
          <w:sz w:val="22"/>
        </w:rPr>
        <w:instrText xml:space="preserve"> SEQ Figura \* ARABIC </w:instrText>
      </w:r>
      <w:r w:rsidRPr="000E0F90">
        <w:rPr>
          <w:rFonts w:ascii="Arial" w:hAnsi="Arial" w:cs="Arial"/>
          <w:b w:val="0"/>
          <w:color w:val="000000" w:themeColor="text1"/>
          <w:sz w:val="22"/>
        </w:rPr>
        <w:fldChar w:fldCharType="separate"/>
      </w:r>
      <w:r w:rsidR="00225844">
        <w:rPr>
          <w:rFonts w:ascii="Arial" w:hAnsi="Arial" w:cs="Arial"/>
          <w:b w:val="0"/>
          <w:noProof/>
          <w:color w:val="000000" w:themeColor="text1"/>
          <w:sz w:val="22"/>
        </w:rPr>
        <w:t>18</w:t>
      </w:r>
      <w:r w:rsidRPr="000E0F90">
        <w:rPr>
          <w:rFonts w:ascii="Arial" w:hAnsi="Arial" w:cs="Arial"/>
          <w:b w:val="0"/>
          <w:color w:val="000000" w:themeColor="text1"/>
          <w:sz w:val="22"/>
        </w:rPr>
        <w:fldChar w:fldCharType="end"/>
      </w:r>
      <w:r w:rsidR="00597DAE" w:rsidRPr="000E0F90">
        <w:rPr>
          <w:rFonts w:ascii="Arial" w:hAnsi="Arial" w:cs="Arial"/>
          <w:b w:val="0"/>
          <w:color w:val="000000" w:themeColor="text1"/>
          <w:sz w:val="22"/>
        </w:rPr>
        <w:t xml:space="preserve">: Participación de empresas u número de trabajadores según actividad económica de la comuna de La Higuera (Año 2013). </w:t>
      </w:r>
      <w:r w:rsidR="003F7077" w:rsidRPr="000E0F90">
        <w:rPr>
          <w:rFonts w:ascii="Arial" w:hAnsi="Arial" w:cs="Arial"/>
          <w:b w:val="0"/>
          <w:color w:val="000000" w:themeColor="text1"/>
          <w:sz w:val="22"/>
        </w:rPr>
        <w:t xml:space="preserve">Fuente: </w:t>
      </w:r>
      <w:sdt>
        <w:sdtPr>
          <w:rPr>
            <w:rFonts w:ascii="Arial" w:hAnsi="Arial" w:cs="Arial"/>
            <w:b w:val="0"/>
            <w:color w:val="000000" w:themeColor="text1"/>
            <w:sz w:val="22"/>
          </w:rPr>
          <w:id w:val="103003605"/>
          <w:citation/>
        </w:sdtPr>
        <w:sdtEndPr/>
        <w:sdtContent>
          <w:r w:rsidR="003F7077" w:rsidRPr="000E0F90">
            <w:rPr>
              <w:rFonts w:ascii="Arial" w:hAnsi="Arial" w:cs="Arial"/>
              <w:b w:val="0"/>
              <w:color w:val="000000" w:themeColor="text1"/>
              <w:sz w:val="22"/>
            </w:rPr>
            <w:fldChar w:fldCharType="begin"/>
          </w:r>
          <w:r w:rsidR="008A32ED" w:rsidRPr="000E0F90">
            <w:rPr>
              <w:rFonts w:ascii="Arial" w:hAnsi="Arial" w:cs="Arial"/>
              <w:b w:val="0"/>
              <w:color w:val="000000" w:themeColor="text1"/>
              <w:sz w:val="22"/>
            </w:rPr>
            <w:instrText xml:space="preserve">CITATION Bib17 \l 13322 </w:instrText>
          </w:r>
          <w:r w:rsidR="003F7077" w:rsidRPr="000E0F90">
            <w:rPr>
              <w:rFonts w:ascii="Arial" w:hAnsi="Arial" w:cs="Arial"/>
              <w:b w:val="0"/>
              <w:color w:val="000000" w:themeColor="text1"/>
              <w:sz w:val="22"/>
            </w:rPr>
            <w:fldChar w:fldCharType="separate"/>
          </w:r>
          <w:r w:rsidR="008D0261" w:rsidRPr="000E0F90">
            <w:rPr>
              <w:rFonts w:ascii="Arial" w:hAnsi="Arial" w:cs="Arial"/>
              <w:noProof/>
              <w:color w:val="000000" w:themeColor="text1"/>
              <w:sz w:val="22"/>
            </w:rPr>
            <w:t>(BCN, 2017)</w:t>
          </w:r>
          <w:r w:rsidR="003F7077" w:rsidRPr="000E0F90">
            <w:rPr>
              <w:rFonts w:ascii="Arial" w:hAnsi="Arial" w:cs="Arial"/>
              <w:b w:val="0"/>
              <w:color w:val="000000" w:themeColor="text1"/>
              <w:sz w:val="22"/>
            </w:rPr>
            <w:fldChar w:fldCharType="end"/>
          </w:r>
        </w:sdtContent>
      </w:sdt>
      <w:r w:rsidR="003F7077" w:rsidRPr="000E0F90">
        <w:rPr>
          <w:rFonts w:ascii="Arial" w:hAnsi="Arial" w:cs="Arial"/>
          <w:b w:val="0"/>
          <w:color w:val="000000" w:themeColor="text1"/>
          <w:sz w:val="22"/>
        </w:rPr>
        <w:t>.</w:t>
      </w:r>
    </w:p>
    <w:p w:rsidR="00C315A2" w:rsidRPr="000E0F90" w:rsidRDefault="00C315A2" w:rsidP="00702D9A">
      <w:pPr>
        <w:spacing w:before="240" w:after="0" w:line="360" w:lineRule="auto"/>
        <w:rPr>
          <w:rFonts w:ascii="Arial" w:hAnsi="Arial" w:cs="Arial"/>
          <w:b/>
          <w:color w:val="000000" w:themeColor="text1"/>
        </w:rPr>
      </w:pPr>
      <w:r w:rsidRPr="000E0F90">
        <w:rPr>
          <w:rFonts w:ascii="Arial" w:hAnsi="Arial" w:cs="Arial"/>
          <w:b/>
          <w:color w:val="000000" w:themeColor="text1"/>
        </w:rPr>
        <w:t>Pesca</w:t>
      </w:r>
    </w:p>
    <w:p w:rsidR="00C315A2" w:rsidRPr="000E0F90" w:rsidRDefault="00C315A2" w:rsidP="00702D9A">
      <w:pPr>
        <w:spacing w:line="360" w:lineRule="auto"/>
        <w:rPr>
          <w:rFonts w:ascii="Arial" w:eastAsia="Times New Roman" w:hAnsi="Arial" w:cs="Arial"/>
          <w:color w:val="000000" w:themeColor="text1"/>
          <w:szCs w:val="20"/>
          <w:lang w:eastAsia="es-ES"/>
        </w:rPr>
      </w:pPr>
      <w:r w:rsidRPr="000E0F90">
        <w:rPr>
          <w:rFonts w:ascii="Arial" w:eastAsia="Times New Roman" w:hAnsi="Arial" w:cs="Arial"/>
          <w:color w:val="000000" w:themeColor="text1"/>
          <w:szCs w:val="20"/>
          <w:lang w:eastAsia="es-ES"/>
        </w:rPr>
        <w:t xml:space="preserve">En la costa, se realiza la  pesca  artesanal,  encontrándose  las  principales  caletas  de pescadores organizadas en las localidades de Punta de Choros, Caleta de Hornos y Chungungo </w:t>
      </w:r>
      <w:sdt>
        <w:sdtPr>
          <w:rPr>
            <w:rFonts w:ascii="Arial" w:eastAsia="Times New Roman" w:hAnsi="Arial" w:cs="Arial"/>
            <w:color w:val="000000" w:themeColor="text1"/>
            <w:szCs w:val="20"/>
            <w:lang w:eastAsia="es-ES"/>
          </w:rPr>
          <w:id w:val="-1799449855"/>
          <w:citation/>
        </w:sdtPr>
        <w:sdtEndPr/>
        <w:sdtContent>
          <w:r w:rsidRPr="000E0F90">
            <w:rPr>
              <w:rFonts w:ascii="Arial" w:eastAsia="Times New Roman" w:hAnsi="Arial" w:cs="Arial"/>
              <w:color w:val="000000" w:themeColor="text1"/>
              <w:szCs w:val="20"/>
              <w:lang w:eastAsia="es-ES"/>
            </w:rPr>
            <w:fldChar w:fldCharType="begin"/>
          </w:r>
          <w:r w:rsidRPr="000E0F90">
            <w:rPr>
              <w:rFonts w:ascii="Arial" w:eastAsia="Times New Roman" w:hAnsi="Arial" w:cs="Arial"/>
              <w:color w:val="000000" w:themeColor="text1"/>
              <w:szCs w:val="20"/>
              <w:lang w:eastAsia="es-ES"/>
            </w:rPr>
            <w:instrText xml:space="preserve">CITATION Are13 \t  \l 13322 </w:instrText>
          </w:r>
          <w:r w:rsidRPr="000E0F90">
            <w:rPr>
              <w:rFonts w:ascii="Arial" w:eastAsia="Times New Roman" w:hAnsi="Arial" w:cs="Arial"/>
              <w:color w:val="000000" w:themeColor="text1"/>
              <w:szCs w:val="20"/>
              <w:lang w:eastAsia="es-ES"/>
            </w:rPr>
            <w:fldChar w:fldCharType="separate"/>
          </w:r>
          <w:r w:rsidR="008D0261" w:rsidRPr="000E0F90">
            <w:rPr>
              <w:rFonts w:ascii="Arial" w:eastAsia="Times New Roman" w:hAnsi="Arial" w:cs="Arial"/>
              <w:noProof/>
              <w:color w:val="000000" w:themeColor="text1"/>
              <w:szCs w:val="20"/>
              <w:lang w:eastAsia="es-ES"/>
            </w:rPr>
            <w:t>(Arellano, Gastó, Gálvez, Subercauseaux, Toledo, &amp; Miranda, 2013)</w:t>
          </w:r>
          <w:r w:rsidRPr="000E0F90">
            <w:rPr>
              <w:rFonts w:ascii="Arial" w:eastAsia="Times New Roman" w:hAnsi="Arial" w:cs="Arial"/>
              <w:color w:val="000000" w:themeColor="text1"/>
              <w:szCs w:val="20"/>
              <w:lang w:eastAsia="es-ES"/>
            </w:rPr>
            <w:fldChar w:fldCharType="end"/>
          </w:r>
        </w:sdtContent>
      </w:sdt>
      <w:r w:rsidRPr="000E0F90">
        <w:rPr>
          <w:rFonts w:ascii="Arial" w:eastAsia="Times New Roman" w:hAnsi="Arial" w:cs="Arial"/>
          <w:color w:val="000000" w:themeColor="text1"/>
          <w:szCs w:val="20"/>
          <w:lang w:eastAsia="es-ES"/>
        </w:rPr>
        <w:t xml:space="preserve">. </w:t>
      </w:r>
    </w:p>
    <w:p w:rsidR="00A95C11" w:rsidRPr="000E0F90" w:rsidRDefault="00A95C11" w:rsidP="00702D9A">
      <w:pPr>
        <w:spacing w:before="240" w:after="0" w:line="360" w:lineRule="auto"/>
        <w:rPr>
          <w:rFonts w:ascii="Arial" w:hAnsi="Arial" w:cs="Arial"/>
          <w:b/>
          <w:color w:val="000000" w:themeColor="text1"/>
        </w:rPr>
      </w:pPr>
      <w:r w:rsidRPr="000E0F90">
        <w:rPr>
          <w:rFonts w:ascii="Arial" w:hAnsi="Arial" w:cs="Arial"/>
          <w:b/>
          <w:color w:val="000000" w:themeColor="text1"/>
        </w:rPr>
        <w:t>Actividad Minera</w:t>
      </w:r>
    </w:p>
    <w:p w:rsidR="00A95C11" w:rsidRPr="000E0F90" w:rsidRDefault="00A95C11" w:rsidP="00702D9A">
      <w:pPr>
        <w:spacing w:line="360" w:lineRule="auto"/>
        <w:rPr>
          <w:rFonts w:ascii="Arial" w:hAnsi="Arial" w:cs="Arial"/>
          <w:color w:val="000000" w:themeColor="text1"/>
        </w:rPr>
      </w:pPr>
      <w:r w:rsidRPr="000E0F90">
        <w:rPr>
          <w:rFonts w:ascii="Arial" w:hAnsi="Arial" w:cs="Arial"/>
          <w:color w:val="000000" w:themeColor="text1"/>
        </w:rPr>
        <w:t xml:space="preserve">En la Comuna de La Higuera, se identifican yacimientos de cobre, oro y hierro </w:t>
      </w:r>
      <w:sdt>
        <w:sdtPr>
          <w:rPr>
            <w:rFonts w:ascii="Arial" w:hAnsi="Arial" w:cs="Arial"/>
            <w:color w:val="000000" w:themeColor="text1"/>
          </w:rPr>
          <w:id w:val="65000665"/>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SER11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(SERNAGEOMIN, 2011)</w:t>
          </w:r>
          <w:r w:rsidRPr="000E0F90">
            <w:rPr>
              <w:rFonts w:ascii="Arial" w:hAnsi="Arial" w:cs="Arial"/>
              <w:color w:val="000000" w:themeColor="text1"/>
            </w:rPr>
            <w:fldChar w:fldCharType="end"/>
          </w:r>
        </w:sdtContent>
      </w:sdt>
      <w:r w:rsidRPr="000E0F90">
        <w:rPr>
          <w:rFonts w:ascii="Arial" w:hAnsi="Arial" w:cs="Arial"/>
          <w:color w:val="000000" w:themeColor="text1"/>
        </w:rPr>
        <w:t>.</w:t>
      </w:r>
      <w:r w:rsidR="00C315A2" w:rsidRPr="000E0F90">
        <w:rPr>
          <w:rFonts w:ascii="Arial" w:hAnsi="Arial" w:cs="Arial"/>
          <w:color w:val="000000" w:themeColor="text1"/>
        </w:rPr>
        <w:t xml:space="preserve"> </w:t>
      </w:r>
      <w:r w:rsidR="00C315A2" w:rsidRPr="000E0F90">
        <w:rPr>
          <w:rFonts w:ascii="Arial" w:eastAsia="Times New Roman" w:hAnsi="Arial" w:cs="Arial"/>
          <w:color w:val="000000" w:themeColor="text1"/>
          <w:szCs w:val="20"/>
          <w:lang w:eastAsia="es-ES"/>
        </w:rPr>
        <w:t>La minería, se desarrolla principalmente de tipo artesanal en forma dispersa en el territorio en zonas cercanas a la costa y en zonas cordilleranas. Con proyecciones de minería industrial en el futuro</w:t>
      </w:r>
      <w:r w:rsidR="00F44064">
        <w:rPr>
          <w:rFonts w:ascii="Arial" w:eastAsia="Times New Roman" w:hAnsi="Arial" w:cs="Arial"/>
          <w:color w:val="000000" w:themeColor="text1"/>
          <w:szCs w:val="20"/>
          <w:lang w:eastAsia="es-ES"/>
        </w:rPr>
        <w:t xml:space="preserve"> (Arellano et al., 2013)</w:t>
      </w:r>
      <w:r w:rsidR="00C315A2" w:rsidRPr="000E0F90">
        <w:rPr>
          <w:rFonts w:ascii="Arial" w:eastAsia="Times New Roman" w:hAnsi="Arial" w:cs="Arial"/>
          <w:color w:val="000000" w:themeColor="text1"/>
          <w:szCs w:val="20"/>
          <w:lang w:eastAsia="es-ES"/>
        </w:rPr>
        <w:t xml:space="preserve">. </w:t>
      </w:r>
      <w:r w:rsidRPr="000E0F90">
        <w:rPr>
          <w:rFonts w:ascii="Arial" w:hAnsi="Arial" w:cs="Arial"/>
          <w:color w:val="000000" w:themeColor="text1"/>
        </w:rPr>
        <w:t xml:space="preserve">Respecto a las </w:t>
      </w:r>
      <w:r w:rsidR="00F35AF7" w:rsidRPr="000E0F90">
        <w:rPr>
          <w:rFonts w:ascii="Arial" w:hAnsi="Arial" w:cs="Arial"/>
          <w:color w:val="000000" w:themeColor="text1"/>
        </w:rPr>
        <w:t>faenas</w:t>
      </w:r>
      <w:r w:rsidRPr="000E0F90">
        <w:rPr>
          <w:rFonts w:ascii="Arial" w:hAnsi="Arial" w:cs="Arial"/>
          <w:color w:val="000000" w:themeColor="text1"/>
        </w:rPr>
        <w:t xml:space="preserve"> mineras, existen 132 faenas mineras en variados estados de funcionamiento</w:t>
      </w:r>
      <w:r w:rsidR="00F44064">
        <w:rPr>
          <w:rFonts w:ascii="Arial" w:hAnsi="Arial" w:cs="Arial"/>
          <w:color w:val="000000" w:themeColor="text1"/>
        </w:rPr>
        <w:t xml:space="preserve"> (</w:t>
      </w:r>
      <w:r w:rsidRPr="000E0F90">
        <w:rPr>
          <w:rFonts w:ascii="Arial" w:hAnsi="Arial" w:cs="Arial"/>
          <w:color w:val="000000" w:themeColor="text1"/>
        </w:rPr>
        <w:t xml:space="preserve">9,42% </w:t>
      </w:r>
      <w:r w:rsidR="00F44064">
        <w:rPr>
          <w:rFonts w:ascii="Arial" w:hAnsi="Arial" w:cs="Arial"/>
          <w:color w:val="000000" w:themeColor="text1"/>
        </w:rPr>
        <w:t>regional)</w:t>
      </w:r>
      <w:r w:rsidRPr="000E0F90">
        <w:rPr>
          <w:rFonts w:ascii="Arial" w:hAnsi="Arial" w:cs="Arial"/>
          <w:color w:val="000000" w:themeColor="text1"/>
        </w:rPr>
        <w:t xml:space="preserve">, de las cuales, la mayoría pertenecen a la categoría D (101), y el resto </w:t>
      </w:r>
      <w:r w:rsidRPr="000E0F90">
        <w:rPr>
          <w:rFonts w:ascii="Arial" w:hAnsi="Arial" w:cs="Arial"/>
          <w:color w:val="000000" w:themeColor="text1"/>
        </w:rPr>
        <w:lastRenderedPageBreak/>
        <w:t xml:space="preserve">corresponden a faenas categorías A </w:t>
      </w:r>
      <w:r w:rsidR="00F44064">
        <w:rPr>
          <w:rFonts w:ascii="Arial" w:hAnsi="Arial" w:cs="Arial"/>
          <w:color w:val="000000" w:themeColor="text1"/>
        </w:rPr>
        <w:t xml:space="preserve">(13) </w:t>
      </w:r>
      <w:r w:rsidRPr="000E0F90">
        <w:rPr>
          <w:rFonts w:ascii="Arial" w:hAnsi="Arial" w:cs="Arial"/>
          <w:color w:val="000000" w:themeColor="text1"/>
        </w:rPr>
        <w:t>y C</w:t>
      </w:r>
      <w:r w:rsidR="00F44064">
        <w:rPr>
          <w:rFonts w:ascii="Arial" w:hAnsi="Arial" w:cs="Arial"/>
          <w:color w:val="000000" w:themeColor="text1"/>
        </w:rPr>
        <w:t xml:space="preserve"> (16) (Figura 1</w:t>
      </w:r>
      <w:r w:rsidR="00B35339">
        <w:rPr>
          <w:rFonts w:ascii="Arial" w:hAnsi="Arial" w:cs="Arial"/>
          <w:color w:val="000000" w:themeColor="text1"/>
        </w:rPr>
        <w:t>9</w:t>
      </w:r>
      <w:r w:rsidR="00F44064">
        <w:rPr>
          <w:rFonts w:ascii="Arial" w:hAnsi="Arial" w:cs="Arial"/>
          <w:color w:val="000000" w:themeColor="text1"/>
        </w:rPr>
        <w:t>)</w:t>
      </w:r>
      <w:r w:rsidRPr="000E0F90">
        <w:rPr>
          <w:rFonts w:ascii="Arial" w:hAnsi="Arial" w:cs="Arial"/>
          <w:color w:val="000000" w:themeColor="text1"/>
        </w:rPr>
        <w:t xml:space="preserve">. En cuanto a la existencia de relaves, en la región se identifican 35 relaves, de los cuales 7 se encuentran abandonados, 7 activos, 20 inactivos y 1 sin información; y la presencia de 15 pasivos ambientales mineros, correspondiente al 21% de la región </w:t>
      </w:r>
      <w:sdt>
        <w:sdtPr>
          <w:rPr>
            <w:rFonts w:ascii="Arial" w:hAnsi="Arial" w:cs="Arial"/>
            <w:color w:val="000000" w:themeColor="text1"/>
          </w:rPr>
          <w:id w:val="-48995889"/>
          <w:citation/>
        </w:sdtPr>
        <w:sdtEndPr/>
        <w:sdtContent>
          <w:r w:rsidRPr="000E0F90">
            <w:rPr>
              <w:rFonts w:ascii="Arial" w:hAnsi="Arial" w:cs="Arial"/>
              <w:color w:val="000000" w:themeColor="text1"/>
            </w:rPr>
            <w:fldChar w:fldCharType="begin"/>
          </w:r>
          <w:r w:rsidR="00954120" w:rsidRPr="000E0F90">
            <w:rPr>
              <w:rFonts w:ascii="Arial" w:hAnsi="Arial" w:cs="Arial"/>
              <w:color w:val="000000" w:themeColor="text1"/>
            </w:rPr>
            <w:instrText xml:space="preserve">CITATION SER16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(SERNAGEOMIN, 2010)</w:t>
          </w:r>
          <w:r w:rsidRPr="000E0F90">
            <w:rPr>
              <w:rFonts w:ascii="Arial" w:hAnsi="Arial" w:cs="Arial"/>
              <w:color w:val="000000" w:themeColor="text1"/>
            </w:rPr>
            <w:fldChar w:fldCharType="end"/>
          </w:r>
        </w:sdtContent>
      </w:sdt>
      <w:r w:rsidRPr="000E0F90">
        <w:rPr>
          <w:rFonts w:ascii="Arial" w:hAnsi="Arial" w:cs="Arial"/>
          <w:color w:val="000000" w:themeColor="text1"/>
        </w:rPr>
        <w:t>.</w:t>
      </w:r>
    </w:p>
    <w:p w:rsidR="003F7077" w:rsidRPr="000E0F90" w:rsidRDefault="003F7077" w:rsidP="00702D9A">
      <w:pPr>
        <w:spacing w:after="0" w:line="360" w:lineRule="auto"/>
        <w:jc w:val="center"/>
        <w:rPr>
          <w:rFonts w:ascii="Arial" w:hAnsi="Arial" w:cs="Arial"/>
          <w:b/>
          <w:color w:val="000000" w:themeColor="text1"/>
        </w:rPr>
      </w:pPr>
      <w:r w:rsidRPr="000E0F90">
        <w:rPr>
          <w:rFonts w:ascii="Arial" w:hAnsi="Arial" w:cs="Arial"/>
          <w:noProof/>
          <w:color w:val="000000" w:themeColor="text1"/>
          <w:lang w:eastAsia="es-CL"/>
        </w:rPr>
        <w:drawing>
          <wp:inline distT="0" distB="0" distL="0" distR="0" wp14:anchorId="54710C86" wp14:editId="0FFA50F7">
            <wp:extent cx="4114800" cy="2334126"/>
            <wp:effectExtent l="0" t="0" r="19050" b="9525"/>
            <wp:docPr id="61" name="Gráfico 61"/>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3F7077" w:rsidRPr="000E0F90" w:rsidRDefault="00740D3D" w:rsidP="00702D9A">
      <w:pPr>
        <w:pStyle w:val="Epgrafe"/>
        <w:spacing w:line="360" w:lineRule="auto"/>
        <w:jc w:val="center"/>
        <w:rPr>
          <w:rFonts w:ascii="Arial" w:hAnsi="Arial" w:cs="Arial"/>
          <w:b w:val="0"/>
          <w:color w:val="000000" w:themeColor="text1"/>
          <w:sz w:val="22"/>
        </w:rPr>
      </w:pPr>
      <w:r w:rsidRPr="000E0F90">
        <w:rPr>
          <w:rFonts w:ascii="Arial" w:hAnsi="Arial" w:cs="Arial"/>
          <w:b w:val="0"/>
          <w:color w:val="000000" w:themeColor="text1"/>
          <w:sz w:val="22"/>
        </w:rPr>
        <w:t xml:space="preserve">Figura </w:t>
      </w:r>
      <w:r w:rsidRPr="000E0F90">
        <w:rPr>
          <w:rFonts w:ascii="Arial" w:hAnsi="Arial" w:cs="Arial"/>
          <w:b w:val="0"/>
          <w:color w:val="000000" w:themeColor="text1"/>
          <w:sz w:val="22"/>
        </w:rPr>
        <w:fldChar w:fldCharType="begin"/>
      </w:r>
      <w:r w:rsidRPr="000E0F90">
        <w:rPr>
          <w:rFonts w:ascii="Arial" w:hAnsi="Arial" w:cs="Arial"/>
          <w:b w:val="0"/>
          <w:color w:val="000000" w:themeColor="text1"/>
          <w:sz w:val="22"/>
        </w:rPr>
        <w:instrText xml:space="preserve"> SEQ Figura \* ARABIC </w:instrText>
      </w:r>
      <w:r w:rsidRPr="000E0F90">
        <w:rPr>
          <w:rFonts w:ascii="Arial" w:hAnsi="Arial" w:cs="Arial"/>
          <w:b w:val="0"/>
          <w:color w:val="000000" w:themeColor="text1"/>
          <w:sz w:val="22"/>
        </w:rPr>
        <w:fldChar w:fldCharType="separate"/>
      </w:r>
      <w:r w:rsidR="00225844">
        <w:rPr>
          <w:rFonts w:ascii="Arial" w:hAnsi="Arial" w:cs="Arial"/>
          <w:b w:val="0"/>
          <w:noProof/>
          <w:color w:val="000000" w:themeColor="text1"/>
          <w:sz w:val="22"/>
        </w:rPr>
        <w:t>19</w:t>
      </w:r>
      <w:r w:rsidRPr="000E0F90">
        <w:rPr>
          <w:rFonts w:ascii="Arial" w:hAnsi="Arial" w:cs="Arial"/>
          <w:b w:val="0"/>
          <w:color w:val="000000" w:themeColor="text1"/>
          <w:sz w:val="22"/>
        </w:rPr>
        <w:fldChar w:fldCharType="end"/>
      </w:r>
      <w:r w:rsidR="00597DAE" w:rsidRPr="000E0F90">
        <w:rPr>
          <w:rFonts w:ascii="Arial" w:hAnsi="Arial" w:cs="Arial"/>
          <w:b w:val="0"/>
          <w:color w:val="000000" w:themeColor="text1"/>
          <w:sz w:val="22"/>
        </w:rPr>
        <w:t>: Faenas Mineras de explotación de La Higuera según categorías de SERNAGEOMIN</w:t>
      </w:r>
      <w:r w:rsidRPr="000E0F90">
        <w:rPr>
          <w:rFonts w:ascii="Arial" w:hAnsi="Arial" w:cs="Arial"/>
          <w:b w:val="0"/>
          <w:color w:val="000000" w:themeColor="text1"/>
          <w:sz w:val="22"/>
        </w:rPr>
        <w:t xml:space="preserve">. </w:t>
      </w:r>
      <w:r w:rsidR="003F7077" w:rsidRPr="000E0F90">
        <w:rPr>
          <w:rFonts w:ascii="Arial" w:hAnsi="Arial" w:cs="Arial"/>
          <w:b w:val="0"/>
          <w:color w:val="000000" w:themeColor="text1"/>
          <w:sz w:val="22"/>
        </w:rPr>
        <w:t xml:space="preserve">Fuente: </w:t>
      </w:r>
      <w:sdt>
        <w:sdtPr>
          <w:rPr>
            <w:rFonts w:ascii="Arial" w:hAnsi="Arial" w:cs="Arial"/>
            <w:b w:val="0"/>
            <w:color w:val="000000" w:themeColor="text1"/>
            <w:sz w:val="22"/>
          </w:rPr>
          <w:id w:val="-698703262"/>
          <w:citation/>
        </w:sdtPr>
        <w:sdtEndPr/>
        <w:sdtContent>
          <w:r w:rsidR="003F7077" w:rsidRPr="000E0F90">
            <w:rPr>
              <w:rFonts w:ascii="Arial" w:hAnsi="Arial" w:cs="Arial"/>
              <w:b w:val="0"/>
              <w:color w:val="000000" w:themeColor="text1"/>
              <w:sz w:val="22"/>
            </w:rPr>
            <w:fldChar w:fldCharType="begin"/>
          </w:r>
          <w:r w:rsidR="003F7077" w:rsidRPr="000E0F90">
            <w:rPr>
              <w:rFonts w:ascii="Arial" w:hAnsi="Arial" w:cs="Arial"/>
              <w:b w:val="0"/>
              <w:color w:val="000000" w:themeColor="text1"/>
              <w:sz w:val="22"/>
            </w:rPr>
            <w:instrText xml:space="preserve"> CITATION SER13 \l 13322 </w:instrText>
          </w:r>
          <w:r w:rsidR="003F7077" w:rsidRPr="000E0F90">
            <w:rPr>
              <w:rFonts w:ascii="Arial" w:hAnsi="Arial" w:cs="Arial"/>
              <w:b w:val="0"/>
              <w:color w:val="000000" w:themeColor="text1"/>
              <w:sz w:val="22"/>
            </w:rPr>
            <w:fldChar w:fldCharType="separate"/>
          </w:r>
          <w:r w:rsidR="008D0261" w:rsidRPr="000E0F90">
            <w:rPr>
              <w:rFonts w:ascii="Arial" w:hAnsi="Arial" w:cs="Arial"/>
              <w:noProof/>
              <w:color w:val="000000" w:themeColor="text1"/>
              <w:sz w:val="22"/>
            </w:rPr>
            <w:t>(SERNAGEOMIN, 2013)</w:t>
          </w:r>
          <w:r w:rsidR="003F7077" w:rsidRPr="000E0F90">
            <w:rPr>
              <w:rFonts w:ascii="Arial" w:hAnsi="Arial" w:cs="Arial"/>
              <w:b w:val="0"/>
              <w:color w:val="000000" w:themeColor="text1"/>
              <w:sz w:val="22"/>
            </w:rPr>
            <w:fldChar w:fldCharType="end"/>
          </w:r>
        </w:sdtContent>
      </w:sdt>
    </w:p>
    <w:p w:rsidR="003F7077" w:rsidRPr="000E0F90" w:rsidRDefault="00F35AF7" w:rsidP="00702D9A">
      <w:pPr>
        <w:spacing w:after="0" w:line="360" w:lineRule="auto"/>
        <w:rPr>
          <w:rFonts w:ascii="Arial" w:hAnsi="Arial" w:cs="Arial"/>
          <w:b/>
          <w:color w:val="000000" w:themeColor="text1"/>
        </w:rPr>
      </w:pPr>
      <w:r w:rsidRPr="000E0F90">
        <w:rPr>
          <w:rFonts w:ascii="Arial" w:hAnsi="Arial" w:cs="Arial"/>
          <w:b/>
          <w:color w:val="000000" w:themeColor="text1"/>
        </w:rPr>
        <w:t>Agricultura</w:t>
      </w:r>
      <w:r w:rsidR="003F7077" w:rsidRPr="000E0F90">
        <w:rPr>
          <w:rFonts w:ascii="Arial" w:hAnsi="Arial" w:cs="Arial"/>
          <w:b/>
          <w:color w:val="000000" w:themeColor="text1"/>
        </w:rPr>
        <w:t xml:space="preserve">: </w:t>
      </w:r>
    </w:p>
    <w:p w:rsidR="00C315A2" w:rsidRPr="000E0F90" w:rsidRDefault="003F7077" w:rsidP="00702D9A">
      <w:pPr>
        <w:spacing w:line="360" w:lineRule="auto"/>
        <w:rPr>
          <w:rFonts w:ascii="Arial" w:hAnsi="Arial" w:cs="Arial"/>
          <w:color w:val="000000" w:themeColor="text1"/>
        </w:rPr>
      </w:pPr>
      <w:r w:rsidRPr="000E0F90">
        <w:rPr>
          <w:rFonts w:ascii="Arial" w:hAnsi="Arial" w:cs="Arial"/>
          <w:color w:val="000000" w:themeColor="text1"/>
        </w:rPr>
        <w:t xml:space="preserve">La comuna de La Higuera presenta una superficie agrícola de 417.244,18 ha, correspondiente al 19,45% de la región. </w:t>
      </w:r>
      <w:r w:rsidR="00F44064">
        <w:rPr>
          <w:rFonts w:ascii="Arial" w:hAnsi="Arial" w:cs="Arial"/>
          <w:color w:val="000000" w:themeColor="text1"/>
        </w:rPr>
        <w:t xml:space="preserve">La </w:t>
      </w:r>
      <w:r w:rsidRPr="000E0F90">
        <w:rPr>
          <w:rFonts w:ascii="Arial" w:hAnsi="Arial" w:cs="Arial"/>
          <w:color w:val="000000" w:themeColor="text1"/>
        </w:rPr>
        <w:t xml:space="preserve">superficie destinadas a cultivos silvoagropecuarios </w:t>
      </w:r>
      <w:r w:rsidR="00F44064">
        <w:rPr>
          <w:rFonts w:ascii="Arial" w:hAnsi="Arial" w:cs="Arial"/>
          <w:color w:val="000000" w:themeColor="text1"/>
        </w:rPr>
        <w:t xml:space="preserve">asciende </w:t>
      </w:r>
      <w:r w:rsidRPr="000E0F90">
        <w:rPr>
          <w:rFonts w:ascii="Arial" w:hAnsi="Arial" w:cs="Arial"/>
          <w:color w:val="000000" w:themeColor="text1"/>
        </w:rPr>
        <w:t xml:space="preserve">a 651,39ha, de la cual destaca la superficie destinada a la producción de plantas forrajeras con 391,2 ha (60,06%) y frutales con 226,8 ha (34,82%) </w:t>
      </w:r>
      <w:sdt>
        <w:sdtPr>
          <w:rPr>
            <w:rFonts w:ascii="Arial" w:hAnsi="Arial" w:cs="Arial"/>
            <w:color w:val="000000" w:themeColor="text1"/>
          </w:rPr>
          <w:id w:val="848212307"/>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CITATION Cen07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(Censo Agropecuario, 2007)</w:t>
          </w:r>
          <w:r w:rsidRPr="000E0F90">
            <w:rPr>
              <w:rFonts w:ascii="Arial" w:hAnsi="Arial" w:cs="Arial"/>
              <w:color w:val="000000" w:themeColor="text1"/>
            </w:rPr>
            <w:fldChar w:fldCharType="end"/>
          </w:r>
        </w:sdtContent>
      </w:sdt>
      <w:r w:rsidR="00B35339">
        <w:rPr>
          <w:rFonts w:ascii="Arial" w:hAnsi="Arial" w:cs="Arial"/>
          <w:color w:val="000000" w:themeColor="text1"/>
        </w:rPr>
        <w:t xml:space="preserve"> (Figura 20</w:t>
      </w:r>
      <w:r w:rsidR="00D7124E">
        <w:rPr>
          <w:rFonts w:ascii="Arial" w:hAnsi="Arial" w:cs="Arial"/>
          <w:color w:val="000000" w:themeColor="text1"/>
        </w:rPr>
        <w:t>)</w:t>
      </w:r>
      <w:r w:rsidRPr="000E0F90">
        <w:rPr>
          <w:rFonts w:ascii="Arial" w:hAnsi="Arial" w:cs="Arial"/>
          <w:color w:val="000000" w:themeColor="text1"/>
        </w:rPr>
        <w:t>.</w:t>
      </w:r>
      <w:r w:rsidR="00A33AAA" w:rsidRPr="000E0F90">
        <w:rPr>
          <w:rFonts w:ascii="Arial" w:hAnsi="Arial" w:cs="Arial"/>
          <w:color w:val="000000" w:themeColor="text1"/>
        </w:rPr>
        <w:t xml:space="preserve"> </w:t>
      </w:r>
      <w:r w:rsidR="00C315A2" w:rsidRPr="000E0F90">
        <w:rPr>
          <w:rFonts w:ascii="Arial" w:hAnsi="Arial" w:cs="Arial"/>
          <w:color w:val="000000" w:themeColor="text1"/>
        </w:rPr>
        <w:t xml:space="preserve">Respecto al </w:t>
      </w:r>
      <w:sdt>
        <w:sdtPr>
          <w:rPr>
            <w:rFonts w:ascii="Arial" w:hAnsi="Arial" w:cs="Arial"/>
            <w:color w:val="000000" w:themeColor="text1"/>
          </w:rPr>
          <w:id w:val="-403991580"/>
          <w:citation/>
        </w:sdtPr>
        <w:sdtEndPr/>
        <w:sdtContent>
          <w:r w:rsidR="00C315A2" w:rsidRPr="000E0F90">
            <w:rPr>
              <w:rFonts w:ascii="Arial" w:hAnsi="Arial" w:cs="Arial"/>
              <w:color w:val="000000" w:themeColor="text1"/>
            </w:rPr>
            <w:fldChar w:fldCharType="begin"/>
          </w:r>
          <w:r w:rsidR="00C315A2" w:rsidRPr="000E0F90">
            <w:rPr>
              <w:rFonts w:ascii="Arial" w:hAnsi="Arial" w:cs="Arial"/>
              <w:color w:val="000000" w:themeColor="text1"/>
            </w:rPr>
            <w:instrText xml:space="preserve"> CITATION Cen07 \l 13322 </w:instrText>
          </w:r>
          <w:r w:rsidR="00C315A2" w:rsidRPr="000E0F90">
            <w:rPr>
              <w:rFonts w:ascii="Arial" w:hAnsi="Arial" w:cs="Arial"/>
              <w:color w:val="000000" w:themeColor="text1"/>
            </w:rPr>
            <w:fldChar w:fldCharType="separate"/>
          </w:r>
          <w:r w:rsidR="008D0261" w:rsidRPr="000E0F90">
            <w:rPr>
              <w:rFonts w:ascii="Arial" w:hAnsi="Arial" w:cs="Arial"/>
              <w:noProof/>
              <w:color w:val="000000" w:themeColor="text1"/>
            </w:rPr>
            <w:t>(Censo Agropecuario, 2007)</w:t>
          </w:r>
          <w:r w:rsidR="00C315A2" w:rsidRPr="000E0F90">
            <w:rPr>
              <w:rFonts w:ascii="Arial" w:hAnsi="Arial" w:cs="Arial"/>
              <w:color w:val="000000" w:themeColor="text1"/>
            </w:rPr>
            <w:fldChar w:fldCharType="end"/>
          </w:r>
        </w:sdtContent>
      </w:sdt>
      <w:r w:rsidR="00C315A2" w:rsidRPr="000E0F90">
        <w:rPr>
          <w:rFonts w:ascii="Arial" w:hAnsi="Arial" w:cs="Arial"/>
          <w:color w:val="000000" w:themeColor="text1"/>
        </w:rPr>
        <w:t xml:space="preserve"> en la comuna de La Higuera, del total de cabezas de ganado en la comuna (18.892cab), el ganado caprino representa 90,6%, (17.123) seguido de equinos con 7,9% (1.501) y ovinos (1,3%) con 243 cabezas. </w:t>
      </w:r>
    </w:p>
    <w:p w:rsidR="00503EEE" w:rsidRDefault="00C315A2" w:rsidP="00D7124E">
      <w:pPr>
        <w:spacing w:line="360" w:lineRule="auto"/>
        <w:rPr>
          <w:rFonts w:ascii="Arial" w:eastAsia="Times New Roman" w:hAnsi="Arial" w:cs="Arial"/>
          <w:color w:val="000000" w:themeColor="text1"/>
          <w:szCs w:val="20"/>
          <w:lang w:eastAsia="es-ES"/>
        </w:rPr>
      </w:pPr>
      <w:r w:rsidRPr="000E0F90">
        <w:rPr>
          <w:rFonts w:ascii="Arial" w:eastAsia="Times New Roman" w:hAnsi="Arial" w:cs="Arial"/>
          <w:color w:val="000000" w:themeColor="text1"/>
          <w:szCs w:val="20"/>
          <w:lang w:eastAsia="es-ES"/>
        </w:rPr>
        <w:t xml:space="preserve">La agricultura, corresponde a la tradicional, y la ganadería se realiza enfocada a la producción caprina, </w:t>
      </w:r>
      <w:r w:rsidR="00503EEE">
        <w:rPr>
          <w:rFonts w:ascii="Arial" w:eastAsia="Times New Roman" w:hAnsi="Arial" w:cs="Arial"/>
          <w:color w:val="000000" w:themeColor="text1"/>
          <w:szCs w:val="20"/>
          <w:lang w:eastAsia="es-ES"/>
        </w:rPr>
        <w:t xml:space="preserve">mediante trashumancia </w:t>
      </w:r>
      <w:sdt>
        <w:sdtPr>
          <w:rPr>
            <w:rFonts w:ascii="Arial" w:eastAsia="Times New Roman" w:hAnsi="Arial" w:cs="Arial"/>
            <w:color w:val="000000" w:themeColor="text1"/>
            <w:szCs w:val="20"/>
            <w:lang w:eastAsia="es-ES"/>
          </w:rPr>
          <w:id w:val="-388876645"/>
          <w:citation/>
        </w:sdtPr>
        <w:sdtEndPr/>
        <w:sdtContent>
          <w:r w:rsidRPr="000E0F90">
            <w:rPr>
              <w:rFonts w:ascii="Arial" w:eastAsia="Times New Roman" w:hAnsi="Arial" w:cs="Arial"/>
              <w:color w:val="000000" w:themeColor="text1"/>
              <w:szCs w:val="20"/>
              <w:lang w:eastAsia="es-ES"/>
            </w:rPr>
            <w:fldChar w:fldCharType="begin"/>
          </w:r>
          <w:r w:rsidRPr="000E0F90">
            <w:rPr>
              <w:rFonts w:ascii="Arial" w:eastAsia="Times New Roman" w:hAnsi="Arial" w:cs="Arial"/>
              <w:color w:val="000000" w:themeColor="text1"/>
              <w:szCs w:val="20"/>
              <w:lang w:eastAsia="es-ES"/>
            </w:rPr>
            <w:instrText xml:space="preserve">CITATION Are13 \t  \l 13322 </w:instrText>
          </w:r>
          <w:r w:rsidRPr="000E0F90">
            <w:rPr>
              <w:rFonts w:ascii="Arial" w:eastAsia="Times New Roman" w:hAnsi="Arial" w:cs="Arial"/>
              <w:color w:val="000000" w:themeColor="text1"/>
              <w:szCs w:val="20"/>
              <w:lang w:eastAsia="es-ES"/>
            </w:rPr>
            <w:fldChar w:fldCharType="separate"/>
          </w:r>
          <w:r w:rsidR="008D0261" w:rsidRPr="000E0F90">
            <w:rPr>
              <w:rFonts w:ascii="Arial" w:eastAsia="Times New Roman" w:hAnsi="Arial" w:cs="Arial"/>
              <w:noProof/>
              <w:color w:val="000000" w:themeColor="text1"/>
              <w:szCs w:val="20"/>
              <w:lang w:eastAsia="es-ES"/>
            </w:rPr>
            <w:t>(Arellano, Gastó, Gálvez, Subercauseaux, Toledo, &amp; Miranda, 2013)</w:t>
          </w:r>
          <w:r w:rsidRPr="000E0F90">
            <w:rPr>
              <w:rFonts w:ascii="Arial" w:eastAsia="Times New Roman" w:hAnsi="Arial" w:cs="Arial"/>
              <w:color w:val="000000" w:themeColor="text1"/>
              <w:szCs w:val="20"/>
              <w:lang w:eastAsia="es-ES"/>
            </w:rPr>
            <w:fldChar w:fldCharType="end"/>
          </w:r>
        </w:sdtContent>
      </w:sdt>
      <w:r w:rsidRPr="000E0F90">
        <w:rPr>
          <w:rFonts w:ascii="Arial" w:eastAsia="Times New Roman" w:hAnsi="Arial" w:cs="Arial"/>
          <w:color w:val="000000" w:themeColor="text1"/>
          <w:szCs w:val="20"/>
          <w:lang w:eastAsia="es-ES"/>
        </w:rPr>
        <w:t xml:space="preserve">. </w:t>
      </w:r>
      <w:r w:rsidR="00503EEE">
        <w:rPr>
          <w:rFonts w:ascii="Arial" w:eastAsia="Times New Roman" w:hAnsi="Arial" w:cs="Arial"/>
          <w:color w:val="000000" w:themeColor="text1"/>
          <w:szCs w:val="20"/>
          <w:lang w:eastAsia="es-ES"/>
        </w:rPr>
        <w:t xml:space="preserve">Existen restricciones a las actividades agropecuarias por </w:t>
      </w:r>
      <w:r w:rsidR="00D7124E">
        <w:rPr>
          <w:rFonts w:ascii="Arial" w:eastAsia="Times New Roman" w:hAnsi="Arial" w:cs="Arial"/>
          <w:color w:val="000000" w:themeColor="text1"/>
          <w:szCs w:val="20"/>
          <w:lang w:eastAsia="es-ES"/>
        </w:rPr>
        <w:t>reducción y deterioro de</w:t>
      </w:r>
      <w:r w:rsidRPr="000E0F90">
        <w:rPr>
          <w:rFonts w:ascii="Arial" w:eastAsia="Times New Roman" w:hAnsi="Arial" w:cs="Arial"/>
          <w:color w:val="000000" w:themeColor="text1"/>
          <w:szCs w:val="20"/>
          <w:lang w:eastAsia="es-ES"/>
        </w:rPr>
        <w:t xml:space="preserve"> suelo aprovechable</w:t>
      </w:r>
      <w:r w:rsidR="00D7124E">
        <w:rPr>
          <w:rFonts w:ascii="Arial" w:eastAsia="Times New Roman" w:hAnsi="Arial" w:cs="Arial"/>
          <w:color w:val="000000" w:themeColor="text1"/>
          <w:szCs w:val="20"/>
          <w:lang w:eastAsia="es-ES"/>
        </w:rPr>
        <w:t>, producto del talaje y minería; y escasez del recurso hídrico</w:t>
      </w:r>
      <w:r w:rsidRPr="000E0F90">
        <w:rPr>
          <w:rFonts w:ascii="Arial" w:eastAsia="Times New Roman" w:hAnsi="Arial" w:cs="Arial"/>
          <w:color w:val="000000" w:themeColor="text1"/>
          <w:szCs w:val="20"/>
          <w:lang w:eastAsia="es-ES"/>
        </w:rPr>
        <w:t xml:space="preserve"> (Infracon S.A., 2004) </w:t>
      </w:r>
      <w:r w:rsidR="00503EEE">
        <w:rPr>
          <w:rFonts w:ascii="Arial" w:eastAsia="Times New Roman" w:hAnsi="Arial" w:cs="Arial"/>
          <w:color w:val="000000" w:themeColor="text1"/>
          <w:szCs w:val="20"/>
          <w:lang w:eastAsia="es-ES"/>
        </w:rPr>
        <w:t>(Arellano et al., 2013)</w:t>
      </w:r>
      <w:r w:rsidR="00D7124E">
        <w:rPr>
          <w:rFonts w:ascii="Arial" w:eastAsia="Times New Roman" w:hAnsi="Arial" w:cs="Arial"/>
          <w:color w:val="000000" w:themeColor="text1"/>
          <w:szCs w:val="20"/>
          <w:lang w:eastAsia="es-ES"/>
        </w:rPr>
        <w:t>.</w:t>
      </w:r>
    </w:p>
    <w:p w:rsidR="003F7077" w:rsidRPr="000E0F90" w:rsidRDefault="003F7077" w:rsidP="00702D9A">
      <w:pPr>
        <w:spacing w:after="0" w:line="360" w:lineRule="auto"/>
        <w:jc w:val="center"/>
        <w:rPr>
          <w:rFonts w:ascii="Arial" w:hAnsi="Arial" w:cs="Arial"/>
          <w:color w:val="000000" w:themeColor="text1"/>
        </w:rPr>
      </w:pPr>
      <w:r w:rsidRPr="000E0F90">
        <w:rPr>
          <w:rFonts w:ascii="Arial" w:hAnsi="Arial" w:cs="Arial"/>
          <w:noProof/>
          <w:color w:val="000000" w:themeColor="text1"/>
          <w:lang w:eastAsia="es-CL"/>
        </w:rPr>
        <w:lastRenderedPageBreak/>
        <w:drawing>
          <wp:inline distT="0" distB="0" distL="0" distR="0" wp14:anchorId="1100D6DF" wp14:editId="683FD2E5">
            <wp:extent cx="4572000" cy="2238704"/>
            <wp:effectExtent l="0" t="0" r="19050" b="9525"/>
            <wp:docPr id="57" name="Gráfico 57"/>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3F7077" w:rsidRPr="000E0F90" w:rsidRDefault="00740D3D" w:rsidP="00702D9A">
      <w:pPr>
        <w:pStyle w:val="Epgrafe"/>
        <w:spacing w:line="360" w:lineRule="auto"/>
        <w:jc w:val="center"/>
        <w:rPr>
          <w:rFonts w:ascii="Arial" w:hAnsi="Arial" w:cs="Arial"/>
          <w:b w:val="0"/>
          <w:color w:val="000000" w:themeColor="text1"/>
          <w:sz w:val="22"/>
        </w:rPr>
      </w:pPr>
      <w:r w:rsidRPr="000E0F90">
        <w:rPr>
          <w:rFonts w:ascii="Arial" w:hAnsi="Arial" w:cs="Arial"/>
          <w:b w:val="0"/>
          <w:color w:val="000000" w:themeColor="text1"/>
          <w:sz w:val="22"/>
        </w:rPr>
        <w:t xml:space="preserve">Figura </w:t>
      </w:r>
      <w:r w:rsidRPr="000E0F90">
        <w:rPr>
          <w:rFonts w:ascii="Arial" w:hAnsi="Arial" w:cs="Arial"/>
          <w:b w:val="0"/>
          <w:color w:val="000000" w:themeColor="text1"/>
          <w:sz w:val="22"/>
        </w:rPr>
        <w:fldChar w:fldCharType="begin"/>
      </w:r>
      <w:r w:rsidRPr="000E0F90">
        <w:rPr>
          <w:rFonts w:ascii="Arial" w:hAnsi="Arial" w:cs="Arial"/>
          <w:b w:val="0"/>
          <w:color w:val="000000" w:themeColor="text1"/>
          <w:sz w:val="22"/>
        </w:rPr>
        <w:instrText xml:space="preserve"> SEQ Figura \* ARABIC </w:instrText>
      </w:r>
      <w:r w:rsidRPr="000E0F90">
        <w:rPr>
          <w:rFonts w:ascii="Arial" w:hAnsi="Arial" w:cs="Arial"/>
          <w:b w:val="0"/>
          <w:color w:val="000000" w:themeColor="text1"/>
          <w:sz w:val="22"/>
        </w:rPr>
        <w:fldChar w:fldCharType="separate"/>
      </w:r>
      <w:r w:rsidR="00225844">
        <w:rPr>
          <w:rFonts w:ascii="Arial" w:hAnsi="Arial" w:cs="Arial"/>
          <w:b w:val="0"/>
          <w:noProof/>
          <w:color w:val="000000" w:themeColor="text1"/>
          <w:sz w:val="22"/>
        </w:rPr>
        <w:t>20</w:t>
      </w:r>
      <w:r w:rsidRPr="000E0F90">
        <w:rPr>
          <w:rFonts w:ascii="Arial" w:hAnsi="Arial" w:cs="Arial"/>
          <w:b w:val="0"/>
          <w:color w:val="000000" w:themeColor="text1"/>
          <w:sz w:val="22"/>
        </w:rPr>
        <w:fldChar w:fldCharType="end"/>
      </w:r>
      <w:r w:rsidR="00914155" w:rsidRPr="000E0F90">
        <w:rPr>
          <w:rFonts w:ascii="Arial" w:hAnsi="Arial" w:cs="Arial"/>
          <w:b w:val="0"/>
          <w:color w:val="000000" w:themeColor="text1"/>
          <w:sz w:val="22"/>
        </w:rPr>
        <w:t xml:space="preserve">: Principales cultivos de la comuna de La Higuera, según participación. Año 2002. </w:t>
      </w:r>
      <w:r w:rsidR="003F7077" w:rsidRPr="000E0F90">
        <w:rPr>
          <w:rFonts w:ascii="Arial" w:hAnsi="Arial" w:cs="Arial"/>
          <w:b w:val="0"/>
          <w:color w:val="000000" w:themeColor="text1"/>
          <w:sz w:val="22"/>
        </w:rPr>
        <w:t xml:space="preserve">Fuente: </w:t>
      </w:r>
      <w:sdt>
        <w:sdtPr>
          <w:rPr>
            <w:rFonts w:ascii="Arial" w:hAnsi="Arial" w:cs="Arial"/>
            <w:b w:val="0"/>
            <w:color w:val="000000" w:themeColor="text1"/>
            <w:sz w:val="22"/>
          </w:rPr>
          <w:id w:val="-1205398169"/>
          <w:citation/>
        </w:sdtPr>
        <w:sdtEndPr/>
        <w:sdtContent>
          <w:r w:rsidR="003F7077" w:rsidRPr="000E0F90">
            <w:rPr>
              <w:rFonts w:ascii="Arial" w:hAnsi="Arial" w:cs="Arial"/>
              <w:b w:val="0"/>
              <w:color w:val="000000" w:themeColor="text1"/>
              <w:sz w:val="22"/>
            </w:rPr>
            <w:fldChar w:fldCharType="begin"/>
          </w:r>
          <w:r w:rsidR="003F7077" w:rsidRPr="000E0F90">
            <w:rPr>
              <w:rFonts w:ascii="Arial" w:hAnsi="Arial" w:cs="Arial"/>
              <w:b w:val="0"/>
              <w:color w:val="000000" w:themeColor="text1"/>
              <w:sz w:val="22"/>
            </w:rPr>
            <w:instrText xml:space="preserve"> CITATION Cen07 \l 13322 </w:instrText>
          </w:r>
          <w:r w:rsidR="003F7077" w:rsidRPr="000E0F90">
            <w:rPr>
              <w:rFonts w:ascii="Arial" w:hAnsi="Arial" w:cs="Arial"/>
              <w:b w:val="0"/>
              <w:color w:val="000000" w:themeColor="text1"/>
              <w:sz w:val="22"/>
            </w:rPr>
            <w:fldChar w:fldCharType="separate"/>
          </w:r>
          <w:r w:rsidR="008D0261" w:rsidRPr="000E0F90">
            <w:rPr>
              <w:rFonts w:ascii="Arial" w:hAnsi="Arial" w:cs="Arial"/>
              <w:noProof/>
              <w:color w:val="000000" w:themeColor="text1"/>
              <w:sz w:val="22"/>
            </w:rPr>
            <w:t>(Censo Agropecuario, 2007)</w:t>
          </w:r>
          <w:r w:rsidR="003F7077" w:rsidRPr="000E0F90">
            <w:rPr>
              <w:rFonts w:ascii="Arial" w:hAnsi="Arial" w:cs="Arial"/>
              <w:b w:val="0"/>
              <w:color w:val="000000" w:themeColor="text1"/>
              <w:sz w:val="22"/>
            </w:rPr>
            <w:fldChar w:fldCharType="end"/>
          </w:r>
        </w:sdtContent>
      </w:sdt>
      <w:r w:rsidRPr="000E0F90">
        <w:rPr>
          <w:rFonts w:ascii="Arial" w:hAnsi="Arial" w:cs="Arial"/>
          <w:b w:val="0"/>
          <w:color w:val="000000" w:themeColor="text1"/>
          <w:sz w:val="22"/>
        </w:rPr>
        <w:t>.</w:t>
      </w:r>
    </w:p>
    <w:p w:rsidR="003F7077" w:rsidRPr="000E0F90" w:rsidRDefault="003F7077" w:rsidP="00702D9A">
      <w:pPr>
        <w:tabs>
          <w:tab w:val="left" w:pos="1306"/>
        </w:tabs>
        <w:spacing w:before="240" w:after="0" w:line="360" w:lineRule="auto"/>
        <w:rPr>
          <w:rFonts w:ascii="Arial" w:hAnsi="Arial" w:cs="Arial"/>
          <w:b/>
          <w:color w:val="000000" w:themeColor="text1"/>
        </w:rPr>
      </w:pPr>
      <w:r w:rsidRPr="000E0F90">
        <w:rPr>
          <w:rFonts w:ascii="Arial" w:hAnsi="Arial" w:cs="Arial"/>
          <w:b/>
          <w:color w:val="000000" w:themeColor="text1"/>
        </w:rPr>
        <w:t>Turismo</w:t>
      </w:r>
      <w:r w:rsidRPr="000E0F90">
        <w:rPr>
          <w:rFonts w:ascii="Arial" w:hAnsi="Arial" w:cs="Arial"/>
          <w:b/>
          <w:color w:val="000000" w:themeColor="text1"/>
        </w:rPr>
        <w:tab/>
      </w:r>
    </w:p>
    <w:p w:rsidR="003F7077" w:rsidRPr="000E0F90" w:rsidRDefault="00C315A2" w:rsidP="00702D9A">
      <w:pPr>
        <w:spacing w:line="360" w:lineRule="auto"/>
        <w:rPr>
          <w:rFonts w:ascii="Arial" w:hAnsi="Arial" w:cs="Arial"/>
          <w:color w:val="000000" w:themeColor="text1"/>
        </w:rPr>
      </w:pPr>
      <w:r w:rsidRPr="000E0F90">
        <w:rPr>
          <w:rFonts w:ascii="Arial" w:eastAsia="Times New Roman" w:hAnsi="Arial" w:cs="Arial"/>
          <w:color w:val="000000" w:themeColor="text1"/>
          <w:szCs w:val="20"/>
          <w:lang w:eastAsia="es-ES"/>
        </w:rPr>
        <w:t>El turismo, ha adquirido importancia en la comuna, particularmente en el borde costero en Punta de Choros, dado por la Reserva Nacional</w:t>
      </w:r>
      <w:r w:rsidRPr="000E0F90">
        <w:rPr>
          <w:rFonts w:ascii="Arial" w:hAnsi="Arial" w:cs="Arial"/>
          <w:color w:val="000000" w:themeColor="text1"/>
        </w:rPr>
        <w:t xml:space="preserve"> </w:t>
      </w:r>
      <w:r w:rsidRPr="000E0F90">
        <w:rPr>
          <w:rFonts w:ascii="Arial" w:eastAsia="Times New Roman" w:hAnsi="Arial" w:cs="Arial"/>
          <w:color w:val="000000" w:themeColor="text1"/>
          <w:szCs w:val="20"/>
          <w:lang w:eastAsia="es-ES"/>
        </w:rPr>
        <w:t xml:space="preserve">Pingüino de Humboldt. </w:t>
      </w:r>
      <w:r w:rsidR="00D7124E" w:rsidRPr="000E0F90">
        <w:rPr>
          <w:rFonts w:ascii="Arial" w:hAnsi="Arial" w:cs="Arial"/>
          <w:color w:val="000000" w:themeColor="text1"/>
        </w:rPr>
        <w:t xml:space="preserve">La Reserva Nacional Pingüino de Humboldt está compuesta por tres islas: Chañaral, Choros y Damas, con una superficie total de 888,68 hectáreas </w:t>
      </w:r>
      <w:sdt>
        <w:sdtPr>
          <w:rPr>
            <w:rFonts w:ascii="Arial" w:hAnsi="Arial" w:cs="Arial"/>
            <w:color w:val="000000" w:themeColor="text1"/>
          </w:rPr>
          <w:id w:val="-1002202183"/>
          <w:citation/>
        </w:sdtPr>
        <w:sdtEndPr/>
        <w:sdtContent>
          <w:r w:rsidR="00D7124E" w:rsidRPr="000E0F90">
            <w:rPr>
              <w:rFonts w:ascii="Arial" w:hAnsi="Arial" w:cs="Arial"/>
              <w:color w:val="000000" w:themeColor="text1"/>
            </w:rPr>
            <w:fldChar w:fldCharType="begin"/>
          </w:r>
          <w:r w:rsidR="00D7124E" w:rsidRPr="000E0F90">
            <w:rPr>
              <w:rFonts w:ascii="Arial" w:hAnsi="Arial" w:cs="Arial"/>
              <w:color w:val="000000" w:themeColor="text1"/>
            </w:rPr>
            <w:instrText xml:space="preserve"> CITATION Ilu171 \l 13322 </w:instrText>
          </w:r>
          <w:r w:rsidR="00D7124E" w:rsidRPr="000E0F90">
            <w:rPr>
              <w:rFonts w:ascii="Arial" w:hAnsi="Arial" w:cs="Arial"/>
              <w:color w:val="000000" w:themeColor="text1"/>
            </w:rPr>
            <w:fldChar w:fldCharType="separate"/>
          </w:r>
          <w:r w:rsidR="00D7124E" w:rsidRPr="000E0F90">
            <w:rPr>
              <w:rFonts w:ascii="Arial" w:hAnsi="Arial" w:cs="Arial"/>
              <w:noProof/>
              <w:color w:val="000000" w:themeColor="text1"/>
            </w:rPr>
            <w:t>(Higuera, 2017)</w:t>
          </w:r>
          <w:r w:rsidR="00D7124E" w:rsidRPr="000E0F90">
            <w:rPr>
              <w:rFonts w:ascii="Arial" w:hAnsi="Arial" w:cs="Arial"/>
              <w:color w:val="000000" w:themeColor="text1"/>
            </w:rPr>
            <w:fldChar w:fldCharType="end"/>
          </w:r>
        </w:sdtContent>
      </w:sdt>
      <w:r w:rsidR="00D7124E" w:rsidRPr="000E0F90">
        <w:rPr>
          <w:rFonts w:ascii="Arial" w:hAnsi="Arial" w:cs="Arial"/>
          <w:color w:val="000000" w:themeColor="text1"/>
        </w:rPr>
        <w:t xml:space="preserve">. </w:t>
      </w:r>
      <w:r w:rsidR="00D7124E">
        <w:rPr>
          <w:rFonts w:ascii="Arial" w:hAnsi="Arial" w:cs="Arial"/>
          <w:color w:val="000000" w:themeColor="text1"/>
        </w:rPr>
        <w:t>Con</w:t>
      </w:r>
      <w:r w:rsidR="003F7077" w:rsidRPr="000E0F90">
        <w:rPr>
          <w:rFonts w:ascii="Arial" w:hAnsi="Arial" w:cs="Arial"/>
          <w:color w:val="000000" w:themeColor="text1"/>
        </w:rPr>
        <w:t xml:space="preserve"> colonias de pingüinos, yunco, chungungo, lobo de un pelo, entre otros y diversidad de plantas vasculares</w:t>
      </w:r>
      <w:r w:rsidR="00D7124E">
        <w:rPr>
          <w:rFonts w:ascii="Arial" w:hAnsi="Arial" w:cs="Arial"/>
          <w:color w:val="000000" w:themeColor="text1"/>
        </w:rPr>
        <w:t xml:space="preserve"> </w:t>
      </w:r>
      <w:sdt>
        <w:sdtPr>
          <w:rPr>
            <w:rFonts w:ascii="Arial" w:hAnsi="Arial" w:cs="Arial"/>
            <w:color w:val="000000" w:themeColor="text1"/>
          </w:rPr>
          <w:id w:val="-1237859704"/>
          <w:citation/>
        </w:sdtPr>
        <w:sdtEndPr/>
        <w:sdtContent>
          <w:r w:rsidR="00D7124E" w:rsidRPr="000E0F90">
            <w:rPr>
              <w:rFonts w:ascii="Arial" w:hAnsi="Arial" w:cs="Arial"/>
              <w:color w:val="000000" w:themeColor="text1"/>
            </w:rPr>
            <w:fldChar w:fldCharType="begin"/>
          </w:r>
          <w:r w:rsidR="00D7124E" w:rsidRPr="000E0F90">
            <w:rPr>
              <w:rFonts w:ascii="Arial" w:hAnsi="Arial" w:cs="Arial"/>
              <w:color w:val="000000" w:themeColor="text1"/>
            </w:rPr>
            <w:instrText xml:space="preserve"> CITATION SER17 \l 13322 </w:instrText>
          </w:r>
          <w:r w:rsidR="00D7124E" w:rsidRPr="000E0F90">
            <w:rPr>
              <w:rFonts w:ascii="Arial" w:hAnsi="Arial" w:cs="Arial"/>
              <w:color w:val="000000" w:themeColor="text1"/>
            </w:rPr>
            <w:fldChar w:fldCharType="separate"/>
          </w:r>
          <w:r w:rsidR="00D7124E" w:rsidRPr="000E0F90">
            <w:rPr>
              <w:rFonts w:ascii="Arial" w:hAnsi="Arial" w:cs="Arial"/>
              <w:noProof/>
              <w:color w:val="000000" w:themeColor="text1"/>
            </w:rPr>
            <w:t>(SERNATUR, 2017)</w:t>
          </w:r>
          <w:r w:rsidR="00D7124E" w:rsidRPr="000E0F90">
            <w:rPr>
              <w:rFonts w:ascii="Arial" w:hAnsi="Arial" w:cs="Arial"/>
              <w:color w:val="000000" w:themeColor="text1"/>
            </w:rPr>
            <w:fldChar w:fldCharType="end"/>
          </w:r>
        </w:sdtContent>
      </w:sdt>
      <w:r w:rsidR="003F7077" w:rsidRPr="000E0F90">
        <w:rPr>
          <w:rFonts w:ascii="Arial" w:hAnsi="Arial" w:cs="Arial"/>
          <w:color w:val="000000" w:themeColor="text1"/>
        </w:rPr>
        <w:t xml:space="preserve">. </w:t>
      </w:r>
      <w:r w:rsidR="00D7124E">
        <w:rPr>
          <w:rFonts w:ascii="Arial" w:hAnsi="Arial" w:cs="Arial"/>
          <w:color w:val="000000" w:themeColor="text1"/>
        </w:rPr>
        <w:t xml:space="preserve">Se identifican como atractivos turísticos </w:t>
      </w:r>
      <w:r w:rsidR="00D7124E" w:rsidRPr="000E0F90">
        <w:rPr>
          <w:rFonts w:ascii="Arial" w:hAnsi="Arial" w:cs="Arial"/>
          <w:color w:val="000000" w:themeColor="text1"/>
        </w:rPr>
        <w:t xml:space="preserve">las playas de Isla Damas (La Poza y Las Tijeras), Puerto minero Darsena-Cruz Grande, que exportaba el mineral del Tofo, el desierto Florido y Loros Tricahue </w:t>
      </w:r>
      <w:sdt>
        <w:sdtPr>
          <w:rPr>
            <w:rFonts w:ascii="Arial" w:hAnsi="Arial" w:cs="Arial"/>
            <w:color w:val="000000" w:themeColor="text1"/>
          </w:rPr>
          <w:id w:val="-1173640300"/>
          <w:citation/>
        </w:sdtPr>
        <w:sdtEndPr/>
        <w:sdtContent>
          <w:r w:rsidR="00D7124E" w:rsidRPr="000E0F90">
            <w:rPr>
              <w:rFonts w:ascii="Arial" w:hAnsi="Arial" w:cs="Arial"/>
              <w:color w:val="000000" w:themeColor="text1"/>
            </w:rPr>
            <w:fldChar w:fldCharType="begin"/>
          </w:r>
          <w:r w:rsidR="00D7124E" w:rsidRPr="000E0F90">
            <w:rPr>
              <w:rFonts w:ascii="Arial" w:hAnsi="Arial" w:cs="Arial"/>
              <w:color w:val="000000" w:themeColor="text1"/>
            </w:rPr>
            <w:instrText xml:space="preserve"> CITATION Ilu171 \l 13322 </w:instrText>
          </w:r>
          <w:r w:rsidR="00D7124E" w:rsidRPr="000E0F90">
            <w:rPr>
              <w:rFonts w:ascii="Arial" w:hAnsi="Arial" w:cs="Arial"/>
              <w:color w:val="000000" w:themeColor="text1"/>
            </w:rPr>
            <w:fldChar w:fldCharType="separate"/>
          </w:r>
          <w:r w:rsidR="00D7124E" w:rsidRPr="000E0F90">
            <w:rPr>
              <w:rFonts w:ascii="Arial" w:hAnsi="Arial" w:cs="Arial"/>
              <w:noProof/>
              <w:color w:val="000000" w:themeColor="text1"/>
            </w:rPr>
            <w:t>(Higuera, 2017)</w:t>
          </w:r>
          <w:r w:rsidR="00D7124E" w:rsidRPr="000E0F90">
            <w:rPr>
              <w:rFonts w:ascii="Arial" w:hAnsi="Arial" w:cs="Arial"/>
              <w:color w:val="000000" w:themeColor="text1"/>
            </w:rPr>
            <w:fldChar w:fldCharType="end"/>
          </w:r>
        </w:sdtContent>
      </w:sdt>
      <w:r w:rsidR="00D7124E" w:rsidRPr="000E0F90">
        <w:rPr>
          <w:rFonts w:ascii="Arial" w:hAnsi="Arial" w:cs="Arial"/>
          <w:color w:val="000000" w:themeColor="text1"/>
        </w:rPr>
        <w:t>.</w:t>
      </w:r>
      <w:r w:rsidR="00D7124E" w:rsidRPr="000E0F90">
        <w:rPr>
          <w:rFonts w:ascii="Arial" w:eastAsia="Times New Roman" w:hAnsi="Arial" w:cs="Arial"/>
          <w:color w:val="000000" w:themeColor="text1"/>
          <w:szCs w:val="20"/>
          <w:lang w:eastAsia="es-ES"/>
        </w:rPr>
        <w:t xml:space="preserve"> Existen oportunidades para el turismo astronómico, agrícola y rural, minero </w:t>
      </w:r>
      <w:r w:rsidR="00D7124E">
        <w:rPr>
          <w:rFonts w:ascii="Arial" w:eastAsia="Times New Roman" w:hAnsi="Arial" w:cs="Arial"/>
          <w:color w:val="000000" w:themeColor="text1"/>
          <w:szCs w:val="20"/>
          <w:lang w:eastAsia="es-ES"/>
        </w:rPr>
        <w:t>(Arellano et al., 2013)</w:t>
      </w:r>
      <w:r w:rsidR="00D7124E" w:rsidRPr="000E0F90">
        <w:rPr>
          <w:rFonts w:ascii="Arial" w:eastAsia="Times New Roman" w:hAnsi="Arial" w:cs="Arial"/>
          <w:color w:val="000000" w:themeColor="text1"/>
          <w:szCs w:val="20"/>
          <w:lang w:eastAsia="es-ES"/>
        </w:rPr>
        <w:t>.</w:t>
      </w:r>
      <w:r w:rsidR="00D7124E">
        <w:rPr>
          <w:rFonts w:ascii="Arial" w:eastAsia="Times New Roman" w:hAnsi="Arial" w:cs="Arial"/>
          <w:color w:val="000000" w:themeColor="text1"/>
          <w:szCs w:val="20"/>
          <w:lang w:eastAsia="es-ES"/>
        </w:rPr>
        <w:t xml:space="preserve"> </w:t>
      </w:r>
      <w:r w:rsidR="003F7077" w:rsidRPr="000E0F90">
        <w:rPr>
          <w:rFonts w:ascii="Arial" w:hAnsi="Arial" w:cs="Arial"/>
          <w:color w:val="000000" w:themeColor="text1"/>
        </w:rPr>
        <w:t>Respecto a los servicios de turismo registrados, se identifican servicios de alojamiento, alimentación</w:t>
      </w:r>
      <w:r w:rsidR="00D7124E">
        <w:rPr>
          <w:rFonts w:ascii="Arial" w:hAnsi="Arial" w:cs="Arial"/>
          <w:color w:val="000000" w:themeColor="text1"/>
        </w:rPr>
        <w:t xml:space="preserve"> y</w:t>
      </w:r>
      <w:r w:rsidR="003F7077" w:rsidRPr="000E0F90">
        <w:rPr>
          <w:rFonts w:ascii="Arial" w:hAnsi="Arial" w:cs="Arial"/>
          <w:color w:val="000000" w:themeColor="text1"/>
        </w:rPr>
        <w:t xml:space="preserve"> transporte</w:t>
      </w:r>
      <w:r w:rsidR="00D7124E">
        <w:rPr>
          <w:rFonts w:ascii="Arial" w:hAnsi="Arial" w:cs="Arial"/>
          <w:color w:val="000000" w:themeColor="text1"/>
        </w:rPr>
        <w:t>,</w:t>
      </w:r>
      <w:r w:rsidR="003F7077" w:rsidRPr="000E0F90">
        <w:rPr>
          <w:rFonts w:ascii="Arial" w:hAnsi="Arial" w:cs="Arial"/>
          <w:color w:val="000000" w:themeColor="text1"/>
        </w:rPr>
        <w:t xml:space="preserve"> únicamente en Punta de Choros, además de actividades de turismo aventura  </w:t>
      </w:r>
      <w:sdt>
        <w:sdtPr>
          <w:rPr>
            <w:rFonts w:ascii="Arial" w:hAnsi="Arial" w:cs="Arial"/>
            <w:color w:val="000000" w:themeColor="text1"/>
          </w:rPr>
          <w:id w:val="735133841"/>
          <w:citation/>
        </w:sdtPr>
        <w:sdtEndPr/>
        <w:sdtContent>
          <w:r w:rsidR="003F7077" w:rsidRPr="000E0F90">
            <w:rPr>
              <w:rFonts w:ascii="Arial" w:hAnsi="Arial" w:cs="Arial"/>
              <w:color w:val="000000" w:themeColor="text1"/>
            </w:rPr>
            <w:fldChar w:fldCharType="begin"/>
          </w:r>
          <w:r w:rsidR="003F7077" w:rsidRPr="000E0F90">
            <w:rPr>
              <w:rFonts w:ascii="Arial" w:hAnsi="Arial" w:cs="Arial"/>
              <w:color w:val="000000" w:themeColor="text1"/>
            </w:rPr>
            <w:instrText xml:space="preserve"> CITATION SER17 \l 13322 </w:instrText>
          </w:r>
          <w:r w:rsidR="003F7077" w:rsidRPr="000E0F90">
            <w:rPr>
              <w:rFonts w:ascii="Arial" w:hAnsi="Arial" w:cs="Arial"/>
              <w:color w:val="000000" w:themeColor="text1"/>
            </w:rPr>
            <w:fldChar w:fldCharType="separate"/>
          </w:r>
          <w:r w:rsidR="008D0261" w:rsidRPr="000E0F90">
            <w:rPr>
              <w:rFonts w:ascii="Arial" w:hAnsi="Arial" w:cs="Arial"/>
              <w:noProof/>
              <w:color w:val="000000" w:themeColor="text1"/>
            </w:rPr>
            <w:t>(SERNATUR, 2017)</w:t>
          </w:r>
          <w:r w:rsidR="003F7077" w:rsidRPr="000E0F90">
            <w:rPr>
              <w:rFonts w:ascii="Arial" w:hAnsi="Arial" w:cs="Arial"/>
              <w:color w:val="000000" w:themeColor="text1"/>
            </w:rPr>
            <w:fldChar w:fldCharType="end"/>
          </w:r>
        </w:sdtContent>
      </w:sdt>
      <w:r w:rsidR="003F7077" w:rsidRPr="000E0F90">
        <w:rPr>
          <w:rFonts w:ascii="Arial" w:hAnsi="Arial" w:cs="Arial"/>
          <w:color w:val="000000" w:themeColor="text1"/>
        </w:rPr>
        <w:t xml:space="preserve">. </w:t>
      </w:r>
    </w:p>
    <w:p w:rsidR="003F7077" w:rsidRPr="000E0F90" w:rsidRDefault="003F7077" w:rsidP="00702D9A">
      <w:pPr>
        <w:spacing w:after="0" w:line="360" w:lineRule="auto"/>
        <w:jc w:val="left"/>
        <w:rPr>
          <w:rFonts w:ascii="Arial" w:hAnsi="Arial" w:cs="Arial"/>
          <w:b/>
          <w:color w:val="000000" w:themeColor="text1"/>
        </w:rPr>
      </w:pPr>
      <w:r w:rsidRPr="000E0F90">
        <w:rPr>
          <w:rFonts w:ascii="Arial" w:hAnsi="Arial" w:cs="Arial"/>
          <w:b/>
          <w:color w:val="000000" w:themeColor="text1"/>
        </w:rPr>
        <w:t>Situación socioeconómica</w:t>
      </w:r>
    </w:p>
    <w:p w:rsidR="003F7077" w:rsidRDefault="003F7077" w:rsidP="00702D9A">
      <w:pPr>
        <w:spacing w:line="360" w:lineRule="auto"/>
        <w:rPr>
          <w:rFonts w:ascii="Arial" w:hAnsi="Arial" w:cs="Arial"/>
          <w:color w:val="000000" w:themeColor="text1"/>
        </w:rPr>
      </w:pPr>
      <w:r w:rsidRPr="000E0F90">
        <w:rPr>
          <w:rFonts w:ascii="Arial" w:hAnsi="Arial" w:cs="Arial"/>
          <w:color w:val="000000" w:themeColor="text1"/>
        </w:rPr>
        <w:t xml:space="preserve">En la comuna de La Higuera se evidencian 4 establecimientos de salud, lo cual representa el 2,3% de la existencia regional </w:t>
      </w:r>
      <w:sdt>
        <w:sdtPr>
          <w:rPr>
            <w:rFonts w:ascii="Arial" w:hAnsi="Arial" w:cs="Arial"/>
            <w:color w:val="000000" w:themeColor="text1"/>
          </w:rPr>
          <w:id w:val="-1846315820"/>
          <w:citation/>
        </w:sdtPr>
        <w:sdtEndPr/>
        <w:sdtContent>
          <w:r w:rsidRPr="000E0F90">
            <w:rPr>
              <w:rFonts w:ascii="Arial" w:hAnsi="Arial" w:cs="Arial"/>
              <w:color w:val="000000" w:themeColor="text1"/>
            </w:rPr>
            <w:fldChar w:fldCharType="begin"/>
          </w:r>
          <w:r w:rsidR="008A32ED" w:rsidRPr="000E0F90">
            <w:rPr>
              <w:rFonts w:ascii="Arial" w:hAnsi="Arial" w:cs="Arial"/>
              <w:color w:val="000000" w:themeColor="text1"/>
            </w:rPr>
            <w:instrText xml:space="preserve">CITATION Bib17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(BCN, 2017)</w:t>
          </w:r>
          <w:r w:rsidRPr="000E0F90">
            <w:rPr>
              <w:rFonts w:ascii="Arial" w:hAnsi="Arial" w:cs="Arial"/>
              <w:color w:val="000000" w:themeColor="text1"/>
            </w:rPr>
            <w:fldChar w:fldCharType="end"/>
          </w:r>
        </w:sdtContent>
      </w:sdt>
      <w:r w:rsidRPr="000E0F90">
        <w:rPr>
          <w:rFonts w:ascii="Arial" w:hAnsi="Arial" w:cs="Arial"/>
          <w:color w:val="000000" w:themeColor="text1"/>
        </w:rPr>
        <w:t>. Respecto a los centros educacion</w:t>
      </w:r>
      <w:r w:rsidR="00F35AF7" w:rsidRPr="000E0F90">
        <w:rPr>
          <w:rFonts w:ascii="Arial" w:hAnsi="Arial" w:cs="Arial"/>
          <w:color w:val="000000" w:themeColor="text1"/>
        </w:rPr>
        <w:t>a</w:t>
      </w:r>
      <w:r w:rsidRPr="000E0F90">
        <w:rPr>
          <w:rFonts w:ascii="Arial" w:hAnsi="Arial" w:cs="Arial"/>
          <w:color w:val="000000" w:themeColor="text1"/>
        </w:rPr>
        <w:t>l</w:t>
      </w:r>
      <w:r w:rsidR="00F35AF7" w:rsidRPr="000E0F90">
        <w:rPr>
          <w:rFonts w:ascii="Arial" w:hAnsi="Arial" w:cs="Arial"/>
          <w:color w:val="000000" w:themeColor="text1"/>
        </w:rPr>
        <w:t>es</w:t>
      </w:r>
      <w:r w:rsidRPr="000E0F90">
        <w:rPr>
          <w:rFonts w:ascii="Arial" w:hAnsi="Arial" w:cs="Arial"/>
          <w:color w:val="000000" w:themeColor="text1"/>
        </w:rPr>
        <w:t xml:space="preserve">, se identifican 7 </w:t>
      </w:r>
      <w:r w:rsidR="00D7124E">
        <w:rPr>
          <w:rFonts w:ascii="Arial" w:hAnsi="Arial" w:cs="Arial"/>
          <w:color w:val="000000" w:themeColor="text1"/>
        </w:rPr>
        <w:t>establecimientos</w:t>
      </w:r>
      <w:r w:rsidRPr="000E0F90">
        <w:rPr>
          <w:rFonts w:ascii="Arial" w:hAnsi="Arial" w:cs="Arial"/>
          <w:color w:val="000000" w:themeColor="text1"/>
        </w:rPr>
        <w:t xml:space="preserve">, para educación parvularia, básica de niños y educación especial, sin matrícula para educación básica y media para adultos, sin educación media para niños. </w:t>
      </w:r>
      <w:r w:rsidR="00F35AF7" w:rsidRPr="000E0F90">
        <w:rPr>
          <w:rFonts w:ascii="Arial" w:hAnsi="Arial" w:cs="Arial"/>
          <w:color w:val="000000" w:themeColor="text1"/>
        </w:rPr>
        <w:t>Además</w:t>
      </w:r>
      <w:r w:rsidRPr="000E0F90">
        <w:rPr>
          <w:rFonts w:ascii="Arial" w:hAnsi="Arial" w:cs="Arial"/>
          <w:color w:val="000000" w:themeColor="text1"/>
        </w:rPr>
        <w:t xml:space="preserve"> de ausencia de centros de educación superior </w:t>
      </w:r>
      <w:sdt>
        <w:sdtPr>
          <w:rPr>
            <w:rFonts w:ascii="Arial" w:hAnsi="Arial" w:cs="Arial"/>
            <w:color w:val="000000" w:themeColor="text1"/>
          </w:rPr>
          <w:id w:val="1677689015"/>
          <w:citation/>
        </w:sdtPr>
        <w:sdtEndPr/>
        <w:sdtContent>
          <w:r w:rsidRPr="000E0F90">
            <w:rPr>
              <w:rFonts w:ascii="Arial" w:hAnsi="Arial" w:cs="Arial"/>
              <w:color w:val="000000" w:themeColor="text1"/>
            </w:rPr>
            <w:fldChar w:fldCharType="begin"/>
          </w:r>
          <w:r w:rsidR="008A32ED" w:rsidRPr="000E0F90">
            <w:rPr>
              <w:rFonts w:ascii="Arial" w:hAnsi="Arial" w:cs="Arial"/>
              <w:color w:val="000000" w:themeColor="text1"/>
            </w:rPr>
            <w:instrText xml:space="preserve">CITATION Bib17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(BCN, 2017)</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w:t>
      </w:r>
    </w:p>
    <w:p w:rsidR="00253F8B" w:rsidRPr="000E0F90" w:rsidRDefault="00253F8B" w:rsidP="00702D9A">
      <w:pPr>
        <w:pStyle w:val="Ttulo3"/>
        <w:spacing w:line="360" w:lineRule="auto"/>
        <w:rPr>
          <w:rFonts w:ascii="Arial" w:hAnsi="Arial" w:cs="Arial"/>
          <w:lang w:eastAsia="es-ES"/>
        </w:rPr>
      </w:pPr>
      <w:r w:rsidRPr="000E0F90">
        <w:rPr>
          <w:rFonts w:ascii="Arial" w:hAnsi="Arial" w:cs="Arial"/>
          <w:lang w:eastAsia="es-ES"/>
        </w:rPr>
        <w:lastRenderedPageBreak/>
        <w:t xml:space="preserve">COMUNA DE SALAMANCA </w:t>
      </w:r>
    </w:p>
    <w:p w:rsidR="008C68E8" w:rsidRPr="000E0F90" w:rsidRDefault="00C92EEC" w:rsidP="00702D9A">
      <w:pPr>
        <w:pStyle w:val="Ttulo4"/>
        <w:spacing w:line="360" w:lineRule="auto"/>
        <w:rPr>
          <w:rFonts w:ascii="Arial" w:hAnsi="Arial" w:cs="Arial"/>
          <w:color w:val="000000" w:themeColor="text1"/>
          <w:lang w:eastAsia="es-ES"/>
        </w:rPr>
      </w:pPr>
      <w:r w:rsidRPr="000E0F90">
        <w:rPr>
          <w:rFonts w:ascii="Arial" w:hAnsi="Arial" w:cs="Arial"/>
          <w:color w:val="000000" w:themeColor="text1"/>
          <w:lang w:eastAsia="es-ES"/>
        </w:rPr>
        <w:t>Bio</w:t>
      </w:r>
      <w:r w:rsidR="008656EC">
        <w:rPr>
          <w:rFonts w:ascii="Arial" w:hAnsi="Arial" w:cs="Arial"/>
          <w:color w:val="000000" w:themeColor="text1"/>
          <w:lang w:eastAsia="es-ES"/>
        </w:rPr>
        <w:t>geoestrcutura C</w:t>
      </w:r>
      <w:r w:rsidR="00914155" w:rsidRPr="000E0F90">
        <w:rPr>
          <w:rFonts w:ascii="Arial" w:hAnsi="Arial" w:cs="Arial"/>
          <w:color w:val="000000" w:themeColor="text1"/>
          <w:lang w:eastAsia="es-ES"/>
        </w:rPr>
        <w:t>omuna Salamanca</w:t>
      </w:r>
    </w:p>
    <w:p w:rsidR="00740D3D" w:rsidRPr="000E0F90" w:rsidRDefault="008656EC" w:rsidP="00BA1041">
      <w:pPr>
        <w:spacing w:after="0" w:line="360" w:lineRule="auto"/>
        <w:jc w:val="left"/>
        <w:rPr>
          <w:rFonts w:ascii="Arial" w:eastAsia="Times New Roman" w:hAnsi="Arial" w:cs="Arial"/>
          <w:b/>
          <w:color w:val="000000" w:themeColor="text1"/>
          <w:szCs w:val="20"/>
          <w:lang w:eastAsia="es-ES"/>
        </w:rPr>
      </w:pPr>
      <w:r>
        <w:rPr>
          <w:noProof/>
          <w:lang w:eastAsia="es-CL"/>
        </w:rPr>
        <w:drawing>
          <wp:inline distT="0" distB="0" distL="0" distR="0" wp14:anchorId="738A89A2" wp14:editId="24CF0204">
            <wp:extent cx="5431790" cy="4139911"/>
            <wp:effectExtent l="0" t="0" r="0" b="0"/>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5431790" cy="4139911"/>
                    </a:xfrm>
                    <a:prstGeom prst="rect">
                      <a:avLst/>
                    </a:prstGeom>
                  </pic:spPr>
                </pic:pic>
              </a:graphicData>
            </a:graphic>
          </wp:inline>
        </w:drawing>
      </w:r>
    </w:p>
    <w:p w:rsidR="0086156A" w:rsidRPr="000E0F90" w:rsidRDefault="00740D3D" w:rsidP="00702D9A">
      <w:pPr>
        <w:pStyle w:val="Epgrafe"/>
        <w:spacing w:line="360" w:lineRule="auto"/>
        <w:jc w:val="center"/>
        <w:rPr>
          <w:rFonts w:ascii="Arial" w:eastAsia="Times New Roman" w:hAnsi="Arial" w:cs="Arial"/>
          <w:b w:val="0"/>
          <w:color w:val="000000" w:themeColor="text1"/>
          <w:sz w:val="22"/>
          <w:szCs w:val="20"/>
          <w:lang w:eastAsia="es-ES"/>
        </w:rPr>
      </w:pPr>
      <w:r w:rsidRPr="000E0F90">
        <w:rPr>
          <w:rFonts w:ascii="Arial" w:hAnsi="Arial" w:cs="Arial"/>
          <w:b w:val="0"/>
          <w:color w:val="000000" w:themeColor="text1"/>
          <w:sz w:val="22"/>
        </w:rPr>
        <w:t xml:space="preserve">Figura </w:t>
      </w:r>
      <w:r w:rsidRPr="000E0F90">
        <w:rPr>
          <w:rFonts w:ascii="Arial" w:hAnsi="Arial" w:cs="Arial"/>
          <w:b w:val="0"/>
          <w:color w:val="000000" w:themeColor="text1"/>
          <w:sz w:val="22"/>
        </w:rPr>
        <w:fldChar w:fldCharType="begin"/>
      </w:r>
      <w:r w:rsidRPr="000E0F90">
        <w:rPr>
          <w:rFonts w:ascii="Arial" w:hAnsi="Arial" w:cs="Arial"/>
          <w:b w:val="0"/>
          <w:color w:val="000000" w:themeColor="text1"/>
          <w:sz w:val="22"/>
        </w:rPr>
        <w:instrText xml:space="preserve"> SEQ Figura \* ARABIC </w:instrText>
      </w:r>
      <w:r w:rsidRPr="000E0F90">
        <w:rPr>
          <w:rFonts w:ascii="Arial" w:hAnsi="Arial" w:cs="Arial"/>
          <w:b w:val="0"/>
          <w:color w:val="000000" w:themeColor="text1"/>
          <w:sz w:val="22"/>
        </w:rPr>
        <w:fldChar w:fldCharType="separate"/>
      </w:r>
      <w:r w:rsidR="00225844">
        <w:rPr>
          <w:rFonts w:ascii="Arial" w:hAnsi="Arial" w:cs="Arial"/>
          <w:b w:val="0"/>
          <w:noProof/>
          <w:color w:val="000000" w:themeColor="text1"/>
          <w:sz w:val="22"/>
        </w:rPr>
        <w:t>21</w:t>
      </w:r>
      <w:r w:rsidRPr="000E0F90">
        <w:rPr>
          <w:rFonts w:ascii="Arial" w:hAnsi="Arial" w:cs="Arial"/>
          <w:b w:val="0"/>
          <w:color w:val="000000" w:themeColor="text1"/>
          <w:sz w:val="22"/>
        </w:rPr>
        <w:fldChar w:fldCharType="end"/>
      </w:r>
      <w:r w:rsidRPr="000E0F90">
        <w:rPr>
          <w:rFonts w:ascii="Arial" w:eastAsia="Times New Roman" w:hAnsi="Arial" w:cs="Arial"/>
          <w:b w:val="0"/>
          <w:color w:val="000000" w:themeColor="text1"/>
          <w:sz w:val="22"/>
          <w:szCs w:val="20"/>
          <w:lang w:eastAsia="es-ES"/>
        </w:rPr>
        <w:t>: Mapa de Biogeoestructura de la comuna de Salamanca (Elaboración propia)</w:t>
      </w:r>
    </w:p>
    <w:p w:rsidR="00AE16AE" w:rsidRDefault="00AE16AE" w:rsidP="00AE16AE">
      <w:pPr>
        <w:spacing w:after="0" w:line="360" w:lineRule="auto"/>
        <w:jc w:val="left"/>
        <w:rPr>
          <w:rFonts w:ascii="Arial" w:eastAsia="Times New Roman" w:hAnsi="Arial" w:cs="Arial"/>
          <w:b/>
          <w:color w:val="000000" w:themeColor="text1"/>
          <w:szCs w:val="20"/>
          <w:lang w:eastAsia="es-ES"/>
        </w:rPr>
      </w:pPr>
    </w:p>
    <w:p w:rsidR="001963E4" w:rsidRPr="000E0F90" w:rsidRDefault="001963E4" w:rsidP="00AE16AE">
      <w:pPr>
        <w:spacing w:after="0" w:line="360" w:lineRule="auto"/>
        <w:jc w:val="left"/>
        <w:rPr>
          <w:rFonts w:ascii="Arial" w:hAnsi="Arial" w:cs="Arial"/>
          <w:b/>
          <w:color w:val="000000" w:themeColor="text1"/>
        </w:rPr>
      </w:pPr>
      <w:r w:rsidRPr="000E0F90">
        <w:rPr>
          <w:rFonts w:ascii="Arial" w:eastAsia="Times New Roman" w:hAnsi="Arial" w:cs="Arial"/>
          <w:b/>
          <w:color w:val="000000" w:themeColor="text1"/>
          <w:szCs w:val="20"/>
          <w:lang w:eastAsia="es-ES"/>
        </w:rPr>
        <w:t xml:space="preserve">Localización </w:t>
      </w:r>
      <w:r w:rsidRPr="000E0F90">
        <w:rPr>
          <w:rFonts w:ascii="Arial" w:hAnsi="Arial" w:cs="Arial"/>
          <w:b/>
          <w:color w:val="000000" w:themeColor="text1"/>
        </w:rPr>
        <w:t>geográfica, administrativa y ecológica</w:t>
      </w:r>
    </w:p>
    <w:p w:rsidR="00AE16AE" w:rsidRDefault="001963E4" w:rsidP="00AE16AE">
      <w:pPr>
        <w:spacing w:line="360" w:lineRule="auto"/>
        <w:rPr>
          <w:rFonts w:ascii="Arial" w:hAnsi="Arial" w:cs="Arial"/>
          <w:color w:val="000000" w:themeColor="text1"/>
        </w:rPr>
      </w:pPr>
      <w:r w:rsidRPr="000E0F90">
        <w:rPr>
          <w:rFonts w:ascii="Arial" w:hAnsi="Arial" w:cs="Arial"/>
          <w:color w:val="000000" w:themeColor="text1"/>
        </w:rPr>
        <w:t xml:space="preserve">Geográficamente la comuna se encuentra ubicada en el extremo </w:t>
      </w:r>
      <w:r w:rsidR="00AE16AE" w:rsidRPr="000E0F90">
        <w:rPr>
          <w:rFonts w:ascii="Arial" w:hAnsi="Arial" w:cs="Arial"/>
          <w:color w:val="000000" w:themeColor="text1"/>
        </w:rPr>
        <w:t>sur</w:t>
      </w:r>
      <w:r w:rsidR="00AE16AE">
        <w:rPr>
          <w:rFonts w:ascii="Arial" w:hAnsi="Arial" w:cs="Arial"/>
          <w:color w:val="000000" w:themeColor="text1"/>
        </w:rPr>
        <w:t>oriente</w:t>
      </w:r>
      <w:r w:rsidRPr="000E0F90">
        <w:rPr>
          <w:rFonts w:ascii="Arial" w:hAnsi="Arial" w:cs="Arial"/>
          <w:color w:val="000000" w:themeColor="text1"/>
        </w:rPr>
        <w:t xml:space="preserve"> de la región de C</w:t>
      </w:r>
      <w:r w:rsidR="00AE16AE">
        <w:rPr>
          <w:rFonts w:ascii="Arial" w:hAnsi="Arial" w:cs="Arial"/>
          <w:color w:val="000000" w:themeColor="text1"/>
        </w:rPr>
        <w:t>oquimbo</w:t>
      </w:r>
      <w:r w:rsidRPr="000E0F90">
        <w:rPr>
          <w:rFonts w:ascii="Arial" w:hAnsi="Arial" w:cs="Arial"/>
          <w:color w:val="000000" w:themeColor="text1"/>
        </w:rPr>
        <w:t xml:space="preserve">. Presenta una superficie de 3.445,3 km2, correspondiente al 34% y al 8,5% de la superficie provincial y regional, respectivamente </w:t>
      </w:r>
      <w:sdt>
        <w:sdtPr>
          <w:rPr>
            <w:rFonts w:ascii="Arial" w:hAnsi="Arial" w:cs="Arial"/>
            <w:color w:val="000000" w:themeColor="text1"/>
          </w:rPr>
          <w:id w:val="-2020996944"/>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INE071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(INE, 2007)</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w:t>
      </w:r>
      <w:r w:rsidR="00AE16AE">
        <w:rPr>
          <w:rFonts w:ascii="Arial" w:hAnsi="Arial" w:cs="Arial"/>
          <w:color w:val="000000" w:themeColor="text1"/>
        </w:rPr>
        <w:t>L</w:t>
      </w:r>
      <w:r w:rsidRPr="000E0F90">
        <w:rPr>
          <w:rFonts w:ascii="Arial" w:hAnsi="Arial" w:cs="Arial"/>
          <w:color w:val="000000" w:themeColor="text1"/>
        </w:rPr>
        <w:t xml:space="preserve">imita al norte con la comuna de Illapel, al Poniente con la comuna de Los Vilos, al oriente con territorio argentino y al sur con las comunas de Petorca, Cabildo y Putaendo, de la Región de Valparaíso. </w:t>
      </w:r>
      <w:r w:rsidR="00F64C8B" w:rsidRPr="000E0F90">
        <w:rPr>
          <w:rFonts w:ascii="Arial" w:hAnsi="Arial" w:cs="Arial"/>
          <w:color w:val="000000" w:themeColor="text1"/>
        </w:rPr>
        <w:t>La localización administrativa de la comuna de Salamanca corresponde a la macrorregión de Sudamérica, en el país Chile, en la IV Región de Coquimbo, ubicada en el límite sur de la Provincia del Choapa.</w:t>
      </w:r>
      <w:r w:rsidR="00A33AAA" w:rsidRPr="000E0F90">
        <w:rPr>
          <w:rFonts w:ascii="Arial" w:hAnsi="Arial" w:cs="Arial"/>
          <w:color w:val="000000" w:themeColor="text1"/>
        </w:rPr>
        <w:t xml:space="preserve"> </w:t>
      </w:r>
    </w:p>
    <w:p w:rsidR="001963E4" w:rsidRPr="000E0F90" w:rsidRDefault="001963E4" w:rsidP="00AE16AE">
      <w:pPr>
        <w:spacing w:line="360" w:lineRule="auto"/>
        <w:rPr>
          <w:rFonts w:ascii="Arial" w:eastAsia="Times New Roman" w:hAnsi="Arial" w:cs="Arial"/>
          <w:color w:val="000000" w:themeColor="text1"/>
          <w:szCs w:val="20"/>
          <w:lang w:eastAsia="es-ES"/>
        </w:rPr>
      </w:pPr>
      <w:r w:rsidRPr="000E0F90">
        <w:rPr>
          <w:rFonts w:ascii="Arial" w:eastAsia="Times New Roman" w:hAnsi="Arial" w:cs="Arial"/>
          <w:color w:val="000000" w:themeColor="text1"/>
          <w:szCs w:val="20"/>
          <w:lang w:eastAsia="es-ES"/>
        </w:rPr>
        <w:lastRenderedPageBreak/>
        <w:t>Según  el  Sistema  de  Clasificación  de  Ecorregiones  de  Gastó,  Cosio  y  Panario  (1993), la superficie comunal se e</w:t>
      </w:r>
      <w:r w:rsidR="005860B3" w:rsidRPr="000E0F90">
        <w:rPr>
          <w:rFonts w:ascii="Arial" w:eastAsia="Times New Roman" w:hAnsi="Arial" w:cs="Arial"/>
          <w:color w:val="000000" w:themeColor="text1"/>
          <w:szCs w:val="20"/>
          <w:lang w:eastAsia="es-ES"/>
        </w:rPr>
        <w:t>ncuentra localizada en el Reino Seco, Dominio Es</w:t>
      </w:r>
      <w:r w:rsidR="001C0713" w:rsidRPr="000E0F90">
        <w:rPr>
          <w:rFonts w:ascii="Arial" w:eastAsia="Times New Roman" w:hAnsi="Arial" w:cs="Arial"/>
          <w:color w:val="000000" w:themeColor="text1"/>
          <w:szCs w:val="20"/>
          <w:lang w:eastAsia="es-ES"/>
        </w:rPr>
        <w:t>tep</w:t>
      </w:r>
      <w:r w:rsidR="005860B3" w:rsidRPr="000E0F90">
        <w:rPr>
          <w:rFonts w:ascii="Arial" w:eastAsia="Times New Roman" w:hAnsi="Arial" w:cs="Arial"/>
          <w:color w:val="000000" w:themeColor="text1"/>
          <w:szCs w:val="20"/>
          <w:lang w:eastAsia="es-ES"/>
        </w:rPr>
        <w:t xml:space="preserve">ario, con la presencia de las Provincia Esteparia </w:t>
      </w:r>
      <w:r w:rsidR="00C9729C" w:rsidRPr="000E0F90">
        <w:rPr>
          <w:rFonts w:ascii="Arial" w:eastAsia="Times New Roman" w:hAnsi="Arial" w:cs="Arial"/>
          <w:color w:val="000000" w:themeColor="text1"/>
          <w:szCs w:val="20"/>
          <w:lang w:eastAsia="es-ES"/>
        </w:rPr>
        <w:t xml:space="preserve">Mediterránea y de Montaña; </w:t>
      </w:r>
      <w:r w:rsidR="00224C52" w:rsidRPr="000E0F90">
        <w:rPr>
          <w:rFonts w:ascii="Arial" w:eastAsia="Times New Roman" w:hAnsi="Arial" w:cs="Arial"/>
          <w:color w:val="000000" w:themeColor="text1"/>
          <w:szCs w:val="20"/>
          <w:lang w:eastAsia="es-ES"/>
        </w:rPr>
        <w:t xml:space="preserve">y </w:t>
      </w:r>
      <w:r w:rsidR="00C9729C" w:rsidRPr="000E0F90">
        <w:rPr>
          <w:rFonts w:ascii="Arial" w:eastAsia="Times New Roman" w:hAnsi="Arial" w:cs="Arial"/>
          <w:color w:val="000000" w:themeColor="text1"/>
          <w:szCs w:val="20"/>
          <w:lang w:eastAsia="es-ES"/>
        </w:rPr>
        <w:t xml:space="preserve">en </w:t>
      </w:r>
      <w:r w:rsidR="00224C52" w:rsidRPr="000E0F90">
        <w:rPr>
          <w:rFonts w:ascii="Arial" w:eastAsia="Times New Roman" w:hAnsi="Arial" w:cs="Arial"/>
          <w:color w:val="000000" w:themeColor="text1"/>
          <w:szCs w:val="20"/>
          <w:lang w:eastAsia="es-ES"/>
        </w:rPr>
        <w:t xml:space="preserve">el Reino Nevado, dominio Nival, </w:t>
      </w:r>
      <w:r w:rsidR="00C9729C" w:rsidRPr="000E0F90">
        <w:rPr>
          <w:rFonts w:ascii="Arial" w:eastAsia="Times New Roman" w:hAnsi="Arial" w:cs="Arial"/>
          <w:color w:val="000000" w:themeColor="text1"/>
          <w:szCs w:val="20"/>
          <w:lang w:eastAsia="es-ES"/>
        </w:rPr>
        <w:t xml:space="preserve">bajo </w:t>
      </w:r>
      <w:r w:rsidR="00224C52" w:rsidRPr="000E0F90">
        <w:rPr>
          <w:rFonts w:ascii="Arial" w:eastAsia="Times New Roman" w:hAnsi="Arial" w:cs="Arial"/>
          <w:color w:val="000000" w:themeColor="text1"/>
          <w:szCs w:val="20"/>
          <w:lang w:eastAsia="es-ES"/>
        </w:rPr>
        <w:t>la Provincia Nival de Altura.</w:t>
      </w:r>
    </w:p>
    <w:p w:rsidR="001963E4" w:rsidRPr="000E0F90" w:rsidRDefault="001963E4" w:rsidP="00702D9A">
      <w:pPr>
        <w:spacing w:after="0" w:line="360" w:lineRule="auto"/>
        <w:jc w:val="left"/>
        <w:rPr>
          <w:rFonts w:ascii="Arial" w:eastAsia="Times New Roman" w:hAnsi="Arial" w:cs="Arial"/>
          <w:b/>
          <w:color w:val="000000" w:themeColor="text1"/>
          <w:lang w:eastAsia="es-ES"/>
        </w:rPr>
      </w:pPr>
      <w:r w:rsidRPr="000E0F90">
        <w:rPr>
          <w:rFonts w:ascii="Arial" w:eastAsia="Times New Roman" w:hAnsi="Arial" w:cs="Arial"/>
          <w:b/>
          <w:color w:val="000000" w:themeColor="text1"/>
          <w:lang w:eastAsia="es-ES"/>
        </w:rPr>
        <w:t>Clima</w:t>
      </w:r>
    </w:p>
    <w:p w:rsidR="00C04C65" w:rsidRPr="000E0F90" w:rsidRDefault="00470593" w:rsidP="00702D9A">
      <w:pPr>
        <w:spacing w:line="360" w:lineRule="auto"/>
        <w:rPr>
          <w:rFonts w:ascii="Arial" w:eastAsia="Times New Roman" w:hAnsi="Arial" w:cs="Arial"/>
          <w:color w:val="000000" w:themeColor="text1"/>
          <w:szCs w:val="20"/>
          <w:lang w:eastAsia="es-ES"/>
        </w:rPr>
      </w:pPr>
      <w:r w:rsidRPr="000E0F90">
        <w:rPr>
          <w:rFonts w:ascii="Arial" w:eastAsia="Times New Roman" w:hAnsi="Arial" w:cs="Arial"/>
          <w:color w:val="000000" w:themeColor="text1"/>
          <w:lang w:eastAsia="es-ES"/>
        </w:rPr>
        <w:t xml:space="preserve">Respecto a las precipitaciones de la comuna de Salamanca, presenta un patrón de tipo mediterráneo (precipitaciones invernales) y con influencia oceánica dada la distribución de lluvias todo el año </w:t>
      </w:r>
      <w:r w:rsidRPr="000E0F90">
        <w:rPr>
          <w:rFonts w:ascii="Arial" w:eastAsia="Times New Roman" w:hAnsi="Arial" w:cs="Arial"/>
          <w:color w:val="000000" w:themeColor="text1"/>
          <w:szCs w:val="20"/>
          <w:lang w:eastAsia="es-ES"/>
        </w:rPr>
        <w:t xml:space="preserve">(IREN, 1979; en </w:t>
      </w:r>
      <w:sdt>
        <w:sdtPr>
          <w:rPr>
            <w:rFonts w:ascii="Arial" w:eastAsia="Times New Roman" w:hAnsi="Arial" w:cs="Arial"/>
            <w:color w:val="000000" w:themeColor="text1"/>
            <w:szCs w:val="20"/>
            <w:lang w:eastAsia="es-ES"/>
          </w:rPr>
          <w:id w:val="-354891911"/>
          <w:citation/>
        </w:sdtPr>
        <w:sdtEndPr/>
        <w:sdtContent>
          <w:r w:rsidRPr="000E0F90">
            <w:rPr>
              <w:rFonts w:ascii="Arial" w:eastAsia="Times New Roman" w:hAnsi="Arial" w:cs="Arial"/>
              <w:color w:val="000000" w:themeColor="text1"/>
              <w:szCs w:val="20"/>
              <w:lang w:eastAsia="es-ES"/>
            </w:rPr>
            <w:fldChar w:fldCharType="begin"/>
          </w:r>
          <w:r w:rsidRPr="000E0F90">
            <w:rPr>
              <w:rFonts w:ascii="Arial" w:eastAsia="Times New Roman" w:hAnsi="Arial" w:cs="Arial"/>
              <w:color w:val="000000" w:themeColor="text1"/>
              <w:szCs w:val="20"/>
              <w:lang w:eastAsia="es-ES"/>
            </w:rPr>
            <w:instrText xml:space="preserve"> CITATION Gal06 \l 13322 </w:instrText>
          </w:r>
          <w:r w:rsidRPr="000E0F90">
            <w:rPr>
              <w:rFonts w:ascii="Arial" w:eastAsia="Times New Roman" w:hAnsi="Arial" w:cs="Arial"/>
              <w:color w:val="000000" w:themeColor="text1"/>
              <w:szCs w:val="20"/>
              <w:lang w:eastAsia="es-ES"/>
            </w:rPr>
            <w:fldChar w:fldCharType="separate"/>
          </w:r>
          <w:r w:rsidR="008D0261" w:rsidRPr="000E0F90">
            <w:rPr>
              <w:rFonts w:ascii="Arial" w:eastAsia="Times New Roman" w:hAnsi="Arial" w:cs="Arial"/>
              <w:noProof/>
              <w:color w:val="000000" w:themeColor="text1"/>
              <w:szCs w:val="20"/>
              <w:lang w:eastAsia="es-ES"/>
            </w:rPr>
            <w:t>(Gallardo, 2006)</w:t>
          </w:r>
          <w:r w:rsidRPr="000E0F90">
            <w:rPr>
              <w:rFonts w:ascii="Arial" w:eastAsia="Times New Roman" w:hAnsi="Arial" w:cs="Arial"/>
              <w:color w:val="000000" w:themeColor="text1"/>
              <w:szCs w:val="20"/>
              <w:lang w:eastAsia="es-ES"/>
            </w:rPr>
            <w:fldChar w:fldCharType="end"/>
          </w:r>
        </w:sdtContent>
      </w:sdt>
      <w:r w:rsidR="003F2E43" w:rsidRPr="000E0F90">
        <w:rPr>
          <w:rFonts w:ascii="Arial" w:eastAsia="Times New Roman" w:hAnsi="Arial" w:cs="Arial"/>
          <w:color w:val="000000" w:themeColor="text1"/>
          <w:szCs w:val="20"/>
          <w:lang w:eastAsia="es-ES"/>
        </w:rPr>
        <w:t xml:space="preserve">. </w:t>
      </w:r>
      <w:r w:rsidR="00AE16AE">
        <w:rPr>
          <w:rFonts w:ascii="Arial" w:eastAsia="Times New Roman" w:hAnsi="Arial" w:cs="Arial"/>
          <w:color w:val="000000" w:themeColor="text1"/>
          <w:szCs w:val="20"/>
          <w:lang w:eastAsia="es-ES"/>
        </w:rPr>
        <w:t>L</w:t>
      </w:r>
      <w:r w:rsidR="00837F91" w:rsidRPr="000E0F90">
        <w:rPr>
          <w:rFonts w:ascii="Arial" w:eastAsia="Times New Roman" w:hAnsi="Arial" w:cs="Arial"/>
          <w:color w:val="000000" w:themeColor="text1"/>
          <w:lang w:eastAsia="es-ES"/>
        </w:rPr>
        <w:t xml:space="preserve">as precipitaciones </w:t>
      </w:r>
      <w:r w:rsidR="00544C71" w:rsidRPr="000E0F90">
        <w:rPr>
          <w:rFonts w:ascii="Arial" w:eastAsia="Times New Roman" w:hAnsi="Arial" w:cs="Arial"/>
          <w:color w:val="000000" w:themeColor="text1"/>
          <w:lang w:eastAsia="es-ES"/>
        </w:rPr>
        <w:t xml:space="preserve">anuales se encuentran entre los 100 y 300 mm, las cuales </w:t>
      </w:r>
      <w:r w:rsidR="00837F91" w:rsidRPr="000E0F90">
        <w:rPr>
          <w:rFonts w:ascii="Arial" w:eastAsia="Times New Roman" w:hAnsi="Arial" w:cs="Arial"/>
          <w:color w:val="000000" w:themeColor="text1"/>
          <w:lang w:eastAsia="es-ES"/>
        </w:rPr>
        <w:t>se concentran</w:t>
      </w:r>
      <w:r w:rsidR="00C04C65" w:rsidRPr="000E0F90">
        <w:rPr>
          <w:rFonts w:ascii="Arial" w:eastAsia="Times New Roman" w:hAnsi="Arial" w:cs="Arial"/>
          <w:color w:val="000000" w:themeColor="text1"/>
          <w:lang w:eastAsia="es-ES"/>
        </w:rPr>
        <w:t xml:space="preserve"> </w:t>
      </w:r>
      <w:r w:rsidR="00837F91" w:rsidRPr="000E0F90">
        <w:rPr>
          <w:rFonts w:ascii="Arial" w:eastAsia="Times New Roman" w:hAnsi="Arial" w:cs="Arial"/>
          <w:color w:val="000000" w:themeColor="text1"/>
          <w:lang w:eastAsia="es-ES"/>
        </w:rPr>
        <w:t xml:space="preserve">en los meses de </w:t>
      </w:r>
      <w:r w:rsidR="00AE16AE" w:rsidRPr="000E0F90">
        <w:rPr>
          <w:rFonts w:ascii="Arial" w:eastAsia="Times New Roman" w:hAnsi="Arial" w:cs="Arial"/>
          <w:color w:val="000000" w:themeColor="text1"/>
          <w:lang w:eastAsia="es-ES"/>
        </w:rPr>
        <w:t>invierno</w:t>
      </w:r>
      <w:r w:rsidR="00AE16AE">
        <w:rPr>
          <w:rFonts w:ascii="Arial" w:eastAsia="Times New Roman" w:hAnsi="Arial" w:cs="Arial"/>
          <w:color w:val="000000" w:themeColor="text1"/>
          <w:lang w:eastAsia="es-ES"/>
        </w:rPr>
        <w:t xml:space="preserve"> (mayo a agosto)</w:t>
      </w:r>
      <w:r w:rsidR="00EB65F8" w:rsidRPr="000E0F90">
        <w:rPr>
          <w:rFonts w:ascii="Arial" w:eastAsia="Times New Roman" w:hAnsi="Arial" w:cs="Arial"/>
          <w:color w:val="000000" w:themeColor="text1"/>
          <w:lang w:eastAsia="es-ES"/>
        </w:rPr>
        <w:t xml:space="preserve">, </w:t>
      </w:r>
      <w:r w:rsidR="00AE16AE" w:rsidRPr="000E0F90">
        <w:rPr>
          <w:rFonts w:ascii="Arial" w:eastAsia="Times New Roman" w:hAnsi="Arial" w:cs="Arial"/>
          <w:color w:val="000000" w:themeColor="text1"/>
          <w:lang w:eastAsia="es-ES"/>
        </w:rPr>
        <w:t>se registrán</w:t>
      </w:r>
      <w:r w:rsidR="00AE16AE">
        <w:rPr>
          <w:rFonts w:ascii="Arial" w:eastAsia="Times New Roman" w:hAnsi="Arial" w:cs="Arial"/>
          <w:color w:val="000000" w:themeColor="text1"/>
          <w:lang w:eastAsia="es-ES"/>
        </w:rPr>
        <w:t>dose</w:t>
      </w:r>
      <w:r w:rsidR="00AE16AE" w:rsidRPr="000E0F90">
        <w:rPr>
          <w:rFonts w:ascii="Arial" w:eastAsia="Times New Roman" w:hAnsi="Arial" w:cs="Arial"/>
          <w:color w:val="000000" w:themeColor="text1"/>
          <w:lang w:eastAsia="es-ES"/>
        </w:rPr>
        <w:t xml:space="preserve"> las menores precipitaciones </w:t>
      </w:r>
      <w:r w:rsidR="00EB65F8" w:rsidRPr="000E0F90">
        <w:rPr>
          <w:rFonts w:ascii="Arial" w:eastAsia="Times New Roman" w:hAnsi="Arial" w:cs="Arial"/>
          <w:color w:val="000000" w:themeColor="text1"/>
          <w:lang w:eastAsia="es-ES"/>
        </w:rPr>
        <w:t xml:space="preserve">en los meses de diciembre a febrero </w:t>
      </w:r>
      <w:sdt>
        <w:sdtPr>
          <w:rPr>
            <w:rFonts w:ascii="Arial" w:eastAsia="Times New Roman" w:hAnsi="Arial" w:cs="Arial"/>
            <w:color w:val="000000" w:themeColor="text1"/>
            <w:lang w:eastAsia="es-ES"/>
          </w:rPr>
          <w:id w:val="1737361447"/>
          <w:citation/>
        </w:sdtPr>
        <w:sdtEndPr/>
        <w:sdtContent>
          <w:r w:rsidR="00EB65F8" w:rsidRPr="000E0F90">
            <w:rPr>
              <w:rFonts w:ascii="Arial" w:eastAsia="Times New Roman" w:hAnsi="Arial" w:cs="Arial"/>
              <w:color w:val="000000" w:themeColor="text1"/>
              <w:lang w:eastAsia="es-ES"/>
            </w:rPr>
            <w:fldChar w:fldCharType="begin"/>
          </w:r>
          <w:r w:rsidR="00EB65F8" w:rsidRPr="000E0F90">
            <w:rPr>
              <w:rFonts w:ascii="Arial" w:eastAsia="Times New Roman" w:hAnsi="Arial" w:cs="Arial"/>
              <w:color w:val="000000" w:themeColor="text1"/>
              <w:lang w:eastAsia="es-ES"/>
            </w:rPr>
            <w:instrText xml:space="preserve">CITATION DGA17 \t  \l 13322 </w:instrText>
          </w:r>
          <w:r w:rsidR="00EB65F8" w:rsidRPr="000E0F90">
            <w:rPr>
              <w:rFonts w:ascii="Arial" w:eastAsia="Times New Roman" w:hAnsi="Arial" w:cs="Arial"/>
              <w:color w:val="000000" w:themeColor="text1"/>
              <w:lang w:eastAsia="es-ES"/>
            </w:rPr>
            <w:fldChar w:fldCharType="separate"/>
          </w:r>
          <w:r w:rsidR="008D0261" w:rsidRPr="000E0F90">
            <w:rPr>
              <w:rFonts w:ascii="Arial" w:eastAsia="Times New Roman" w:hAnsi="Arial" w:cs="Arial"/>
              <w:noProof/>
              <w:color w:val="000000" w:themeColor="text1"/>
              <w:lang w:eastAsia="es-ES"/>
            </w:rPr>
            <w:t>(DGA, 2017)</w:t>
          </w:r>
          <w:r w:rsidR="00EB65F8" w:rsidRPr="000E0F90">
            <w:rPr>
              <w:rFonts w:ascii="Arial" w:eastAsia="Times New Roman" w:hAnsi="Arial" w:cs="Arial"/>
              <w:color w:val="000000" w:themeColor="text1"/>
              <w:lang w:eastAsia="es-ES"/>
            </w:rPr>
            <w:fldChar w:fldCharType="end"/>
          </w:r>
        </w:sdtContent>
      </w:sdt>
      <w:r w:rsidR="00EB65F8" w:rsidRPr="000E0F90">
        <w:rPr>
          <w:rFonts w:ascii="Arial" w:eastAsia="Times New Roman" w:hAnsi="Arial" w:cs="Arial"/>
          <w:color w:val="000000" w:themeColor="text1"/>
          <w:lang w:eastAsia="es-ES"/>
        </w:rPr>
        <w:t>.</w:t>
      </w:r>
      <w:r w:rsidR="00C04C65" w:rsidRPr="000E0F90">
        <w:rPr>
          <w:rFonts w:ascii="Arial" w:eastAsia="Times New Roman" w:hAnsi="Arial" w:cs="Arial"/>
          <w:color w:val="000000" w:themeColor="text1"/>
          <w:szCs w:val="20"/>
          <w:lang w:eastAsia="es-ES"/>
        </w:rPr>
        <w:t xml:space="preserve"> Las precipitaciones presentan un gradiente</w:t>
      </w:r>
      <w:r w:rsidRPr="000E0F90">
        <w:rPr>
          <w:rFonts w:ascii="Arial" w:eastAsia="Times New Roman" w:hAnsi="Arial" w:cs="Arial"/>
          <w:color w:val="000000" w:themeColor="text1"/>
          <w:szCs w:val="20"/>
          <w:lang w:eastAsia="es-ES"/>
        </w:rPr>
        <w:t xml:space="preserve"> altitud</w:t>
      </w:r>
      <w:r w:rsidR="001C0713" w:rsidRPr="000E0F90">
        <w:rPr>
          <w:rFonts w:ascii="Arial" w:eastAsia="Times New Roman" w:hAnsi="Arial" w:cs="Arial"/>
          <w:color w:val="000000" w:themeColor="text1"/>
          <w:szCs w:val="20"/>
          <w:lang w:eastAsia="es-ES"/>
        </w:rPr>
        <w:t>inal</w:t>
      </w:r>
      <w:r w:rsidR="00AE16AE">
        <w:rPr>
          <w:rFonts w:ascii="Arial" w:eastAsia="Times New Roman" w:hAnsi="Arial" w:cs="Arial"/>
          <w:color w:val="000000" w:themeColor="text1"/>
          <w:szCs w:val="20"/>
          <w:lang w:eastAsia="es-ES"/>
        </w:rPr>
        <w:t xml:space="preserve"> </w:t>
      </w:r>
      <w:r w:rsidRPr="000E0F90">
        <w:rPr>
          <w:rFonts w:ascii="Arial" w:eastAsia="Times New Roman" w:hAnsi="Arial" w:cs="Arial"/>
          <w:color w:val="000000" w:themeColor="text1"/>
          <w:szCs w:val="20"/>
          <w:lang w:eastAsia="es-ES"/>
        </w:rPr>
        <w:t>(IREN, 1979).</w:t>
      </w:r>
      <w:r w:rsidR="005D571F" w:rsidRPr="000E0F90">
        <w:rPr>
          <w:rFonts w:ascii="Arial" w:eastAsia="Times New Roman" w:hAnsi="Arial" w:cs="Arial"/>
          <w:color w:val="000000" w:themeColor="text1"/>
          <w:szCs w:val="20"/>
          <w:lang w:eastAsia="es-ES"/>
        </w:rPr>
        <w:t xml:space="preserve"> </w:t>
      </w:r>
      <w:r w:rsidRPr="000E0F90">
        <w:rPr>
          <w:rFonts w:ascii="Arial" w:eastAsia="Times New Roman" w:hAnsi="Arial" w:cs="Arial"/>
          <w:color w:val="000000" w:themeColor="text1"/>
          <w:szCs w:val="20"/>
          <w:lang w:eastAsia="es-ES"/>
        </w:rPr>
        <w:t xml:space="preserve">En cuanto a la temperatura, </w:t>
      </w:r>
      <w:r w:rsidR="0005225D">
        <w:rPr>
          <w:rFonts w:ascii="Arial" w:eastAsia="Times New Roman" w:hAnsi="Arial" w:cs="Arial"/>
          <w:color w:val="000000" w:themeColor="text1"/>
          <w:szCs w:val="20"/>
          <w:lang w:eastAsia="es-ES"/>
        </w:rPr>
        <w:t>las</w:t>
      </w:r>
      <w:r w:rsidRPr="000E0F90">
        <w:rPr>
          <w:rFonts w:ascii="Arial" w:eastAsia="Times New Roman" w:hAnsi="Arial" w:cs="Arial"/>
          <w:color w:val="000000" w:themeColor="text1"/>
          <w:szCs w:val="20"/>
          <w:lang w:eastAsia="es-ES"/>
        </w:rPr>
        <w:t xml:space="preserve"> máximas</w:t>
      </w:r>
      <w:r w:rsidR="0005225D">
        <w:rPr>
          <w:rFonts w:ascii="Arial" w:eastAsia="Times New Roman" w:hAnsi="Arial" w:cs="Arial"/>
          <w:color w:val="000000" w:themeColor="text1"/>
          <w:szCs w:val="20"/>
          <w:lang w:eastAsia="es-ES"/>
        </w:rPr>
        <w:t xml:space="preserve"> alcanzan entre 23°C y 27°C</w:t>
      </w:r>
      <w:r w:rsidR="00AE16AE" w:rsidRPr="000E0F90">
        <w:rPr>
          <w:rFonts w:ascii="Arial" w:eastAsia="Times New Roman" w:hAnsi="Arial" w:cs="Arial"/>
          <w:color w:val="000000" w:themeColor="text1"/>
          <w:szCs w:val="20"/>
          <w:lang w:eastAsia="es-ES"/>
        </w:rPr>
        <w:t xml:space="preserve"> </w:t>
      </w:r>
      <w:r w:rsidRPr="000E0F90">
        <w:rPr>
          <w:rFonts w:ascii="Arial" w:eastAsia="Times New Roman" w:hAnsi="Arial" w:cs="Arial"/>
          <w:color w:val="000000" w:themeColor="text1"/>
          <w:szCs w:val="20"/>
          <w:lang w:eastAsia="es-ES"/>
        </w:rPr>
        <w:t xml:space="preserve">y </w:t>
      </w:r>
      <w:r w:rsidR="0005225D">
        <w:rPr>
          <w:rFonts w:ascii="Arial" w:eastAsia="Times New Roman" w:hAnsi="Arial" w:cs="Arial"/>
          <w:color w:val="000000" w:themeColor="text1"/>
          <w:szCs w:val="20"/>
          <w:lang w:eastAsia="es-ES"/>
        </w:rPr>
        <w:t xml:space="preserve">las </w:t>
      </w:r>
      <w:r w:rsidRPr="000E0F90">
        <w:rPr>
          <w:rFonts w:ascii="Arial" w:eastAsia="Times New Roman" w:hAnsi="Arial" w:cs="Arial"/>
          <w:color w:val="000000" w:themeColor="text1"/>
          <w:szCs w:val="20"/>
          <w:lang w:eastAsia="es-ES"/>
        </w:rPr>
        <w:t xml:space="preserve">temperaturas mínimas </w:t>
      </w:r>
      <w:r w:rsidR="0005225D">
        <w:rPr>
          <w:rFonts w:ascii="Arial" w:eastAsia="Times New Roman" w:hAnsi="Arial" w:cs="Arial"/>
          <w:color w:val="000000" w:themeColor="text1"/>
          <w:szCs w:val="20"/>
          <w:lang w:eastAsia="es-ES"/>
        </w:rPr>
        <w:t xml:space="preserve">entre </w:t>
      </w:r>
      <w:r w:rsidR="0005225D" w:rsidRPr="000E0F90">
        <w:rPr>
          <w:rFonts w:ascii="Arial" w:eastAsia="Times New Roman" w:hAnsi="Arial" w:cs="Arial"/>
          <w:color w:val="000000" w:themeColor="text1"/>
          <w:szCs w:val="20"/>
          <w:lang w:eastAsia="es-ES"/>
        </w:rPr>
        <w:t xml:space="preserve">0°C </w:t>
      </w:r>
      <w:r w:rsidR="0005225D">
        <w:rPr>
          <w:rFonts w:ascii="Arial" w:eastAsia="Times New Roman" w:hAnsi="Arial" w:cs="Arial"/>
          <w:color w:val="000000" w:themeColor="text1"/>
          <w:szCs w:val="20"/>
          <w:lang w:eastAsia="es-ES"/>
        </w:rPr>
        <w:t>y</w:t>
      </w:r>
      <w:r w:rsidRPr="000E0F90">
        <w:rPr>
          <w:rFonts w:ascii="Arial" w:eastAsia="Times New Roman" w:hAnsi="Arial" w:cs="Arial"/>
          <w:color w:val="000000" w:themeColor="text1"/>
          <w:szCs w:val="20"/>
          <w:lang w:eastAsia="es-ES"/>
        </w:rPr>
        <w:t xml:space="preserve"> 6°C (IREN, 1979; en </w:t>
      </w:r>
      <w:sdt>
        <w:sdtPr>
          <w:rPr>
            <w:rFonts w:ascii="Arial" w:eastAsia="Times New Roman" w:hAnsi="Arial" w:cs="Arial"/>
            <w:color w:val="000000" w:themeColor="text1"/>
            <w:szCs w:val="20"/>
            <w:lang w:eastAsia="es-ES"/>
          </w:rPr>
          <w:id w:val="343519353"/>
          <w:citation/>
        </w:sdtPr>
        <w:sdtEndPr/>
        <w:sdtContent>
          <w:r w:rsidRPr="000E0F90">
            <w:rPr>
              <w:rFonts w:ascii="Arial" w:eastAsia="Times New Roman" w:hAnsi="Arial" w:cs="Arial"/>
              <w:color w:val="000000" w:themeColor="text1"/>
              <w:szCs w:val="20"/>
              <w:lang w:eastAsia="es-ES"/>
            </w:rPr>
            <w:fldChar w:fldCharType="begin"/>
          </w:r>
          <w:r w:rsidRPr="000E0F90">
            <w:rPr>
              <w:rFonts w:ascii="Arial" w:eastAsia="Times New Roman" w:hAnsi="Arial" w:cs="Arial"/>
              <w:color w:val="000000" w:themeColor="text1"/>
              <w:szCs w:val="20"/>
              <w:lang w:eastAsia="es-ES"/>
            </w:rPr>
            <w:instrText xml:space="preserve"> CITATION Gal06 \l 13322 </w:instrText>
          </w:r>
          <w:r w:rsidRPr="000E0F90">
            <w:rPr>
              <w:rFonts w:ascii="Arial" w:eastAsia="Times New Roman" w:hAnsi="Arial" w:cs="Arial"/>
              <w:color w:val="000000" w:themeColor="text1"/>
              <w:szCs w:val="20"/>
              <w:lang w:eastAsia="es-ES"/>
            </w:rPr>
            <w:fldChar w:fldCharType="separate"/>
          </w:r>
          <w:r w:rsidR="008D0261" w:rsidRPr="000E0F90">
            <w:rPr>
              <w:rFonts w:ascii="Arial" w:eastAsia="Times New Roman" w:hAnsi="Arial" w:cs="Arial"/>
              <w:noProof/>
              <w:color w:val="000000" w:themeColor="text1"/>
              <w:szCs w:val="20"/>
              <w:lang w:eastAsia="es-ES"/>
            </w:rPr>
            <w:t>(Gallardo, 2006)</w:t>
          </w:r>
          <w:r w:rsidRPr="000E0F90">
            <w:rPr>
              <w:rFonts w:ascii="Arial" w:eastAsia="Times New Roman" w:hAnsi="Arial" w:cs="Arial"/>
              <w:color w:val="000000" w:themeColor="text1"/>
              <w:szCs w:val="20"/>
              <w:lang w:eastAsia="es-ES"/>
            </w:rPr>
            <w:fldChar w:fldCharType="end"/>
          </w:r>
        </w:sdtContent>
      </w:sdt>
      <w:r w:rsidRPr="000E0F90">
        <w:rPr>
          <w:rFonts w:ascii="Arial" w:eastAsia="Times New Roman" w:hAnsi="Arial" w:cs="Arial"/>
          <w:color w:val="000000" w:themeColor="text1"/>
          <w:szCs w:val="20"/>
          <w:lang w:eastAsia="es-ES"/>
        </w:rPr>
        <w:t xml:space="preserve">.  </w:t>
      </w:r>
    </w:p>
    <w:p w:rsidR="00CC460B" w:rsidRPr="000E0F90" w:rsidRDefault="00CC460B" w:rsidP="00702D9A">
      <w:pPr>
        <w:spacing w:after="0" w:line="360" w:lineRule="auto"/>
        <w:jc w:val="left"/>
        <w:rPr>
          <w:rFonts w:ascii="Arial" w:eastAsia="Times New Roman" w:hAnsi="Arial" w:cs="Arial"/>
          <w:b/>
          <w:color w:val="000000" w:themeColor="text1"/>
          <w:lang w:eastAsia="es-ES"/>
        </w:rPr>
      </w:pPr>
      <w:r w:rsidRPr="000E0F90">
        <w:rPr>
          <w:rFonts w:ascii="Arial" w:eastAsia="Times New Roman" w:hAnsi="Arial" w:cs="Arial"/>
          <w:b/>
          <w:color w:val="000000" w:themeColor="text1"/>
          <w:lang w:eastAsia="es-ES"/>
        </w:rPr>
        <w:t>Geoforma y Suelos</w:t>
      </w:r>
    </w:p>
    <w:p w:rsidR="00832B35" w:rsidRPr="000E0F90" w:rsidRDefault="00931592" w:rsidP="00702D9A">
      <w:pPr>
        <w:spacing w:line="360" w:lineRule="auto"/>
        <w:rPr>
          <w:rFonts w:ascii="Arial" w:eastAsia="Times New Roman" w:hAnsi="Arial" w:cs="Arial"/>
          <w:color w:val="000000" w:themeColor="text1"/>
          <w:szCs w:val="20"/>
          <w:lang w:eastAsia="es-ES"/>
        </w:rPr>
      </w:pPr>
      <w:r w:rsidRPr="000E0F90">
        <w:rPr>
          <w:rFonts w:ascii="Arial" w:eastAsia="Times New Roman" w:hAnsi="Arial" w:cs="Arial"/>
          <w:color w:val="000000" w:themeColor="text1"/>
          <w:szCs w:val="20"/>
          <w:lang w:eastAsia="es-ES"/>
        </w:rPr>
        <w:t>En la comuna de</w:t>
      </w:r>
      <w:r w:rsidR="00657DCA" w:rsidRPr="000E0F90">
        <w:rPr>
          <w:rFonts w:ascii="Arial" w:eastAsia="Times New Roman" w:hAnsi="Arial" w:cs="Arial"/>
          <w:color w:val="000000" w:themeColor="text1"/>
          <w:szCs w:val="20"/>
          <w:lang w:eastAsia="es-ES"/>
        </w:rPr>
        <w:t xml:space="preserve"> </w:t>
      </w:r>
      <w:r w:rsidRPr="000E0F90">
        <w:rPr>
          <w:rFonts w:ascii="Arial" w:eastAsia="Times New Roman" w:hAnsi="Arial" w:cs="Arial"/>
          <w:color w:val="000000" w:themeColor="text1"/>
          <w:szCs w:val="20"/>
          <w:lang w:eastAsia="es-ES"/>
        </w:rPr>
        <w:t xml:space="preserve">Salamanca </w:t>
      </w:r>
      <w:r w:rsidR="00657DCA" w:rsidRPr="000E0F90">
        <w:rPr>
          <w:rFonts w:ascii="Arial" w:eastAsia="Times New Roman" w:hAnsi="Arial" w:cs="Arial"/>
          <w:color w:val="000000" w:themeColor="text1"/>
          <w:szCs w:val="20"/>
          <w:lang w:eastAsia="es-ES"/>
        </w:rPr>
        <w:t>se identifican s</w:t>
      </w:r>
      <w:r w:rsidRPr="000E0F90">
        <w:rPr>
          <w:rFonts w:ascii="Arial" w:eastAsia="Times New Roman" w:hAnsi="Arial" w:cs="Arial"/>
          <w:color w:val="000000" w:themeColor="text1"/>
          <w:szCs w:val="20"/>
          <w:lang w:eastAsia="es-ES"/>
        </w:rPr>
        <w:t xml:space="preserve">ierras transversales </w:t>
      </w:r>
      <w:r w:rsidR="00657DCA" w:rsidRPr="000E0F90">
        <w:rPr>
          <w:rFonts w:ascii="Arial" w:eastAsia="Times New Roman" w:hAnsi="Arial" w:cs="Arial"/>
          <w:color w:val="000000" w:themeColor="text1"/>
          <w:szCs w:val="20"/>
          <w:lang w:eastAsia="es-ES"/>
        </w:rPr>
        <w:t>y cordillera andina. Las sierras se clasifican en Sierra de Pendiente Intermedia y Moderada. Las primeras, se ubican en la zona central de la comuna y las segundas en la zona oeste de la comuna</w:t>
      </w:r>
      <w:r w:rsidR="00AA0888" w:rsidRPr="000E0F90">
        <w:rPr>
          <w:rFonts w:ascii="Arial" w:eastAsia="Times New Roman" w:hAnsi="Arial" w:cs="Arial"/>
          <w:color w:val="000000" w:themeColor="text1"/>
          <w:szCs w:val="20"/>
          <w:lang w:eastAsia="es-ES"/>
        </w:rPr>
        <w:t xml:space="preserve"> </w:t>
      </w:r>
      <w:sdt>
        <w:sdtPr>
          <w:rPr>
            <w:rFonts w:ascii="Arial" w:eastAsia="Times New Roman" w:hAnsi="Arial" w:cs="Arial"/>
            <w:color w:val="000000" w:themeColor="text1"/>
            <w:szCs w:val="20"/>
            <w:lang w:eastAsia="es-ES"/>
          </w:rPr>
          <w:id w:val="-1005816068"/>
          <w:citation/>
        </w:sdtPr>
        <w:sdtEndPr/>
        <w:sdtContent>
          <w:r w:rsidR="00AA0888" w:rsidRPr="000E0F90">
            <w:rPr>
              <w:rFonts w:ascii="Arial" w:eastAsia="Times New Roman" w:hAnsi="Arial" w:cs="Arial"/>
              <w:color w:val="000000" w:themeColor="text1"/>
              <w:szCs w:val="20"/>
              <w:lang w:eastAsia="es-ES"/>
            </w:rPr>
            <w:fldChar w:fldCharType="begin"/>
          </w:r>
          <w:r w:rsidR="00AA0888" w:rsidRPr="000E0F90">
            <w:rPr>
              <w:rFonts w:ascii="Arial" w:eastAsia="Times New Roman" w:hAnsi="Arial" w:cs="Arial"/>
              <w:color w:val="000000" w:themeColor="text1"/>
              <w:szCs w:val="20"/>
              <w:lang w:eastAsia="es-ES"/>
            </w:rPr>
            <w:instrText xml:space="preserve"> CITATION SIG08 \l 13322 </w:instrText>
          </w:r>
          <w:r w:rsidR="00AA0888" w:rsidRPr="000E0F90">
            <w:rPr>
              <w:rFonts w:ascii="Arial" w:eastAsia="Times New Roman" w:hAnsi="Arial" w:cs="Arial"/>
              <w:color w:val="000000" w:themeColor="text1"/>
              <w:szCs w:val="20"/>
              <w:lang w:eastAsia="es-ES"/>
            </w:rPr>
            <w:fldChar w:fldCharType="separate"/>
          </w:r>
          <w:r w:rsidR="008D0261" w:rsidRPr="000E0F90">
            <w:rPr>
              <w:rFonts w:ascii="Arial" w:eastAsia="Times New Roman" w:hAnsi="Arial" w:cs="Arial"/>
              <w:noProof/>
              <w:color w:val="000000" w:themeColor="text1"/>
              <w:szCs w:val="20"/>
              <w:lang w:eastAsia="es-ES"/>
            </w:rPr>
            <w:t>(SIGA, 2008)</w:t>
          </w:r>
          <w:r w:rsidR="00AA0888" w:rsidRPr="000E0F90">
            <w:rPr>
              <w:rFonts w:ascii="Arial" w:eastAsia="Times New Roman" w:hAnsi="Arial" w:cs="Arial"/>
              <w:color w:val="000000" w:themeColor="text1"/>
              <w:szCs w:val="20"/>
              <w:lang w:eastAsia="es-ES"/>
            </w:rPr>
            <w:fldChar w:fldCharType="end"/>
          </w:r>
        </w:sdtContent>
      </w:sdt>
      <w:r w:rsidR="00AA0888" w:rsidRPr="000E0F90">
        <w:rPr>
          <w:rFonts w:ascii="Arial" w:eastAsia="Times New Roman" w:hAnsi="Arial" w:cs="Arial"/>
          <w:color w:val="000000" w:themeColor="text1"/>
          <w:szCs w:val="20"/>
          <w:lang w:eastAsia="es-ES"/>
        </w:rPr>
        <w:t xml:space="preserve">. </w:t>
      </w:r>
      <w:r w:rsidR="00CC460B" w:rsidRPr="000E0F90">
        <w:rPr>
          <w:rFonts w:ascii="Arial" w:eastAsia="Times New Roman" w:hAnsi="Arial" w:cs="Arial"/>
          <w:color w:val="000000" w:themeColor="text1"/>
          <w:szCs w:val="20"/>
          <w:lang w:eastAsia="es-ES"/>
        </w:rPr>
        <w:t xml:space="preserve">La cordillera andina, se </w:t>
      </w:r>
      <w:r w:rsidR="00EB25B0" w:rsidRPr="000E0F90">
        <w:rPr>
          <w:rFonts w:ascii="Arial" w:eastAsia="Times New Roman" w:hAnsi="Arial" w:cs="Arial"/>
          <w:color w:val="000000" w:themeColor="text1"/>
          <w:szCs w:val="20"/>
          <w:lang w:eastAsia="es-ES"/>
        </w:rPr>
        <w:t>extiende</w:t>
      </w:r>
      <w:r w:rsidR="00CC460B" w:rsidRPr="000E0F90">
        <w:rPr>
          <w:rFonts w:ascii="Arial" w:eastAsia="Times New Roman" w:hAnsi="Arial" w:cs="Arial"/>
          <w:color w:val="000000" w:themeColor="text1"/>
          <w:szCs w:val="20"/>
          <w:lang w:eastAsia="es-ES"/>
        </w:rPr>
        <w:t xml:space="preserve"> de norte a sur, alcanza una alta retención de nieve y agua en estado sólido, presentando material de tipo glaciovocánico </w:t>
      </w:r>
      <w:sdt>
        <w:sdtPr>
          <w:rPr>
            <w:rFonts w:ascii="Arial" w:eastAsia="Times New Roman" w:hAnsi="Arial" w:cs="Arial"/>
            <w:color w:val="000000" w:themeColor="text1"/>
            <w:szCs w:val="20"/>
            <w:lang w:eastAsia="es-ES"/>
          </w:rPr>
          <w:id w:val="1311825851"/>
          <w:citation/>
        </w:sdtPr>
        <w:sdtEndPr/>
        <w:sdtContent>
          <w:r w:rsidR="00CC460B" w:rsidRPr="000E0F90">
            <w:rPr>
              <w:rFonts w:ascii="Arial" w:eastAsia="Times New Roman" w:hAnsi="Arial" w:cs="Arial"/>
              <w:color w:val="000000" w:themeColor="text1"/>
              <w:szCs w:val="20"/>
              <w:lang w:eastAsia="es-ES"/>
            </w:rPr>
            <w:fldChar w:fldCharType="begin"/>
          </w:r>
          <w:r w:rsidR="00CC460B" w:rsidRPr="000E0F90">
            <w:rPr>
              <w:rFonts w:ascii="Arial" w:eastAsia="Times New Roman" w:hAnsi="Arial" w:cs="Arial"/>
              <w:color w:val="000000" w:themeColor="text1"/>
              <w:szCs w:val="20"/>
              <w:lang w:eastAsia="es-ES"/>
            </w:rPr>
            <w:instrText xml:space="preserve">CITATION Jai16 \l 13322 </w:instrText>
          </w:r>
          <w:r w:rsidR="00CC460B" w:rsidRPr="000E0F90">
            <w:rPr>
              <w:rFonts w:ascii="Arial" w:eastAsia="Times New Roman" w:hAnsi="Arial" w:cs="Arial"/>
              <w:color w:val="000000" w:themeColor="text1"/>
              <w:szCs w:val="20"/>
              <w:lang w:eastAsia="es-ES"/>
            </w:rPr>
            <w:fldChar w:fldCharType="separate"/>
          </w:r>
          <w:r w:rsidR="008D0261" w:rsidRPr="000E0F90">
            <w:rPr>
              <w:rFonts w:ascii="Arial" w:eastAsia="Times New Roman" w:hAnsi="Arial" w:cs="Arial"/>
              <w:noProof/>
              <w:color w:val="000000" w:themeColor="text1"/>
              <w:szCs w:val="20"/>
              <w:lang w:eastAsia="es-ES"/>
            </w:rPr>
            <w:t>(Jaime Illanes y Asociados, 2016)</w:t>
          </w:r>
          <w:r w:rsidR="00CC460B" w:rsidRPr="000E0F90">
            <w:rPr>
              <w:rFonts w:ascii="Arial" w:eastAsia="Times New Roman" w:hAnsi="Arial" w:cs="Arial"/>
              <w:color w:val="000000" w:themeColor="text1"/>
              <w:szCs w:val="20"/>
              <w:lang w:eastAsia="es-ES"/>
            </w:rPr>
            <w:fldChar w:fldCharType="end"/>
          </w:r>
        </w:sdtContent>
      </w:sdt>
      <w:r w:rsidR="00AA0888" w:rsidRPr="000E0F90">
        <w:rPr>
          <w:rFonts w:ascii="Arial" w:eastAsia="Times New Roman" w:hAnsi="Arial" w:cs="Arial"/>
          <w:color w:val="000000" w:themeColor="text1"/>
          <w:szCs w:val="20"/>
          <w:lang w:eastAsia="es-ES"/>
        </w:rPr>
        <w:t xml:space="preserve">. </w:t>
      </w:r>
      <w:r w:rsidR="00832B35" w:rsidRPr="000E0F90">
        <w:rPr>
          <w:rFonts w:ascii="Arial" w:eastAsia="Times New Roman" w:hAnsi="Arial" w:cs="Arial"/>
          <w:color w:val="000000" w:themeColor="text1"/>
          <w:szCs w:val="20"/>
          <w:lang w:eastAsia="es-ES"/>
        </w:rPr>
        <w:t>Respecto a la capacidad de uso de los suelos de la comuna de Salamanca, se han identificado suelos agrícolas con capacidades</w:t>
      </w:r>
      <w:r w:rsidRPr="000E0F90">
        <w:rPr>
          <w:rFonts w:ascii="Arial" w:eastAsia="Times New Roman" w:hAnsi="Arial" w:cs="Arial"/>
          <w:color w:val="000000" w:themeColor="text1"/>
          <w:szCs w:val="20"/>
          <w:lang w:eastAsia="es-ES"/>
        </w:rPr>
        <w:t xml:space="preserve"> entre I y IV en la zona de los valles de los ríos Chalinga, Choapa, Cuncum</w:t>
      </w:r>
      <w:r w:rsidR="00EB25B0" w:rsidRPr="000E0F90">
        <w:rPr>
          <w:rFonts w:ascii="Arial" w:eastAsia="Times New Roman" w:hAnsi="Arial" w:cs="Arial"/>
          <w:color w:val="000000" w:themeColor="text1"/>
          <w:szCs w:val="20"/>
          <w:lang w:eastAsia="es-ES"/>
        </w:rPr>
        <w:t>é</w:t>
      </w:r>
      <w:r w:rsidRPr="000E0F90">
        <w:rPr>
          <w:rFonts w:ascii="Arial" w:eastAsia="Times New Roman" w:hAnsi="Arial" w:cs="Arial"/>
          <w:color w:val="000000" w:themeColor="text1"/>
          <w:szCs w:val="20"/>
          <w:lang w:eastAsia="es-ES"/>
        </w:rPr>
        <w:t>n y Camisas, con capacidades</w:t>
      </w:r>
      <w:r w:rsidR="00832B35" w:rsidRPr="000E0F90">
        <w:rPr>
          <w:rFonts w:ascii="Arial" w:eastAsia="Times New Roman" w:hAnsi="Arial" w:cs="Arial"/>
          <w:color w:val="000000" w:themeColor="text1"/>
          <w:szCs w:val="20"/>
          <w:lang w:eastAsia="es-ES"/>
        </w:rPr>
        <w:t xml:space="preserve"> I y II en los alrededores del poblado de Salamanca, en las terrazas fluviales de</w:t>
      </w:r>
      <w:r w:rsidRPr="000E0F90">
        <w:rPr>
          <w:rFonts w:ascii="Arial" w:eastAsia="Times New Roman" w:hAnsi="Arial" w:cs="Arial"/>
          <w:color w:val="000000" w:themeColor="text1"/>
          <w:szCs w:val="20"/>
          <w:lang w:eastAsia="es-ES"/>
        </w:rPr>
        <w:t xml:space="preserve"> los</w:t>
      </w:r>
      <w:r w:rsidR="00832B35" w:rsidRPr="000E0F90">
        <w:rPr>
          <w:rFonts w:ascii="Arial" w:eastAsia="Times New Roman" w:hAnsi="Arial" w:cs="Arial"/>
          <w:color w:val="000000" w:themeColor="text1"/>
          <w:szCs w:val="20"/>
          <w:lang w:eastAsia="es-ES"/>
        </w:rPr>
        <w:t xml:space="preserve"> río</w:t>
      </w:r>
      <w:r w:rsidRPr="000E0F90">
        <w:rPr>
          <w:rFonts w:ascii="Arial" w:eastAsia="Times New Roman" w:hAnsi="Arial" w:cs="Arial"/>
          <w:color w:val="000000" w:themeColor="text1"/>
          <w:szCs w:val="20"/>
          <w:lang w:eastAsia="es-ES"/>
        </w:rPr>
        <w:t>s</w:t>
      </w:r>
      <w:r w:rsidR="00832B35" w:rsidRPr="000E0F90">
        <w:rPr>
          <w:rFonts w:ascii="Arial" w:eastAsia="Times New Roman" w:hAnsi="Arial" w:cs="Arial"/>
          <w:color w:val="000000" w:themeColor="text1"/>
          <w:szCs w:val="20"/>
          <w:lang w:eastAsia="es-ES"/>
        </w:rPr>
        <w:t xml:space="preserve"> Choapa y Chalinga. En los interfluvios cordilleranos se encuentran suelos </w:t>
      </w:r>
      <w:r w:rsidRPr="000E0F90">
        <w:rPr>
          <w:rFonts w:ascii="Arial" w:eastAsia="Times New Roman" w:hAnsi="Arial" w:cs="Arial"/>
          <w:color w:val="000000" w:themeColor="text1"/>
          <w:szCs w:val="20"/>
          <w:lang w:eastAsia="es-ES"/>
        </w:rPr>
        <w:t xml:space="preserve">cubiertos con matorrales, </w:t>
      </w:r>
      <w:r w:rsidR="00832B35" w:rsidRPr="000E0F90">
        <w:rPr>
          <w:rFonts w:ascii="Arial" w:eastAsia="Times New Roman" w:hAnsi="Arial" w:cs="Arial"/>
          <w:color w:val="000000" w:themeColor="text1"/>
          <w:szCs w:val="20"/>
          <w:lang w:eastAsia="es-ES"/>
        </w:rPr>
        <w:t>con capacidades de uso entre III y VII, con predominancia de suelos tipo IV</w:t>
      </w:r>
      <w:r w:rsidRPr="000E0F90">
        <w:rPr>
          <w:rFonts w:ascii="Arial" w:eastAsia="Times New Roman" w:hAnsi="Arial" w:cs="Arial"/>
          <w:color w:val="000000" w:themeColor="text1"/>
          <w:szCs w:val="20"/>
          <w:lang w:eastAsia="es-ES"/>
        </w:rPr>
        <w:t>. En las serranías se evidencias suelos con capacidad entre III y VIII</w:t>
      </w:r>
      <w:r w:rsidR="00AA0888" w:rsidRPr="000E0F90">
        <w:rPr>
          <w:rFonts w:ascii="Arial" w:eastAsia="Times New Roman" w:hAnsi="Arial" w:cs="Arial"/>
          <w:color w:val="000000" w:themeColor="text1"/>
          <w:szCs w:val="20"/>
          <w:lang w:eastAsia="es-ES"/>
        </w:rPr>
        <w:t xml:space="preserve"> comuna </w:t>
      </w:r>
      <w:sdt>
        <w:sdtPr>
          <w:rPr>
            <w:rFonts w:ascii="Arial" w:eastAsia="Times New Roman" w:hAnsi="Arial" w:cs="Arial"/>
            <w:color w:val="000000" w:themeColor="text1"/>
            <w:szCs w:val="20"/>
            <w:lang w:eastAsia="es-ES"/>
          </w:rPr>
          <w:id w:val="-203330687"/>
          <w:citation/>
        </w:sdtPr>
        <w:sdtEndPr/>
        <w:sdtContent>
          <w:r w:rsidR="00AA0888" w:rsidRPr="000E0F90">
            <w:rPr>
              <w:rFonts w:ascii="Arial" w:eastAsia="Times New Roman" w:hAnsi="Arial" w:cs="Arial"/>
              <w:color w:val="000000" w:themeColor="text1"/>
              <w:szCs w:val="20"/>
              <w:lang w:eastAsia="es-ES"/>
            </w:rPr>
            <w:fldChar w:fldCharType="begin"/>
          </w:r>
          <w:r w:rsidR="00AA0888" w:rsidRPr="000E0F90">
            <w:rPr>
              <w:rFonts w:ascii="Arial" w:eastAsia="Times New Roman" w:hAnsi="Arial" w:cs="Arial"/>
              <w:color w:val="000000" w:themeColor="text1"/>
              <w:szCs w:val="20"/>
              <w:lang w:eastAsia="es-ES"/>
            </w:rPr>
            <w:instrText xml:space="preserve"> CITATION SIG08 \l 13322 </w:instrText>
          </w:r>
          <w:r w:rsidR="00AA0888" w:rsidRPr="000E0F90">
            <w:rPr>
              <w:rFonts w:ascii="Arial" w:eastAsia="Times New Roman" w:hAnsi="Arial" w:cs="Arial"/>
              <w:color w:val="000000" w:themeColor="text1"/>
              <w:szCs w:val="20"/>
              <w:lang w:eastAsia="es-ES"/>
            </w:rPr>
            <w:fldChar w:fldCharType="separate"/>
          </w:r>
          <w:r w:rsidR="008D0261" w:rsidRPr="000E0F90">
            <w:rPr>
              <w:rFonts w:ascii="Arial" w:eastAsia="Times New Roman" w:hAnsi="Arial" w:cs="Arial"/>
              <w:noProof/>
              <w:color w:val="000000" w:themeColor="text1"/>
              <w:szCs w:val="20"/>
              <w:lang w:eastAsia="es-ES"/>
            </w:rPr>
            <w:t>(SIGA, 2008)</w:t>
          </w:r>
          <w:r w:rsidR="00AA0888" w:rsidRPr="000E0F90">
            <w:rPr>
              <w:rFonts w:ascii="Arial" w:eastAsia="Times New Roman" w:hAnsi="Arial" w:cs="Arial"/>
              <w:color w:val="000000" w:themeColor="text1"/>
              <w:szCs w:val="20"/>
              <w:lang w:eastAsia="es-ES"/>
            </w:rPr>
            <w:fldChar w:fldCharType="end"/>
          </w:r>
        </w:sdtContent>
      </w:sdt>
      <w:r w:rsidR="00AA0888" w:rsidRPr="000E0F90">
        <w:rPr>
          <w:rFonts w:ascii="Arial" w:eastAsia="Times New Roman" w:hAnsi="Arial" w:cs="Arial"/>
          <w:color w:val="000000" w:themeColor="text1"/>
          <w:szCs w:val="20"/>
          <w:lang w:eastAsia="es-ES"/>
        </w:rPr>
        <w:t>.</w:t>
      </w:r>
      <w:r w:rsidRPr="000E0F90">
        <w:rPr>
          <w:rFonts w:ascii="Arial" w:eastAsia="Times New Roman" w:hAnsi="Arial" w:cs="Arial"/>
          <w:color w:val="000000" w:themeColor="text1"/>
          <w:szCs w:val="20"/>
          <w:lang w:eastAsia="es-ES"/>
        </w:rPr>
        <w:t xml:space="preserve"> </w:t>
      </w:r>
    </w:p>
    <w:p w:rsidR="001963E4" w:rsidRPr="000E0F90" w:rsidRDefault="001963E4" w:rsidP="00702D9A">
      <w:pPr>
        <w:spacing w:after="0" w:line="360" w:lineRule="auto"/>
        <w:rPr>
          <w:rFonts w:ascii="Arial" w:eastAsia="Times New Roman" w:hAnsi="Arial" w:cs="Arial"/>
          <w:b/>
          <w:color w:val="000000" w:themeColor="text1"/>
          <w:szCs w:val="20"/>
          <w:lang w:eastAsia="es-ES"/>
        </w:rPr>
      </w:pPr>
      <w:r w:rsidRPr="000E0F90">
        <w:rPr>
          <w:rFonts w:ascii="Arial" w:eastAsia="Times New Roman" w:hAnsi="Arial" w:cs="Arial"/>
          <w:b/>
          <w:color w:val="000000" w:themeColor="text1"/>
          <w:szCs w:val="20"/>
          <w:lang w:eastAsia="es-ES"/>
        </w:rPr>
        <w:t>Hidroestructura</w:t>
      </w:r>
    </w:p>
    <w:p w:rsidR="0005225D" w:rsidRDefault="00426548" w:rsidP="00702D9A">
      <w:pPr>
        <w:spacing w:line="360" w:lineRule="auto"/>
        <w:rPr>
          <w:rFonts w:ascii="Arial" w:hAnsi="Arial" w:cs="Arial"/>
          <w:color w:val="000000" w:themeColor="text1"/>
        </w:rPr>
      </w:pPr>
      <w:r w:rsidRPr="000E0F90">
        <w:rPr>
          <w:rFonts w:ascii="Arial" w:eastAsia="Times New Roman" w:hAnsi="Arial" w:cs="Arial"/>
          <w:color w:val="000000" w:themeColor="text1"/>
          <w:szCs w:val="20"/>
          <w:lang w:eastAsia="es-ES"/>
        </w:rPr>
        <w:t xml:space="preserve">La cuenca del río Choapa, corresponde al valle transversal más austral de la región de Coquimbo, siendo un río de régimen mixto, </w:t>
      </w:r>
      <w:r w:rsidRPr="000E0F90">
        <w:rPr>
          <w:rFonts w:ascii="Arial" w:hAnsi="Arial" w:cs="Arial"/>
          <w:color w:val="000000" w:themeColor="text1"/>
        </w:rPr>
        <w:t>abarcando una superficie de 8.124 km2</w:t>
      </w:r>
      <w:r w:rsidRPr="000E0F90">
        <w:rPr>
          <w:rFonts w:ascii="Arial" w:eastAsia="Times New Roman" w:hAnsi="Arial" w:cs="Arial"/>
          <w:color w:val="000000" w:themeColor="text1"/>
          <w:szCs w:val="20"/>
          <w:lang w:eastAsia="es-ES"/>
        </w:rPr>
        <w:t xml:space="preserve"> </w:t>
      </w:r>
      <w:sdt>
        <w:sdtPr>
          <w:rPr>
            <w:rFonts w:ascii="Arial" w:eastAsia="Times New Roman" w:hAnsi="Arial" w:cs="Arial"/>
            <w:color w:val="000000" w:themeColor="text1"/>
            <w:szCs w:val="20"/>
            <w:lang w:eastAsia="es-ES"/>
          </w:rPr>
          <w:id w:val="1795176046"/>
          <w:citation/>
        </w:sdtPr>
        <w:sdtEndPr/>
        <w:sdtContent>
          <w:r w:rsidRPr="000E0F90">
            <w:rPr>
              <w:rFonts w:ascii="Arial" w:eastAsia="Times New Roman" w:hAnsi="Arial" w:cs="Arial"/>
              <w:color w:val="000000" w:themeColor="text1"/>
              <w:szCs w:val="20"/>
              <w:lang w:eastAsia="es-ES"/>
            </w:rPr>
            <w:fldChar w:fldCharType="begin"/>
          </w:r>
          <w:r w:rsidRPr="000E0F90">
            <w:rPr>
              <w:rFonts w:ascii="Arial" w:eastAsia="Times New Roman" w:hAnsi="Arial" w:cs="Arial"/>
              <w:color w:val="000000" w:themeColor="text1"/>
              <w:szCs w:val="20"/>
              <w:lang w:eastAsia="es-ES"/>
            </w:rPr>
            <w:instrText xml:space="preserve">CITATION DGA041 \l 13322 </w:instrText>
          </w:r>
          <w:r w:rsidRPr="000E0F90">
            <w:rPr>
              <w:rFonts w:ascii="Arial" w:eastAsia="Times New Roman" w:hAnsi="Arial" w:cs="Arial"/>
              <w:color w:val="000000" w:themeColor="text1"/>
              <w:szCs w:val="20"/>
              <w:lang w:eastAsia="es-ES"/>
            </w:rPr>
            <w:fldChar w:fldCharType="separate"/>
          </w:r>
          <w:r w:rsidR="008D0261" w:rsidRPr="000E0F90">
            <w:rPr>
              <w:rFonts w:ascii="Arial" w:eastAsia="Times New Roman" w:hAnsi="Arial" w:cs="Arial"/>
              <w:noProof/>
              <w:color w:val="000000" w:themeColor="text1"/>
              <w:szCs w:val="20"/>
              <w:lang w:eastAsia="es-ES"/>
            </w:rPr>
            <w:t>(DGA, 2004)</w:t>
          </w:r>
          <w:r w:rsidRPr="000E0F90">
            <w:rPr>
              <w:rFonts w:ascii="Arial" w:eastAsia="Times New Roman" w:hAnsi="Arial" w:cs="Arial"/>
              <w:color w:val="000000" w:themeColor="text1"/>
              <w:szCs w:val="20"/>
              <w:lang w:eastAsia="es-ES"/>
            </w:rPr>
            <w:fldChar w:fldCharType="end"/>
          </w:r>
        </w:sdtContent>
      </w:sdt>
      <w:r w:rsidRPr="000E0F90">
        <w:rPr>
          <w:rFonts w:ascii="Arial" w:eastAsia="Times New Roman" w:hAnsi="Arial" w:cs="Arial"/>
          <w:color w:val="000000" w:themeColor="text1"/>
          <w:szCs w:val="20"/>
          <w:lang w:eastAsia="es-ES"/>
        </w:rPr>
        <w:t>.</w:t>
      </w:r>
      <w:r w:rsidR="003F2E43" w:rsidRPr="000E0F90">
        <w:rPr>
          <w:rFonts w:ascii="Arial" w:eastAsia="Times New Roman" w:hAnsi="Arial" w:cs="Arial"/>
          <w:color w:val="000000" w:themeColor="text1"/>
          <w:szCs w:val="20"/>
          <w:lang w:eastAsia="es-ES"/>
        </w:rPr>
        <w:t xml:space="preserve"> </w:t>
      </w:r>
      <w:r w:rsidRPr="000E0F90">
        <w:rPr>
          <w:rFonts w:ascii="Arial" w:eastAsia="Times New Roman" w:hAnsi="Arial" w:cs="Arial"/>
          <w:color w:val="000000" w:themeColor="text1"/>
          <w:szCs w:val="20"/>
          <w:lang w:eastAsia="es-ES"/>
        </w:rPr>
        <w:t>La comuna de Sal</w:t>
      </w:r>
      <w:r w:rsidR="00EB25B0" w:rsidRPr="000E0F90">
        <w:rPr>
          <w:rFonts w:ascii="Arial" w:eastAsia="Times New Roman" w:hAnsi="Arial" w:cs="Arial"/>
          <w:color w:val="000000" w:themeColor="text1"/>
          <w:szCs w:val="20"/>
          <w:lang w:eastAsia="es-ES"/>
        </w:rPr>
        <w:t>a</w:t>
      </w:r>
      <w:r w:rsidRPr="000E0F90">
        <w:rPr>
          <w:rFonts w:ascii="Arial" w:eastAsia="Times New Roman" w:hAnsi="Arial" w:cs="Arial"/>
          <w:color w:val="000000" w:themeColor="text1"/>
          <w:szCs w:val="20"/>
          <w:lang w:eastAsia="es-ES"/>
        </w:rPr>
        <w:t xml:space="preserve">manca se extiende en el curso medio y superior de la cuenca de </w:t>
      </w:r>
      <w:r w:rsidR="001F6376" w:rsidRPr="000E0F90">
        <w:rPr>
          <w:rFonts w:ascii="Arial" w:hAnsi="Arial" w:cs="Arial"/>
          <w:color w:val="000000" w:themeColor="text1"/>
        </w:rPr>
        <w:t xml:space="preserve">hidrográfica del río Choapa. </w:t>
      </w:r>
    </w:p>
    <w:p w:rsidR="00723D51" w:rsidRPr="000E0F90" w:rsidRDefault="001963E4" w:rsidP="00702D9A">
      <w:pPr>
        <w:spacing w:line="360" w:lineRule="auto"/>
        <w:rPr>
          <w:rFonts w:ascii="Arial" w:eastAsia="Times New Roman" w:hAnsi="Arial" w:cs="Arial"/>
          <w:color w:val="000000" w:themeColor="text1"/>
          <w:szCs w:val="20"/>
          <w:lang w:eastAsia="es-ES"/>
        </w:rPr>
      </w:pPr>
      <w:r w:rsidRPr="000E0F90">
        <w:rPr>
          <w:rFonts w:ascii="Arial" w:eastAsia="Times New Roman" w:hAnsi="Arial" w:cs="Arial"/>
          <w:color w:val="000000" w:themeColor="text1"/>
          <w:szCs w:val="20"/>
          <w:lang w:eastAsia="es-ES"/>
        </w:rPr>
        <w:lastRenderedPageBreak/>
        <w:t xml:space="preserve">El río Choapa se origina en la Cordillera de Los Andes por la confluencia de los ríos tributarios Totoral, Leiva y del Valle, </w:t>
      </w:r>
      <w:r w:rsidR="00F35641" w:rsidRPr="000E0F90">
        <w:rPr>
          <w:rFonts w:ascii="Arial" w:eastAsia="Times New Roman" w:hAnsi="Arial" w:cs="Arial"/>
          <w:color w:val="000000" w:themeColor="text1"/>
          <w:szCs w:val="20"/>
          <w:lang w:eastAsia="es-ES"/>
        </w:rPr>
        <w:t>siendo el principal afluente en la zona alta el río Totoral</w:t>
      </w:r>
      <w:r w:rsidR="0005225D">
        <w:rPr>
          <w:rFonts w:ascii="Arial" w:eastAsia="Times New Roman" w:hAnsi="Arial" w:cs="Arial"/>
          <w:color w:val="000000" w:themeColor="text1"/>
          <w:szCs w:val="20"/>
          <w:lang w:eastAsia="es-ES"/>
        </w:rPr>
        <w:t xml:space="preserve"> (</w:t>
      </w:r>
      <w:r w:rsidR="00F35641" w:rsidRPr="000E0F90">
        <w:rPr>
          <w:rFonts w:ascii="Arial" w:eastAsia="Times New Roman" w:hAnsi="Arial" w:cs="Arial"/>
          <w:color w:val="000000" w:themeColor="text1"/>
          <w:szCs w:val="20"/>
          <w:lang w:eastAsia="es-ES"/>
        </w:rPr>
        <w:t>61km2</w:t>
      </w:r>
      <w:r w:rsidR="0005225D">
        <w:rPr>
          <w:rFonts w:ascii="Arial" w:eastAsia="Times New Roman" w:hAnsi="Arial" w:cs="Arial"/>
          <w:color w:val="000000" w:themeColor="text1"/>
          <w:szCs w:val="20"/>
          <w:lang w:eastAsia="es-ES"/>
        </w:rPr>
        <w:t>)</w:t>
      </w:r>
      <w:r w:rsidR="00F35641" w:rsidRPr="000E0F90">
        <w:rPr>
          <w:rFonts w:ascii="Arial" w:eastAsia="Times New Roman" w:hAnsi="Arial" w:cs="Arial"/>
          <w:color w:val="000000" w:themeColor="text1"/>
          <w:szCs w:val="20"/>
          <w:lang w:eastAsia="es-ES"/>
        </w:rPr>
        <w:t>. A</w:t>
      </w:r>
      <w:r w:rsidRPr="000E0F90">
        <w:rPr>
          <w:rFonts w:ascii="Arial" w:eastAsia="Times New Roman" w:hAnsi="Arial" w:cs="Arial"/>
          <w:color w:val="000000" w:themeColor="text1"/>
          <w:szCs w:val="20"/>
          <w:lang w:eastAsia="es-ES"/>
        </w:rPr>
        <w:t>guas abajo recibe como afluentes al río Cuncumén y al río Chalinga, éste último drena una superficie aproximada de 600km2</w:t>
      </w:r>
      <w:r w:rsidR="00F35641" w:rsidRPr="000E0F90">
        <w:rPr>
          <w:rFonts w:ascii="Arial" w:eastAsia="Times New Roman" w:hAnsi="Arial" w:cs="Arial"/>
          <w:color w:val="000000" w:themeColor="text1"/>
          <w:szCs w:val="20"/>
          <w:lang w:eastAsia="es-ES"/>
        </w:rPr>
        <w:t xml:space="preserve">, inmediatamente aguas debajo de la ciudad de </w:t>
      </w:r>
      <w:r w:rsidR="00EB25B0" w:rsidRPr="000E0F90">
        <w:rPr>
          <w:rFonts w:ascii="Arial" w:eastAsia="Times New Roman" w:hAnsi="Arial" w:cs="Arial"/>
          <w:color w:val="000000" w:themeColor="text1"/>
          <w:szCs w:val="20"/>
          <w:lang w:eastAsia="es-ES"/>
        </w:rPr>
        <w:t>Salamanca</w:t>
      </w:r>
      <w:r w:rsidR="00F35641" w:rsidRPr="000E0F90">
        <w:rPr>
          <w:rFonts w:ascii="Arial" w:eastAsia="Times New Roman" w:hAnsi="Arial" w:cs="Arial"/>
          <w:color w:val="000000" w:themeColor="text1"/>
          <w:szCs w:val="20"/>
          <w:lang w:eastAsia="es-ES"/>
        </w:rPr>
        <w:t>.</w:t>
      </w:r>
      <w:r w:rsidR="00E805EE" w:rsidRPr="000E0F90">
        <w:rPr>
          <w:rFonts w:ascii="Arial" w:eastAsia="Times New Roman" w:hAnsi="Arial" w:cs="Arial"/>
          <w:color w:val="000000" w:themeColor="text1"/>
          <w:szCs w:val="20"/>
          <w:lang w:eastAsia="es-ES"/>
        </w:rPr>
        <w:t xml:space="preserve"> </w:t>
      </w:r>
      <w:r w:rsidR="00723D51" w:rsidRPr="000E0F90">
        <w:rPr>
          <w:rFonts w:ascii="Arial" w:eastAsia="Times New Roman" w:hAnsi="Arial" w:cs="Arial"/>
          <w:color w:val="000000" w:themeColor="text1"/>
          <w:szCs w:val="20"/>
          <w:lang w:eastAsia="es-ES"/>
        </w:rPr>
        <w:t xml:space="preserve">Al inicio del río, este se presenta encajonado por cerros andinos, con laderas escarpadas, afloramientos de roca, aportando material coluvial al cauce a través de conos de deyección y quebradas. </w:t>
      </w:r>
      <w:sdt>
        <w:sdtPr>
          <w:rPr>
            <w:rFonts w:ascii="Arial" w:eastAsia="Times New Roman" w:hAnsi="Arial" w:cs="Arial"/>
            <w:color w:val="000000" w:themeColor="text1"/>
            <w:szCs w:val="20"/>
            <w:lang w:eastAsia="es-ES"/>
          </w:rPr>
          <w:id w:val="89281928"/>
          <w:citation/>
        </w:sdtPr>
        <w:sdtEndPr/>
        <w:sdtContent>
          <w:r w:rsidR="00723D51" w:rsidRPr="000E0F90">
            <w:rPr>
              <w:rFonts w:ascii="Arial" w:eastAsia="Times New Roman" w:hAnsi="Arial" w:cs="Arial"/>
              <w:color w:val="000000" w:themeColor="text1"/>
              <w:szCs w:val="20"/>
              <w:lang w:eastAsia="es-ES"/>
            </w:rPr>
            <w:fldChar w:fldCharType="begin"/>
          </w:r>
          <w:r w:rsidR="00723D51" w:rsidRPr="000E0F90">
            <w:rPr>
              <w:rFonts w:ascii="Arial" w:eastAsia="Times New Roman" w:hAnsi="Arial" w:cs="Arial"/>
              <w:color w:val="000000" w:themeColor="text1"/>
              <w:szCs w:val="20"/>
              <w:lang w:eastAsia="es-ES"/>
            </w:rPr>
            <w:instrText xml:space="preserve">CITATION DGA041 \l 13322 </w:instrText>
          </w:r>
          <w:r w:rsidR="00723D51" w:rsidRPr="000E0F90">
            <w:rPr>
              <w:rFonts w:ascii="Arial" w:eastAsia="Times New Roman" w:hAnsi="Arial" w:cs="Arial"/>
              <w:color w:val="000000" w:themeColor="text1"/>
              <w:szCs w:val="20"/>
              <w:lang w:eastAsia="es-ES"/>
            </w:rPr>
            <w:fldChar w:fldCharType="separate"/>
          </w:r>
          <w:r w:rsidR="008D0261" w:rsidRPr="000E0F90">
            <w:rPr>
              <w:rFonts w:ascii="Arial" w:eastAsia="Times New Roman" w:hAnsi="Arial" w:cs="Arial"/>
              <w:noProof/>
              <w:color w:val="000000" w:themeColor="text1"/>
              <w:szCs w:val="20"/>
              <w:lang w:eastAsia="es-ES"/>
            </w:rPr>
            <w:t>(DGA, 2004)</w:t>
          </w:r>
          <w:r w:rsidR="00723D51" w:rsidRPr="000E0F90">
            <w:rPr>
              <w:rFonts w:ascii="Arial" w:eastAsia="Times New Roman" w:hAnsi="Arial" w:cs="Arial"/>
              <w:color w:val="000000" w:themeColor="text1"/>
              <w:szCs w:val="20"/>
              <w:lang w:eastAsia="es-ES"/>
            </w:rPr>
            <w:fldChar w:fldCharType="end"/>
          </w:r>
        </w:sdtContent>
      </w:sdt>
      <w:r w:rsidR="00723D51" w:rsidRPr="000E0F90">
        <w:rPr>
          <w:rFonts w:ascii="Arial" w:eastAsia="Times New Roman" w:hAnsi="Arial" w:cs="Arial"/>
          <w:color w:val="000000" w:themeColor="text1"/>
          <w:szCs w:val="20"/>
          <w:lang w:eastAsia="es-ES"/>
        </w:rPr>
        <w:t xml:space="preserve">. </w:t>
      </w:r>
    </w:p>
    <w:p w:rsidR="001963E4" w:rsidRPr="000E0F90" w:rsidRDefault="00BA1041" w:rsidP="00702D9A">
      <w:pPr>
        <w:spacing w:after="0" w:line="360" w:lineRule="auto"/>
        <w:rPr>
          <w:rFonts w:ascii="Arial" w:eastAsia="Times New Roman" w:hAnsi="Arial" w:cs="Arial"/>
          <w:b/>
          <w:bCs/>
          <w:iCs/>
          <w:color w:val="000000" w:themeColor="text1"/>
          <w:lang w:eastAsia="es-ES"/>
        </w:rPr>
      </w:pPr>
      <w:r>
        <w:rPr>
          <w:rFonts w:ascii="Arial" w:eastAsia="Times New Roman" w:hAnsi="Arial" w:cs="Arial"/>
          <w:b/>
          <w:bCs/>
          <w:iCs/>
          <w:color w:val="000000" w:themeColor="text1"/>
          <w:lang w:eastAsia="es-ES"/>
        </w:rPr>
        <w:t>Vegetación</w:t>
      </w:r>
    </w:p>
    <w:p w:rsidR="008C007A" w:rsidRPr="000E0F90" w:rsidRDefault="009F3E25" w:rsidP="00702D9A">
      <w:pPr>
        <w:spacing w:line="360" w:lineRule="auto"/>
        <w:rPr>
          <w:rFonts w:ascii="Arial" w:hAnsi="Arial" w:cs="Arial"/>
          <w:color w:val="000000" w:themeColor="text1"/>
        </w:rPr>
      </w:pPr>
      <w:r w:rsidRPr="000E0F90">
        <w:rPr>
          <w:rFonts w:ascii="Arial" w:hAnsi="Arial" w:cs="Arial"/>
          <w:color w:val="000000" w:themeColor="text1"/>
        </w:rPr>
        <w:t xml:space="preserve">De acuerdo a la clasificación de pisos vegetacionales de </w:t>
      </w:r>
      <w:sdt>
        <w:sdtPr>
          <w:rPr>
            <w:rFonts w:ascii="Arial" w:hAnsi="Arial" w:cs="Arial"/>
            <w:color w:val="000000" w:themeColor="text1"/>
          </w:rPr>
          <w:id w:val="-1630309687"/>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Lue06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(Luebert &amp; Pliscoff, 2006)</w:t>
          </w:r>
          <w:r w:rsidRPr="000E0F90">
            <w:rPr>
              <w:rFonts w:ascii="Arial" w:hAnsi="Arial" w:cs="Arial"/>
              <w:color w:val="000000" w:themeColor="text1"/>
            </w:rPr>
            <w:fldChar w:fldCharType="end"/>
          </w:r>
        </w:sdtContent>
      </w:sdt>
      <w:r w:rsidRPr="000E0F90">
        <w:rPr>
          <w:rFonts w:ascii="Arial" w:hAnsi="Arial" w:cs="Arial"/>
          <w:color w:val="000000" w:themeColor="text1"/>
        </w:rPr>
        <w:t>, en la co</w:t>
      </w:r>
      <w:r w:rsidR="0011378E" w:rsidRPr="000E0F90">
        <w:rPr>
          <w:rFonts w:ascii="Arial" w:hAnsi="Arial" w:cs="Arial"/>
          <w:color w:val="000000" w:themeColor="text1"/>
        </w:rPr>
        <w:t xml:space="preserve">muna de Salamanca </w:t>
      </w:r>
      <w:r w:rsidR="005D571F" w:rsidRPr="000E0F90">
        <w:rPr>
          <w:rFonts w:ascii="Arial" w:hAnsi="Arial" w:cs="Arial"/>
          <w:color w:val="000000" w:themeColor="text1"/>
        </w:rPr>
        <w:t>en</w:t>
      </w:r>
      <w:r w:rsidR="00E276D2" w:rsidRPr="000E0F90">
        <w:rPr>
          <w:rFonts w:ascii="Arial" w:hAnsi="Arial" w:cs="Arial"/>
          <w:color w:val="000000" w:themeColor="text1"/>
        </w:rPr>
        <w:t xml:space="preserve"> el poniente </w:t>
      </w:r>
      <w:r w:rsidR="0011378E" w:rsidRPr="000E0F90">
        <w:rPr>
          <w:rFonts w:ascii="Arial" w:hAnsi="Arial" w:cs="Arial"/>
          <w:color w:val="000000" w:themeColor="text1"/>
        </w:rPr>
        <w:t xml:space="preserve">se </w:t>
      </w:r>
      <w:r w:rsidR="00C9729C" w:rsidRPr="000E0F90">
        <w:rPr>
          <w:rFonts w:ascii="Arial" w:hAnsi="Arial" w:cs="Arial"/>
          <w:color w:val="000000" w:themeColor="text1"/>
        </w:rPr>
        <w:t xml:space="preserve">presenta </w:t>
      </w:r>
      <w:r w:rsidR="0011378E" w:rsidRPr="000E0F90">
        <w:rPr>
          <w:rFonts w:ascii="Arial" w:hAnsi="Arial" w:cs="Arial"/>
          <w:color w:val="000000" w:themeColor="text1"/>
        </w:rPr>
        <w:t xml:space="preserve">el </w:t>
      </w:r>
      <w:r w:rsidR="0011378E" w:rsidRPr="000E0F90">
        <w:rPr>
          <w:rFonts w:ascii="Arial" w:hAnsi="Arial" w:cs="Arial"/>
          <w:i/>
          <w:color w:val="000000" w:themeColor="text1"/>
        </w:rPr>
        <w:t>Matorral espinoso mediterráneo interior</w:t>
      </w:r>
      <w:r w:rsidR="00F61B12" w:rsidRPr="000E0F90">
        <w:rPr>
          <w:rFonts w:ascii="Arial" w:hAnsi="Arial" w:cs="Arial"/>
          <w:color w:val="000000" w:themeColor="text1"/>
        </w:rPr>
        <w:t xml:space="preserve">, </w:t>
      </w:r>
      <w:r w:rsidR="0011378E" w:rsidRPr="000E0F90">
        <w:rPr>
          <w:rFonts w:ascii="Arial" w:hAnsi="Arial" w:cs="Arial"/>
          <w:color w:val="000000" w:themeColor="text1"/>
        </w:rPr>
        <w:t xml:space="preserve">dominado </w:t>
      </w:r>
      <w:r w:rsidR="005D571F" w:rsidRPr="000E0F90">
        <w:rPr>
          <w:rFonts w:ascii="Arial" w:hAnsi="Arial" w:cs="Arial"/>
          <w:color w:val="000000" w:themeColor="text1"/>
        </w:rPr>
        <w:t>arbustos,</w:t>
      </w:r>
      <w:r w:rsidR="0011378E" w:rsidRPr="000E0F90">
        <w:rPr>
          <w:rFonts w:ascii="Arial" w:hAnsi="Arial" w:cs="Arial"/>
          <w:color w:val="000000" w:themeColor="text1"/>
        </w:rPr>
        <w:t xml:space="preserve"> </w:t>
      </w:r>
      <w:r w:rsidR="003F2E43" w:rsidRPr="000E0F90">
        <w:rPr>
          <w:rFonts w:ascii="Arial" w:hAnsi="Arial" w:cs="Arial"/>
          <w:color w:val="000000" w:themeColor="text1"/>
        </w:rPr>
        <w:t xml:space="preserve">ocasionalmente </w:t>
      </w:r>
      <w:r w:rsidR="0011378E" w:rsidRPr="000E0F90">
        <w:rPr>
          <w:rFonts w:ascii="Arial" w:hAnsi="Arial" w:cs="Arial"/>
          <w:color w:val="000000" w:themeColor="text1"/>
        </w:rPr>
        <w:t xml:space="preserve">individuos arbóreos esclerófilos </w:t>
      </w:r>
      <w:r w:rsidR="0005225D">
        <w:rPr>
          <w:rFonts w:ascii="Arial" w:hAnsi="Arial" w:cs="Arial"/>
          <w:color w:val="000000" w:themeColor="text1"/>
        </w:rPr>
        <w:t>y</w:t>
      </w:r>
      <w:r w:rsidR="00C9729C" w:rsidRPr="000E0F90">
        <w:rPr>
          <w:rFonts w:ascii="Arial" w:hAnsi="Arial" w:cs="Arial"/>
          <w:color w:val="000000" w:themeColor="text1"/>
        </w:rPr>
        <w:t xml:space="preserve"> cactáceas y puyas</w:t>
      </w:r>
      <w:r w:rsidR="0011378E" w:rsidRPr="000E0F90">
        <w:rPr>
          <w:rFonts w:ascii="Arial" w:hAnsi="Arial" w:cs="Arial"/>
          <w:color w:val="000000" w:themeColor="text1"/>
        </w:rPr>
        <w:t>.</w:t>
      </w:r>
      <w:r w:rsidR="00F61B12" w:rsidRPr="000E0F90">
        <w:rPr>
          <w:rFonts w:ascii="Arial" w:hAnsi="Arial" w:cs="Arial"/>
          <w:color w:val="000000" w:themeColor="text1"/>
        </w:rPr>
        <w:t xml:space="preserve"> En sentido altitudinal </w:t>
      </w:r>
      <w:r w:rsidR="0011378E" w:rsidRPr="000E0F90">
        <w:rPr>
          <w:rFonts w:ascii="Arial" w:hAnsi="Arial" w:cs="Arial"/>
          <w:color w:val="000000" w:themeColor="text1"/>
        </w:rPr>
        <w:t xml:space="preserve">se presenta el </w:t>
      </w:r>
      <w:r w:rsidR="0011378E" w:rsidRPr="000E0F90">
        <w:rPr>
          <w:rFonts w:ascii="Arial" w:hAnsi="Arial" w:cs="Arial"/>
          <w:i/>
          <w:color w:val="000000" w:themeColor="text1"/>
          <w:lang w:eastAsia="es-CL"/>
        </w:rPr>
        <w:t>Matorral arborescente esclerófilo mediterráneo interior</w:t>
      </w:r>
      <w:r w:rsidR="0011378E" w:rsidRPr="000E0F90">
        <w:rPr>
          <w:rFonts w:ascii="Arial" w:hAnsi="Arial" w:cs="Arial"/>
          <w:color w:val="000000" w:themeColor="text1"/>
          <w:lang w:eastAsia="es-CL"/>
        </w:rPr>
        <w:t xml:space="preserve"> ubicado en el interior y en laderas andinas, </w:t>
      </w:r>
      <w:r w:rsidR="00F61B12" w:rsidRPr="000E0F90">
        <w:rPr>
          <w:rFonts w:ascii="Arial" w:hAnsi="Arial" w:cs="Arial"/>
          <w:color w:val="000000" w:themeColor="text1"/>
          <w:lang w:eastAsia="es-CL"/>
        </w:rPr>
        <w:t>abierto,</w:t>
      </w:r>
      <w:r w:rsidR="0011378E" w:rsidRPr="000E0F90">
        <w:rPr>
          <w:rFonts w:ascii="Arial" w:hAnsi="Arial" w:cs="Arial"/>
          <w:color w:val="000000" w:themeColor="text1"/>
          <w:lang w:eastAsia="es-CL"/>
        </w:rPr>
        <w:t xml:space="preserve"> </w:t>
      </w:r>
      <w:r w:rsidR="003F2E43" w:rsidRPr="000E0F90">
        <w:rPr>
          <w:rFonts w:ascii="Arial" w:hAnsi="Arial" w:cs="Arial"/>
          <w:color w:val="000000" w:themeColor="text1"/>
          <w:lang w:eastAsia="es-CL"/>
        </w:rPr>
        <w:t>con</w:t>
      </w:r>
      <w:r w:rsidR="0011378E" w:rsidRPr="000E0F90">
        <w:rPr>
          <w:rFonts w:ascii="Arial" w:hAnsi="Arial" w:cs="Arial"/>
          <w:color w:val="000000" w:themeColor="text1"/>
          <w:lang w:eastAsia="es-CL"/>
        </w:rPr>
        <w:t xml:space="preserve"> arbustos altos </w:t>
      </w:r>
      <w:r w:rsidR="003F2E43" w:rsidRPr="000E0F90">
        <w:rPr>
          <w:rFonts w:ascii="Arial" w:hAnsi="Arial" w:cs="Arial"/>
          <w:color w:val="000000" w:themeColor="text1"/>
          <w:lang w:eastAsia="es-CL"/>
        </w:rPr>
        <w:t>e</w:t>
      </w:r>
      <w:r w:rsidR="0011378E" w:rsidRPr="000E0F90">
        <w:rPr>
          <w:rFonts w:ascii="Arial" w:hAnsi="Arial" w:cs="Arial"/>
          <w:color w:val="000000" w:themeColor="text1"/>
          <w:lang w:eastAsia="es-CL"/>
        </w:rPr>
        <w:t xml:space="preserve"> individuos arbóreos</w:t>
      </w:r>
      <w:r w:rsidR="00E276D2" w:rsidRPr="000E0F90">
        <w:rPr>
          <w:rFonts w:ascii="Arial" w:hAnsi="Arial" w:cs="Arial"/>
          <w:color w:val="000000" w:themeColor="text1"/>
          <w:lang w:eastAsia="es-CL"/>
        </w:rPr>
        <w:t>. Ambos pisos p</w:t>
      </w:r>
      <w:r w:rsidR="0011378E" w:rsidRPr="000E0F90">
        <w:rPr>
          <w:rFonts w:ascii="Arial" w:hAnsi="Arial" w:cs="Arial"/>
          <w:color w:val="000000" w:themeColor="text1"/>
          <w:lang w:eastAsia="es-CL"/>
        </w:rPr>
        <w:t>resenta</w:t>
      </w:r>
      <w:r w:rsidR="00E276D2" w:rsidRPr="000E0F90">
        <w:rPr>
          <w:rFonts w:ascii="Arial" w:hAnsi="Arial" w:cs="Arial"/>
          <w:color w:val="000000" w:themeColor="text1"/>
          <w:lang w:eastAsia="es-CL"/>
        </w:rPr>
        <w:t xml:space="preserve">n una </w:t>
      </w:r>
      <w:r w:rsidR="0011378E" w:rsidRPr="000E0F90">
        <w:rPr>
          <w:rFonts w:ascii="Arial" w:hAnsi="Arial" w:cs="Arial"/>
          <w:color w:val="000000" w:themeColor="text1"/>
          <w:lang w:eastAsia="es-CL"/>
        </w:rPr>
        <w:t xml:space="preserve">fuerte presión antrópica. En sentido altitudinal se presenta el </w:t>
      </w:r>
      <w:r w:rsidR="0011378E" w:rsidRPr="000E0F90">
        <w:rPr>
          <w:rFonts w:ascii="Arial" w:hAnsi="Arial" w:cs="Arial"/>
          <w:i/>
          <w:color w:val="000000" w:themeColor="text1"/>
          <w:lang w:eastAsia="es-CL"/>
        </w:rPr>
        <w:t xml:space="preserve">Bosque esclerófilo </w:t>
      </w:r>
      <w:r w:rsidR="00EB25B0" w:rsidRPr="000E0F90">
        <w:rPr>
          <w:rFonts w:ascii="Arial" w:hAnsi="Arial" w:cs="Arial"/>
          <w:i/>
          <w:color w:val="000000" w:themeColor="text1"/>
          <w:lang w:eastAsia="es-CL"/>
        </w:rPr>
        <w:t>mediterráneo</w:t>
      </w:r>
      <w:r w:rsidR="0011378E" w:rsidRPr="000E0F90">
        <w:rPr>
          <w:rFonts w:ascii="Arial" w:hAnsi="Arial" w:cs="Arial"/>
          <w:i/>
          <w:color w:val="000000" w:themeColor="text1"/>
          <w:lang w:eastAsia="es-CL"/>
        </w:rPr>
        <w:t xml:space="preserve"> andino</w:t>
      </w:r>
      <w:r w:rsidR="00E276D2" w:rsidRPr="000E0F90">
        <w:rPr>
          <w:rFonts w:ascii="Arial" w:hAnsi="Arial" w:cs="Arial"/>
          <w:b/>
          <w:color w:val="000000" w:themeColor="text1"/>
          <w:lang w:eastAsia="es-CL"/>
        </w:rPr>
        <w:t>,</w:t>
      </w:r>
      <w:r w:rsidR="003F2E43" w:rsidRPr="000E0F90">
        <w:rPr>
          <w:rFonts w:ascii="Arial" w:hAnsi="Arial" w:cs="Arial"/>
          <w:color w:val="000000" w:themeColor="text1"/>
          <w:lang w:eastAsia="es-CL"/>
        </w:rPr>
        <w:t xml:space="preserve"> abierto</w:t>
      </w:r>
      <w:r w:rsidR="00E276D2" w:rsidRPr="000E0F90">
        <w:rPr>
          <w:rFonts w:ascii="Arial" w:hAnsi="Arial" w:cs="Arial"/>
          <w:color w:val="000000" w:themeColor="text1"/>
          <w:lang w:eastAsia="es-CL"/>
        </w:rPr>
        <w:t>.</w:t>
      </w:r>
      <w:r w:rsidR="0011378E" w:rsidRPr="000E0F90">
        <w:rPr>
          <w:rFonts w:ascii="Arial" w:hAnsi="Arial" w:cs="Arial"/>
          <w:color w:val="000000" w:themeColor="text1"/>
          <w:lang w:eastAsia="es-CL"/>
        </w:rPr>
        <w:t xml:space="preserve"> </w:t>
      </w:r>
      <w:r w:rsidR="008C007A" w:rsidRPr="000E0F90">
        <w:rPr>
          <w:rFonts w:ascii="Arial" w:hAnsi="Arial" w:cs="Arial"/>
          <w:color w:val="000000" w:themeColor="text1"/>
        </w:rPr>
        <w:t>En las laderas alt</w:t>
      </w:r>
      <w:r w:rsidR="00F61B12" w:rsidRPr="000E0F90">
        <w:rPr>
          <w:rFonts w:ascii="Arial" w:hAnsi="Arial" w:cs="Arial"/>
          <w:color w:val="000000" w:themeColor="text1"/>
        </w:rPr>
        <w:t>as de los andes,</w:t>
      </w:r>
      <w:r w:rsidR="008C007A" w:rsidRPr="000E0F90">
        <w:rPr>
          <w:rFonts w:ascii="Arial" w:hAnsi="Arial" w:cs="Arial"/>
          <w:color w:val="000000" w:themeColor="text1"/>
        </w:rPr>
        <w:t xml:space="preserve"> se ubica el </w:t>
      </w:r>
      <w:r w:rsidR="008C007A" w:rsidRPr="000E0F90">
        <w:rPr>
          <w:rFonts w:ascii="Arial" w:hAnsi="Arial" w:cs="Arial"/>
          <w:i/>
          <w:color w:val="000000" w:themeColor="text1"/>
        </w:rPr>
        <w:t>matorral bajo mediterráneo andino,</w:t>
      </w:r>
      <w:r w:rsidR="008C007A" w:rsidRPr="000E0F90">
        <w:rPr>
          <w:rFonts w:ascii="Arial" w:hAnsi="Arial" w:cs="Arial"/>
          <w:color w:val="000000" w:themeColor="text1"/>
        </w:rPr>
        <w:t xml:space="preserve"> matorral bajo</w:t>
      </w:r>
      <w:r w:rsidR="00F61B12" w:rsidRPr="000E0F90">
        <w:rPr>
          <w:rFonts w:ascii="Arial" w:hAnsi="Arial" w:cs="Arial"/>
          <w:color w:val="000000" w:themeColor="text1"/>
        </w:rPr>
        <w:t xml:space="preserve"> y cobertura mod</w:t>
      </w:r>
      <w:r w:rsidR="0005225D">
        <w:rPr>
          <w:rFonts w:ascii="Arial" w:hAnsi="Arial" w:cs="Arial"/>
          <w:color w:val="000000" w:themeColor="text1"/>
        </w:rPr>
        <w:t>erada, dominado por subarbustos y</w:t>
      </w:r>
      <w:r w:rsidR="008C007A" w:rsidRPr="000E0F90">
        <w:rPr>
          <w:rFonts w:ascii="Arial" w:hAnsi="Arial" w:cs="Arial"/>
          <w:color w:val="000000" w:themeColor="text1"/>
        </w:rPr>
        <w:t xml:space="preserve"> herbáceas</w:t>
      </w:r>
      <w:r w:rsidR="003F2E43" w:rsidRPr="000E0F90">
        <w:rPr>
          <w:rFonts w:ascii="Arial" w:hAnsi="Arial" w:cs="Arial"/>
          <w:color w:val="000000" w:themeColor="text1"/>
        </w:rPr>
        <w:t xml:space="preserve">, </w:t>
      </w:r>
      <w:r w:rsidR="005D571F" w:rsidRPr="000E0F90">
        <w:rPr>
          <w:rFonts w:ascii="Arial" w:hAnsi="Arial" w:cs="Arial"/>
          <w:color w:val="000000" w:themeColor="text1"/>
        </w:rPr>
        <w:t xml:space="preserve">bajo </w:t>
      </w:r>
      <w:r w:rsidR="00F61B12" w:rsidRPr="000E0F90">
        <w:rPr>
          <w:rFonts w:ascii="Arial" w:hAnsi="Arial" w:cs="Arial"/>
          <w:color w:val="000000" w:themeColor="text1"/>
        </w:rPr>
        <w:t>presiones por el pastoreo de animales.</w:t>
      </w:r>
      <w:r w:rsidR="00E276D2" w:rsidRPr="000E0F90">
        <w:rPr>
          <w:rFonts w:ascii="Arial" w:hAnsi="Arial" w:cs="Arial"/>
          <w:color w:val="000000" w:themeColor="text1"/>
        </w:rPr>
        <w:t xml:space="preserve"> </w:t>
      </w:r>
      <w:r w:rsidR="008C007A" w:rsidRPr="000E0F90">
        <w:rPr>
          <w:rFonts w:ascii="Arial" w:hAnsi="Arial" w:cs="Arial"/>
          <w:color w:val="000000" w:themeColor="text1"/>
        </w:rPr>
        <w:t xml:space="preserve">El </w:t>
      </w:r>
      <w:r w:rsidR="008C007A" w:rsidRPr="000E0F90">
        <w:rPr>
          <w:rFonts w:ascii="Arial" w:hAnsi="Arial" w:cs="Arial"/>
          <w:i/>
          <w:color w:val="000000" w:themeColor="text1"/>
        </w:rPr>
        <w:t>herbazal mediterráneo andino</w:t>
      </w:r>
      <w:r w:rsidR="008C007A" w:rsidRPr="000E0F90">
        <w:rPr>
          <w:rFonts w:ascii="Arial" w:hAnsi="Arial" w:cs="Arial"/>
          <w:color w:val="000000" w:themeColor="text1"/>
        </w:rPr>
        <w:t xml:space="preserve">, ubicado </w:t>
      </w:r>
      <w:r w:rsidR="005D571F" w:rsidRPr="000E0F90">
        <w:rPr>
          <w:rFonts w:ascii="Arial" w:hAnsi="Arial" w:cs="Arial"/>
          <w:color w:val="000000" w:themeColor="text1"/>
        </w:rPr>
        <w:t>zonas andinas, muy abierto</w:t>
      </w:r>
      <w:r w:rsidR="008C007A" w:rsidRPr="000E0F90">
        <w:rPr>
          <w:rFonts w:ascii="Arial" w:hAnsi="Arial" w:cs="Arial"/>
          <w:color w:val="000000" w:themeColor="text1"/>
        </w:rPr>
        <w:t xml:space="preserve">, </w:t>
      </w:r>
      <w:r w:rsidR="00F61B12" w:rsidRPr="000E0F90">
        <w:rPr>
          <w:rFonts w:ascii="Arial" w:hAnsi="Arial" w:cs="Arial"/>
          <w:color w:val="000000" w:themeColor="text1"/>
        </w:rPr>
        <w:t xml:space="preserve">se </w:t>
      </w:r>
      <w:r w:rsidR="008C007A" w:rsidRPr="000E0F90">
        <w:rPr>
          <w:rFonts w:ascii="Arial" w:hAnsi="Arial" w:cs="Arial"/>
          <w:color w:val="000000" w:themeColor="text1"/>
        </w:rPr>
        <w:t>presenta</w:t>
      </w:r>
      <w:r w:rsidR="00F61B12" w:rsidRPr="000E0F90">
        <w:rPr>
          <w:rFonts w:ascii="Arial" w:hAnsi="Arial" w:cs="Arial"/>
          <w:color w:val="000000" w:themeColor="text1"/>
        </w:rPr>
        <w:t xml:space="preserve"> con</w:t>
      </w:r>
      <w:r w:rsidR="008C007A" w:rsidRPr="000E0F90">
        <w:rPr>
          <w:rFonts w:ascii="Arial" w:hAnsi="Arial" w:cs="Arial"/>
          <w:color w:val="000000" w:themeColor="text1"/>
        </w:rPr>
        <w:t xml:space="preserve"> hierbas en roseta y gramíneas</w:t>
      </w:r>
      <w:r w:rsidR="003F2E43" w:rsidRPr="000E0F90">
        <w:rPr>
          <w:rFonts w:ascii="Arial" w:hAnsi="Arial" w:cs="Arial"/>
          <w:color w:val="000000" w:themeColor="text1"/>
        </w:rPr>
        <w:t>.</w:t>
      </w:r>
      <w:r w:rsidR="008C007A" w:rsidRPr="000E0F90">
        <w:rPr>
          <w:rFonts w:ascii="Arial" w:hAnsi="Arial" w:cs="Arial"/>
          <w:color w:val="000000" w:themeColor="text1"/>
        </w:rPr>
        <w:t xml:space="preserve"> </w:t>
      </w:r>
    </w:p>
    <w:p w:rsidR="001963E4" w:rsidRPr="000E0F90" w:rsidRDefault="00723D51" w:rsidP="00702D9A">
      <w:pPr>
        <w:spacing w:after="0" w:line="360" w:lineRule="auto"/>
        <w:rPr>
          <w:rFonts w:ascii="Arial" w:hAnsi="Arial" w:cs="Arial"/>
          <w:b/>
          <w:color w:val="000000" w:themeColor="text1"/>
        </w:rPr>
      </w:pPr>
      <w:r w:rsidRPr="000E0F90">
        <w:rPr>
          <w:rFonts w:ascii="Arial" w:hAnsi="Arial" w:cs="Arial"/>
          <w:b/>
          <w:color w:val="000000" w:themeColor="text1"/>
        </w:rPr>
        <w:t>F</w:t>
      </w:r>
      <w:r w:rsidR="00441FCB" w:rsidRPr="000E0F90">
        <w:rPr>
          <w:rFonts w:ascii="Arial" w:hAnsi="Arial" w:cs="Arial"/>
          <w:b/>
          <w:color w:val="000000" w:themeColor="text1"/>
        </w:rPr>
        <w:t>auna:</w:t>
      </w:r>
    </w:p>
    <w:p w:rsidR="00516FB9" w:rsidRPr="000E0F90" w:rsidRDefault="00062A9C" w:rsidP="00702D9A">
      <w:pPr>
        <w:spacing w:line="360" w:lineRule="auto"/>
        <w:rPr>
          <w:rFonts w:ascii="Arial" w:hAnsi="Arial" w:cs="Arial"/>
          <w:color w:val="000000" w:themeColor="text1"/>
        </w:rPr>
      </w:pPr>
      <w:r w:rsidRPr="000E0F90">
        <w:rPr>
          <w:rFonts w:ascii="Arial" w:hAnsi="Arial" w:cs="Arial"/>
          <w:color w:val="000000" w:themeColor="text1"/>
        </w:rPr>
        <w:t xml:space="preserve">Respecto a la fauna presente en </w:t>
      </w:r>
      <w:r w:rsidR="00EB25B0" w:rsidRPr="000E0F90">
        <w:rPr>
          <w:rFonts w:ascii="Arial" w:hAnsi="Arial" w:cs="Arial"/>
          <w:color w:val="000000" w:themeColor="text1"/>
        </w:rPr>
        <w:t>Salamanca</w:t>
      </w:r>
      <w:r w:rsidRPr="000E0F90">
        <w:rPr>
          <w:rFonts w:ascii="Arial" w:hAnsi="Arial" w:cs="Arial"/>
          <w:color w:val="000000" w:themeColor="text1"/>
        </w:rPr>
        <w:t xml:space="preserve">, </w:t>
      </w:r>
      <w:r w:rsidR="00E95F45" w:rsidRPr="000E0F90">
        <w:rPr>
          <w:rFonts w:ascii="Arial" w:hAnsi="Arial" w:cs="Arial"/>
          <w:color w:val="000000" w:themeColor="text1"/>
        </w:rPr>
        <w:t xml:space="preserve">se identifican anfibios, reptiles, aves y mamíferos. </w:t>
      </w:r>
      <w:r w:rsidR="00441FCB" w:rsidRPr="000E0F90">
        <w:rPr>
          <w:rFonts w:ascii="Arial" w:hAnsi="Arial" w:cs="Arial"/>
          <w:color w:val="000000" w:themeColor="text1"/>
        </w:rPr>
        <w:t xml:space="preserve">De acuerdo a </w:t>
      </w:r>
      <w:sdt>
        <w:sdtPr>
          <w:rPr>
            <w:rFonts w:ascii="Arial" w:hAnsi="Arial" w:cs="Arial"/>
            <w:color w:val="000000" w:themeColor="text1"/>
          </w:rPr>
          <w:id w:val="-1148360422"/>
          <w:citation/>
        </w:sdtPr>
        <w:sdtEndPr/>
        <w:sdtContent>
          <w:r w:rsidR="00441FCB" w:rsidRPr="000E0F90">
            <w:rPr>
              <w:rFonts w:ascii="Arial" w:hAnsi="Arial" w:cs="Arial"/>
              <w:color w:val="000000" w:themeColor="text1"/>
            </w:rPr>
            <w:fldChar w:fldCharType="begin"/>
          </w:r>
          <w:r w:rsidR="00441FCB" w:rsidRPr="000E0F90">
            <w:rPr>
              <w:rFonts w:ascii="Arial" w:hAnsi="Arial" w:cs="Arial"/>
              <w:color w:val="000000" w:themeColor="text1"/>
            </w:rPr>
            <w:instrText xml:space="preserve"> CITATION Tor08 \l 13322 </w:instrText>
          </w:r>
          <w:r w:rsidR="00441FCB" w:rsidRPr="000E0F90">
            <w:rPr>
              <w:rFonts w:ascii="Arial" w:hAnsi="Arial" w:cs="Arial"/>
              <w:color w:val="000000" w:themeColor="text1"/>
            </w:rPr>
            <w:fldChar w:fldCharType="separate"/>
          </w:r>
          <w:r w:rsidR="008D0261" w:rsidRPr="000E0F90">
            <w:rPr>
              <w:rFonts w:ascii="Arial" w:hAnsi="Arial" w:cs="Arial"/>
              <w:noProof/>
              <w:color w:val="000000" w:themeColor="text1"/>
            </w:rPr>
            <w:t>(Torres-Murra, 2008)</w:t>
          </w:r>
          <w:r w:rsidR="00441FCB" w:rsidRPr="000E0F90">
            <w:rPr>
              <w:rFonts w:ascii="Arial" w:hAnsi="Arial" w:cs="Arial"/>
              <w:color w:val="000000" w:themeColor="text1"/>
            </w:rPr>
            <w:fldChar w:fldCharType="end"/>
          </w:r>
        </w:sdtContent>
      </w:sdt>
      <w:r w:rsidR="00441FCB" w:rsidRPr="000E0F90">
        <w:rPr>
          <w:rFonts w:ascii="Arial" w:hAnsi="Arial" w:cs="Arial"/>
          <w:color w:val="000000" w:themeColor="text1"/>
        </w:rPr>
        <w:t xml:space="preserve"> se identifica la presencia de </w:t>
      </w:r>
      <w:r w:rsidR="00516FB9" w:rsidRPr="000E0F90">
        <w:rPr>
          <w:rFonts w:ascii="Arial" w:hAnsi="Arial" w:cs="Arial"/>
          <w:color w:val="000000" w:themeColor="text1"/>
        </w:rPr>
        <w:t xml:space="preserve">2 </w:t>
      </w:r>
      <w:r w:rsidR="00441FCB" w:rsidRPr="000E0F90">
        <w:rPr>
          <w:rFonts w:ascii="Arial" w:hAnsi="Arial" w:cs="Arial"/>
          <w:color w:val="000000" w:themeColor="text1"/>
        </w:rPr>
        <w:t xml:space="preserve">especies de anfibios, </w:t>
      </w:r>
      <w:r w:rsidR="00516FB9" w:rsidRPr="000E0F90">
        <w:rPr>
          <w:rFonts w:ascii="Arial" w:hAnsi="Arial" w:cs="Arial"/>
          <w:color w:val="000000" w:themeColor="text1"/>
        </w:rPr>
        <w:t xml:space="preserve">6 </w:t>
      </w:r>
      <w:r w:rsidR="00441FCB" w:rsidRPr="000E0F90">
        <w:rPr>
          <w:rFonts w:ascii="Arial" w:hAnsi="Arial" w:cs="Arial"/>
          <w:color w:val="000000" w:themeColor="text1"/>
        </w:rPr>
        <w:t xml:space="preserve">reptiles, </w:t>
      </w:r>
      <w:r w:rsidR="00516FB9" w:rsidRPr="000E0F90">
        <w:rPr>
          <w:rFonts w:ascii="Arial" w:hAnsi="Arial" w:cs="Arial"/>
          <w:color w:val="000000" w:themeColor="text1"/>
        </w:rPr>
        <w:t xml:space="preserve">50 </w:t>
      </w:r>
      <w:r w:rsidR="00441FCB" w:rsidRPr="000E0F90">
        <w:rPr>
          <w:rFonts w:ascii="Arial" w:hAnsi="Arial" w:cs="Arial"/>
          <w:color w:val="000000" w:themeColor="text1"/>
        </w:rPr>
        <w:t xml:space="preserve">aves y </w:t>
      </w:r>
      <w:r w:rsidR="00516FB9" w:rsidRPr="000E0F90">
        <w:rPr>
          <w:rFonts w:ascii="Arial" w:hAnsi="Arial" w:cs="Arial"/>
          <w:color w:val="000000" w:themeColor="text1"/>
        </w:rPr>
        <w:t xml:space="preserve">9 especies de </w:t>
      </w:r>
      <w:r w:rsidR="00441FCB" w:rsidRPr="000E0F90">
        <w:rPr>
          <w:rFonts w:ascii="Arial" w:hAnsi="Arial" w:cs="Arial"/>
          <w:color w:val="000000" w:themeColor="text1"/>
        </w:rPr>
        <w:t>mamíferos, de naturaleza endémica como exótica</w:t>
      </w:r>
      <w:r w:rsidR="00516FB9" w:rsidRPr="000E0F90">
        <w:rPr>
          <w:rFonts w:ascii="Arial" w:hAnsi="Arial" w:cs="Arial"/>
          <w:color w:val="000000" w:themeColor="text1"/>
        </w:rPr>
        <w:t xml:space="preserve">, y en diversos estados de conservación. Dentro de las especies identificadas como vulnerables se encuentra el sapo de rulo, el sapo de cuatro ojos, la culebra de cola larga y culebra de cola corta, la iguana chilena y el </w:t>
      </w:r>
      <w:r w:rsidR="00EB25B0" w:rsidRPr="000E0F90">
        <w:rPr>
          <w:rFonts w:ascii="Arial" w:hAnsi="Arial" w:cs="Arial"/>
          <w:color w:val="000000" w:themeColor="text1"/>
        </w:rPr>
        <w:t>cóndor</w:t>
      </w:r>
      <w:r w:rsidR="00516FB9" w:rsidRPr="000E0F90">
        <w:rPr>
          <w:rFonts w:ascii="Arial" w:hAnsi="Arial" w:cs="Arial"/>
          <w:color w:val="000000" w:themeColor="text1"/>
        </w:rPr>
        <w:t>, y en peligro el cururo y catalogada como rara la yaca.</w:t>
      </w:r>
      <w:r w:rsidR="00760221" w:rsidRPr="000E0F90">
        <w:rPr>
          <w:rFonts w:ascii="Arial" w:hAnsi="Arial" w:cs="Arial"/>
          <w:color w:val="000000" w:themeColor="text1"/>
        </w:rPr>
        <w:t xml:space="preserve"> </w:t>
      </w:r>
      <w:r w:rsidR="00516FB9" w:rsidRPr="000E0F90">
        <w:rPr>
          <w:rFonts w:ascii="Arial" w:hAnsi="Arial" w:cs="Arial"/>
          <w:color w:val="000000" w:themeColor="text1"/>
        </w:rPr>
        <w:t>De las 62 especies nativas</w:t>
      </w:r>
      <w:r w:rsidR="00760221" w:rsidRPr="000E0F90">
        <w:rPr>
          <w:rFonts w:ascii="Arial" w:hAnsi="Arial" w:cs="Arial"/>
          <w:color w:val="000000" w:themeColor="text1"/>
        </w:rPr>
        <w:t xml:space="preserve"> identificadas</w:t>
      </w:r>
      <w:r w:rsidR="00516FB9" w:rsidRPr="000E0F90">
        <w:rPr>
          <w:rFonts w:ascii="Arial" w:hAnsi="Arial" w:cs="Arial"/>
          <w:color w:val="000000" w:themeColor="text1"/>
        </w:rPr>
        <w:t xml:space="preserve">, 17 son endémicas de Chile, correspondiente a 2 anfibios, 6 reptiles, 6 aves y 3 mamíferos </w:t>
      </w:r>
      <w:sdt>
        <w:sdtPr>
          <w:rPr>
            <w:rFonts w:ascii="Arial" w:hAnsi="Arial" w:cs="Arial"/>
            <w:color w:val="000000" w:themeColor="text1"/>
          </w:rPr>
          <w:id w:val="-1912837880"/>
          <w:citation/>
        </w:sdtPr>
        <w:sdtEndPr/>
        <w:sdtContent>
          <w:r w:rsidR="00516FB9" w:rsidRPr="000E0F90">
            <w:rPr>
              <w:rFonts w:ascii="Arial" w:hAnsi="Arial" w:cs="Arial"/>
              <w:color w:val="000000" w:themeColor="text1"/>
            </w:rPr>
            <w:fldChar w:fldCharType="begin"/>
          </w:r>
          <w:r w:rsidR="00516FB9" w:rsidRPr="000E0F90">
            <w:rPr>
              <w:rFonts w:ascii="Arial" w:hAnsi="Arial" w:cs="Arial"/>
              <w:color w:val="000000" w:themeColor="text1"/>
            </w:rPr>
            <w:instrText xml:space="preserve"> CITATION Tor08 \l 13322 </w:instrText>
          </w:r>
          <w:r w:rsidR="00516FB9" w:rsidRPr="000E0F90">
            <w:rPr>
              <w:rFonts w:ascii="Arial" w:hAnsi="Arial" w:cs="Arial"/>
              <w:color w:val="000000" w:themeColor="text1"/>
            </w:rPr>
            <w:fldChar w:fldCharType="separate"/>
          </w:r>
          <w:r w:rsidR="008D0261" w:rsidRPr="000E0F90">
            <w:rPr>
              <w:rFonts w:ascii="Arial" w:hAnsi="Arial" w:cs="Arial"/>
              <w:noProof/>
              <w:color w:val="000000" w:themeColor="text1"/>
            </w:rPr>
            <w:t>(Torres-Murra, 2008)</w:t>
          </w:r>
          <w:r w:rsidR="00516FB9" w:rsidRPr="000E0F90">
            <w:rPr>
              <w:rFonts w:ascii="Arial" w:hAnsi="Arial" w:cs="Arial"/>
              <w:color w:val="000000" w:themeColor="text1"/>
            </w:rPr>
            <w:fldChar w:fldCharType="end"/>
          </w:r>
        </w:sdtContent>
      </w:sdt>
      <w:r w:rsidR="00516FB9" w:rsidRPr="000E0F90">
        <w:rPr>
          <w:rFonts w:ascii="Arial" w:hAnsi="Arial" w:cs="Arial"/>
          <w:color w:val="000000" w:themeColor="text1"/>
        </w:rPr>
        <w:t xml:space="preserve">. </w:t>
      </w:r>
    </w:p>
    <w:p w:rsidR="00A2172D" w:rsidRDefault="00A2172D">
      <w:pPr>
        <w:jc w:val="left"/>
        <w:rPr>
          <w:rFonts w:ascii="Arial" w:eastAsiaTheme="majorEastAsia" w:hAnsi="Arial" w:cs="Arial"/>
          <w:b/>
          <w:bCs/>
          <w:iCs/>
          <w:color w:val="000000" w:themeColor="text1"/>
          <w:u w:val="single"/>
        </w:rPr>
      </w:pPr>
      <w:r>
        <w:rPr>
          <w:rFonts w:ascii="Arial" w:hAnsi="Arial" w:cs="Arial"/>
          <w:color w:val="000000" w:themeColor="text1"/>
        </w:rPr>
        <w:br w:type="page"/>
      </w:r>
    </w:p>
    <w:p w:rsidR="003F7077" w:rsidRPr="000E0F90" w:rsidRDefault="003F7077" w:rsidP="00702D9A">
      <w:pPr>
        <w:pStyle w:val="Ttulo4"/>
        <w:spacing w:line="360" w:lineRule="auto"/>
        <w:rPr>
          <w:rFonts w:ascii="Arial" w:hAnsi="Arial" w:cs="Arial"/>
          <w:color w:val="000000" w:themeColor="text1"/>
        </w:rPr>
      </w:pPr>
      <w:r w:rsidRPr="000E0F90">
        <w:rPr>
          <w:rFonts w:ascii="Arial" w:hAnsi="Arial" w:cs="Arial"/>
          <w:color w:val="000000" w:themeColor="text1"/>
        </w:rPr>
        <w:lastRenderedPageBreak/>
        <w:t>Socioestructura Comuna Salamanca</w:t>
      </w:r>
    </w:p>
    <w:p w:rsidR="00740D3D" w:rsidRPr="000E0F90" w:rsidRDefault="00EA2C3B" w:rsidP="00624FDB">
      <w:pPr>
        <w:spacing w:after="0" w:line="360" w:lineRule="auto"/>
        <w:jc w:val="left"/>
        <w:rPr>
          <w:rFonts w:ascii="Arial" w:hAnsi="Arial" w:cs="Arial"/>
          <w:b/>
          <w:color w:val="000000" w:themeColor="text1"/>
        </w:rPr>
      </w:pPr>
      <w:r>
        <w:rPr>
          <w:noProof/>
          <w:lang w:eastAsia="es-CL"/>
        </w:rPr>
        <w:drawing>
          <wp:inline distT="0" distB="0" distL="0" distR="0" wp14:anchorId="348D182A" wp14:editId="23E4CC64">
            <wp:extent cx="5431790" cy="4178016"/>
            <wp:effectExtent l="0" t="0" r="0" b="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5431790" cy="4178016"/>
                    </a:xfrm>
                    <a:prstGeom prst="rect">
                      <a:avLst/>
                    </a:prstGeom>
                  </pic:spPr>
                </pic:pic>
              </a:graphicData>
            </a:graphic>
          </wp:inline>
        </w:drawing>
      </w:r>
    </w:p>
    <w:p w:rsidR="00F7220D" w:rsidRDefault="00740D3D" w:rsidP="00702D9A">
      <w:pPr>
        <w:pStyle w:val="Epgrafe"/>
        <w:spacing w:line="360" w:lineRule="auto"/>
        <w:jc w:val="center"/>
        <w:rPr>
          <w:rFonts w:ascii="Arial" w:hAnsi="Arial" w:cs="Arial"/>
          <w:b w:val="0"/>
          <w:color w:val="000000" w:themeColor="text1"/>
          <w:sz w:val="22"/>
        </w:rPr>
      </w:pPr>
      <w:r w:rsidRPr="000E0F90">
        <w:rPr>
          <w:rFonts w:ascii="Arial" w:hAnsi="Arial" w:cs="Arial"/>
          <w:b w:val="0"/>
          <w:color w:val="000000" w:themeColor="text1"/>
          <w:sz w:val="22"/>
        </w:rPr>
        <w:t xml:space="preserve">Figura </w:t>
      </w:r>
      <w:r w:rsidRPr="000E0F90">
        <w:rPr>
          <w:rFonts w:ascii="Arial" w:hAnsi="Arial" w:cs="Arial"/>
          <w:b w:val="0"/>
          <w:color w:val="000000" w:themeColor="text1"/>
          <w:sz w:val="22"/>
        </w:rPr>
        <w:fldChar w:fldCharType="begin"/>
      </w:r>
      <w:r w:rsidRPr="000E0F90">
        <w:rPr>
          <w:rFonts w:ascii="Arial" w:hAnsi="Arial" w:cs="Arial"/>
          <w:b w:val="0"/>
          <w:color w:val="000000" w:themeColor="text1"/>
          <w:sz w:val="22"/>
        </w:rPr>
        <w:instrText xml:space="preserve"> SEQ Figura \* ARABIC </w:instrText>
      </w:r>
      <w:r w:rsidRPr="000E0F90">
        <w:rPr>
          <w:rFonts w:ascii="Arial" w:hAnsi="Arial" w:cs="Arial"/>
          <w:b w:val="0"/>
          <w:color w:val="000000" w:themeColor="text1"/>
          <w:sz w:val="22"/>
        </w:rPr>
        <w:fldChar w:fldCharType="separate"/>
      </w:r>
      <w:r w:rsidR="00225844">
        <w:rPr>
          <w:rFonts w:ascii="Arial" w:hAnsi="Arial" w:cs="Arial"/>
          <w:b w:val="0"/>
          <w:noProof/>
          <w:color w:val="000000" w:themeColor="text1"/>
          <w:sz w:val="22"/>
        </w:rPr>
        <w:t>22</w:t>
      </w:r>
      <w:r w:rsidRPr="000E0F90">
        <w:rPr>
          <w:rFonts w:ascii="Arial" w:hAnsi="Arial" w:cs="Arial"/>
          <w:b w:val="0"/>
          <w:color w:val="000000" w:themeColor="text1"/>
          <w:sz w:val="22"/>
        </w:rPr>
        <w:fldChar w:fldCharType="end"/>
      </w:r>
      <w:r w:rsidRPr="000E0F90">
        <w:rPr>
          <w:rFonts w:ascii="Arial" w:hAnsi="Arial" w:cs="Arial"/>
          <w:b w:val="0"/>
          <w:color w:val="000000" w:themeColor="text1"/>
          <w:sz w:val="22"/>
        </w:rPr>
        <w:t>: Mapa de Socioestructura de la comuna de Salamanca (Elaboración propia).</w:t>
      </w:r>
    </w:p>
    <w:p w:rsidR="0086156A" w:rsidRPr="000E0F90" w:rsidRDefault="0086156A" w:rsidP="00702D9A">
      <w:pPr>
        <w:pStyle w:val="Epgrafe"/>
        <w:spacing w:line="360" w:lineRule="auto"/>
        <w:jc w:val="center"/>
        <w:rPr>
          <w:rFonts w:ascii="Arial" w:hAnsi="Arial" w:cs="Arial"/>
          <w:b w:val="0"/>
          <w:color w:val="000000" w:themeColor="text1"/>
        </w:rPr>
      </w:pPr>
    </w:p>
    <w:p w:rsidR="004F1EF8" w:rsidRPr="000E0F90" w:rsidRDefault="004F1EF8" w:rsidP="00702D9A">
      <w:pPr>
        <w:spacing w:before="240" w:after="0" w:line="360" w:lineRule="auto"/>
        <w:rPr>
          <w:rFonts w:ascii="Arial" w:hAnsi="Arial" w:cs="Arial"/>
          <w:b/>
          <w:color w:val="000000" w:themeColor="text1"/>
        </w:rPr>
      </w:pPr>
      <w:r w:rsidRPr="000E0F90">
        <w:rPr>
          <w:rFonts w:ascii="Arial" w:hAnsi="Arial" w:cs="Arial"/>
          <w:b/>
          <w:color w:val="000000" w:themeColor="text1"/>
        </w:rPr>
        <w:t>Población</w:t>
      </w:r>
    </w:p>
    <w:p w:rsidR="002115CE" w:rsidRPr="000E0F90" w:rsidRDefault="003F7077" w:rsidP="00702D9A">
      <w:pPr>
        <w:spacing w:line="360" w:lineRule="auto"/>
        <w:rPr>
          <w:rFonts w:ascii="Arial" w:hAnsi="Arial" w:cs="Arial"/>
          <w:color w:val="000000" w:themeColor="text1"/>
        </w:rPr>
      </w:pPr>
      <w:r w:rsidRPr="000E0F90">
        <w:rPr>
          <w:rFonts w:ascii="Arial" w:hAnsi="Arial" w:cs="Arial"/>
          <w:color w:val="000000" w:themeColor="text1"/>
        </w:rPr>
        <w:t xml:space="preserve">De acuerdo a datos del Censo 2002, la comuna de Salamanca presenta una población de 24.494  habitantes, representando el 4,06% de la región. De la cual, la población rural de la comuna asciende a un 48,20% </w:t>
      </w:r>
      <w:sdt>
        <w:sdtPr>
          <w:rPr>
            <w:rFonts w:ascii="Arial" w:hAnsi="Arial" w:cs="Arial"/>
            <w:color w:val="000000" w:themeColor="text1"/>
          </w:rPr>
          <w:id w:val="1499083506"/>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INE071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(INE, 2007)</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w:t>
      </w:r>
      <w:r w:rsidR="002115CE" w:rsidRPr="000E0F90">
        <w:rPr>
          <w:rFonts w:ascii="Arial" w:hAnsi="Arial" w:cs="Arial"/>
          <w:color w:val="000000" w:themeColor="text1"/>
        </w:rPr>
        <w:t>De esta población, se identifica un  total de 306 habitantes pertenecientes a etnias</w:t>
      </w:r>
      <w:r w:rsidR="00F17101" w:rsidRPr="000E0F90">
        <w:rPr>
          <w:rFonts w:ascii="Arial" w:hAnsi="Arial" w:cs="Arial"/>
          <w:color w:val="000000" w:themeColor="text1"/>
        </w:rPr>
        <w:t xml:space="preserve"> (1,2% de la población)</w:t>
      </w:r>
      <w:r w:rsidR="002115CE" w:rsidRPr="000E0F90">
        <w:rPr>
          <w:rFonts w:ascii="Arial" w:hAnsi="Arial" w:cs="Arial"/>
          <w:color w:val="000000" w:themeColor="text1"/>
        </w:rPr>
        <w:t>. Siendo las etnias m</w:t>
      </w:r>
      <w:r w:rsidR="00F17101" w:rsidRPr="000E0F90">
        <w:rPr>
          <w:rFonts w:ascii="Arial" w:hAnsi="Arial" w:cs="Arial"/>
          <w:color w:val="000000" w:themeColor="text1"/>
        </w:rPr>
        <w:t>á</w:t>
      </w:r>
      <w:r w:rsidR="002115CE" w:rsidRPr="000E0F90">
        <w:rPr>
          <w:rFonts w:ascii="Arial" w:hAnsi="Arial" w:cs="Arial"/>
          <w:color w:val="000000" w:themeColor="text1"/>
        </w:rPr>
        <w:t>s representadas en la comuna la etnia mapuche</w:t>
      </w:r>
      <w:r w:rsidR="00A95C11" w:rsidRPr="000E0F90">
        <w:rPr>
          <w:rFonts w:ascii="Arial" w:hAnsi="Arial" w:cs="Arial"/>
          <w:color w:val="000000" w:themeColor="text1"/>
        </w:rPr>
        <w:t xml:space="preserve"> (69,61%)</w:t>
      </w:r>
      <w:r w:rsidR="002115CE" w:rsidRPr="000E0F90">
        <w:rPr>
          <w:rFonts w:ascii="Arial" w:hAnsi="Arial" w:cs="Arial"/>
          <w:color w:val="000000" w:themeColor="text1"/>
        </w:rPr>
        <w:t xml:space="preserve">, seguida de atacameño </w:t>
      </w:r>
      <w:r w:rsidR="00A95C11" w:rsidRPr="000E0F90">
        <w:rPr>
          <w:rFonts w:ascii="Arial" w:hAnsi="Arial" w:cs="Arial"/>
          <w:color w:val="000000" w:themeColor="text1"/>
        </w:rPr>
        <w:t>(13,73%) y aimará (10,78%)</w:t>
      </w:r>
      <w:r w:rsidR="00F17101" w:rsidRPr="000E0F90">
        <w:rPr>
          <w:rFonts w:ascii="Arial" w:hAnsi="Arial" w:cs="Arial"/>
          <w:color w:val="000000" w:themeColor="text1"/>
        </w:rPr>
        <w:t xml:space="preserve"> </w:t>
      </w:r>
      <w:sdt>
        <w:sdtPr>
          <w:rPr>
            <w:rFonts w:ascii="Arial" w:hAnsi="Arial" w:cs="Arial"/>
            <w:color w:val="000000" w:themeColor="text1"/>
          </w:rPr>
          <w:id w:val="-950161725"/>
          <w:citation/>
        </w:sdtPr>
        <w:sdtEndPr/>
        <w:sdtContent>
          <w:r w:rsidR="00A95C11" w:rsidRPr="000E0F90">
            <w:rPr>
              <w:rFonts w:ascii="Arial" w:hAnsi="Arial" w:cs="Arial"/>
              <w:color w:val="000000" w:themeColor="text1"/>
            </w:rPr>
            <w:fldChar w:fldCharType="begin"/>
          </w:r>
          <w:r w:rsidR="00A95C11" w:rsidRPr="000E0F90">
            <w:rPr>
              <w:rFonts w:ascii="Arial" w:hAnsi="Arial" w:cs="Arial"/>
              <w:color w:val="000000" w:themeColor="text1"/>
            </w:rPr>
            <w:instrText xml:space="preserve">CITATION INE02 \t  \l 13322 </w:instrText>
          </w:r>
          <w:r w:rsidR="00A95C11" w:rsidRPr="000E0F90">
            <w:rPr>
              <w:rFonts w:ascii="Arial" w:hAnsi="Arial" w:cs="Arial"/>
              <w:color w:val="000000" w:themeColor="text1"/>
            </w:rPr>
            <w:fldChar w:fldCharType="separate"/>
          </w:r>
          <w:r w:rsidR="008D0261" w:rsidRPr="000E0F90">
            <w:rPr>
              <w:rFonts w:ascii="Arial" w:hAnsi="Arial" w:cs="Arial"/>
              <w:noProof/>
              <w:color w:val="000000" w:themeColor="text1"/>
            </w:rPr>
            <w:t>(INE, 2002)</w:t>
          </w:r>
          <w:r w:rsidR="00A95C11" w:rsidRPr="000E0F90">
            <w:rPr>
              <w:rFonts w:ascii="Arial" w:hAnsi="Arial" w:cs="Arial"/>
              <w:color w:val="000000" w:themeColor="text1"/>
            </w:rPr>
            <w:fldChar w:fldCharType="end"/>
          </w:r>
        </w:sdtContent>
      </w:sdt>
      <w:r w:rsidR="00A95C11" w:rsidRPr="000E0F90">
        <w:rPr>
          <w:rFonts w:ascii="Arial" w:hAnsi="Arial" w:cs="Arial"/>
          <w:color w:val="000000" w:themeColor="text1"/>
        </w:rPr>
        <w:t>.</w:t>
      </w:r>
    </w:p>
    <w:p w:rsidR="00AE16AE" w:rsidRDefault="00AE16AE" w:rsidP="00702D9A">
      <w:pPr>
        <w:spacing w:after="0" w:line="360" w:lineRule="auto"/>
        <w:rPr>
          <w:rFonts w:ascii="Arial" w:hAnsi="Arial" w:cs="Arial"/>
          <w:b/>
          <w:color w:val="000000" w:themeColor="text1"/>
        </w:rPr>
      </w:pPr>
    </w:p>
    <w:p w:rsidR="00AE16AE" w:rsidRDefault="00AE16AE" w:rsidP="00702D9A">
      <w:pPr>
        <w:spacing w:after="0" w:line="360" w:lineRule="auto"/>
        <w:rPr>
          <w:rFonts w:ascii="Arial" w:hAnsi="Arial" w:cs="Arial"/>
          <w:b/>
          <w:color w:val="000000" w:themeColor="text1"/>
        </w:rPr>
      </w:pPr>
    </w:p>
    <w:p w:rsidR="00B35339" w:rsidRDefault="00B35339" w:rsidP="00702D9A">
      <w:pPr>
        <w:spacing w:after="0" w:line="360" w:lineRule="auto"/>
        <w:rPr>
          <w:rFonts w:ascii="Arial" w:hAnsi="Arial" w:cs="Arial"/>
          <w:b/>
          <w:color w:val="000000" w:themeColor="text1"/>
        </w:rPr>
      </w:pPr>
    </w:p>
    <w:p w:rsidR="00B35339" w:rsidRDefault="00B35339" w:rsidP="00702D9A">
      <w:pPr>
        <w:spacing w:after="0" w:line="360" w:lineRule="auto"/>
        <w:rPr>
          <w:rFonts w:ascii="Arial" w:hAnsi="Arial" w:cs="Arial"/>
          <w:b/>
          <w:color w:val="000000" w:themeColor="text1"/>
        </w:rPr>
      </w:pPr>
    </w:p>
    <w:p w:rsidR="003F7077" w:rsidRPr="000E0F90" w:rsidRDefault="003F7077" w:rsidP="00702D9A">
      <w:pPr>
        <w:spacing w:after="0" w:line="360" w:lineRule="auto"/>
        <w:rPr>
          <w:rFonts w:ascii="Arial" w:hAnsi="Arial" w:cs="Arial"/>
          <w:b/>
          <w:color w:val="000000" w:themeColor="text1"/>
        </w:rPr>
      </w:pPr>
      <w:r w:rsidRPr="000E0F90">
        <w:rPr>
          <w:rFonts w:ascii="Arial" w:hAnsi="Arial" w:cs="Arial"/>
          <w:b/>
          <w:color w:val="000000" w:themeColor="text1"/>
        </w:rPr>
        <w:lastRenderedPageBreak/>
        <w:t>Actividades Económicas</w:t>
      </w:r>
    </w:p>
    <w:p w:rsidR="003F7077" w:rsidRPr="000E0F90" w:rsidRDefault="003F7077" w:rsidP="00702D9A">
      <w:pPr>
        <w:spacing w:line="360" w:lineRule="auto"/>
        <w:rPr>
          <w:rFonts w:ascii="Arial" w:hAnsi="Arial" w:cs="Arial"/>
          <w:color w:val="000000" w:themeColor="text1"/>
        </w:rPr>
      </w:pPr>
      <w:r w:rsidRPr="000E0F90">
        <w:rPr>
          <w:rFonts w:ascii="Arial" w:hAnsi="Arial" w:cs="Arial"/>
          <w:color w:val="000000" w:themeColor="text1"/>
        </w:rPr>
        <w:t xml:space="preserve">En relación a los rubros de las empresas existentes en la  comuna de Salamanca, de acuerdo a la información proveniente del Servicio de Impuestos Internos, al año 2013 se identificaron 1939 empresas, pertenecientes al sector silvoagropecuario (31,51%), comercio (27,54%), hoteles y restaurantes (7,68%), construcción (6,45%) y transporte (6,24%). El empleo, en tanto, se originó principalmente del sector construcción (36,21%), comercio (11,42%), silvoagropecuario (10,26%), administración pública (8,93%), hoteles y restaurantes (6,33%) </w:t>
      </w:r>
      <w:sdt>
        <w:sdtPr>
          <w:rPr>
            <w:rFonts w:ascii="Arial" w:hAnsi="Arial" w:cs="Arial"/>
            <w:color w:val="000000" w:themeColor="text1"/>
          </w:rPr>
          <w:id w:val="-972816135"/>
          <w:citation/>
        </w:sdtPr>
        <w:sdtEndPr/>
        <w:sdtContent>
          <w:r w:rsidRPr="000E0F90">
            <w:rPr>
              <w:rFonts w:ascii="Arial" w:hAnsi="Arial" w:cs="Arial"/>
              <w:color w:val="000000" w:themeColor="text1"/>
            </w:rPr>
            <w:fldChar w:fldCharType="begin"/>
          </w:r>
          <w:r w:rsidR="008A32ED" w:rsidRPr="000E0F90">
            <w:rPr>
              <w:rFonts w:ascii="Arial" w:hAnsi="Arial" w:cs="Arial"/>
              <w:color w:val="000000" w:themeColor="text1"/>
            </w:rPr>
            <w:instrText xml:space="preserve">CITATION Bib17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(BCN, 2017)</w:t>
          </w:r>
          <w:r w:rsidRPr="000E0F90">
            <w:rPr>
              <w:rFonts w:ascii="Arial" w:hAnsi="Arial" w:cs="Arial"/>
              <w:color w:val="000000" w:themeColor="text1"/>
            </w:rPr>
            <w:fldChar w:fldCharType="end"/>
          </w:r>
        </w:sdtContent>
      </w:sdt>
      <w:r w:rsidR="00BA1041">
        <w:rPr>
          <w:rFonts w:ascii="Arial" w:hAnsi="Arial" w:cs="Arial"/>
          <w:color w:val="000000" w:themeColor="text1"/>
        </w:rPr>
        <w:t xml:space="preserve"> (Figura 2</w:t>
      </w:r>
      <w:r w:rsidR="00B35339">
        <w:rPr>
          <w:rFonts w:ascii="Arial" w:hAnsi="Arial" w:cs="Arial"/>
          <w:color w:val="000000" w:themeColor="text1"/>
        </w:rPr>
        <w:t>3</w:t>
      </w:r>
      <w:r w:rsidR="00BA1041">
        <w:rPr>
          <w:rFonts w:ascii="Arial" w:hAnsi="Arial" w:cs="Arial"/>
          <w:color w:val="000000" w:themeColor="text1"/>
        </w:rPr>
        <w:t>)</w:t>
      </w:r>
      <w:r w:rsidRPr="000E0F90">
        <w:rPr>
          <w:rFonts w:ascii="Arial" w:hAnsi="Arial" w:cs="Arial"/>
          <w:color w:val="000000" w:themeColor="text1"/>
        </w:rPr>
        <w:t>.</w:t>
      </w:r>
    </w:p>
    <w:p w:rsidR="003F7077" w:rsidRPr="000E0F90" w:rsidRDefault="003F7077" w:rsidP="00702D9A">
      <w:pPr>
        <w:spacing w:after="0" w:line="360" w:lineRule="auto"/>
        <w:jc w:val="center"/>
        <w:rPr>
          <w:rFonts w:ascii="Arial" w:hAnsi="Arial" w:cs="Arial"/>
          <w:b/>
          <w:color w:val="000000" w:themeColor="text1"/>
        </w:rPr>
      </w:pPr>
      <w:r w:rsidRPr="000E0F90">
        <w:rPr>
          <w:rFonts w:ascii="Arial" w:hAnsi="Arial" w:cs="Arial"/>
          <w:noProof/>
          <w:color w:val="000000" w:themeColor="text1"/>
          <w:lang w:eastAsia="es-CL"/>
        </w:rPr>
        <w:drawing>
          <wp:inline distT="0" distB="0" distL="0" distR="0" wp14:anchorId="1B81D699" wp14:editId="5F125CE2">
            <wp:extent cx="5200650" cy="2409825"/>
            <wp:effectExtent l="0" t="0" r="19050" b="9525"/>
            <wp:docPr id="17" name="Gráfico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003F7077" w:rsidRPr="000E0F90" w:rsidRDefault="00740D3D" w:rsidP="00702D9A">
      <w:pPr>
        <w:pStyle w:val="Epgrafe"/>
        <w:spacing w:line="360" w:lineRule="auto"/>
        <w:jc w:val="center"/>
        <w:rPr>
          <w:rFonts w:ascii="Arial" w:hAnsi="Arial" w:cs="Arial"/>
          <w:b w:val="0"/>
          <w:color w:val="000000" w:themeColor="text1"/>
          <w:sz w:val="22"/>
        </w:rPr>
      </w:pPr>
      <w:r w:rsidRPr="000E0F90">
        <w:rPr>
          <w:rFonts w:ascii="Arial" w:hAnsi="Arial" w:cs="Arial"/>
          <w:b w:val="0"/>
          <w:color w:val="000000" w:themeColor="text1"/>
          <w:sz w:val="22"/>
        </w:rPr>
        <w:t xml:space="preserve">Figura </w:t>
      </w:r>
      <w:r w:rsidRPr="000E0F90">
        <w:rPr>
          <w:rFonts w:ascii="Arial" w:hAnsi="Arial" w:cs="Arial"/>
          <w:b w:val="0"/>
          <w:color w:val="000000" w:themeColor="text1"/>
          <w:sz w:val="22"/>
        </w:rPr>
        <w:fldChar w:fldCharType="begin"/>
      </w:r>
      <w:r w:rsidRPr="000E0F90">
        <w:rPr>
          <w:rFonts w:ascii="Arial" w:hAnsi="Arial" w:cs="Arial"/>
          <w:b w:val="0"/>
          <w:color w:val="000000" w:themeColor="text1"/>
          <w:sz w:val="22"/>
        </w:rPr>
        <w:instrText xml:space="preserve"> SEQ Figura \* ARABIC </w:instrText>
      </w:r>
      <w:r w:rsidRPr="000E0F90">
        <w:rPr>
          <w:rFonts w:ascii="Arial" w:hAnsi="Arial" w:cs="Arial"/>
          <w:b w:val="0"/>
          <w:color w:val="000000" w:themeColor="text1"/>
          <w:sz w:val="22"/>
        </w:rPr>
        <w:fldChar w:fldCharType="separate"/>
      </w:r>
      <w:r w:rsidR="00225844">
        <w:rPr>
          <w:rFonts w:ascii="Arial" w:hAnsi="Arial" w:cs="Arial"/>
          <w:b w:val="0"/>
          <w:noProof/>
          <w:color w:val="000000" w:themeColor="text1"/>
          <w:sz w:val="22"/>
        </w:rPr>
        <w:t>23</w:t>
      </w:r>
      <w:r w:rsidRPr="000E0F90">
        <w:rPr>
          <w:rFonts w:ascii="Arial" w:hAnsi="Arial" w:cs="Arial"/>
          <w:b w:val="0"/>
          <w:color w:val="000000" w:themeColor="text1"/>
          <w:sz w:val="22"/>
        </w:rPr>
        <w:fldChar w:fldCharType="end"/>
      </w:r>
      <w:r w:rsidR="00914155" w:rsidRPr="000E0F90">
        <w:rPr>
          <w:rFonts w:ascii="Arial" w:hAnsi="Arial" w:cs="Arial"/>
          <w:b w:val="0"/>
          <w:color w:val="000000" w:themeColor="text1"/>
          <w:sz w:val="22"/>
        </w:rPr>
        <w:t xml:space="preserve">: Participación de empresas u número de trabajadores según actividad económica de la comuna de Salamanca (Año 2013). </w:t>
      </w:r>
      <w:r w:rsidR="003F7077" w:rsidRPr="000E0F90">
        <w:rPr>
          <w:rFonts w:ascii="Arial" w:hAnsi="Arial" w:cs="Arial"/>
          <w:b w:val="0"/>
          <w:color w:val="000000" w:themeColor="text1"/>
          <w:sz w:val="22"/>
        </w:rPr>
        <w:t xml:space="preserve">Fuente: </w:t>
      </w:r>
      <w:sdt>
        <w:sdtPr>
          <w:rPr>
            <w:rFonts w:ascii="Arial" w:hAnsi="Arial" w:cs="Arial"/>
            <w:b w:val="0"/>
            <w:color w:val="000000" w:themeColor="text1"/>
            <w:sz w:val="22"/>
          </w:rPr>
          <w:id w:val="910126857"/>
          <w:citation/>
        </w:sdtPr>
        <w:sdtEndPr/>
        <w:sdtContent>
          <w:r w:rsidR="003F7077" w:rsidRPr="000E0F90">
            <w:rPr>
              <w:rFonts w:ascii="Arial" w:hAnsi="Arial" w:cs="Arial"/>
              <w:b w:val="0"/>
              <w:color w:val="000000" w:themeColor="text1"/>
              <w:sz w:val="22"/>
            </w:rPr>
            <w:fldChar w:fldCharType="begin"/>
          </w:r>
          <w:r w:rsidR="008A32ED" w:rsidRPr="000E0F90">
            <w:rPr>
              <w:rFonts w:ascii="Arial" w:hAnsi="Arial" w:cs="Arial"/>
              <w:b w:val="0"/>
              <w:color w:val="000000" w:themeColor="text1"/>
              <w:sz w:val="22"/>
            </w:rPr>
            <w:instrText xml:space="preserve">CITATION Bib17 \l 13322 </w:instrText>
          </w:r>
          <w:r w:rsidR="003F7077" w:rsidRPr="000E0F90">
            <w:rPr>
              <w:rFonts w:ascii="Arial" w:hAnsi="Arial" w:cs="Arial"/>
              <w:b w:val="0"/>
              <w:color w:val="000000" w:themeColor="text1"/>
              <w:sz w:val="22"/>
            </w:rPr>
            <w:fldChar w:fldCharType="separate"/>
          </w:r>
          <w:r w:rsidR="008D0261" w:rsidRPr="000E0F90">
            <w:rPr>
              <w:rFonts w:ascii="Arial" w:hAnsi="Arial" w:cs="Arial"/>
              <w:noProof/>
              <w:color w:val="000000" w:themeColor="text1"/>
              <w:sz w:val="22"/>
            </w:rPr>
            <w:t>(BCN, 2017)</w:t>
          </w:r>
          <w:r w:rsidR="003F7077" w:rsidRPr="000E0F90">
            <w:rPr>
              <w:rFonts w:ascii="Arial" w:hAnsi="Arial" w:cs="Arial"/>
              <w:b w:val="0"/>
              <w:color w:val="000000" w:themeColor="text1"/>
              <w:sz w:val="22"/>
            </w:rPr>
            <w:fldChar w:fldCharType="end"/>
          </w:r>
        </w:sdtContent>
      </w:sdt>
      <w:r w:rsidR="003F7077" w:rsidRPr="000E0F90">
        <w:rPr>
          <w:rFonts w:ascii="Arial" w:hAnsi="Arial" w:cs="Arial"/>
          <w:b w:val="0"/>
          <w:color w:val="000000" w:themeColor="text1"/>
          <w:sz w:val="22"/>
        </w:rPr>
        <w:t>.</w:t>
      </w:r>
    </w:p>
    <w:p w:rsidR="00914155" w:rsidRPr="000E0F90" w:rsidRDefault="00914155" w:rsidP="00702D9A">
      <w:pPr>
        <w:spacing w:after="0" w:line="360" w:lineRule="auto"/>
        <w:rPr>
          <w:rFonts w:ascii="Arial" w:hAnsi="Arial" w:cs="Arial"/>
          <w:b/>
          <w:color w:val="000000" w:themeColor="text1"/>
        </w:rPr>
      </w:pPr>
    </w:p>
    <w:p w:rsidR="003F7077" w:rsidRPr="000E0F90" w:rsidRDefault="003F7077" w:rsidP="00702D9A">
      <w:pPr>
        <w:spacing w:after="0" w:line="360" w:lineRule="auto"/>
        <w:rPr>
          <w:rFonts w:ascii="Arial" w:hAnsi="Arial" w:cs="Arial"/>
          <w:b/>
          <w:color w:val="000000" w:themeColor="text1"/>
        </w:rPr>
      </w:pPr>
      <w:r w:rsidRPr="000E0F90">
        <w:rPr>
          <w:rFonts w:ascii="Arial" w:hAnsi="Arial" w:cs="Arial"/>
          <w:b/>
          <w:color w:val="000000" w:themeColor="text1"/>
        </w:rPr>
        <w:t xml:space="preserve">Actividades Mineras </w:t>
      </w:r>
    </w:p>
    <w:p w:rsidR="003F7077" w:rsidRPr="000E0F90" w:rsidRDefault="003F7077" w:rsidP="00702D9A">
      <w:pPr>
        <w:spacing w:line="360" w:lineRule="auto"/>
        <w:rPr>
          <w:rFonts w:ascii="Arial" w:hAnsi="Arial" w:cs="Arial"/>
          <w:color w:val="000000" w:themeColor="text1"/>
        </w:rPr>
      </w:pPr>
      <w:r w:rsidRPr="000E0F90">
        <w:rPr>
          <w:rFonts w:ascii="Arial" w:hAnsi="Arial" w:cs="Arial"/>
          <w:color w:val="000000" w:themeColor="text1"/>
        </w:rPr>
        <w:t xml:space="preserve">En la Comuna de Salamanca, </w:t>
      </w:r>
      <w:r w:rsidR="007F3396" w:rsidRPr="000E0F90">
        <w:rPr>
          <w:rFonts w:ascii="Arial" w:hAnsi="Arial" w:cs="Arial"/>
          <w:color w:val="000000" w:themeColor="text1"/>
        </w:rPr>
        <w:t xml:space="preserve">se evidencian principalmente yacimientos de cobre </w:t>
      </w:r>
      <w:sdt>
        <w:sdtPr>
          <w:rPr>
            <w:rFonts w:ascii="Arial" w:hAnsi="Arial" w:cs="Arial"/>
            <w:color w:val="000000" w:themeColor="text1"/>
          </w:rPr>
          <w:id w:val="-771705549"/>
          <w:citation/>
        </w:sdtPr>
        <w:sdtEndPr/>
        <w:sdtContent>
          <w:r w:rsidR="007F3396" w:rsidRPr="000E0F90">
            <w:rPr>
              <w:rFonts w:ascii="Arial" w:hAnsi="Arial" w:cs="Arial"/>
              <w:color w:val="000000" w:themeColor="text1"/>
            </w:rPr>
            <w:fldChar w:fldCharType="begin"/>
          </w:r>
          <w:r w:rsidR="007F3396" w:rsidRPr="000E0F90">
            <w:rPr>
              <w:rFonts w:ascii="Arial" w:hAnsi="Arial" w:cs="Arial"/>
              <w:color w:val="000000" w:themeColor="text1"/>
            </w:rPr>
            <w:instrText xml:space="preserve"> CITATION SER11 \l 13322 </w:instrText>
          </w:r>
          <w:r w:rsidR="007F3396" w:rsidRPr="000E0F90">
            <w:rPr>
              <w:rFonts w:ascii="Arial" w:hAnsi="Arial" w:cs="Arial"/>
              <w:color w:val="000000" w:themeColor="text1"/>
            </w:rPr>
            <w:fldChar w:fldCharType="separate"/>
          </w:r>
          <w:r w:rsidR="008D0261" w:rsidRPr="000E0F90">
            <w:rPr>
              <w:rFonts w:ascii="Arial" w:hAnsi="Arial" w:cs="Arial"/>
              <w:noProof/>
              <w:color w:val="000000" w:themeColor="text1"/>
            </w:rPr>
            <w:t>(SERNAGEOMIN, 2011)</w:t>
          </w:r>
          <w:r w:rsidR="007F3396" w:rsidRPr="000E0F90">
            <w:rPr>
              <w:rFonts w:ascii="Arial" w:hAnsi="Arial" w:cs="Arial"/>
              <w:color w:val="000000" w:themeColor="text1"/>
            </w:rPr>
            <w:fldChar w:fldCharType="end"/>
          </w:r>
        </w:sdtContent>
      </w:sdt>
      <w:r w:rsidR="00C315A2" w:rsidRPr="000E0F90">
        <w:rPr>
          <w:rFonts w:ascii="Arial" w:hAnsi="Arial" w:cs="Arial"/>
          <w:color w:val="000000" w:themeColor="text1"/>
        </w:rPr>
        <w:t xml:space="preserve"> </w:t>
      </w:r>
      <w:r w:rsidR="00EB25B0" w:rsidRPr="000E0F90">
        <w:rPr>
          <w:rFonts w:ascii="Arial" w:hAnsi="Arial" w:cs="Arial"/>
          <w:color w:val="000000" w:themeColor="text1"/>
        </w:rPr>
        <w:t>Identificándose</w:t>
      </w:r>
      <w:r w:rsidRPr="000E0F90">
        <w:rPr>
          <w:rFonts w:ascii="Arial" w:hAnsi="Arial" w:cs="Arial"/>
          <w:color w:val="000000" w:themeColor="text1"/>
        </w:rPr>
        <w:t xml:space="preserve"> 92 faenas mineras, en variados estados de funcionamiento</w:t>
      </w:r>
      <w:r w:rsidR="00D7124E">
        <w:rPr>
          <w:rFonts w:ascii="Arial" w:hAnsi="Arial" w:cs="Arial"/>
          <w:color w:val="000000" w:themeColor="text1"/>
        </w:rPr>
        <w:t xml:space="preserve"> (</w:t>
      </w:r>
      <w:r w:rsidRPr="000E0F90">
        <w:rPr>
          <w:rFonts w:ascii="Arial" w:hAnsi="Arial" w:cs="Arial"/>
          <w:color w:val="000000" w:themeColor="text1"/>
        </w:rPr>
        <w:t xml:space="preserve">6,56% de la </w:t>
      </w:r>
      <w:r w:rsidR="00D7124E">
        <w:rPr>
          <w:rFonts w:ascii="Arial" w:hAnsi="Arial" w:cs="Arial"/>
          <w:color w:val="000000" w:themeColor="text1"/>
        </w:rPr>
        <w:t>regió</w:t>
      </w:r>
      <w:r w:rsidRPr="000E0F90">
        <w:rPr>
          <w:rFonts w:ascii="Arial" w:hAnsi="Arial" w:cs="Arial"/>
          <w:color w:val="000000" w:themeColor="text1"/>
        </w:rPr>
        <w:t>n</w:t>
      </w:r>
      <w:r w:rsidR="00D7124E">
        <w:rPr>
          <w:rFonts w:ascii="Arial" w:hAnsi="Arial" w:cs="Arial"/>
          <w:color w:val="000000" w:themeColor="text1"/>
        </w:rPr>
        <w:t>)</w:t>
      </w:r>
      <w:r w:rsidRPr="000E0F90">
        <w:rPr>
          <w:rFonts w:ascii="Arial" w:hAnsi="Arial" w:cs="Arial"/>
          <w:color w:val="000000" w:themeColor="text1"/>
        </w:rPr>
        <w:t>,</w:t>
      </w:r>
      <w:r w:rsidR="00D7124E">
        <w:rPr>
          <w:rFonts w:ascii="Arial" w:hAnsi="Arial" w:cs="Arial"/>
          <w:color w:val="000000" w:themeColor="text1"/>
        </w:rPr>
        <w:t xml:space="preserve"> de éstas</w:t>
      </w:r>
      <w:r w:rsidRPr="000E0F90">
        <w:rPr>
          <w:rFonts w:ascii="Arial" w:hAnsi="Arial" w:cs="Arial"/>
          <w:color w:val="000000" w:themeColor="text1"/>
        </w:rPr>
        <w:t xml:space="preserve"> la mayoría pertenecen a la categoría D (77), y el resto corresponden a faenas categorías A, B y C, con 8, 6  y 1 faenas re</w:t>
      </w:r>
      <w:r w:rsidR="00A34B31" w:rsidRPr="000E0F90">
        <w:rPr>
          <w:rFonts w:ascii="Arial" w:hAnsi="Arial" w:cs="Arial"/>
          <w:color w:val="000000" w:themeColor="text1"/>
        </w:rPr>
        <w:t>spectivamente</w:t>
      </w:r>
      <w:r w:rsidR="00D7124E">
        <w:rPr>
          <w:rFonts w:ascii="Arial" w:hAnsi="Arial" w:cs="Arial"/>
          <w:color w:val="000000" w:themeColor="text1"/>
        </w:rPr>
        <w:t xml:space="preserve"> (Figura 2</w:t>
      </w:r>
      <w:r w:rsidR="00B35339">
        <w:rPr>
          <w:rFonts w:ascii="Arial" w:hAnsi="Arial" w:cs="Arial"/>
          <w:color w:val="000000" w:themeColor="text1"/>
        </w:rPr>
        <w:t>4</w:t>
      </w:r>
      <w:r w:rsidR="00D7124E">
        <w:rPr>
          <w:rFonts w:ascii="Arial" w:hAnsi="Arial" w:cs="Arial"/>
          <w:color w:val="000000" w:themeColor="text1"/>
        </w:rPr>
        <w:t>)</w:t>
      </w:r>
      <w:r w:rsidR="00A34B31" w:rsidRPr="000E0F90">
        <w:rPr>
          <w:rFonts w:ascii="Arial" w:hAnsi="Arial" w:cs="Arial"/>
          <w:color w:val="000000" w:themeColor="text1"/>
        </w:rPr>
        <w:t>. Se identifican 16</w:t>
      </w:r>
      <w:r w:rsidRPr="000E0F90">
        <w:rPr>
          <w:rFonts w:ascii="Arial" w:hAnsi="Arial" w:cs="Arial"/>
          <w:color w:val="000000" w:themeColor="text1"/>
        </w:rPr>
        <w:t xml:space="preserve"> relaves mineros</w:t>
      </w:r>
      <w:r w:rsidR="00A34B31" w:rsidRPr="000E0F90">
        <w:rPr>
          <w:rFonts w:ascii="Arial" w:hAnsi="Arial" w:cs="Arial"/>
          <w:color w:val="000000" w:themeColor="text1"/>
        </w:rPr>
        <w:t xml:space="preserve">, de los cuales 4 </w:t>
      </w:r>
      <w:r w:rsidR="00EB25B0" w:rsidRPr="000E0F90">
        <w:rPr>
          <w:rFonts w:ascii="Arial" w:hAnsi="Arial" w:cs="Arial"/>
          <w:color w:val="000000" w:themeColor="text1"/>
        </w:rPr>
        <w:t>están</w:t>
      </w:r>
      <w:r w:rsidR="00A34B31" w:rsidRPr="000E0F90">
        <w:rPr>
          <w:rFonts w:ascii="Arial" w:hAnsi="Arial" w:cs="Arial"/>
          <w:color w:val="000000" w:themeColor="text1"/>
        </w:rPr>
        <w:t xml:space="preserve"> abandonados, 3 activos, 7 inactivos y 2 sin información;</w:t>
      </w:r>
      <w:r w:rsidRPr="000E0F90">
        <w:rPr>
          <w:rFonts w:ascii="Arial" w:hAnsi="Arial" w:cs="Arial"/>
          <w:color w:val="000000" w:themeColor="text1"/>
        </w:rPr>
        <w:t xml:space="preserve"> y ausencia de pasivos ambientales mineros </w:t>
      </w:r>
      <w:sdt>
        <w:sdtPr>
          <w:rPr>
            <w:rFonts w:ascii="Arial" w:hAnsi="Arial" w:cs="Arial"/>
            <w:color w:val="000000" w:themeColor="text1"/>
          </w:rPr>
          <w:id w:val="-9847303"/>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Ser16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(Sernageomin, 2016)</w:t>
          </w:r>
          <w:r w:rsidRPr="000E0F90">
            <w:rPr>
              <w:rFonts w:ascii="Arial" w:hAnsi="Arial" w:cs="Arial"/>
              <w:color w:val="000000" w:themeColor="text1"/>
            </w:rPr>
            <w:fldChar w:fldCharType="end"/>
          </w:r>
        </w:sdtContent>
      </w:sdt>
      <w:r w:rsidRPr="000E0F90">
        <w:rPr>
          <w:rFonts w:ascii="Arial" w:hAnsi="Arial" w:cs="Arial"/>
          <w:color w:val="000000" w:themeColor="text1"/>
        </w:rPr>
        <w:t>.</w:t>
      </w:r>
      <w:r w:rsidR="00C315A2" w:rsidRPr="000E0F90">
        <w:rPr>
          <w:rFonts w:ascii="Arial" w:hAnsi="Arial" w:cs="Arial"/>
          <w:color w:val="000000" w:themeColor="text1"/>
        </w:rPr>
        <w:t xml:space="preserve"> La actividad minera, se caracteriza por el desarrollo de la gran minería, con la Mina Los Pelambres. Los proyectos para la pequeña minería no son considerados viables </w:t>
      </w:r>
      <w:sdt>
        <w:sdtPr>
          <w:rPr>
            <w:rFonts w:ascii="Arial" w:hAnsi="Arial" w:cs="Arial"/>
            <w:color w:val="000000" w:themeColor="text1"/>
          </w:rPr>
          <w:id w:val="-36283207"/>
          <w:citation/>
        </w:sdtPr>
        <w:sdtEndPr/>
        <w:sdtContent>
          <w:r w:rsidR="00C315A2" w:rsidRPr="000E0F90">
            <w:rPr>
              <w:rFonts w:ascii="Arial" w:hAnsi="Arial" w:cs="Arial"/>
              <w:color w:val="000000" w:themeColor="text1"/>
            </w:rPr>
            <w:fldChar w:fldCharType="begin"/>
          </w:r>
          <w:r w:rsidR="00C315A2" w:rsidRPr="000E0F90">
            <w:rPr>
              <w:rFonts w:ascii="Arial" w:hAnsi="Arial" w:cs="Arial"/>
              <w:color w:val="000000" w:themeColor="text1"/>
            </w:rPr>
            <w:instrText xml:space="preserve"> CITATION Ges04 \l 13322 </w:instrText>
          </w:r>
          <w:r w:rsidR="00C315A2" w:rsidRPr="000E0F90">
            <w:rPr>
              <w:rFonts w:ascii="Arial" w:hAnsi="Arial" w:cs="Arial"/>
              <w:color w:val="000000" w:themeColor="text1"/>
            </w:rPr>
            <w:fldChar w:fldCharType="separate"/>
          </w:r>
          <w:r w:rsidR="008D0261" w:rsidRPr="000E0F90">
            <w:rPr>
              <w:rFonts w:ascii="Arial" w:hAnsi="Arial" w:cs="Arial"/>
              <w:noProof/>
              <w:color w:val="000000" w:themeColor="text1"/>
            </w:rPr>
            <w:t>(Gestión Ambiental Consultores S.A., 2004)</w:t>
          </w:r>
          <w:r w:rsidR="00C315A2" w:rsidRPr="000E0F90">
            <w:rPr>
              <w:rFonts w:ascii="Arial" w:hAnsi="Arial" w:cs="Arial"/>
              <w:color w:val="000000" w:themeColor="text1"/>
            </w:rPr>
            <w:fldChar w:fldCharType="end"/>
          </w:r>
        </w:sdtContent>
      </w:sdt>
      <w:r w:rsidR="00C315A2" w:rsidRPr="000E0F90">
        <w:rPr>
          <w:rFonts w:ascii="Arial" w:hAnsi="Arial" w:cs="Arial"/>
          <w:color w:val="000000" w:themeColor="text1"/>
        </w:rPr>
        <w:t>.</w:t>
      </w:r>
    </w:p>
    <w:p w:rsidR="003F7077" w:rsidRPr="000E0F90" w:rsidRDefault="003F7077" w:rsidP="00702D9A">
      <w:pPr>
        <w:spacing w:after="0" w:line="360" w:lineRule="auto"/>
        <w:jc w:val="center"/>
        <w:rPr>
          <w:rFonts w:ascii="Arial" w:hAnsi="Arial" w:cs="Arial"/>
          <w:b/>
          <w:color w:val="000000" w:themeColor="text1"/>
        </w:rPr>
      </w:pPr>
      <w:r w:rsidRPr="000E0F90">
        <w:rPr>
          <w:rFonts w:ascii="Arial" w:hAnsi="Arial" w:cs="Arial"/>
          <w:noProof/>
          <w:color w:val="000000" w:themeColor="text1"/>
          <w:lang w:eastAsia="es-CL"/>
        </w:rPr>
        <w:lastRenderedPageBreak/>
        <w:drawing>
          <wp:inline distT="0" distB="0" distL="0" distR="0" wp14:anchorId="5E8237DF" wp14:editId="44A643D2">
            <wp:extent cx="5095875" cy="2447925"/>
            <wp:effectExtent l="0" t="0" r="9525" b="9525"/>
            <wp:docPr id="288" name="Gráfico 288"/>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rsidR="003F7077" w:rsidRPr="000E0F90" w:rsidRDefault="00740D3D" w:rsidP="00702D9A">
      <w:pPr>
        <w:pStyle w:val="Epgrafe"/>
        <w:spacing w:line="360" w:lineRule="auto"/>
        <w:jc w:val="center"/>
        <w:rPr>
          <w:rFonts w:ascii="Arial" w:hAnsi="Arial" w:cs="Arial"/>
          <w:b w:val="0"/>
          <w:color w:val="000000" w:themeColor="text1"/>
          <w:sz w:val="22"/>
        </w:rPr>
      </w:pPr>
      <w:r w:rsidRPr="000E0F90">
        <w:rPr>
          <w:rFonts w:ascii="Arial" w:hAnsi="Arial" w:cs="Arial"/>
          <w:b w:val="0"/>
          <w:color w:val="000000" w:themeColor="text1"/>
          <w:sz w:val="22"/>
        </w:rPr>
        <w:t xml:space="preserve">Figura </w:t>
      </w:r>
      <w:r w:rsidRPr="000E0F90">
        <w:rPr>
          <w:rFonts w:ascii="Arial" w:hAnsi="Arial" w:cs="Arial"/>
          <w:b w:val="0"/>
          <w:color w:val="000000" w:themeColor="text1"/>
          <w:sz w:val="22"/>
        </w:rPr>
        <w:fldChar w:fldCharType="begin"/>
      </w:r>
      <w:r w:rsidRPr="000E0F90">
        <w:rPr>
          <w:rFonts w:ascii="Arial" w:hAnsi="Arial" w:cs="Arial"/>
          <w:b w:val="0"/>
          <w:color w:val="000000" w:themeColor="text1"/>
          <w:sz w:val="22"/>
        </w:rPr>
        <w:instrText xml:space="preserve"> SEQ Figura \* ARABIC </w:instrText>
      </w:r>
      <w:r w:rsidRPr="000E0F90">
        <w:rPr>
          <w:rFonts w:ascii="Arial" w:hAnsi="Arial" w:cs="Arial"/>
          <w:b w:val="0"/>
          <w:color w:val="000000" w:themeColor="text1"/>
          <w:sz w:val="22"/>
        </w:rPr>
        <w:fldChar w:fldCharType="separate"/>
      </w:r>
      <w:r w:rsidR="00225844">
        <w:rPr>
          <w:rFonts w:ascii="Arial" w:hAnsi="Arial" w:cs="Arial"/>
          <w:b w:val="0"/>
          <w:noProof/>
          <w:color w:val="000000" w:themeColor="text1"/>
          <w:sz w:val="22"/>
        </w:rPr>
        <w:t>24</w:t>
      </w:r>
      <w:r w:rsidRPr="000E0F90">
        <w:rPr>
          <w:rFonts w:ascii="Arial" w:hAnsi="Arial" w:cs="Arial"/>
          <w:b w:val="0"/>
          <w:color w:val="000000" w:themeColor="text1"/>
          <w:sz w:val="22"/>
        </w:rPr>
        <w:fldChar w:fldCharType="end"/>
      </w:r>
      <w:r w:rsidR="00914155" w:rsidRPr="000E0F90">
        <w:rPr>
          <w:rFonts w:ascii="Arial" w:hAnsi="Arial" w:cs="Arial"/>
          <w:b w:val="0"/>
          <w:color w:val="000000" w:themeColor="text1"/>
          <w:sz w:val="22"/>
        </w:rPr>
        <w:t xml:space="preserve">: Faenas Mineras de explotación de Salamanca según categorías de SERNAGEOMIN. </w:t>
      </w:r>
      <w:r w:rsidR="003F7077" w:rsidRPr="000E0F90">
        <w:rPr>
          <w:rFonts w:ascii="Arial" w:hAnsi="Arial" w:cs="Arial"/>
          <w:b w:val="0"/>
          <w:color w:val="000000" w:themeColor="text1"/>
          <w:sz w:val="22"/>
        </w:rPr>
        <w:t xml:space="preserve">Fuente: </w:t>
      </w:r>
      <w:sdt>
        <w:sdtPr>
          <w:rPr>
            <w:rFonts w:ascii="Arial" w:hAnsi="Arial" w:cs="Arial"/>
            <w:b w:val="0"/>
            <w:color w:val="000000" w:themeColor="text1"/>
            <w:sz w:val="22"/>
          </w:rPr>
          <w:id w:val="-554466039"/>
          <w:citation/>
        </w:sdtPr>
        <w:sdtEndPr/>
        <w:sdtContent>
          <w:r w:rsidR="003F7077" w:rsidRPr="000E0F90">
            <w:rPr>
              <w:rFonts w:ascii="Arial" w:hAnsi="Arial" w:cs="Arial"/>
              <w:b w:val="0"/>
              <w:color w:val="000000" w:themeColor="text1"/>
              <w:sz w:val="22"/>
            </w:rPr>
            <w:fldChar w:fldCharType="begin"/>
          </w:r>
          <w:r w:rsidR="003F7077" w:rsidRPr="000E0F90">
            <w:rPr>
              <w:rFonts w:ascii="Arial" w:hAnsi="Arial" w:cs="Arial"/>
              <w:b w:val="0"/>
              <w:color w:val="000000" w:themeColor="text1"/>
              <w:sz w:val="22"/>
            </w:rPr>
            <w:instrText xml:space="preserve"> CITATION SER13 \l 13322 </w:instrText>
          </w:r>
          <w:r w:rsidR="003F7077" w:rsidRPr="000E0F90">
            <w:rPr>
              <w:rFonts w:ascii="Arial" w:hAnsi="Arial" w:cs="Arial"/>
              <w:b w:val="0"/>
              <w:color w:val="000000" w:themeColor="text1"/>
              <w:sz w:val="22"/>
            </w:rPr>
            <w:fldChar w:fldCharType="separate"/>
          </w:r>
          <w:r w:rsidR="008D0261" w:rsidRPr="000E0F90">
            <w:rPr>
              <w:rFonts w:ascii="Arial" w:hAnsi="Arial" w:cs="Arial"/>
              <w:noProof/>
              <w:color w:val="000000" w:themeColor="text1"/>
              <w:sz w:val="22"/>
            </w:rPr>
            <w:t>(SERNAGEOMIN, 2013)</w:t>
          </w:r>
          <w:r w:rsidR="003F7077" w:rsidRPr="000E0F90">
            <w:rPr>
              <w:rFonts w:ascii="Arial" w:hAnsi="Arial" w:cs="Arial"/>
              <w:b w:val="0"/>
              <w:color w:val="000000" w:themeColor="text1"/>
              <w:sz w:val="22"/>
            </w:rPr>
            <w:fldChar w:fldCharType="end"/>
          </w:r>
        </w:sdtContent>
      </w:sdt>
    </w:p>
    <w:p w:rsidR="003F2E43" w:rsidRPr="000E0F90" w:rsidRDefault="003F2E43" w:rsidP="00702D9A">
      <w:pPr>
        <w:spacing w:after="0" w:line="360" w:lineRule="auto"/>
        <w:rPr>
          <w:rFonts w:ascii="Arial" w:hAnsi="Arial" w:cs="Arial"/>
          <w:b/>
          <w:color w:val="000000" w:themeColor="text1"/>
        </w:rPr>
      </w:pPr>
    </w:p>
    <w:p w:rsidR="003F7077" w:rsidRPr="000E0F90" w:rsidRDefault="00EB25B0" w:rsidP="00702D9A">
      <w:pPr>
        <w:spacing w:after="0" w:line="360" w:lineRule="auto"/>
        <w:rPr>
          <w:rFonts w:ascii="Arial" w:hAnsi="Arial" w:cs="Arial"/>
          <w:b/>
          <w:color w:val="000000" w:themeColor="text1"/>
        </w:rPr>
      </w:pPr>
      <w:r w:rsidRPr="000E0F90">
        <w:rPr>
          <w:rFonts w:ascii="Arial" w:hAnsi="Arial" w:cs="Arial"/>
          <w:b/>
          <w:color w:val="000000" w:themeColor="text1"/>
        </w:rPr>
        <w:t>Agricultura</w:t>
      </w:r>
      <w:r w:rsidR="003F7077" w:rsidRPr="000E0F90">
        <w:rPr>
          <w:rFonts w:ascii="Arial" w:hAnsi="Arial" w:cs="Arial"/>
          <w:b/>
          <w:color w:val="000000" w:themeColor="text1"/>
        </w:rPr>
        <w:t xml:space="preserve"> </w:t>
      </w:r>
    </w:p>
    <w:p w:rsidR="00C315A2" w:rsidRPr="000E0F90" w:rsidRDefault="003F7077" w:rsidP="00702D9A">
      <w:pPr>
        <w:spacing w:line="360" w:lineRule="auto"/>
        <w:rPr>
          <w:rFonts w:ascii="Arial" w:hAnsi="Arial" w:cs="Arial"/>
          <w:color w:val="000000" w:themeColor="text1"/>
        </w:rPr>
      </w:pPr>
      <w:r w:rsidRPr="000E0F90">
        <w:rPr>
          <w:rFonts w:ascii="Arial" w:hAnsi="Arial" w:cs="Arial"/>
          <w:color w:val="000000" w:themeColor="text1"/>
        </w:rPr>
        <w:t>La comuna de Salamanca presenta una superficie agrícola de 341.981,6 ha, correspondiente al 8,56% de la región. La superficie destinada a cultivos corresponde a 4.613,52ha, destacándose la superficie destinada a la producción de viñas y parrones con 1.685,90ha (36,54%)</w:t>
      </w:r>
      <w:r w:rsidR="00D7124E">
        <w:rPr>
          <w:rFonts w:ascii="Arial" w:hAnsi="Arial" w:cs="Arial"/>
          <w:color w:val="000000" w:themeColor="text1"/>
        </w:rPr>
        <w:t>,</w:t>
      </w:r>
      <w:r w:rsidRPr="000E0F90">
        <w:rPr>
          <w:rFonts w:ascii="Arial" w:hAnsi="Arial" w:cs="Arial"/>
          <w:color w:val="000000" w:themeColor="text1"/>
        </w:rPr>
        <w:t xml:space="preserve"> frutales con 1.427,52h</w:t>
      </w:r>
      <w:r w:rsidR="00D7124E">
        <w:rPr>
          <w:rFonts w:ascii="Arial" w:hAnsi="Arial" w:cs="Arial"/>
          <w:color w:val="000000" w:themeColor="text1"/>
        </w:rPr>
        <w:t xml:space="preserve">a (30,94%), y </w:t>
      </w:r>
      <w:r w:rsidRPr="000E0F90">
        <w:rPr>
          <w:rFonts w:ascii="Arial" w:hAnsi="Arial" w:cs="Arial"/>
          <w:color w:val="000000" w:themeColor="text1"/>
        </w:rPr>
        <w:t xml:space="preserve">plantas forrajeras con 751,92ha (16,3%) </w:t>
      </w:r>
      <w:sdt>
        <w:sdtPr>
          <w:rPr>
            <w:rFonts w:ascii="Arial" w:hAnsi="Arial" w:cs="Arial"/>
            <w:color w:val="000000" w:themeColor="text1"/>
          </w:rPr>
          <w:id w:val="16211911"/>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CITATION Cen07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(Censo Agropecuario, 2007)</w:t>
          </w:r>
          <w:r w:rsidRPr="000E0F90">
            <w:rPr>
              <w:rFonts w:ascii="Arial" w:hAnsi="Arial" w:cs="Arial"/>
              <w:color w:val="000000" w:themeColor="text1"/>
            </w:rPr>
            <w:fldChar w:fldCharType="end"/>
          </w:r>
        </w:sdtContent>
      </w:sdt>
      <w:r w:rsidR="00D7124E">
        <w:rPr>
          <w:rFonts w:ascii="Arial" w:hAnsi="Arial" w:cs="Arial"/>
          <w:color w:val="000000" w:themeColor="text1"/>
        </w:rPr>
        <w:t xml:space="preserve"> (Figura 2</w:t>
      </w:r>
      <w:r w:rsidR="00B35339">
        <w:rPr>
          <w:rFonts w:ascii="Arial" w:hAnsi="Arial" w:cs="Arial"/>
          <w:color w:val="000000" w:themeColor="text1"/>
        </w:rPr>
        <w:t>5</w:t>
      </w:r>
      <w:r w:rsidR="00D7124E">
        <w:rPr>
          <w:rFonts w:ascii="Arial" w:hAnsi="Arial" w:cs="Arial"/>
          <w:color w:val="000000" w:themeColor="text1"/>
        </w:rPr>
        <w:t>)</w:t>
      </w:r>
      <w:r w:rsidRPr="000E0F90">
        <w:rPr>
          <w:rFonts w:ascii="Arial" w:hAnsi="Arial" w:cs="Arial"/>
          <w:color w:val="000000" w:themeColor="text1"/>
        </w:rPr>
        <w:t>.</w:t>
      </w:r>
      <w:r w:rsidR="00C315A2" w:rsidRPr="000E0F90">
        <w:rPr>
          <w:rFonts w:ascii="Arial" w:hAnsi="Arial" w:cs="Arial"/>
          <w:color w:val="000000" w:themeColor="text1"/>
        </w:rPr>
        <w:t xml:space="preserve"> </w:t>
      </w:r>
      <w:r w:rsidRPr="000E0F90">
        <w:rPr>
          <w:rFonts w:ascii="Arial" w:hAnsi="Arial" w:cs="Arial"/>
          <w:color w:val="000000" w:themeColor="text1"/>
        </w:rPr>
        <w:t xml:space="preserve">Respecto al </w:t>
      </w:r>
      <w:sdt>
        <w:sdtPr>
          <w:rPr>
            <w:rFonts w:ascii="Arial" w:hAnsi="Arial" w:cs="Arial"/>
            <w:color w:val="000000" w:themeColor="text1"/>
          </w:rPr>
          <w:id w:val="-1577121720"/>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Cen07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(Censo Agropecuario, 2007)</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en la comuna de Salamanca, del total de cabezas de ganado en la comuna (34.332cab), el ganado caprino representa 52,4% (17.982), seguido de bovinos (26,8%) y equinos (13,6%), con 9.205 y 4.684 cabezas, respectivamente. </w:t>
      </w:r>
    </w:p>
    <w:p w:rsidR="003F7077" w:rsidRPr="000E0F90" w:rsidRDefault="00C315A2" w:rsidP="00702D9A">
      <w:pPr>
        <w:spacing w:line="360" w:lineRule="auto"/>
        <w:rPr>
          <w:rFonts w:ascii="Arial" w:hAnsi="Arial" w:cs="Arial"/>
          <w:color w:val="000000" w:themeColor="text1"/>
        </w:rPr>
      </w:pPr>
      <w:r w:rsidRPr="000E0F90">
        <w:rPr>
          <w:rFonts w:ascii="Arial" w:hAnsi="Arial" w:cs="Arial"/>
          <w:color w:val="000000" w:themeColor="text1"/>
        </w:rPr>
        <w:t xml:space="preserve">En el sector agropecuario, destaca la producción de pisco en los valles del Choapa, siendo el tercer valle transversal más importante de la Región, especialmente en Salamanca donde existen casi 1.200 ha de superficie sembrada con viñas y parronales </w:t>
      </w:r>
      <w:sdt>
        <w:sdtPr>
          <w:rPr>
            <w:rFonts w:ascii="Arial" w:hAnsi="Arial" w:cs="Arial"/>
            <w:color w:val="000000" w:themeColor="text1"/>
          </w:rPr>
          <w:id w:val="-1923013835"/>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Ges04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(Gestión Ambiental Consultores S.A., 2004)</w:t>
          </w:r>
          <w:r w:rsidRPr="000E0F90">
            <w:rPr>
              <w:rFonts w:ascii="Arial" w:hAnsi="Arial" w:cs="Arial"/>
              <w:color w:val="000000" w:themeColor="text1"/>
            </w:rPr>
            <w:fldChar w:fldCharType="end"/>
          </w:r>
        </w:sdtContent>
      </w:sdt>
    </w:p>
    <w:p w:rsidR="003F7077" w:rsidRPr="000E0F90" w:rsidRDefault="003F7077" w:rsidP="00702D9A">
      <w:pPr>
        <w:spacing w:after="0" w:line="360" w:lineRule="auto"/>
        <w:jc w:val="center"/>
        <w:rPr>
          <w:rFonts w:ascii="Arial" w:hAnsi="Arial" w:cs="Arial"/>
          <w:b/>
          <w:color w:val="000000" w:themeColor="text1"/>
        </w:rPr>
      </w:pPr>
      <w:r w:rsidRPr="000E0F90">
        <w:rPr>
          <w:rFonts w:ascii="Arial" w:hAnsi="Arial" w:cs="Arial"/>
          <w:noProof/>
          <w:color w:val="000000" w:themeColor="text1"/>
          <w:lang w:eastAsia="es-CL"/>
        </w:rPr>
        <w:lastRenderedPageBreak/>
        <w:drawing>
          <wp:inline distT="0" distB="0" distL="0" distR="0" wp14:anchorId="3984B903" wp14:editId="33BA8D3E">
            <wp:extent cx="4733925" cy="2295525"/>
            <wp:effectExtent l="0" t="0" r="9525" b="9525"/>
            <wp:docPr id="59" name="Gráfico 59"/>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rsidR="003F7077" w:rsidRPr="000E0F90" w:rsidRDefault="00740D3D" w:rsidP="00702D9A">
      <w:pPr>
        <w:pStyle w:val="Epgrafe"/>
        <w:spacing w:line="360" w:lineRule="auto"/>
        <w:jc w:val="center"/>
        <w:rPr>
          <w:rFonts w:ascii="Arial" w:hAnsi="Arial" w:cs="Arial"/>
          <w:b w:val="0"/>
          <w:color w:val="000000" w:themeColor="text1"/>
          <w:sz w:val="22"/>
        </w:rPr>
      </w:pPr>
      <w:r w:rsidRPr="000E0F90">
        <w:rPr>
          <w:rFonts w:ascii="Arial" w:hAnsi="Arial" w:cs="Arial"/>
          <w:b w:val="0"/>
          <w:color w:val="000000" w:themeColor="text1"/>
          <w:sz w:val="22"/>
        </w:rPr>
        <w:t xml:space="preserve">Figura </w:t>
      </w:r>
      <w:r w:rsidRPr="000E0F90">
        <w:rPr>
          <w:rFonts w:ascii="Arial" w:hAnsi="Arial" w:cs="Arial"/>
          <w:b w:val="0"/>
          <w:color w:val="000000" w:themeColor="text1"/>
          <w:sz w:val="22"/>
        </w:rPr>
        <w:fldChar w:fldCharType="begin"/>
      </w:r>
      <w:r w:rsidRPr="000E0F90">
        <w:rPr>
          <w:rFonts w:ascii="Arial" w:hAnsi="Arial" w:cs="Arial"/>
          <w:b w:val="0"/>
          <w:color w:val="000000" w:themeColor="text1"/>
          <w:sz w:val="22"/>
        </w:rPr>
        <w:instrText xml:space="preserve"> SEQ Figura \* ARABIC </w:instrText>
      </w:r>
      <w:r w:rsidRPr="000E0F90">
        <w:rPr>
          <w:rFonts w:ascii="Arial" w:hAnsi="Arial" w:cs="Arial"/>
          <w:b w:val="0"/>
          <w:color w:val="000000" w:themeColor="text1"/>
          <w:sz w:val="22"/>
        </w:rPr>
        <w:fldChar w:fldCharType="separate"/>
      </w:r>
      <w:r w:rsidR="00225844">
        <w:rPr>
          <w:rFonts w:ascii="Arial" w:hAnsi="Arial" w:cs="Arial"/>
          <w:b w:val="0"/>
          <w:noProof/>
          <w:color w:val="000000" w:themeColor="text1"/>
          <w:sz w:val="22"/>
        </w:rPr>
        <w:t>25</w:t>
      </w:r>
      <w:r w:rsidRPr="000E0F90">
        <w:rPr>
          <w:rFonts w:ascii="Arial" w:hAnsi="Arial" w:cs="Arial"/>
          <w:b w:val="0"/>
          <w:color w:val="000000" w:themeColor="text1"/>
          <w:sz w:val="22"/>
        </w:rPr>
        <w:fldChar w:fldCharType="end"/>
      </w:r>
      <w:r w:rsidR="00914155" w:rsidRPr="000E0F90">
        <w:rPr>
          <w:rFonts w:ascii="Arial" w:hAnsi="Arial" w:cs="Arial"/>
          <w:b w:val="0"/>
          <w:color w:val="000000" w:themeColor="text1"/>
          <w:sz w:val="22"/>
        </w:rPr>
        <w:t xml:space="preserve">: Participación de principales </w:t>
      </w:r>
      <w:r w:rsidR="00EB25B0" w:rsidRPr="000E0F90">
        <w:rPr>
          <w:rFonts w:ascii="Arial" w:hAnsi="Arial" w:cs="Arial"/>
          <w:b w:val="0"/>
          <w:color w:val="000000" w:themeColor="text1"/>
          <w:sz w:val="22"/>
        </w:rPr>
        <w:t>cultivos</w:t>
      </w:r>
      <w:r w:rsidR="00914155" w:rsidRPr="000E0F90">
        <w:rPr>
          <w:rFonts w:ascii="Arial" w:hAnsi="Arial" w:cs="Arial"/>
          <w:b w:val="0"/>
          <w:color w:val="000000" w:themeColor="text1"/>
          <w:sz w:val="22"/>
        </w:rPr>
        <w:t xml:space="preserve"> silvoagrícolas de la comuna, según superficie. </w:t>
      </w:r>
      <w:r w:rsidR="003F7077" w:rsidRPr="000E0F90">
        <w:rPr>
          <w:rFonts w:ascii="Arial" w:hAnsi="Arial" w:cs="Arial"/>
          <w:b w:val="0"/>
          <w:color w:val="000000" w:themeColor="text1"/>
          <w:sz w:val="22"/>
        </w:rPr>
        <w:t xml:space="preserve">Fuente: </w:t>
      </w:r>
      <w:sdt>
        <w:sdtPr>
          <w:rPr>
            <w:rFonts w:ascii="Arial" w:hAnsi="Arial" w:cs="Arial"/>
            <w:b w:val="0"/>
            <w:color w:val="000000" w:themeColor="text1"/>
            <w:sz w:val="22"/>
          </w:rPr>
          <w:id w:val="-484013521"/>
          <w:citation/>
        </w:sdtPr>
        <w:sdtEndPr/>
        <w:sdtContent>
          <w:r w:rsidR="003F7077" w:rsidRPr="000E0F90">
            <w:rPr>
              <w:rFonts w:ascii="Arial" w:hAnsi="Arial" w:cs="Arial"/>
              <w:b w:val="0"/>
              <w:color w:val="000000" w:themeColor="text1"/>
              <w:sz w:val="22"/>
            </w:rPr>
            <w:fldChar w:fldCharType="begin"/>
          </w:r>
          <w:r w:rsidR="003F7077" w:rsidRPr="000E0F90">
            <w:rPr>
              <w:rFonts w:ascii="Arial" w:hAnsi="Arial" w:cs="Arial"/>
              <w:b w:val="0"/>
              <w:color w:val="000000" w:themeColor="text1"/>
              <w:sz w:val="22"/>
            </w:rPr>
            <w:instrText xml:space="preserve"> CITATION Cen07 \l 13322 </w:instrText>
          </w:r>
          <w:r w:rsidR="003F7077" w:rsidRPr="000E0F90">
            <w:rPr>
              <w:rFonts w:ascii="Arial" w:hAnsi="Arial" w:cs="Arial"/>
              <w:b w:val="0"/>
              <w:color w:val="000000" w:themeColor="text1"/>
              <w:sz w:val="22"/>
            </w:rPr>
            <w:fldChar w:fldCharType="separate"/>
          </w:r>
          <w:r w:rsidR="008D0261" w:rsidRPr="000E0F90">
            <w:rPr>
              <w:rFonts w:ascii="Arial" w:hAnsi="Arial" w:cs="Arial"/>
              <w:noProof/>
              <w:color w:val="000000" w:themeColor="text1"/>
              <w:sz w:val="22"/>
            </w:rPr>
            <w:t>(Censo Agropecuario, 2007)</w:t>
          </w:r>
          <w:r w:rsidR="003F7077" w:rsidRPr="000E0F90">
            <w:rPr>
              <w:rFonts w:ascii="Arial" w:hAnsi="Arial" w:cs="Arial"/>
              <w:b w:val="0"/>
              <w:color w:val="000000" w:themeColor="text1"/>
              <w:sz w:val="22"/>
            </w:rPr>
            <w:fldChar w:fldCharType="end"/>
          </w:r>
        </w:sdtContent>
      </w:sdt>
    </w:p>
    <w:p w:rsidR="003F7077" w:rsidRPr="000E0F90" w:rsidRDefault="003F7077" w:rsidP="00702D9A">
      <w:pPr>
        <w:tabs>
          <w:tab w:val="left" w:pos="1306"/>
        </w:tabs>
        <w:spacing w:before="240" w:after="0" w:line="360" w:lineRule="auto"/>
        <w:rPr>
          <w:rFonts w:ascii="Arial" w:hAnsi="Arial" w:cs="Arial"/>
          <w:b/>
          <w:color w:val="000000" w:themeColor="text1"/>
        </w:rPr>
      </w:pPr>
      <w:r w:rsidRPr="000E0F90">
        <w:rPr>
          <w:rFonts w:ascii="Arial" w:hAnsi="Arial" w:cs="Arial"/>
          <w:b/>
          <w:color w:val="000000" w:themeColor="text1"/>
        </w:rPr>
        <w:t>Turismo</w:t>
      </w:r>
      <w:r w:rsidRPr="000E0F90">
        <w:rPr>
          <w:rFonts w:ascii="Arial" w:hAnsi="Arial" w:cs="Arial"/>
          <w:b/>
          <w:color w:val="000000" w:themeColor="text1"/>
        </w:rPr>
        <w:tab/>
      </w:r>
    </w:p>
    <w:p w:rsidR="003F7077" w:rsidRPr="000E0F90" w:rsidRDefault="003F7077" w:rsidP="00702D9A">
      <w:pPr>
        <w:spacing w:line="360" w:lineRule="auto"/>
        <w:rPr>
          <w:rFonts w:ascii="Arial" w:hAnsi="Arial" w:cs="Arial"/>
          <w:color w:val="000000" w:themeColor="text1"/>
        </w:rPr>
      </w:pPr>
      <w:r w:rsidRPr="000E0F90">
        <w:rPr>
          <w:rFonts w:ascii="Arial" w:hAnsi="Arial" w:cs="Arial"/>
          <w:color w:val="000000" w:themeColor="text1"/>
        </w:rPr>
        <w:t xml:space="preserve">De acuerdo a datos de SERNATUR, en la comuna de Salamanca se evidencian servicios de alojamiento y de alimentación </w:t>
      </w:r>
      <w:sdt>
        <w:sdtPr>
          <w:rPr>
            <w:rFonts w:ascii="Arial" w:hAnsi="Arial" w:cs="Arial"/>
            <w:color w:val="000000" w:themeColor="text1"/>
          </w:rPr>
          <w:id w:val="-1298906085"/>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 CITATION SER17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(SERNATUR, 2017)</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Por otra parte, desde el municipio se dan a </w:t>
      </w:r>
      <w:r w:rsidR="00EB25B0" w:rsidRPr="000E0F90">
        <w:rPr>
          <w:rFonts w:ascii="Arial" w:hAnsi="Arial" w:cs="Arial"/>
          <w:color w:val="000000" w:themeColor="text1"/>
        </w:rPr>
        <w:t>conocer</w:t>
      </w:r>
      <w:r w:rsidRPr="000E0F90">
        <w:rPr>
          <w:rFonts w:ascii="Arial" w:hAnsi="Arial" w:cs="Arial"/>
          <w:color w:val="000000" w:themeColor="text1"/>
        </w:rPr>
        <w:t xml:space="preserve"> productores locales de artesanía, </w:t>
      </w:r>
      <w:r w:rsidR="00EB25B0" w:rsidRPr="000E0F90">
        <w:rPr>
          <w:rFonts w:ascii="Arial" w:hAnsi="Arial" w:cs="Arial"/>
          <w:color w:val="000000" w:themeColor="text1"/>
        </w:rPr>
        <w:t>repostería</w:t>
      </w:r>
      <w:r w:rsidRPr="000E0F90">
        <w:rPr>
          <w:rFonts w:ascii="Arial" w:hAnsi="Arial" w:cs="Arial"/>
          <w:color w:val="000000" w:themeColor="text1"/>
        </w:rPr>
        <w:t xml:space="preserve"> y </w:t>
      </w:r>
      <w:r w:rsidR="00EB25B0" w:rsidRPr="000E0F90">
        <w:rPr>
          <w:rFonts w:ascii="Arial" w:hAnsi="Arial" w:cs="Arial"/>
          <w:color w:val="000000" w:themeColor="text1"/>
        </w:rPr>
        <w:t>vitivinícolas</w:t>
      </w:r>
      <w:r w:rsidRPr="000E0F90">
        <w:rPr>
          <w:rFonts w:ascii="Arial" w:hAnsi="Arial" w:cs="Arial"/>
          <w:color w:val="000000" w:themeColor="text1"/>
        </w:rPr>
        <w:t>. Entre los atractivos turísticos se mencionan: La Raja de Manquehua, las Iglesias de Huanque y Señor de la Tierra, los abundantes petroglifo</w:t>
      </w:r>
      <w:r w:rsidR="00EB25B0" w:rsidRPr="000E0F90">
        <w:rPr>
          <w:rFonts w:ascii="Arial" w:hAnsi="Arial" w:cs="Arial"/>
          <w:color w:val="000000" w:themeColor="text1"/>
        </w:rPr>
        <w:t>s, las viñas de chicha y chacolí</w:t>
      </w:r>
      <w:r w:rsidRPr="000E0F90">
        <w:rPr>
          <w:rFonts w:ascii="Arial" w:hAnsi="Arial" w:cs="Arial"/>
          <w:color w:val="000000" w:themeColor="text1"/>
        </w:rPr>
        <w:t xml:space="preserve">, el puente colgante de Coirón, los hornos de secado de tabaco, el embalse Corrales y la tradicional Plaza de Armas </w:t>
      </w:r>
      <w:sdt>
        <w:sdtPr>
          <w:rPr>
            <w:rFonts w:ascii="Arial" w:hAnsi="Arial" w:cs="Arial"/>
            <w:color w:val="000000" w:themeColor="text1"/>
          </w:rPr>
          <w:id w:val="54980614"/>
          <w:citation/>
        </w:sdtPr>
        <w:sdtEndPr/>
        <w:sdtContent>
          <w:r w:rsidRPr="000E0F90">
            <w:rPr>
              <w:rFonts w:ascii="Arial" w:hAnsi="Arial" w:cs="Arial"/>
              <w:color w:val="000000" w:themeColor="text1"/>
            </w:rPr>
            <w:fldChar w:fldCharType="begin"/>
          </w:r>
          <w:r w:rsidRPr="000E0F90">
            <w:rPr>
              <w:rFonts w:ascii="Arial" w:hAnsi="Arial" w:cs="Arial"/>
              <w:color w:val="000000" w:themeColor="text1"/>
            </w:rPr>
            <w:instrText xml:space="preserve">CITATION Ilu17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(Salamanca, 2017)</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w:t>
      </w:r>
      <w:r w:rsidR="005D571F" w:rsidRPr="000E0F90">
        <w:rPr>
          <w:rFonts w:ascii="Arial" w:hAnsi="Arial" w:cs="Arial"/>
          <w:color w:val="000000" w:themeColor="text1"/>
        </w:rPr>
        <w:t xml:space="preserve">Existen potencialidades para el desarrollo del ecoturismo, turismo aventura y turismo astronómico </w:t>
      </w:r>
      <w:sdt>
        <w:sdtPr>
          <w:rPr>
            <w:rFonts w:ascii="Arial" w:hAnsi="Arial" w:cs="Arial"/>
            <w:color w:val="000000" w:themeColor="text1"/>
          </w:rPr>
          <w:id w:val="-306254196"/>
          <w:citation/>
        </w:sdtPr>
        <w:sdtEndPr/>
        <w:sdtContent>
          <w:r w:rsidR="005D571F" w:rsidRPr="000E0F90">
            <w:rPr>
              <w:rFonts w:ascii="Arial" w:hAnsi="Arial" w:cs="Arial"/>
              <w:color w:val="000000" w:themeColor="text1"/>
            </w:rPr>
            <w:fldChar w:fldCharType="begin"/>
          </w:r>
          <w:r w:rsidR="005D571F" w:rsidRPr="000E0F90">
            <w:rPr>
              <w:rFonts w:ascii="Arial" w:hAnsi="Arial" w:cs="Arial"/>
              <w:color w:val="000000" w:themeColor="text1"/>
            </w:rPr>
            <w:instrText xml:space="preserve"> CITATION Ges04 \l 13322 </w:instrText>
          </w:r>
          <w:r w:rsidR="005D571F" w:rsidRPr="000E0F90">
            <w:rPr>
              <w:rFonts w:ascii="Arial" w:hAnsi="Arial" w:cs="Arial"/>
              <w:color w:val="000000" w:themeColor="text1"/>
            </w:rPr>
            <w:fldChar w:fldCharType="separate"/>
          </w:r>
          <w:r w:rsidR="008D0261" w:rsidRPr="000E0F90">
            <w:rPr>
              <w:rFonts w:ascii="Arial" w:hAnsi="Arial" w:cs="Arial"/>
              <w:noProof/>
              <w:color w:val="000000" w:themeColor="text1"/>
            </w:rPr>
            <w:t>(Gestión Ambiental Consultores S.A., 2004)</w:t>
          </w:r>
          <w:r w:rsidR="005D571F" w:rsidRPr="000E0F90">
            <w:rPr>
              <w:rFonts w:ascii="Arial" w:hAnsi="Arial" w:cs="Arial"/>
              <w:color w:val="000000" w:themeColor="text1"/>
            </w:rPr>
            <w:fldChar w:fldCharType="end"/>
          </w:r>
        </w:sdtContent>
      </w:sdt>
    </w:p>
    <w:p w:rsidR="003F7077" w:rsidRPr="000E0F90" w:rsidRDefault="003F7077" w:rsidP="00702D9A">
      <w:pPr>
        <w:spacing w:after="0" w:line="360" w:lineRule="auto"/>
        <w:jc w:val="left"/>
        <w:rPr>
          <w:rFonts w:ascii="Arial" w:hAnsi="Arial" w:cs="Arial"/>
          <w:b/>
          <w:color w:val="000000" w:themeColor="text1"/>
        </w:rPr>
      </w:pPr>
      <w:r w:rsidRPr="000E0F90">
        <w:rPr>
          <w:rFonts w:ascii="Arial" w:hAnsi="Arial" w:cs="Arial"/>
          <w:b/>
          <w:color w:val="000000" w:themeColor="text1"/>
        </w:rPr>
        <w:t>Situación socioeconómica</w:t>
      </w:r>
    </w:p>
    <w:p w:rsidR="003F7077" w:rsidRPr="000E0F90" w:rsidRDefault="003F7077" w:rsidP="00702D9A">
      <w:pPr>
        <w:spacing w:line="360" w:lineRule="auto"/>
        <w:rPr>
          <w:rFonts w:ascii="Arial" w:hAnsi="Arial" w:cs="Arial"/>
          <w:color w:val="000000" w:themeColor="text1"/>
        </w:rPr>
      </w:pPr>
      <w:r w:rsidRPr="000E0F90">
        <w:rPr>
          <w:rFonts w:ascii="Arial" w:hAnsi="Arial" w:cs="Arial"/>
          <w:color w:val="000000" w:themeColor="text1"/>
        </w:rPr>
        <w:t xml:space="preserve">En la comuna de Salamanca, se identifican 12 centros médicos, </w:t>
      </w:r>
      <w:r w:rsidR="00EB25B0" w:rsidRPr="000E0F90">
        <w:rPr>
          <w:rFonts w:ascii="Arial" w:hAnsi="Arial" w:cs="Arial"/>
          <w:color w:val="000000" w:themeColor="text1"/>
        </w:rPr>
        <w:t>alcanzando</w:t>
      </w:r>
      <w:r w:rsidRPr="000E0F90">
        <w:rPr>
          <w:rFonts w:ascii="Arial" w:hAnsi="Arial" w:cs="Arial"/>
          <w:color w:val="000000" w:themeColor="text1"/>
        </w:rPr>
        <w:t xml:space="preserve"> una participación regional del 6,9 % </w:t>
      </w:r>
      <w:sdt>
        <w:sdtPr>
          <w:rPr>
            <w:rFonts w:ascii="Arial" w:hAnsi="Arial" w:cs="Arial"/>
            <w:color w:val="000000" w:themeColor="text1"/>
          </w:rPr>
          <w:id w:val="1368723365"/>
          <w:citation/>
        </w:sdtPr>
        <w:sdtEndPr/>
        <w:sdtContent>
          <w:r w:rsidRPr="000E0F90">
            <w:rPr>
              <w:rFonts w:ascii="Arial" w:hAnsi="Arial" w:cs="Arial"/>
              <w:color w:val="000000" w:themeColor="text1"/>
            </w:rPr>
            <w:fldChar w:fldCharType="begin"/>
          </w:r>
          <w:r w:rsidR="008A32ED" w:rsidRPr="000E0F90">
            <w:rPr>
              <w:rFonts w:ascii="Arial" w:hAnsi="Arial" w:cs="Arial"/>
              <w:color w:val="000000" w:themeColor="text1"/>
            </w:rPr>
            <w:instrText xml:space="preserve">CITATION Bib17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(BCN, 2017)</w:t>
          </w:r>
          <w:r w:rsidRPr="000E0F90">
            <w:rPr>
              <w:rFonts w:ascii="Arial" w:hAnsi="Arial" w:cs="Arial"/>
              <w:color w:val="000000" w:themeColor="text1"/>
            </w:rPr>
            <w:fldChar w:fldCharType="end"/>
          </w:r>
        </w:sdtContent>
      </w:sdt>
      <w:r w:rsidRPr="000E0F90">
        <w:rPr>
          <w:rFonts w:ascii="Arial" w:hAnsi="Arial" w:cs="Arial"/>
          <w:color w:val="000000" w:themeColor="text1"/>
        </w:rPr>
        <w:t>. En la comuna se identi</w:t>
      </w:r>
      <w:r w:rsidR="00D7124E">
        <w:rPr>
          <w:rFonts w:ascii="Arial" w:hAnsi="Arial" w:cs="Arial"/>
          <w:color w:val="000000" w:themeColor="text1"/>
        </w:rPr>
        <w:t>fican 38 centros educacionales</w:t>
      </w:r>
      <w:r w:rsidRPr="000E0F90">
        <w:rPr>
          <w:rFonts w:ascii="Arial" w:hAnsi="Arial" w:cs="Arial"/>
          <w:color w:val="000000" w:themeColor="text1"/>
        </w:rPr>
        <w:t xml:space="preserve">, con educación parvularia, básica niños, media de niños y adultos, y educación especial, con ausencia de matrículas para educación básica de adultos. </w:t>
      </w:r>
      <w:sdt>
        <w:sdtPr>
          <w:rPr>
            <w:rFonts w:ascii="Arial" w:hAnsi="Arial" w:cs="Arial"/>
            <w:color w:val="000000" w:themeColor="text1"/>
          </w:rPr>
          <w:id w:val="869416351"/>
          <w:citation/>
        </w:sdtPr>
        <w:sdtEndPr/>
        <w:sdtContent>
          <w:r w:rsidRPr="000E0F90">
            <w:rPr>
              <w:rFonts w:ascii="Arial" w:hAnsi="Arial" w:cs="Arial"/>
              <w:color w:val="000000" w:themeColor="text1"/>
            </w:rPr>
            <w:fldChar w:fldCharType="begin"/>
          </w:r>
          <w:r w:rsidR="008A32ED" w:rsidRPr="000E0F90">
            <w:rPr>
              <w:rFonts w:ascii="Arial" w:hAnsi="Arial" w:cs="Arial"/>
              <w:color w:val="000000" w:themeColor="text1"/>
            </w:rPr>
            <w:instrText xml:space="preserve">CITATION Bib17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(BCN, 2017)</w:t>
          </w:r>
          <w:r w:rsidRPr="000E0F90">
            <w:rPr>
              <w:rFonts w:ascii="Arial" w:hAnsi="Arial" w:cs="Arial"/>
              <w:color w:val="000000" w:themeColor="text1"/>
            </w:rPr>
            <w:fldChar w:fldCharType="end"/>
          </w:r>
        </w:sdtContent>
      </w:sdt>
      <w:r w:rsidRPr="000E0F90">
        <w:rPr>
          <w:rFonts w:ascii="Arial" w:hAnsi="Arial" w:cs="Arial"/>
          <w:b/>
          <w:color w:val="000000" w:themeColor="text1"/>
        </w:rPr>
        <w:t xml:space="preserve"> </w:t>
      </w:r>
      <w:r w:rsidRPr="000E0F90">
        <w:rPr>
          <w:rFonts w:ascii="Arial" w:hAnsi="Arial" w:cs="Arial"/>
          <w:color w:val="000000" w:themeColor="text1"/>
        </w:rPr>
        <w:t>.</w:t>
      </w:r>
    </w:p>
    <w:p w:rsidR="00C315A2" w:rsidRPr="000E0F90" w:rsidRDefault="00C315A2" w:rsidP="00702D9A">
      <w:pPr>
        <w:spacing w:line="360" w:lineRule="auto"/>
        <w:rPr>
          <w:rFonts w:ascii="Arial" w:hAnsi="Arial" w:cs="Arial"/>
          <w:b/>
          <w:color w:val="000000" w:themeColor="text1"/>
        </w:rPr>
      </w:pPr>
    </w:p>
    <w:p w:rsidR="00D7124E" w:rsidRDefault="00D7124E" w:rsidP="00702D9A">
      <w:pPr>
        <w:pStyle w:val="Epgrafe"/>
        <w:spacing w:line="360" w:lineRule="auto"/>
        <w:jc w:val="center"/>
        <w:rPr>
          <w:rFonts w:ascii="Arial" w:hAnsi="Arial" w:cs="Arial"/>
          <w:b w:val="0"/>
          <w:color w:val="000000" w:themeColor="text1"/>
          <w:sz w:val="22"/>
        </w:rPr>
      </w:pPr>
    </w:p>
    <w:p w:rsidR="00432DB8" w:rsidRPr="000E0F90" w:rsidRDefault="00740D3D" w:rsidP="00702D9A">
      <w:pPr>
        <w:pStyle w:val="Epgrafe"/>
        <w:spacing w:line="360" w:lineRule="auto"/>
        <w:jc w:val="center"/>
        <w:rPr>
          <w:rFonts w:ascii="Arial" w:hAnsi="Arial" w:cs="Arial"/>
          <w:b w:val="0"/>
          <w:color w:val="000000" w:themeColor="text1"/>
          <w:sz w:val="22"/>
        </w:rPr>
      </w:pPr>
      <w:r w:rsidRPr="000E0F90">
        <w:rPr>
          <w:rFonts w:ascii="Arial" w:hAnsi="Arial" w:cs="Arial"/>
          <w:b w:val="0"/>
          <w:color w:val="000000" w:themeColor="text1"/>
          <w:sz w:val="22"/>
        </w:rPr>
        <w:lastRenderedPageBreak/>
        <w:t xml:space="preserve">Cuadro </w:t>
      </w:r>
      <w:r w:rsidRPr="000E0F90">
        <w:rPr>
          <w:rFonts w:ascii="Arial" w:hAnsi="Arial" w:cs="Arial"/>
          <w:b w:val="0"/>
          <w:color w:val="000000" w:themeColor="text1"/>
          <w:sz w:val="22"/>
        </w:rPr>
        <w:fldChar w:fldCharType="begin"/>
      </w:r>
      <w:r w:rsidRPr="000E0F90">
        <w:rPr>
          <w:rFonts w:ascii="Arial" w:hAnsi="Arial" w:cs="Arial"/>
          <w:b w:val="0"/>
          <w:color w:val="000000" w:themeColor="text1"/>
          <w:sz w:val="22"/>
        </w:rPr>
        <w:instrText xml:space="preserve"> SEQ Cuadro \* ARABIC </w:instrText>
      </w:r>
      <w:r w:rsidRPr="000E0F90">
        <w:rPr>
          <w:rFonts w:ascii="Arial" w:hAnsi="Arial" w:cs="Arial"/>
          <w:b w:val="0"/>
          <w:color w:val="000000" w:themeColor="text1"/>
          <w:sz w:val="22"/>
        </w:rPr>
        <w:fldChar w:fldCharType="separate"/>
      </w:r>
      <w:r w:rsidR="00225844">
        <w:rPr>
          <w:rFonts w:ascii="Arial" w:hAnsi="Arial" w:cs="Arial"/>
          <w:b w:val="0"/>
          <w:noProof/>
          <w:color w:val="000000" w:themeColor="text1"/>
          <w:sz w:val="22"/>
        </w:rPr>
        <w:t>11</w:t>
      </w:r>
      <w:r w:rsidRPr="000E0F90">
        <w:rPr>
          <w:rFonts w:ascii="Arial" w:hAnsi="Arial" w:cs="Arial"/>
          <w:b w:val="0"/>
          <w:color w:val="000000" w:themeColor="text1"/>
          <w:sz w:val="22"/>
        </w:rPr>
        <w:fldChar w:fldCharType="end"/>
      </w:r>
      <w:r w:rsidRPr="000E0F90">
        <w:rPr>
          <w:rFonts w:ascii="Arial" w:hAnsi="Arial" w:cs="Arial"/>
          <w:b w:val="0"/>
          <w:color w:val="000000" w:themeColor="text1"/>
          <w:sz w:val="22"/>
        </w:rPr>
        <w:t xml:space="preserve">: </w:t>
      </w:r>
      <w:r w:rsidR="00432DB8" w:rsidRPr="000E0F90">
        <w:rPr>
          <w:rFonts w:ascii="Arial" w:hAnsi="Arial" w:cs="Arial"/>
          <w:b w:val="0"/>
          <w:color w:val="000000" w:themeColor="text1"/>
          <w:sz w:val="22"/>
        </w:rPr>
        <w:t>Cuadro comparativo caracterización comunal</w:t>
      </w:r>
      <w:r w:rsidRPr="000E0F90">
        <w:rPr>
          <w:rFonts w:ascii="Arial" w:hAnsi="Arial" w:cs="Arial"/>
          <w:b w:val="0"/>
          <w:color w:val="000000" w:themeColor="text1"/>
          <w:sz w:val="22"/>
        </w:rPr>
        <w:t xml:space="preserve"> según bioestructura y socioestructura</w:t>
      </w:r>
    </w:p>
    <w:tbl>
      <w:tblPr>
        <w:tblStyle w:val="Tablaconcuadrcula"/>
        <w:tblW w:w="8844" w:type="dxa"/>
        <w:tblBorders>
          <w:left w:val="none" w:sz="0" w:space="0" w:color="auto"/>
          <w:right w:val="none" w:sz="0" w:space="0" w:color="auto"/>
          <w:insideV w:val="none" w:sz="0" w:space="0" w:color="auto"/>
        </w:tblBorders>
        <w:tblLook w:val="04A0" w:firstRow="1" w:lastRow="0" w:firstColumn="1" w:lastColumn="0" w:noHBand="0" w:noVBand="1"/>
      </w:tblPr>
      <w:tblGrid>
        <w:gridCol w:w="2372"/>
        <w:gridCol w:w="3242"/>
        <w:gridCol w:w="3230"/>
      </w:tblGrid>
      <w:tr w:rsidR="00C901F3" w:rsidRPr="000E0F90" w:rsidTr="002613F4">
        <w:tc>
          <w:tcPr>
            <w:tcW w:w="8844" w:type="dxa"/>
            <w:gridSpan w:val="3"/>
            <w:tcBorders>
              <w:bottom w:val="nil"/>
            </w:tcBorders>
            <w:shd w:val="clear" w:color="auto" w:fill="D9D9D9" w:themeFill="background1" w:themeFillShade="D9"/>
          </w:tcPr>
          <w:p w:rsidR="00C901F3" w:rsidRPr="00C901F3" w:rsidRDefault="00C901F3" w:rsidP="00FA07B6">
            <w:pPr>
              <w:jc w:val="left"/>
              <w:rPr>
                <w:rFonts w:ascii="Arial" w:hAnsi="Arial" w:cs="Arial"/>
                <w:b/>
                <w:color w:val="000000" w:themeColor="text1"/>
                <w:sz w:val="20"/>
                <w:szCs w:val="20"/>
              </w:rPr>
            </w:pPr>
            <w:r w:rsidRPr="00C901F3">
              <w:rPr>
                <w:rFonts w:ascii="Arial" w:hAnsi="Arial" w:cs="Arial"/>
                <w:b/>
                <w:color w:val="000000" w:themeColor="text1"/>
                <w:sz w:val="20"/>
                <w:szCs w:val="20"/>
              </w:rPr>
              <w:t>BIOGEOESTRUCTURA</w:t>
            </w:r>
          </w:p>
        </w:tc>
      </w:tr>
      <w:tr w:rsidR="00C901F3" w:rsidRPr="000E0F90" w:rsidTr="002613F4">
        <w:tc>
          <w:tcPr>
            <w:tcW w:w="2372" w:type="dxa"/>
            <w:tcBorders>
              <w:top w:val="nil"/>
              <w:bottom w:val="single" w:sz="4" w:space="0" w:color="auto"/>
            </w:tcBorders>
            <w:shd w:val="clear" w:color="auto" w:fill="D9D9D9" w:themeFill="background1" w:themeFillShade="D9"/>
          </w:tcPr>
          <w:p w:rsidR="00C901F3" w:rsidRPr="000E0F90" w:rsidRDefault="00C901F3" w:rsidP="00FA07B6">
            <w:pPr>
              <w:jc w:val="left"/>
              <w:rPr>
                <w:rFonts w:ascii="Arial" w:hAnsi="Arial" w:cs="Arial"/>
                <w:color w:val="000000" w:themeColor="text1"/>
                <w:sz w:val="20"/>
                <w:szCs w:val="20"/>
              </w:rPr>
            </w:pPr>
            <w:r w:rsidRPr="000E0F90">
              <w:rPr>
                <w:rFonts w:ascii="Arial" w:hAnsi="Arial" w:cs="Arial"/>
                <w:color w:val="000000" w:themeColor="text1"/>
                <w:sz w:val="20"/>
                <w:szCs w:val="20"/>
              </w:rPr>
              <w:t>Temas</w:t>
            </w:r>
          </w:p>
        </w:tc>
        <w:tc>
          <w:tcPr>
            <w:tcW w:w="3242" w:type="dxa"/>
            <w:tcBorders>
              <w:top w:val="nil"/>
              <w:bottom w:val="single" w:sz="4" w:space="0" w:color="auto"/>
            </w:tcBorders>
            <w:shd w:val="clear" w:color="auto" w:fill="D9D9D9" w:themeFill="background1" w:themeFillShade="D9"/>
          </w:tcPr>
          <w:p w:rsidR="00C901F3" w:rsidRPr="000E0F90" w:rsidRDefault="00C901F3" w:rsidP="00FA07B6">
            <w:pPr>
              <w:jc w:val="left"/>
              <w:rPr>
                <w:rFonts w:ascii="Arial" w:hAnsi="Arial" w:cs="Arial"/>
                <w:color w:val="000000" w:themeColor="text1"/>
                <w:sz w:val="20"/>
                <w:szCs w:val="20"/>
              </w:rPr>
            </w:pPr>
            <w:r w:rsidRPr="000E0F90">
              <w:rPr>
                <w:rFonts w:ascii="Arial" w:hAnsi="Arial" w:cs="Arial"/>
                <w:b/>
                <w:color w:val="000000" w:themeColor="text1"/>
                <w:sz w:val="20"/>
                <w:szCs w:val="20"/>
              </w:rPr>
              <w:t>Comuna La Higuera</w:t>
            </w:r>
          </w:p>
        </w:tc>
        <w:tc>
          <w:tcPr>
            <w:tcW w:w="3230" w:type="dxa"/>
            <w:tcBorders>
              <w:top w:val="nil"/>
              <w:bottom w:val="single" w:sz="4" w:space="0" w:color="auto"/>
            </w:tcBorders>
            <w:shd w:val="clear" w:color="auto" w:fill="D9D9D9" w:themeFill="background1" w:themeFillShade="D9"/>
          </w:tcPr>
          <w:p w:rsidR="00C901F3" w:rsidRPr="000E0F90" w:rsidRDefault="00C901F3" w:rsidP="00FA07B6">
            <w:pPr>
              <w:jc w:val="left"/>
              <w:rPr>
                <w:rFonts w:ascii="Arial" w:hAnsi="Arial" w:cs="Arial"/>
                <w:color w:val="000000" w:themeColor="text1"/>
                <w:sz w:val="20"/>
                <w:szCs w:val="20"/>
              </w:rPr>
            </w:pPr>
            <w:r w:rsidRPr="000E0F90">
              <w:rPr>
                <w:rFonts w:ascii="Arial" w:hAnsi="Arial" w:cs="Arial"/>
                <w:b/>
                <w:color w:val="000000" w:themeColor="text1"/>
                <w:sz w:val="20"/>
                <w:szCs w:val="20"/>
              </w:rPr>
              <w:t>Comuna Salamanca</w:t>
            </w:r>
          </w:p>
        </w:tc>
      </w:tr>
      <w:tr w:rsidR="00C901F3" w:rsidRPr="000E0F90" w:rsidTr="002A21E4">
        <w:tc>
          <w:tcPr>
            <w:tcW w:w="2372" w:type="dxa"/>
            <w:tcBorders>
              <w:bottom w:val="nil"/>
            </w:tcBorders>
          </w:tcPr>
          <w:p w:rsidR="00C901F3" w:rsidRPr="000E0F90" w:rsidRDefault="00C901F3" w:rsidP="00FA07B6">
            <w:pPr>
              <w:jc w:val="left"/>
              <w:rPr>
                <w:rFonts w:ascii="Arial" w:hAnsi="Arial" w:cs="Arial"/>
                <w:b/>
                <w:color w:val="000000" w:themeColor="text1"/>
                <w:sz w:val="20"/>
                <w:szCs w:val="20"/>
              </w:rPr>
            </w:pPr>
            <w:r w:rsidRPr="000E0F90">
              <w:rPr>
                <w:rFonts w:ascii="Arial" w:hAnsi="Arial" w:cs="Arial"/>
                <w:b/>
                <w:color w:val="000000" w:themeColor="text1"/>
                <w:sz w:val="20"/>
                <w:szCs w:val="20"/>
              </w:rPr>
              <w:t>Localización</w:t>
            </w:r>
          </w:p>
        </w:tc>
        <w:tc>
          <w:tcPr>
            <w:tcW w:w="3242" w:type="dxa"/>
            <w:tcBorders>
              <w:bottom w:val="nil"/>
            </w:tcBorders>
          </w:tcPr>
          <w:p w:rsidR="00C901F3" w:rsidRPr="000E0F90" w:rsidRDefault="00C901F3" w:rsidP="003505AB">
            <w:pPr>
              <w:jc w:val="left"/>
              <w:rPr>
                <w:rFonts w:ascii="Arial" w:hAnsi="Arial" w:cs="Arial"/>
                <w:color w:val="000000" w:themeColor="text1"/>
                <w:sz w:val="20"/>
                <w:szCs w:val="20"/>
              </w:rPr>
            </w:pPr>
            <w:r w:rsidRPr="000E0F90">
              <w:rPr>
                <w:rFonts w:ascii="Arial" w:hAnsi="Arial" w:cs="Arial"/>
                <w:i/>
                <w:color w:val="000000" w:themeColor="text1"/>
                <w:sz w:val="20"/>
                <w:szCs w:val="20"/>
              </w:rPr>
              <w:t>Superficie:</w:t>
            </w:r>
            <w:r w:rsidRPr="000E0F90">
              <w:rPr>
                <w:rFonts w:ascii="Arial" w:hAnsi="Arial" w:cs="Arial"/>
                <w:color w:val="000000" w:themeColor="text1"/>
                <w:sz w:val="20"/>
                <w:szCs w:val="20"/>
              </w:rPr>
              <w:t xml:space="preserve"> 4.158,2 km2 (10,2% superficie regional). </w:t>
            </w:r>
          </w:p>
          <w:p w:rsidR="00C901F3" w:rsidRPr="000E0F90" w:rsidRDefault="00C901F3" w:rsidP="003505AB">
            <w:pPr>
              <w:jc w:val="left"/>
              <w:rPr>
                <w:rFonts w:ascii="Arial" w:hAnsi="Arial" w:cs="Arial"/>
                <w:color w:val="000000" w:themeColor="text1"/>
                <w:sz w:val="20"/>
                <w:szCs w:val="20"/>
              </w:rPr>
            </w:pPr>
            <w:r w:rsidRPr="000E0F90">
              <w:rPr>
                <w:rFonts w:ascii="Arial" w:hAnsi="Arial" w:cs="Arial"/>
                <w:i/>
                <w:color w:val="000000" w:themeColor="text1"/>
                <w:sz w:val="20"/>
                <w:szCs w:val="20"/>
              </w:rPr>
              <w:t>Administrativa:</w:t>
            </w:r>
            <w:r w:rsidRPr="000E0F90">
              <w:rPr>
                <w:rFonts w:ascii="Arial" w:hAnsi="Arial" w:cs="Arial"/>
                <w:color w:val="000000" w:themeColor="text1"/>
                <w:sz w:val="20"/>
                <w:szCs w:val="20"/>
              </w:rPr>
              <w:t xml:space="preserve"> macrorregión de Sudamérica, país Chile, VI Región de Coquimbo, Provincia de Elqui. </w:t>
            </w:r>
          </w:p>
          <w:p w:rsidR="00C901F3" w:rsidRPr="000E0F90" w:rsidRDefault="00C901F3" w:rsidP="003505AB">
            <w:pPr>
              <w:jc w:val="left"/>
              <w:rPr>
                <w:rFonts w:ascii="Arial" w:hAnsi="Arial" w:cs="Arial"/>
                <w:color w:val="000000" w:themeColor="text1"/>
                <w:sz w:val="20"/>
                <w:szCs w:val="20"/>
              </w:rPr>
            </w:pPr>
            <w:r w:rsidRPr="000E0F90">
              <w:rPr>
                <w:rFonts w:ascii="Arial" w:hAnsi="Arial" w:cs="Arial"/>
                <w:i/>
                <w:color w:val="000000" w:themeColor="text1"/>
                <w:sz w:val="20"/>
                <w:szCs w:val="20"/>
              </w:rPr>
              <w:t>Ecológica</w:t>
            </w:r>
            <w:r w:rsidRPr="000E0F90">
              <w:rPr>
                <w:rFonts w:ascii="Arial" w:hAnsi="Arial" w:cs="Arial"/>
                <w:color w:val="000000" w:themeColor="text1"/>
                <w:sz w:val="20"/>
                <w:szCs w:val="20"/>
              </w:rPr>
              <w:t>: Reino Seco, Dominio Desértico, Estepario.</w:t>
            </w:r>
          </w:p>
          <w:p w:rsidR="00C901F3" w:rsidRPr="000E0F90" w:rsidRDefault="00C901F3" w:rsidP="003505AB">
            <w:pPr>
              <w:jc w:val="left"/>
              <w:rPr>
                <w:rFonts w:ascii="Arial" w:hAnsi="Arial" w:cs="Arial"/>
                <w:color w:val="000000" w:themeColor="text1"/>
                <w:sz w:val="20"/>
                <w:szCs w:val="20"/>
              </w:rPr>
            </w:pPr>
            <w:r w:rsidRPr="000E0F90">
              <w:rPr>
                <w:rFonts w:ascii="Arial" w:hAnsi="Arial" w:cs="Arial"/>
                <w:color w:val="000000" w:themeColor="text1"/>
                <w:sz w:val="20"/>
                <w:szCs w:val="20"/>
              </w:rPr>
              <w:t xml:space="preserve">Provincias ecológicas: </w:t>
            </w:r>
          </w:p>
          <w:p w:rsidR="00C901F3" w:rsidRPr="000E0F90" w:rsidRDefault="00C901F3" w:rsidP="00C220C6">
            <w:pPr>
              <w:jc w:val="left"/>
              <w:rPr>
                <w:rFonts w:ascii="Arial" w:hAnsi="Arial" w:cs="Arial"/>
                <w:color w:val="000000" w:themeColor="text1"/>
                <w:sz w:val="20"/>
                <w:szCs w:val="20"/>
              </w:rPr>
            </w:pPr>
            <w:r w:rsidRPr="000E0F90">
              <w:rPr>
                <w:rFonts w:ascii="Arial" w:hAnsi="Arial" w:cs="Arial"/>
                <w:color w:val="000000" w:themeColor="text1"/>
                <w:sz w:val="20"/>
                <w:szCs w:val="20"/>
              </w:rPr>
              <w:t>Desértica de Neblina, Desértica Transicional,  Desértica de Altura Esteparia de Neblina y montaña</w:t>
            </w:r>
          </w:p>
        </w:tc>
        <w:tc>
          <w:tcPr>
            <w:tcW w:w="3230" w:type="dxa"/>
            <w:tcBorders>
              <w:bottom w:val="nil"/>
            </w:tcBorders>
          </w:tcPr>
          <w:p w:rsidR="00C901F3" w:rsidRPr="000E0F90" w:rsidRDefault="00C901F3" w:rsidP="00426548">
            <w:pPr>
              <w:jc w:val="left"/>
              <w:rPr>
                <w:rFonts w:ascii="Arial" w:hAnsi="Arial" w:cs="Arial"/>
                <w:color w:val="000000" w:themeColor="text1"/>
                <w:sz w:val="20"/>
                <w:szCs w:val="20"/>
              </w:rPr>
            </w:pPr>
            <w:r w:rsidRPr="000E0F90">
              <w:rPr>
                <w:rFonts w:ascii="Arial" w:hAnsi="Arial" w:cs="Arial"/>
                <w:i/>
                <w:color w:val="000000" w:themeColor="text1"/>
                <w:sz w:val="20"/>
                <w:szCs w:val="20"/>
              </w:rPr>
              <w:t>Superficie</w:t>
            </w:r>
            <w:r w:rsidRPr="000E0F90">
              <w:rPr>
                <w:rFonts w:ascii="Arial" w:hAnsi="Arial" w:cs="Arial"/>
                <w:color w:val="000000" w:themeColor="text1"/>
                <w:sz w:val="20"/>
                <w:szCs w:val="20"/>
              </w:rPr>
              <w:t xml:space="preserve">: 3.445,3 km2 (8,5% superficie regional). </w:t>
            </w:r>
          </w:p>
          <w:p w:rsidR="00C901F3" w:rsidRPr="000E0F90" w:rsidRDefault="00C901F3" w:rsidP="00426548">
            <w:pPr>
              <w:jc w:val="left"/>
              <w:rPr>
                <w:rFonts w:ascii="Arial" w:hAnsi="Arial" w:cs="Arial"/>
                <w:color w:val="000000" w:themeColor="text1"/>
                <w:sz w:val="20"/>
                <w:szCs w:val="20"/>
              </w:rPr>
            </w:pPr>
            <w:r w:rsidRPr="000E0F90">
              <w:rPr>
                <w:rFonts w:ascii="Arial" w:hAnsi="Arial" w:cs="Arial"/>
                <w:i/>
                <w:color w:val="000000" w:themeColor="text1"/>
                <w:sz w:val="20"/>
                <w:szCs w:val="20"/>
              </w:rPr>
              <w:t>Administrativa:</w:t>
            </w:r>
            <w:r w:rsidRPr="000E0F90">
              <w:rPr>
                <w:rFonts w:ascii="Arial" w:hAnsi="Arial" w:cs="Arial"/>
                <w:color w:val="000000" w:themeColor="text1"/>
                <w:sz w:val="20"/>
                <w:szCs w:val="20"/>
              </w:rPr>
              <w:t xml:space="preserve"> macrorregión de Sudamérica, país Chile, VI Región de Coquimbo, Provincia de Choapa. </w:t>
            </w:r>
          </w:p>
          <w:p w:rsidR="00C901F3" w:rsidRPr="000E0F90" w:rsidRDefault="00C901F3" w:rsidP="00426548">
            <w:pPr>
              <w:jc w:val="left"/>
              <w:rPr>
                <w:rFonts w:ascii="Arial" w:hAnsi="Arial" w:cs="Arial"/>
                <w:color w:val="000000" w:themeColor="text1"/>
                <w:sz w:val="20"/>
                <w:szCs w:val="20"/>
              </w:rPr>
            </w:pPr>
            <w:r w:rsidRPr="000E0F90">
              <w:rPr>
                <w:rFonts w:ascii="Arial" w:hAnsi="Arial" w:cs="Arial"/>
                <w:i/>
                <w:color w:val="000000" w:themeColor="text1"/>
                <w:sz w:val="20"/>
                <w:szCs w:val="20"/>
              </w:rPr>
              <w:t>Ecológica</w:t>
            </w:r>
            <w:r w:rsidRPr="000E0F90">
              <w:rPr>
                <w:rFonts w:ascii="Arial" w:hAnsi="Arial" w:cs="Arial"/>
                <w:color w:val="000000" w:themeColor="text1"/>
                <w:sz w:val="20"/>
                <w:szCs w:val="20"/>
              </w:rPr>
              <w:t>: Reino Seco, Dominio Estepario. Reino Nevado.</w:t>
            </w:r>
          </w:p>
          <w:p w:rsidR="00C901F3" w:rsidRPr="000E0F90" w:rsidRDefault="00C901F3" w:rsidP="00426548">
            <w:pPr>
              <w:jc w:val="left"/>
              <w:rPr>
                <w:rFonts w:ascii="Arial" w:hAnsi="Arial" w:cs="Arial"/>
                <w:color w:val="000000" w:themeColor="text1"/>
                <w:sz w:val="20"/>
                <w:szCs w:val="20"/>
              </w:rPr>
            </w:pPr>
            <w:r w:rsidRPr="000E0F90">
              <w:rPr>
                <w:rFonts w:ascii="Arial" w:hAnsi="Arial" w:cs="Arial"/>
                <w:color w:val="000000" w:themeColor="text1"/>
                <w:sz w:val="20"/>
                <w:szCs w:val="20"/>
              </w:rPr>
              <w:t xml:space="preserve">Provincias ecológicas: </w:t>
            </w:r>
          </w:p>
          <w:p w:rsidR="00C901F3" w:rsidRPr="000E0F90" w:rsidRDefault="00C901F3" w:rsidP="00426548">
            <w:pPr>
              <w:jc w:val="left"/>
              <w:rPr>
                <w:rFonts w:ascii="Arial" w:hAnsi="Arial" w:cs="Arial"/>
                <w:color w:val="000000" w:themeColor="text1"/>
                <w:sz w:val="20"/>
                <w:szCs w:val="20"/>
              </w:rPr>
            </w:pPr>
            <w:r w:rsidRPr="000E0F90">
              <w:rPr>
                <w:rFonts w:ascii="Arial" w:hAnsi="Arial" w:cs="Arial"/>
                <w:color w:val="000000" w:themeColor="text1"/>
                <w:sz w:val="20"/>
                <w:szCs w:val="20"/>
              </w:rPr>
              <w:t>Esteparia Templada Invernal</w:t>
            </w:r>
          </w:p>
          <w:p w:rsidR="00C901F3" w:rsidRPr="000E0F90" w:rsidRDefault="00C901F3" w:rsidP="00426548">
            <w:pPr>
              <w:jc w:val="left"/>
              <w:rPr>
                <w:rFonts w:ascii="Arial" w:hAnsi="Arial" w:cs="Arial"/>
                <w:color w:val="000000" w:themeColor="text1"/>
                <w:sz w:val="20"/>
                <w:szCs w:val="20"/>
              </w:rPr>
            </w:pPr>
            <w:r w:rsidRPr="000E0F90">
              <w:rPr>
                <w:rFonts w:ascii="Arial" w:hAnsi="Arial" w:cs="Arial"/>
                <w:color w:val="000000" w:themeColor="text1"/>
                <w:sz w:val="20"/>
                <w:szCs w:val="20"/>
              </w:rPr>
              <w:t>Esteparia muy fría secoestival.</w:t>
            </w:r>
          </w:p>
          <w:p w:rsidR="00C901F3" w:rsidRPr="000E0F90" w:rsidRDefault="00C901F3" w:rsidP="003D24D5">
            <w:pPr>
              <w:jc w:val="left"/>
              <w:rPr>
                <w:rFonts w:ascii="Arial" w:hAnsi="Arial" w:cs="Arial"/>
                <w:color w:val="000000" w:themeColor="text1"/>
                <w:sz w:val="20"/>
                <w:szCs w:val="20"/>
              </w:rPr>
            </w:pPr>
            <w:r w:rsidRPr="000E0F90">
              <w:rPr>
                <w:rFonts w:ascii="Arial" w:hAnsi="Arial" w:cs="Arial"/>
                <w:color w:val="000000" w:themeColor="text1"/>
                <w:sz w:val="20"/>
                <w:szCs w:val="20"/>
              </w:rPr>
              <w:t>Provincia Nival de altura</w:t>
            </w:r>
          </w:p>
        </w:tc>
      </w:tr>
      <w:tr w:rsidR="00C901F3" w:rsidRPr="000E0F90" w:rsidTr="002A21E4">
        <w:tc>
          <w:tcPr>
            <w:tcW w:w="2372" w:type="dxa"/>
            <w:tcBorders>
              <w:top w:val="nil"/>
              <w:bottom w:val="nil"/>
            </w:tcBorders>
          </w:tcPr>
          <w:p w:rsidR="00C901F3" w:rsidRPr="000E0F90" w:rsidRDefault="00C901F3" w:rsidP="00FA07B6">
            <w:pPr>
              <w:jc w:val="left"/>
              <w:rPr>
                <w:rFonts w:ascii="Arial" w:hAnsi="Arial" w:cs="Arial"/>
                <w:b/>
                <w:color w:val="000000" w:themeColor="text1"/>
                <w:sz w:val="20"/>
                <w:szCs w:val="20"/>
              </w:rPr>
            </w:pPr>
            <w:r w:rsidRPr="000E0F90">
              <w:rPr>
                <w:rFonts w:ascii="Arial" w:hAnsi="Arial" w:cs="Arial"/>
                <w:b/>
                <w:color w:val="000000" w:themeColor="text1"/>
                <w:sz w:val="20"/>
                <w:szCs w:val="20"/>
              </w:rPr>
              <w:t>Clima</w:t>
            </w:r>
          </w:p>
        </w:tc>
        <w:tc>
          <w:tcPr>
            <w:tcW w:w="3242" w:type="dxa"/>
            <w:tcBorders>
              <w:top w:val="nil"/>
              <w:bottom w:val="nil"/>
            </w:tcBorders>
          </w:tcPr>
          <w:p w:rsidR="00C901F3" w:rsidRPr="000E0F90" w:rsidRDefault="00C901F3" w:rsidP="00C220C6">
            <w:pPr>
              <w:rPr>
                <w:rFonts w:ascii="Arial" w:hAnsi="Arial" w:cs="Arial"/>
                <w:color w:val="000000" w:themeColor="text1"/>
                <w:sz w:val="20"/>
                <w:szCs w:val="20"/>
              </w:rPr>
            </w:pPr>
            <w:r w:rsidRPr="000E0F90">
              <w:rPr>
                <w:rFonts w:ascii="Arial" w:hAnsi="Arial" w:cs="Arial"/>
                <w:color w:val="000000" w:themeColor="text1"/>
                <w:sz w:val="20"/>
                <w:szCs w:val="20"/>
              </w:rPr>
              <w:t>Alta Humedad (85%) y Alta nubosidad</w:t>
            </w:r>
          </w:p>
          <w:p w:rsidR="00C901F3" w:rsidRPr="000E0F90" w:rsidRDefault="00C901F3" w:rsidP="00C220C6">
            <w:pPr>
              <w:rPr>
                <w:rFonts w:ascii="Arial" w:hAnsi="Arial" w:cs="Arial"/>
                <w:color w:val="000000" w:themeColor="text1"/>
                <w:sz w:val="20"/>
                <w:szCs w:val="20"/>
              </w:rPr>
            </w:pPr>
            <w:r w:rsidRPr="000E0F90">
              <w:rPr>
                <w:rFonts w:ascii="Arial" w:hAnsi="Arial" w:cs="Arial"/>
                <w:color w:val="000000" w:themeColor="text1"/>
                <w:sz w:val="20"/>
                <w:szCs w:val="20"/>
              </w:rPr>
              <w:t>Temperatura: 10-21°C interior y 12,2°C y 19,3°C costa</w:t>
            </w:r>
          </w:p>
          <w:p w:rsidR="00C901F3" w:rsidRPr="000E0F90" w:rsidRDefault="00C901F3" w:rsidP="00C220C6">
            <w:pPr>
              <w:rPr>
                <w:rFonts w:ascii="Arial" w:hAnsi="Arial" w:cs="Arial"/>
                <w:color w:val="000000" w:themeColor="text1"/>
                <w:sz w:val="20"/>
                <w:szCs w:val="20"/>
              </w:rPr>
            </w:pPr>
            <w:r w:rsidRPr="000E0F90">
              <w:rPr>
                <w:rFonts w:ascii="Arial" w:hAnsi="Arial" w:cs="Arial"/>
                <w:color w:val="000000" w:themeColor="text1"/>
                <w:sz w:val="20"/>
                <w:szCs w:val="20"/>
              </w:rPr>
              <w:t>Precipitaciones: Zona costera &lt;50-75mm anual, Zona cordillerana 75-100mm anual</w:t>
            </w:r>
          </w:p>
        </w:tc>
        <w:tc>
          <w:tcPr>
            <w:tcW w:w="3230" w:type="dxa"/>
            <w:tcBorders>
              <w:top w:val="nil"/>
              <w:bottom w:val="nil"/>
            </w:tcBorders>
          </w:tcPr>
          <w:p w:rsidR="00C901F3" w:rsidRPr="000E0F90" w:rsidRDefault="00C901F3" w:rsidP="00FA07B6">
            <w:pPr>
              <w:jc w:val="left"/>
              <w:rPr>
                <w:rFonts w:ascii="Arial" w:hAnsi="Arial" w:cs="Arial"/>
                <w:color w:val="000000" w:themeColor="text1"/>
                <w:sz w:val="20"/>
                <w:szCs w:val="20"/>
              </w:rPr>
            </w:pPr>
            <w:r w:rsidRPr="000E0F90">
              <w:rPr>
                <w:rFonts w:ascii="Arial" w:hAnsi="Arial" w:cs="Arial"/>
                <w:color w:val="000000" w:themeColor="text1"/>
                <w:sz w:val="20"/>
                <w:szCs w:val="20"/>
              </w:rPr>
              <w:t>Patrón mediterráneo</w:t>
            </w:r>
          </w:p>
          <w:p w:rsidR="00C901F3" w:rsidRPr="000E0F90" w:rsidRDefault="00C901F3" w:rsidP="00FA07B6">
            <w:pPr>
              <w:jc w:val="left"/>
              <w:rPr>
                <w:rFonts w:ascii="Arial" w:hAnsi="Arial" w:cs="Arial"/>
                <w:color w:val="000000" w:themeColor="text1"/>
                <w:sz w:val="20"/>
                <w:szCs w:val="20"/>
              </w:rPr>
            </w:pPr>
            <w:r w:rsidRPr="000E0F90">
              <w:rPr>
                <w:rFonts w:ascii="Arial" w:hAnsi="Arial" w:cs="Arial"/>
                <w:color w:val="000000" w:themeColor="text1"/>
                <w:sz w:val="20"/>
                <w:szCs w:val="20"/>
              </w:rPr>
              <w:t>Temperatura: 6°-27°C (sector occidental) y 0° a 23°C (sector oriental)</w:t>
            </w:r>
          </w:p>
          <w:p w:rsidR="00C901F3" w:rsidRPr="000E0F90" w:rsidRDefault="00C901F3" w:rsidP="00FA07B6">
            <w:pPr>
              <w:jc w:val="left"/>
              <w:rPr>
                <w:rFonts w:ascii="Arial" w:hAnsi="Arial" w:cs="Arial"/>
                <w:color w:val="000000" w:themeColor="text1"/>
                <w:sz w:val="20"/>
                <w:szCs w:val="20"/>
              </w:rPr>
            </w:pPr>
            <w:r w:rsidRPr="000E0F90">
              <w:rPr>
                <w:rFonts w:ascii="Arial" w:hAnsi="Arial" w:cs="Arial"/>
                <w:color w:val="000000" w:themeColor="text1"/>
                <w:sz w:val="20"/>
                <w:szCs w:val="20"/>
              </w:rPr>
              <w:t xml:space="preserve">Precipitaciones: 100-300mm, invernales. Gradiente altitudinal </w:t>
            </w:r>
          </w:p>
          <w:p w:rsidR="00C901F3" w:rsidRPr="000E0F90" w:rsidRDefault="00C901F3" w:rsidP="00FA07B6">
            <w:pPr>
              <w:jc w:val="left"/>
              <w:rPr>
                <w:rFonts w:ascii="Arial" w:hAnsi="Arial" w:cs="Arial"/>
                <w:color w:val="000000" w:themeColor="text1"/>
                <w:sz w:val="20"/>
                <w:szCs w:val="20"/>
              </w:rPr>
            </w:pPr>
          </w:p>
        </w:tc>
      </w:tr>
      <w:tr w:rsidR="00C901F3" w:rsidRPr="000E0F90" w:rsidTr="002A21E4">
        <w:tc>
          <w:tcPr>
            <w:tcW w:w="2372" w:type="dxa"/>
            <w:tcBorders>
              <w:top w:val="nil"/>
              <w:bottom w:val="nil"/>
            </w:tcBorders>
          </w:tcPr>
          <w:p w:rsidR="00C901F3" w:rsidRPr="000E0F90" w:rsidRDefault="00C901F3" w:rsidP="00FA07B6">
            <w:pPr>
              <w:jc w:val="left"/>
              <w:rPr>
                <w:rFonts w:ascii="Arial" w:hAnsi="Arial" w:cs="Arial"/>
                <w:b/>
                <w:color w:val="000000" w:themeColor="text1"/>
                <w:sz w:val="20"/>
                <w:szCs w:val="20"/>
              </w:rPr>
            </w:pPr>
            <w:r w:rsidRPr="000E0F90">
              <w:rPr>
                <w:rFonts w:ascii="Arial" w:hAnsi="Arial" w:cs="Arial"/>
                <w:b/>
                <w:color w:val="000000" w:themeColor="text1"/>
                <w:sz w:val="20"/>
                <w:szCs w:val="20"/>
              </w:rPr>
              <w:t>Geoforma e Hidrografía</w:t>
            </w:r>
          </w:p>
        </w:tc>
        <w:tc>
          <w:tcPr>
            <w:tcW w:w="3242" w:type="dxa"/>
            <w:tcBorders>
              <w:top w:val="nil"/>
              <w:bottom w:val="nil"/>
            </w:tcBorders>
          </w:tcPr>
          <w:p w:rsidR="00C901F3" w:rsidRPr="000E0F90" w:rsidRDefault="00C901F3" w:rsidP="00FA07B6">
            <w:pPr>
              <w:jc w:val="left"/>
              <w:rPr>
                <w:rFonts w:ascii="Arial" w:hAnsi="Arial" w:cs="Arial"/>
                <w:color w:val="000000" w:themeColor="text1"/>
                <w:sz w:val="20"/>
                <w:szCs w:val="20"/>
              </w:rPr>
            </w:pPr>
            <w:r w:rsidRPr="000E0F90">
              <w:rPr>
                <w:rFonts w:ascii="Arial" w:hAnsi="Arial" w:cs="Arial"/>
                <w:i/>
                <w:color w:val="000000" w:themeColor="text1"/>
                <w:sz w:val="20"/>
                <w:szCs w:val="20"/>
              </w:rPr>
              <w:t>Geoforma:</w:t>
            </w:r>
            <w:r w:rsidRPr="000E0F90">
              <w:rPr>
                <w:rFonts w:ascii="Arial" w:hAnsi="Arial" w:cs="Arial"/>
                <w:color w:val="000000" w:themeColor="text1"/>
                <w:sz w:val="20"/>
                <w:szCs w:val="20"/>
              </w:rPr>
              <w:t xml:space="preserve"> Planicie marino, Cordillera de la costa, Llanos de Sedimentación Fluvial, Pampa Transicional y Cordones Transversales.</w:t>
            </w:r>
          </w:p>
          <w:p w:rsidR="00C901F3" w:rsidRPr="000E0F90" w:rsidRDefault="00C901F3" w:rsidP="00FA07B6">
            <w:pPr>
              <w:jc w:val="left"/>
              <w:rPr>
                <w:rFonts w:ascii="Arial" w:hAnsi="Arial" w:cs="Arial"/>
                <w:color w:val="000000" w:themeColor="text1"/>
                <w:sz w:val="20"/>
                <w:szCs w:val="20"/>
              </w:rPr>
            </w:pPr>
            <w:r w:rsidRPr="000E0F90">
              <w:rPr>
                <w:rFonts w:ascii="Arial" w:hAnsi="Arial" w:cs="Arial"/>
                <w:i/>
                <w:color w:val="000000" w:themeColor="text1"/>
                <w:sz w:val="20"/>
                <w:szCs w:val="20"/>
              </w:rPr>
              <w:t>Suelos:</w:t>
            </w:r>
            <w:r w:rsidRPr="000E0F90">
              <w:rPr>
                <w:rFonts w:ascii="Arial" w:hAnsi="Arial" w:cs="Arial"/>
                <w:color w:val="000000" w:themeColor="text1"/>
                <w:sz w:val="20"/>
                <w:szCs w:val="20"/>
              </w:rPr>
              <w:t xml:space="preserve"> Ganadero y Forestal</w:t>
            </w:r>
          </w:p>
          <w:p w:rsidR="00C901F3" w:rsidRPr="000E0F90" w:rsidRDefault="00C901F3" w:rsidP="003D24D5">
            <w:pPr>
              <w:jc w:val="left"/>
              <w:rPr>
                <w:rFonts w:ascii="Arial" w:hAnsi="Arial" w:cs="Arial"/>
                <w:color w:val="000000" w:themeColor="text1"/>
                <w:sz w:val="20"/>
                <w:szCs w:val="20"/>
              </w:rPr>
            </w:pPr>
            <w:r w:rsidRPr="000E0F90">
              <w:rPr>
                <w:rFonts w:ascii="Arial" w:hAnsi="Arial" w:cs="Arial"/>
                <w:i/>
                <w:color w:val="000000" w:themeColor="text1"/>
                <w:sz w:val="20"/>
                <w:szCs w:val="20"/>
              </w:rPr>
              <w:t>Hidroestructura</w:t>
            </w:r>
            <w:r w:rsidRPr="000E0F90">
              <w:rPr>
                <w:rFonts w:ascii="Arial" w:hAnsi="Arial" w:cs="Arial"/>
                <w:color w:val="000000" w:themeColor="text1"/>
                <w:sz w:val="20"/>
                <w:szCs w:val="20"/>
              </w:rPr>
              <w:t>: Cuenca principal Quebrada Los Choros. Sin escurrimiento superficial permanente</w:t>
            </w:r>
          </w:p>
        </w:tc>
        <w:tc>
          <w:tcPr>
            <w:tcW w:w="3230" w:type="dxa"/>
            <w:tcBorders>
              <w:top w:val="nil"/>
              <w:bottom w:val="nil"/>
            </w:tcBorders>
          </w:tcPr>
          <w:p w:rsidR="00C901F3" w:rsidRPr="000E0F90" w:rsidRDefault="00C901F3" w:rsidP="00FA07B6">
            <w:pPr>
              <w:jc w:val="left"/>
              <w:rPr>
                <w:rFonts w:ascii="Arial" w:eastAsia="Times New Roman" w:hAnsi="Arial" w:cs="Arial"/>
                <w:color w:val="000000" w:themeColor="text1"/>
                <w:sz w:val="20"/>
                <w:szCs w:val="20"/>
                <w:lang w:eastAsia="es-ES"/>
              </w:rPr>
            </w:pPr>
            <w:r w:rsidRPr="000E0F90">
              <w:rPr>
                <w:rFonts w:ascii="Arial" w:hAnsi="Arial" w:cs="Arial"/>
                <w:i/>
                <w:color w:val="000000" w:themeColor="text1"/>
                <w:sz w:val="20"/>
                <w:szCs w:val="20"/>
              </w:rPr>
              <w:t>Geoforma</w:t>
            </w:r>
            <w:r w:rsidRPr="000E0F90">
              <w:rPr>
                <w:rFonts w:ascii="Arial" w:hAnsi="Arial" w:cs="Arial"/>
                <w:color w:val="000000" w:themeColor="text1"/>
                <w:sz w:val="20"/>
                <w:szCs w:val="20"/>
              </w:rPr>
              <w:t xml:space="preserve">: </w:t>
            </w:r>
            <w:r w:rsidRPr="000E0F90">
              <w:rPr>
                <w:rFonts w:ascii="Arial" w:eastAsia="Times New Roman" w:hAnsi="Arial" w:cs="Arial"/>
                <w:color w:val="000000" w:themeColor="text1"/>
                <w:sz w:val="20"/>
                <w:szCs w:val="20"/>
                <w:lang w:eastAsia="es-ES"/>
              </w:rPr>
              <w:t>cordones transversales y cordillera andina con retención crionival, en forma de sierras transversales</w:t>
            </w:r>
          </w:p>
          <w:p w:rsidR="00C901F3" w:rsidRPr="000E0F90" w:rsidRDefault="00C901F3" w:rsidP="00FC0C72">
            <w:pPr>
              <w:jc w:val="left"/>
              <w:rPr>
                <w:rFonts w:ascii="Arial" w:hAnsi="Arial" w:cs="Arial"/>
                <w:color w:val="000000" w:themeColor="text1"/>
                <w:sz w:val="20"/>
                <w:szCs w:val="20"/>
              </w:rPr>
            </w:pPr>
            <w:r w:rsidRPr="000E0F90">
              <w:rPr>
                <w:rFonts w:ascii="Arial" w:hAnsi="Arial" w:cs="Arial"/>
                <w:i/>
                <w:color w:val="000000" w:themeColor="text1"/>
                <w:sz w:val="20"/>
                <w:szCs w:val="20"/>
              </w:rPr>
              <w:t>Suelos:</w:t>
            </w:r>
            <w:r w:rsidRPr="000E0F90">
              <w:rPr>
                <w:rFonts w:ascii="Arial" w:hAnsi="Arial" w:cs="Arial"/>
                <w:color w:val="000000" w:themeColor="text1"/>
                <w:sz w:val="20"/>
                <w:szCs w:val="20"/>
              </w:rPr>
              <w:t xml:space="preserve"> Aptitud agrícola, ganadero y forestal</w:t>
            </w:r>
          </w:p>
          <w:p w:rsidR="00C901F3" w:rsidRPr="000E0F90" w:rsidRDefault="00C901F3" w:rsidP="003D24D5">
            <w:pPr>
              <w:jc w:val="left"/>
              <w:rPr>
                <w:rFonts w:ascii="Arial" w:hAnsi="Arial" w:cs="Arial"/>
                <w:color w:val="000000" w:themeColor="text1"/>
                <w:sz w:val="20"/>
                <w:szCs w:val="20"/>
              </w:rPr>
            </w:pPr>
            <w:r w:rsidRPr="000E0F90">
              <w:rPr>
                <w:rFonts w:ascii="Arial" w:hAnsi="Arial" w:cs="Arial"/>
                <w:i/>
                <w:color w:val="000000" w:themeColor="text1"/>
                <w:sz w:val="20"/>
                <w:szCs w:val="20"/>
              </w:rPr>
              <w:t>Hidroestructura:</w:t>
            </w:r>
            <w:r w:rsidRPr="000E0F90">
              <w:rPr>
                <w:rFonts w:ascii="Arial" w:hAnsi="Arial" w:cs="Arial"/>
                <w:color w:val="000000" w:themeColor="text1"/>
                <w:sz w:val="20"/>
                <w:szCs w:val="20"/>
              </w:rPr>
              <w:t xml:space="preserve"> Cuenca del río del Choapa,  subcuencas Totral, Leiva y Valle; río Cuncumén y río Chalinga </w:t>
            </w:r>
          </w:p>
        </w:tc>
      </w:tr>
      <w:tr w:rsidR="00C901F3" w:rsidRPr="000E0F90" w:rsidTr="002A21E4">
        <w:tc>
          <w:tcPr>
            <w:tcW w:w="2372" w:type="dxa"/>
            <w:tcBorders>
              <w:top w:val="nil"/>
              <w:bottom w:val="nil"/>
            </w:tcBorders>
          </w:tcPr>
          <w:p w:rsidR="00C901F3" w:rsidRPr="000E0F90" w:rsidRDefault="00C901F3" w:rsidP="00FA07B6">
            <w:pPr>
              <w:jc w:val="left"/>
              <w:rPr>
                <w:rFonts w:ascii="Arial" w:hAnsi="Arial" w:cs="Arial"/>
                <w:b/>
                <w:color w:val="000000" w:themeColor="text1"/>
                <w:sz w:val="20"/>
                <w:szCs w:val="20"/>
              </w:rPr>
            </w:pPr>
            <w:r w:rsidRPr="000E0F90">
              <w:rPr>
                <w:rFonts w:ascii="Arial" w:hAnsi="Arial" w:cs="Arial"/>
                <w:b/>
                <w:color w:val="000000" w:themeColor="text1"/>
                <w:sz w:val="20"/>
                <w:szCs w:val="20"/>
              </w:rPr>
              <w:t>Vegetación</w:t>
            </w:r>
          </w:p>
        </w:tc>
        <w:tc>
          <w:tcPr>
            <w:tcW w:w="3242" w:type="dxa"/>
            <w:tcBorders>
              <w:top w:val="nil"/>
              <w:bottom w:val="nil"/>
            </w:tcBorders>
          </w:tcPr>
          <w:p w:rsidR="00C901F3" w:rsidRPr="000E0F90" w:rsidRDefault="00C901F3" w:rsidP="00FA07B6">
            <w:pPr>
              <w:jc w:val="left"/>
              <w:rPr>
                <w:rFonts w:ascii="Arial" w:hAnsi="Arial" w:cs="Arial"/>
                <w:color w:val="000000" w:themeColor="text1"/>
                <w:sz w:val="20"/>
                <w:szCs w:val="20"/>
              </w:rPr>
            </w:pPr>
            <w:r w:rsidRPr="000E0F90">
              <w:rPr>
                <w:rFonts w:ascii="Arial" w:hAnsi="Arial" w:cs="Arial"/>
                <w:color w:val="000000" w:themeColor="text1"/>
                <w:sz w:val="20"/>
                <w:szCs w:val="20"/>
              </w:rPr>
              <w:t>Matorral desértico mediterráneo costero</w:t>
            </w:r>
          </w:p>
          <w:p w:rsidR="00C901F3" w:rsidRPr="000E0F90" w:rsidRDefault="00C901F3" w:rsidP="00FA07B6">
            <w:pPr>
              <w:jc w:val="left"/>
              <w:rPr>
                <w:rFonts w:ascii="Arial" w:hAnsi="Arial" w:cs="Arial"/>
                <w:color w:val="000000" w:themeColor="text1"/>
                <w:sz w:val="20"/>
                <w:szCs w:val="20"/>
              </w:rPr>
            </w:pPr>
            <w:r w:rsidRPr="000E0F90">
              <w:rPr>
                <w:rFonts w:ascii="Arial" w:hAnsi="Arial" w:cs="Arial"/>
                <w:color w:val="000000" w:themeColor="text1"/>
                <w:sz w:val="20"/>
                <w:szCs w:val="20"/>
              </w:rPr>
              <w:t>Matorral desértico mediterráneo interior</w:t>
            </w:r>
          </w:p>
          <w:p w:rsidR="00C901F3" w:rsidRPr="000E0F90" w:rsidRDefault="00C901F3" w:rsidP="00FA07B6">
            <w:pPr>
              <w:jc w:val="left"/>
              <w:rPr>
                <w:rFonts w:ascii="Arial" w:hAnsi="Arial" w:cs="Arial"/>
                <w:color w:val="000000" w:themeColor="text1"/>
                <w:sz w:val="20"/>
                <w:szCs w:val="20"/>
              </w:rPr>
            </w:pPr>
            <w:r w:rsidRPr="000E0F90">
              <w:rPr>
                <w:rFonts w:ascii="Arial" w:hAnsi="Arial" w:cs="Arial"/>
                <w:color w:val="000000" w:themeColor="text1"/>
                <w:sz w:val="20"/>
                <w:szCs w:val="20"/>
              </w:rPr>
              <w:t>Matorral bajo tropical-mediterráneo andino</w:t>
            </w:r>
          </w:p>
        </w:tc>
        <w:tc>
          <w:tcPr>
            <w:tcW w:w="3230" w:type="dxa"/>
            <w:tcBorders>
              <w:top w:val="nil"/>
              <w:bottom w:val="nil"/>
            </w:tcBorders>
          </w:tcPr>
          <w:p w:rsidR="00C901F3" w:rsidRPr="000E0F90" w:rsidRDefault="00C901F3" w:rsidP="008C007A">
            <w:pPr>
              <w:jc w:val="left"/>
              <w:rPr>
                <w:rFonts w:ascii="Arial" w:hAnsi="Arial" w:cs="Arial"/>
                <w:color w:val="000000" w:themeColor="text1"/>
                <w:sz w:val="20"/>
                <w:szCs w:val="20"/>
              </w:rPr>
            </w:pPr>
            <w:r w:rsidRPr="000E0F90">
              <w:rPr>
                <w:rFonts w:ascii="Arial" w:hAnsi="Arial" w:cs="Arial"/>
                <w:color w:val="000000" w:themeColor="text1"/>
                <w:sz w:val="20"/>
                <w:szCs w:val="20"/>
              </w:rPr>
              <w:t>Matorral espinoso mediterráneo interior</w:t>
            </w:r>
          </w:p>
          <w:p w:rsidR="00C901F3" w:rsidRPr="000E0F90" w:rsidRDefault="00C901F3" w:rsidP="008C007A">
            <w:pPr>
              <w:jc w:val="left"/>
              <w:rPr>
                <w:rFonts w:ascii="Arial" w:hAnsi="Arial" w:cs="Arial"/>
                <w:color w:val="000000" w:themeColor="text1"/>
                <w:sz w:val="20"/>
                <w:szCs w:val="20"/>
              </w:rPr>
            </w:pPr>
            <w:r w:rsidRPr="000E0F90">
              <w:rPr>
                <w:rFonts w:ascii="Arial" w:hAnsi="Arial" w:cs="Arial"/>
                <w:color w:val="000000" w:themeColor="text1"/>
                <w:sz w:val="20"/>
                <w:szCs w:val="20"/>
              </w:rPr>
              <w:t xml:space="preserve">Matorral arborescente esclerófilo mediterráneo interior, </w:t>
            </w:r>
          </w:p>
          <w:p w:rsidR="00C901F3" w:rsidRPr="000E0F90" w:rsidRDefault="00C901F3" w:rsidP="008C007A">
            <w:pPr>
              <w:jc w:val="left"/>
              <w:rPr>
                <w:rFonts w:ascii="Arial" w:hAnsi="Arial" w:cs="Arial"/>
                <w:color w:val="000000" w:themeColor="text1"/>
                <w:sz w:val="20"/>
                <w:szCs w:val="20"/>
              </w:rPr>
            </w:pPr>
            <w:r w:rsidRPr="000E0F90">
              <w:rPr>
                <w:rFonts w:ascii="Arial" w:hAnsi="Arial" w:cs="Arial"/>
                <w:color w:val="000000" w:themeColor="text1"/>
                <w:sz w:val="20"/>
                <w:szCs w:val="20"/>
              </w:rPr>
              <w:t>Bosque esclerófilo mediterráneo andino</w:t>
            </w:r>
          </w:p>
          <w:p w:rsidR="00C901F3" w:rsidRPr="000E0F90" w:rsidRDefault="00C901F3" w:rsidP="008C007A">
            <w:pPr>
              <w:jc w:val="left"/>
              <w:rPr>
                <w:rFonts w:ascii="Arial" w:hAnsi="Arial" w:cs="Arial"/>
                <w:color w:val="000000" w:themeColor="text1"/>
                <w:sz w:val="20"/>
                <w:szCs w:val="20"/>
              </w:rPr>
            </w:pPr>
            <w:r w:rsidRPr="000E0F90">
              <w:rPr>
                <w:rFonts w:ascii="Arial" w:hAnsi="Arial" w:cs="Arial"/>
                <w:color w:val="000000" w:themeColor="text1"/>
                <w:sz w:val="20"/>
                <w:szCs w:val="20"/>
              </w:rPr>
              <w:t xml:space="preserve">Matorral bajo mediterráneo Andino, </w:t>
            </w:r>
          </w:p>
          <w:p w:rsidR="00C901F3" w:rsidRPr="000E0F90" w:rsidRDefault="00C901F3" w:rsidP="008C007A">
            <w:pPr>
              <w:jc w:val="left"/>
              <w:rPr>
                <w:rFonts w:ascii="Arial" w:hAnsi="Arial" w:cs="Arial"/>
                <w:color w:val="000000" w:themeColor="text1"/>
                <w:sz w:val="20"/>
                <w:szCs w:val="20"/>
              </w:rPr>
            </w:pPr>
            <w:r w:rsidRPr="000E0F90">
              <w:rPr>
                <w:rFonts w:ascii="Arial" w:hAnsi="Arial" w:cs="Arial"/>
                <w:color w:val="000000" w:themeColor="text1"/>
                <w:sz w:val="20"/>
                <w:szCs w:val="20"/>
              </w:rPr>
              <w:t>Herbazal mediterráneo andino</w:t>
            </w:r>
          </w:p>
        </w:tc>
      </w:tr>
      <w:tr w:rsidR="00C901F3" w:rsidRPr="000E0F90" w:rsidTr="002A21E4">
        <w:trPr>
          <w:trHeight w:val="2097"/>
        </w:trPr>
        <w:tc>
          <w:tcPr>
            <w:tcW w:w="2372" w:type="dxa"/>
            <w:tcBorders>
              <w:top w:val="nil"/>
            </w:tcBorders>
          </w:tcPr>
          <w:p w:rsidR="00C901F3" w:rsidRPr="00C901F3" w:rsidRDefault="00C901F3" w:rsidP="00FA07B6">
            <w:pPr>
              <w:jc w:val="left"/>
              <w:rPr>
                <w:rFonts w:ascii="Arial" w:hAnsi="Arial" w:cs="Arial"/>
                <w:b/>
                <w:color w:val="000000" w:themeColor="text1"/>
                <w:sz w:val="20"/>
                <w:szCs w:val="20"/>
              </w:rPr>
            </w:pPr>
            <w:r w:rsidRPr="00C901F3">
              <w:rPr>
                <w:rFonts w:ascii="Arial" w:hAnsi="Arial" w:cs="Arial"/>
                <w:b/>
                <w:color w:val="000000" w:themeColor="text1"/>
                <w:sz w:val="20"/>
                <w:szCs w:val="20"/>
              </w:rPr>
              <w:t xml:space="preserve">Fauna </w:t>
            </w:r>
          </w:p>
        </w:tc>
        <w:tc>
          <w:tcPr>
            <w:tcW w:w="3242" w:type="dxa"/>
            <w:tcBorders>
              <w:top w:val="nil"/>
            </w:tcBorders>
          </w:tcPr>
          <w:p w:rsidR="00C901F3" w:rsidRPr="000E0F90" w:rsidRDefault="00C901F3" w:rsidP="00FA07B6">
            <w:pPr>
              <w:jc w:val="left"/>
              <w:rPr>
                <w:rFonts w:ascii="Arial" w:hAnsi="Arial" w:cs="Arial"/>
                <w:color w:val="000000" w:themeColor="text1"/>
                <w:sz w:val="20"/>
                <w:szCs w:val="20"/>
              </w:rPr>
            </w:pPr>
            <w:r w:rsidRPr="000E0F90">
              <w:rPr>
                <w:rFonts w:ascii="Arial" w:hAnsi="Arial" w:cs="Arial"/>
                <w:color w:val="000000" w:themeColor="text1"/>
                <w:sz w:val="20"/>
                <w:szCs w:val="20"/>
              </w:rPr>
              <w:t>40% de las especies de vertebrados en categoría de conservación</w:t>
            </w:r>
          </w:p>
          <w:p w:rsidR="00C901F3" w:rsidRPr="000E0F90" w:rsidRDefault="00C901F3" w:rsidP="00FA07B6">
            <w:pPr>
              <w:jc w:val="left"/>
              <w:rPr>
                <w:rFonts w:ascii="Arial" w:hAnsi="Arial" w:cs="Arial"/>
                <w:color w:val="000000" w:themeColor="text1"/>
                <w:sz w:val="20"/>
                <w:szCs w:val="20"/>
              </w:rPr>
            </w:pPr>
            <w:r w:rsidRPr="000E0F90">
              <w:rPr>
                <w:rFonts w:ascii="Arial" w:hAnsi="Arial" w:cs="Arial"/>
                <w:color w:val="000000" w:themeColor="text1"/>
                <w:sz w:val="20"/>
                <w:szCs w:val="20"/>
              </w:rPr>
              <w:t>Reserva Nacional Pingüino de Humboldt</w:t>
            </w:r>
          </w:p>
        </w:tc>
        <w:tc>
          <w:tcPr>
            <w:tcW w:w="3230" w:type="dxa"/>
            <w:tcBorders>
              <w:top w:val="nil"/>
            </w:tcBorders>
          </w:tcPr>
          <w:p w:rsidR="00C901F3" w:rsidRPr="000E0F90" w:rsidRDefault="00C901F3" w:rsidP="00FA07B6">
            <w:pPr>
              <w:jc w:val="left"/>
              <w:rPr>
                <w:rFonts w:ascii="Arial" w:hAnsi="Arial" w:cs="Arial"/>
                <w:color w:val="000000" w:themeColor="text1"/>
                <w:sz w:val="20"/>
                <w:szCs w:val="20"/>
              </w:rPr>
            </w:pPr>
            <w:r w:rsidRPr="000E0F90">
              <w:rPr>
                <w:rFonts w:ascii="Arial" w:hAnsi="Arial" w:cs="Arial"/>
                <w:color w:val="000000" w:themeColor="text1"/>
                <w:sz w:val="20"/>
                <w:szCs w:val="20"/>
              </w:rPr>
              <w:t xml:space="preserve">Fauna terrestre: anfibios, reptiles, aves y mamíferos. </w:t>
            </w:r>
          </w:p>
          <w:p w:rsidR="00C901F3" w:rsidRPr="000E0F90" w:rsidRDefault="00C901F3" w:rsidP="00CD1DA0">
            <w:pPr>
              <w:jc w:val="left"/>
              <w:rPr>
                <w:rFonts w:ascii="Arial" w:hAnsi="Arial" w:cs="Arial"/>
                <w:color w:val="000000" w:themeColor="text1"/>
                <w:sz w:val="20"/>
                <w:szCs w:val="20"/>
              </w:rPr>
            </w:pPr>
            <w:r w:rsidRPr="000E0F90">
              <w:rPr>
                <w:rFonts w:ascii="Arial" w:hAnsi="Arial" w:cs="Arial"/>
                <w:color w:val="000000" w:themeColor="text1"/>
                <w:sz w:val="20"/>
                <w:szCs w:val="20"/>
              </w:rPr>
              <w:t>Estado de conservación:  Vulnerables (sapo de rulo, el sapo de cuatro ojos, la culebra de cola larga y culebra de cola corta, la iguana chilena y el cóndor), En peligro (cururo) y raras (yaca)</w:t>
            </w:r>
          </w:p>
        </w:tc>
      </w:tr>
    </w:tbl>
    <w:p w:rsidR="003146B0" w:rsidRDefault="003146B0" w:rsidP="003146B0"/>
    <w:tbl>
      <w:tblPr>
        <w:tblStyle w:val="Tablaconcuadrcula"/>
        <w:tblW w:w="8844" w:type="dxa"/>
        <w:tblBorders>
          <w:left w:val="none" w:sz="0" w:space="0" w:color="auto"/>
          <w:right w:val="none" w:sz="0" w:space="0" w:color="auto"/>
          <w:insideV w:val="none" w:sz="0" w:space="0" w:color="auto"/>
        </w:tblBorders>
        <w:tblLook w:val="04A0" w:firstRow="1" w:lastRow="0" w:firstColumn="1" w:lastColumn="0" w:noHBand="0" w:noVBand="1"/>
      </w:tblPr>
      <w:tblGrid>
        <w:gridCol w:w="2372"/>
        <w:gridCol w:w="3242"/>
        <w:gridCol w:w="3230"/>
      </w:tblGrid>
      <w:tr w:rsidR="003146B0" w:rsidRPr="000E0F90" w:rsidTr="002A21E4">
        <w:tc>
          <w:tcPr>
            <w:tcW w:w="2372" w:type="dxa"/>
            <w:tcBorders>
              <w:bottom w:val="single" w:sz="4" w:space="0" w:color="auto"/>
            </w:tcBorders>
            <w:shd w:val="clear" w:color="auto" w:fill="D9D9D9" w:themeFill="background1" w:themeFillShade="D9"/>
          </w:tcPr>
          <w:p w:rsidR="003146B0" w:rsidRPr="000E0F90" w:rsidRDefault="003146B0" w:rsidP="002D30B3">
            <w:pPr>
              <w:jc w:val="left"/>
              <w:rPr>
                <w:rFonts w:ascii="Arial" w:hAnsi="Arial" w:cs="Arial"/>
                <w:b/>
                <w:color w:val="000000" w:themeColor="text1"/>
                <w:sz w:val="20"/>
                <w:szCs w:val="20"/>
              </w:rPr>
            </w:pPr>
            <w:r w:rsidRPr="000E0F90">
              <w:rPr>
                <w:rFonts w:ascii="Arial" w:hAnsi="Arial" w:cs="Arial"/>
                <w:b/>
                <w:color w:val="000000" w:themeColor="text1"/>
                <w:sz w:val="20"/>
                <w:szCs w:val="20"/>
              </w:rPr>
              <w:lastRenderedPageBreak/>
              <w:t>SOCIOESTRUCTURA</w:t>
            </w:r>
          </w:p>
        </w:tc>
        <w:tc>
          <w:tcPr>
            <w:tcW w:w="3242" w:type="dxa"/>
            <w:tcBorders>
              <w:bottom w:val="single" w:sz="4" w:space="0" w:color="auto"/>
            </w:tcBorders>
            <w:shd w:val="clear" w:color="auto" w:fill="D9D9D9" w:themeFill="background1" w:themeFillShade="D9"/>
          </w:tcPr>
          <w:p w:rsidR="003146B0" w:rsidRPr="000E0F90" w:rsidRDefault="003146B0" w:rsidP="002D30B3">
            <w:pPr>
              <w:jc w:val="left"/>
              <w:rPr>
                <w:rFonts w:ascii="Arial" w:hAnsi="Arial" w:cs="Arial"/>
                <w:color w:val="000000" w:themeColor="text1"/>
                <w:sz w:val="20"/>
                <w:szCs w:val="20"/>
              </w:rPr>
            </w:pPr>
          </w:p>
        </w:tc>
        <w:tc>
          <w:tcPr>
            <w:tcW w:w="3230" w:type="dxa"/>
            <w:tcBorders>
              <w:bottom w:val="single" w:sz="4" w:space="0" w:color="auto"/>
            </w:tcBorders>
            <w:shd w:val="clear" w:color="auto" w:fill="D9D9D9" w:themeFill="background1" w:themeFillShade="D9"/>
          </w:tcPr>
          <w:p w:rsidR="003146B0" w:rsidRPr="000E0F90" w:rsidRDefault="003146B0" w:rsidP="002D30B3">
            <w:pPr>
              <w:jc w:val="left"/>
              <w:rPr>
                <w:rFonts w:ascii="Arial" w:hAnsi="Arial" w:cs="Arial"/>
                <w:color w:val="000000" w:themeColor="text1"/>
                <w:sz w:val="20"/>
                <w:szCs w:val="20"/>
              </w:rPr>
            </w:pPr>
          </w:p>
        </w:tc>
      </w:tr>
      <w:tr w:rsidR="003146B0" w:rsidRPr="000E0F90" w:rsidTr="002A21E4">
        <w:tc>
          <w:tcPr>
            <w:tcW w:w="2372" w:type="dxa"/>
            <w:tcBorders>
              <w:bottom w:val="nil"/>
            </w:tcBorders>
          </w:tcPr>
          <w:p w:rsidR="003146B0" w:rsidRPr="000E0F90" w:rsidRDefault="003146B0" w:rsidP="002D30B3">
            <w:pPr>
              <w:jc w:val="left"/>
              <w:rPr>
                <w:rFonts w:ascii="Arial" w:hAnsi="Arial" w:cs="Arial"/>
                <w:color w:val="000000" w:themeColor="text1"/>
                <w:sz w:val="20"/>
                <w:szCs w:val="20"/>
              </w:rPr>
            </w:pPr>
            <w:r w:rsidRPr="000E0F90">
              <w:rPr>
                <w:rFonts w:ascii="Arial" w:hAnsi="Arial" w:cs="Arial"/>
                <w:color w:val="000000" w:themeColor="text1"/>
                <w:sz w:val="20"/>
                <w:szCs w:val="20"/>
              </w:rPr>
              <w:t>Población</w:t>
            </w:r>
          </w:p>
        </w:tc>
        <w:tc>
          <w:tcPr>
            <w:tcW w:w="3242" w:type="dxa"/>
            <w:tcBorders>
              <w:bottom w:val="nil"/>
            </w:tcBorders>
          </w:tcPr>
          <w:p w:rsidR="003146B0" w:rsidRPr="000E0F90" w:rsidRDefault="003146B0" w:rsidP="002D30B3">
            <w:pPr>
              <w:jc w:val="left"/>
              <w:rPr>
                <w:rFonts w:ascii="Arial" w:hAnsi="Arial" w:cs="Arial"/>
                <w:color w:val="000000" w:themeColor="text1"/>
                <w:sz w:val="20"/>
                <w:szCs w:val="20"/>
              </w:rPr>
            </w:pPr>
            <w:r w:rsidRPr="000E0F90">
              <w:rPr>
                <w:rFonts w:ascii="Arial" w:hAnsi="Arial" w:cs="Arial"/>
                <w:color w:val="000000" w:themeColor="text1"/>
                <w:sz w:val="20"/>
                <w:szCs w:val="20"/>
              </w:rPr>
              <w:t>3.721 habitantes, con un 70,98% de población rural (2.641 habitantes)</w:t>
            </w:r>
          </w:p>
        </w:tc>
        <w:tc>
          <w:tcPr>
            <w:tcW w:w="3230" w:type="dxa"/>
            <w:tcBorders>
              <w:bottom w:val="nil"/>
            </w:tcBorders>
          </w:tcPr>
          <w:p w:rsidR="003146B0" w:rsidRPr="000E0F90" w:rsidRDefault="003146B0" w:rsidP="002D30B3">
            <w:pPr>
              <w:jc w:val="left"/>
              <w:rPr>
                <w:rFonts w:ascii="Arial" w:hAnsi="Arial" w:cs="Arial"/>
                <w:color w:val="000000" w:themeColor="text1"/>
                <w:sz w:val="20"/>
                <w:szCs w:val="20"/>
              </w:rPr>
            </w:pPr>
            <w:r w:rsidRPr="000E0F90">
              <w:rPr>
                <w:rFonts w:ascii="Arial" w:hAnsi="Arial" w:cs="Arial"/>
                <w:color w:val="000000" w:themeColor="text1"/>
                <w:sz w:val="20"/>
                <w:szCs w:val="20"/>
              </w:rPr>
              <w:t>24.494 habitantes , con un 48,20% de población rural (11.805 habitantes)</w:t>
            </w:r>
          </w:p>
        </w:tc>
      </w:tr>
      <w:tr w:rsidR="003146B0" w:rsidRPr="000E0F90" w:rsidTr="002A21E4">
        <w:tc>
          <w:tcPr>
            <w:tcW w:w="2372" w:type="dxa"/>
            <w:tcBorders>
              <w:top w:val="nil"/>
              <w:bottom w:val="nil"/>
            </w:tcBorders>
          </w:tcPr>
          <w:p w:rsidR="003146B0" w:rsidRPr="000E0F90" w:rsidRDefault="003146B0" w:rsidP="002D30B3">
            <w:pPr>
              <w:jc w:val="left"/>
              <w:rPr>
                <w:rFonts w:ascii="Arial" w:hAnsi="Arial" w:cs="Arial"/>
                <w:color w:val="000000" w:themeColor="text1"/>
                <w:sz w:val="20"/>
                <w:szCs w:val="20"/>
                <w:highlight w:val="green"/>
              </w:rPr>
            </w:pPr>
            <w:r w:rsidRPr="000E0F90">
              <w:rPr>
                <w:rFonts w:ascii="Arial" w:hAnsi="Arial" w:cs="Arial"/>
                <w:color w:val="000000" w:themeColor="text1"/>
                <w:sz w:val="20"/>
                <w:szCs w:val="20"/>
              </w:rPr>
              <w:t>Pueblos Originarios</w:t>
            </w:r>
          </w:p>
        </w:tc>
        <w:tc>
          <w:tcPr>
            <w:tcW w:w="3242" w:type="dxa"/>
            <w:tcBorders>
              <w:top w:val="nil"/>
              <w:bottom w:val="nil"/>
            </w:tcBorders>
          </w:tcPr>
          <w:p w:rsidR="003146B0" w:rsidRPr="000E0F90" w:rsidRDefault="003146B0" w:rsidP="002D30B3">
            <w:pPr>
              <w:jc w:val="left"/>
              <w:rPr>
                <w:rFonts w:ascii="Arial" w:hAnsi="Arial" w:cs="Arial"/>
                <w:color w:val="000000" w:themeColor="text1"/>
                <w:sz w:val="20"/>
                <w:szCs w:val="20"/>
              </w:rPr>
            </w:pPr>
            <w:r w:rsidRPr="000E0F90">
              <w:rPr>
                <w:rFonts w:ascii="Arial" w:hAnsi="Arial" w:cs="Arial"/>
                <w:color w:val="000000" w:themeColor="text1"/>
                <w:sz w:val="20"/>
                <w:szCs w:val="20"/>
              </w:rPr>
              <w:t xml:space="preserve">15 personas pertenecientes a etnia. Principales etnias: mapuche </w:t>
            </w:r>
          </w:p>
        </w:tc>
        <w:tc>
          <w:tcPr>
            <w:tcW w:w="3230" w:type="dxa"/>
            <w:tcBorders>
              <w:top w:val="nil"/>
              <w:bottom w:val="nil"/>
            </w:tcBorders>
          </w:tcPr>
          <w:p w:rsidR="003146B0" w:rsidRPr="000E0F90" w:rsidRDefault="003146B0" w:rsidP="002D30B3">
            <w:pPr>
              <w:jc w:val="left"/>
              <w:rPr>
                <w:rFonts w:ascii="Arial" w:hAnsi="Arial" w:cs="Arial"/>
                <w:color w:val="000000" w:themeColor="text1"/>
                <w:sz w:val="20"/>
                <w:szCs w:val="20"/>
              </w:rPr>
            </w:pPr>
            <w:r w:rsidRPr="000E0F90">
              <w:rPr>
                <w:rFonts w:ascii="Arial" w:hAnsi="Arial" w:cs="Arial"/>
                <w:color w:val="000000" w:themeColor="text1"/>
                <w:sz w:val="20"/>
                <w:szCs w:val="20"/>
              </w:rPr>
              <w:t>306 personas pertenecientes a etnia. Principales etnias: Mapuche Atacameño y Aimara</w:t>
            </w:r>
          </w:p>
        </w:tc>
      </w:tr>
      <w:tr w:rsidR="003146B0" w:rsidRPr="000E0F90" w:rsidTr="002A21E4">
        <w:tc>
          <w:tcPr>
            <w:tcW w:w="2372" w:type="dxa"/>
            <w:tcBorders>
              <w:top w:val="nil"/>
              <w:bottom w:val="nil"/>
            </w:tcBorders>
          </w:tcPr>
          <w:p w:rsidR="003146B0" w:rsidRPr="00C901F3" w:rsidRDefault="003146B0" w:rsidP="002D30B3">
            <w:pPr>
              <w:jc w:val="left"/>
              <w:rPr>
                <w:rFonts w:ascii="Arial" w:hAnsi="Arial" w:cs="Arial"/>
                <w:b/>
                <w:color w:val="000000" w:themeColor="text1"/>
                <w:sz w:val="20"/>
                <w:szCs w:val="20"/>
                <w:highlight w:val="yellow"/>
              </w:rPr>
            </w:pPr>
            <w:r w:rsidRPr="003146B0">
              <w:rPr>
                <w:rFonts w:ascii="Arial" w:hAnsi="Arial" w:cs="Arial"/>
                <w:b/>
                <w:color w:val="000000" w:themeColor="text1"/>
                <w:sz w:val="20"/>
                <w:szCs w:val="20"/>
              </w:rPr>
              <w:t>Recursos territoriales</w:t>
            </w:r>
          </w:p>
        </w:tc>
        <w:tc>
          <w:tcPr>
            <w:tcW w:w="3242" w:type="dxa"/>
            <w:tcBorders>
              <w:top w:val="nil"/>
              <w:bottom w:val="nil"/>
            </w:tcBorders>
          </w:tcPr>
          <w:p w:rsidR="003146B0" w:rsidRPr="000E0F90" w:rsidRDefault="003146B0" w:rsidP="002D30B3">
            <w:pPr>
              <w:jc w:val="left"/>
              <w:rPr>
                <w:rFonts w:ascii="Arial" w:hAnsi="Arial" w:cs="Arial"/>
                <w:color w:val="000000" w:themeColor="text1"/>
                <w:sz w:val="20"/>
                <w:szCs w:val="20"/>
              </w:rPr>
            </w:pPr>
            <w:r w:rsidRPr="000E0F90">
              <w:rPr>
                <w:rFonts w:ascii="Arial" w:hAnsi="Arial" w:cs="Arial"/>
                <w:color w:val="000000" w:themeColor="text1"/>
                <w:sz w:val="20"/>
                <w:szCs w:val="20"/>
              </w:rPr>
              <w:t xml:space="preserve">Agricultura de subsistencia Ganadería: Caprina y trashumante, </w:t>
            </w:r>
          </w:p>
          <w:p w:rsidR="003146B0" w:rsidRPr="000E0F90" w:rsidRDefault="003146B0" w:rsidP="002D30B3">
            <w:pPr>
              <w:jc w:val="left"/>
              <w:rPr>
                <w:rFonts w:ascii="Arial" w:hAnsi="Arial" w:cs="Arial"/>
                <w:color w:val="000000" w:themeColor="text1"/>
                <w:sz w:val="20"/>
                <w:szCs w:val="20"/>
              </w:rPr>
            </w:pPr>
            <w:r w:rsidRPr="000E0F90">
              <w:rPr>
                <w:rFonts w:ascii="Arial" w:hAnsi="Arial" w:cs="Arial"/>
                <w:color w:val="000000" w:themeColor="text1"/>
                <w:sz w:val="20"/>
                <w:szCs w:val="20"/>
              </w:rPr>
              <w:t>Minería: Artesanal, proyección industrial</w:t>
            </w:r>
          </w:p>
          <w:p w:rsidR="003146B0" w:rsidRPr="000E0F90" w:rsidRDefault="003146B0" w:rsidP="002D30B3">
            <w:pPr>
              <w:jc w:val="left"/>
              <w:rPr>
                <w:rFonts w:ascii="Arial" w:hAnsi="Arial" w:cs="Arial"/>
                <w:color w:val="000000" w:themeColor="text1"/>
                <w:sz w:val="20"/>
                <w:szCs w:val="20"/>
              </w:rPr>
            </w:pPr>
            <w:r w:rsidRPr="000E0F90">
              <w:rPr>
                <w:rFonts w:ascii="Arial" w:hAnsi="Arial" w:cs="Arial"/>
                <w:color w:val="000000" w:themeColor="text1"/>
                <w:sz w:val="20"/>
                <w:szCs w:val="20"/>
              </w:rPr>
              <w:t>Pesca: Artesanal, caleta de pescadores</w:t>
            </w:r>
          </w:p>
          <w:p w:rsidR="003146B0" w:rsidRPr="000E0F90" w:rsidRDefault="003146B0" w:rsidP="002D30B3">
            <w:pPr>
              <w:jc w:val="left"/>
              <w:rPr>
                <w:rFonts w:ascii="Arial" w:hAnsi="Arial" w:cs="Arial"/>
                <w:color w:val="000000" w:themeColor="text1"/>
                <w:sz w:val="20"/>
                <w:szCs w:val="20"/>
              </w:rPr>
            </w:pPr>
            <w:r w:rsidRPr="000E0F90">
              <w:rPr>
                <w:rFonts w:ascii="Arial" w:hAnsi="Arial" w:cs="Arial"/>
                <w:color w:val="000000" w:themeColor="text1"/>
                <w:sz w:val="20"/>
                <w:szCs w:val="20"/>
              </w:rPr>
              <w:t>Turismo: Sector costero,  alternativas de turismo astronómico, agrícola, rural y minero histórico.</w:t>
            </w:r>
          </w:p>
        </w:tc>
        <w:tc>
          <w:tcPr>
            <w:tcW w:w="3230" w:type="dxa"/>
            <w:tcBorders>
              <w:top w:val="nil"/>
              <w:bottom w:val="nil"/>
            </w:tcBorders>
          </w:tcPr>
          <w:p w:rsidR="003146B0" w:rsidRPr="000E0F90" w:rsidRDefault="003146B0" w:rsidP="002D30B3">
            <w:pPr>
              <w:jc w:val="left"/>
              <w:rPr>
                <w:rFonts w:ascii="Arial" w:hAnsi="Arial" w:cs="Arial"/>
                <w:color w:val="000000" w:themeColor="text1"/>
                <w:sz w:val="20"/>
                <w:szCs w:val="20"/>
              </w:rPr>
            </w:pPr>
            <w:r w:rsidRPr="000E0F90">
              <w:rPr>
                <w:rFonts w:ascii="Arial" w:hAnsi="Arial" w:cs="Arial"/>
                <w:color w:val="000000" w:themeColor="text1"/>
                <w:sz w:val="20"/>
                <w:szCs w:val="20"/>
              </w:rPr>
              <w:t>Agricultura: Producción de pisco.</w:t>
            </w:r>
          </w:p>
          <w:p w:rsidR="003146B0" w:rsidRPr="000E0F90" w:rsidRDefault="003146B0" w:rsidP="002D30B3">
            <w:pPr>
              <w:jc w:val="left"/>
              <w:rPr>
                <w:rFonts w:ascii="Arial" w:hAnsi="Arial" w:cs="Arial"/>
                <w:color w:val="000000" w:themeColor="text1"/>
                <w:sz w:val="20"/>
                <w:szCs w:val="20"/>
              </w:rPr>
            </w:pPr>
            <w:r w:rsidRPr="000E0F90">
              <w:rPr>
                <w:rFonts w:ascii="Arial" w:hAnsi="Arial" w:cs="Arial"/>
                <w:color w:val="000000" w:themeColor="text1"/>
                <w:sz w:val="20"/>
                <w:szCs w:val="20"/>
              </w:rPr>
              <w:t>Ganadería: ganado caprino Minería: Gran minería, Mina Los Pelambres</w:t>
            </w:r>
          </w:p>
          <w:p w:rsidR="003146B0" w:rsidRPr="000E0F90" w:rsidRDefault="003146B0" w:rsidP="002D30B3">
            <w:pPr>
              <w:jc w:val="left"/>
              <w:rPr>
                <w:rFonts w:ascii="Arial" w:hAnsi="Arial" w:cs="Arial"/>
                <w:color w:val="000000" w:themeColor="text1"/>
                <w:sz w:val="20"/>
                <w:szCs w:val="20"/>
              </w:rPr>
            </w:pPr>
            <w:r w:rsidRPr="000E0F90">
              <w:rPr>
                <w:rFonts w:ascii="Arial" w:hAnsi="Arial" w:cs="Arial"/>
                <w:color w:val="000000" w:themeColor="text1"/>
                <w:sz w:val="20"/>
                <w:szCs w:val="20"/>
              </w:rPr>
              <w:t xml:space="preserve">Turismo: Vitivinícola, Arqueológico, Histórico y Patrimonial, Agrícola </w:t>
            </w:r>
          </w:p>
        </w:tc>
      </w:tr>
      <w:tr w:rsidR="003146B0" w:rsidRPr="000E0F90" w:rsidTr="002A21E4">
        <w:tc>
          <w:tcPr>
            <w:tcW w:w="2372" w:type="dxa"/>
            <w:tcBorders>
              <w:top w:val="nil"/>
              <w:bottom w:val="nil"/>
            </w:tcBorders>
          </w:tcPr>
          <w:p w:rsidR="003146B0" w:rsidRPr="000E0F90" w:rsidRDefault="003146B0" w:rsidP="002D30B3">
            <w:pPr>
              <w:jc w:val="left"/>
              <w:rPr>
                <w:rFonts w:ascii="Arial" w:hAnsi="Arial" w:cs="Arial"/>
                <w:color w:val="000000" w:themeColor="text1"/>
                <w:sz w:val="20"/>
                <w:szCs w:val="20"/>
              </w:rPr>
            </w:pPr>
            <w:r w:rsidRPr="000E0F90">
              <w:rPr>
                <w:rFonts w:ascii="Arial" w:hAnsi="Arial" w:cs="Arial"/>
                <w:color w:val="000000" w:themeColor="text1"/>
                <w:sz w:val="20"/>
                <w:szCs w:val="20"/>
              </w:rPr>
              <w:t>Actividades económicas</w:t>
            </w:r>
          </w:p>
        </w:tc>
        <w:tc>
          <w:tcPr>
            <w:tcW w:w="3242" w:type="dxa"/>
            <w:tcBorders>
              <w:top w:val="nil"/>
              <w:bottom w:val="nil"/>
            </w:tcBorders>
          </w:tcPr>
          <w:p w:rsidR="003146B0" w:rsidRPr="000E0F90" w:rsidRDefault="003146B0" w:rsidP="002D30B3">
            <w:pPr>
              <w:jc w:val="left"/>
              <w:rPr>
                <w:rFonts w:ascii="Arial" w:hAnsi="Arial" w:cs="Arial"/>
                <w:color w:val="000000" w:themeColor="text1"/>
                <w:sz w:val="20"/>
                <w:szCs w:val="20"/>
              </w:rPr>
            </w:pPr>
            <w:r w:rsidRPr="000E0F90">
              <w:rPr>
                <w:rFonts w:ascii="Arial" w:hAnsi="Arial" w:cs="Arial"/>
                <w:i/>
                <w:color w:val="000000" w:themeColor="text1"/>
                <w:sz w:val="20"/>
                <w:szCs w:val="20"/>
              </w:rPr>
              <w:t>Principales Actividades:</w:t>
            </w:r>
            <w:r w:rsidRPr="000E0F90">
              <w:rPr>
                <w:rFonts w:ascii="Arial" w:hAnsi="Arial" w:cs="Arial"/>
                <w:color w:val="000000" w:themeColor="text1"/>
                <w:sz w:val="20"/>
                <w:szCs w:val="20"/>
              </w:rPr>
              <w:t xml:space="preserve"> Comercio, Hotelería, Minería y Transporte</w:t>
            </w:r>
          </w:p>
          <w:p w:rsidR="003146B0" w:rsidRPr="000E0F90" w:rsidRDefault="003146B0" w:rsidP="002D30B3">
            <w:pPr>
              <w:jc w:val="left"/>
              <w:rPr>
                <w:rFonts w:ascii="Arial" w:hAnsi="Arial" w:cs="Arial"/>
                <w:color w:val="000000" w:themeColor="text1"/>
                <w:sz w:val="20"/>
                <w:szCs w:val="20"/>
              </w:rPr>
            </w:pPr>
            <w:r w:rsidRPr="000E0F90">
              <w:rPr>
                <w:rFonts w:ascii="Arial" w:hAnsi="Arial" w:cs="Arial"/>
                <w:i/>
                <w:color w:val="000000" w:themeColor="text1"/>
                <w:sz w:val="20"/>
                <w:szCs w:val="20"/>
              </w:rPr>
              <w:t>Empleos:</w:t>
            </w:r>
            <w:r w:rsidRPr="000E0F90">
              <w:rPr>
                <w:rFonts w:ascii="Arial" w:hAnsi="Arial" w:cs="Arial"/>
                <w:color w:val="000000" w:themeColor="text1"/>
                <w:sz w:val="20"/>
                <w:szCs w:val="20"/>
              </w:rPr>
              <w:t xml:space="preserve"> Servicios sociales, Hotelería, Suministro servicios, Industria Manufacturera.</w:t>
            </w:r>
          </w:p>
        </w:tc>
        <w:tc>
          <w:tcPr>
            <w:tcW w:w="3230" w:type="dxa"/>
            <w:tcBorders>
              <w:top w:val="nil"/>
              <w:bottom w:val="nil"/>
            </w:tcBorders>
          </w:tcPr>
          <w:p w:rsidR="003146B0" w:rsidRPr="000E0F90" w:rsidRDefault="003146B0" w:rsidP="002D30B3">
            <w:pPr>
              <w:jc w:val="left"/>
              <w:rPr>
                <w:rFonts w:ascii="Arial" w:hAnsi="Arial" w:cs="Arial"/>
                <w:color w:val="000000" w:themeColor="text1"/>
                <w:sz w:val="20"/>
                <w:szCs w:val="20"/>
              </w:rPr>
            </w:pPr>
            <w:r w:rsidRPr="000E0F90">
              <w:rPr>
                <w:rFonts w:ascii="Arial" w:hAnsi="Arial" w:cs="Arial"/>
                <w:i/>
                <w:color w:val="000000" w:themeColor="text1"/>
                <w:sz w:val="20"/>
                <w:szCs w:val="20"/>
              </w:rPr>
              <w:t>Principales Actividades:</w:t>
            </w:r>
            <w:r w:rsidRPr="000E0F90">
              <w:rPr>
                <w:rFonts w:ascii="Arial" w:hAnsi="Arial" w:cs="Arial"/>
                <w:color w:val="000000" w:themeColor="text1"/>
                <w:sz w:val="20"/>
                <w:szCs w:val="20"/>
              </w:rPr>
              <w:t xml:space="preserve"> Silvoagropecuario, Comercio, hotelería y construcción</w:t>
            </w:r>
          </w:p>
          <w:p w:rsidR="003146B0" w:rsidRPr="000E0F90" w:rsidRDefault="003146B0" w:rsidP="002D30B3">
            <w:pPr>
              <w:jc w:val="left"/>
              <w:rPr>
                <w:rFonts w:ascii="Arial" w:hAnsi="Arial" w:cs="Arial"/>
                <w:color w:val="000000" w:themeColor="text1"/>
                <w:sz w:val="20"/>
                <w:szCs w:val="20"/>
              </w:rPr>
            </w:pPr>
            <w:r w:rsidRPr="000E0F90">
              <w:rPr>
                <w:rFonts w:ascii="Arial" w:hAnsi="Arial" w:cs="Arial"/>
                <w:i/>
                <w:color w:val="000000" w:themeColor="text1"/>
                <w:sz w:val="20"/>
                <w:szCs w:val="20"/>
              </w:rPr>
              <w:t>Empleos:</w:t>
            </w:r>
            <w:r w:rsidRPr="000E0F90">
              <w:rPr>
                <w:rFonts w:ascii="Arial" w:hAnsi="Arial" w:cs="Arial"/>
                <w:color w:val="000000" w:themeColor="text1"/>
                <w:sz w:val="20"/>
                <w:szCs w:val="20"/>
              </w:rPr>
              <w:t xml:space="preserve"> Construcción, comercio, silvoagropecuario, administración pública, hoteles y restaurantes</w:t>
            </w:r>
          </w:p>
        </w:tc>
      </w:tr>
      <w:tr w:rsidR="003146B0" w:rsidRPr="000E0F90" w:rsidTr="002A21E4">
        <w:tc>
          <w:tcPr>
            <w:tcW w:w="2372" w:type="dxa"/>
            <w:tcBorders>
              <w:top w:val="nil"/>
              <w:bottom w:val="nil"/>
            </w:tcBorders>
          </w:tcPr>
          <w:p w:rsidR="003146B0" w:rsidRPr="000E0F90" w:rsidRDefault="003146B0" w:rsidP="002D30B3">
            <w:pPr>
              <w:jc w:val="left"/>
              <w:rPr>
                <w:rFonts w:ascii="Arial" w:hAnsi="Arial" w:cs="Arial"/>
                <w:color w:val="000000" w:themeColor="text1"/>
                <w:sz w:val="20"/>
                <w:szCs w:val="20"/>
              </w:rPr>
            </w:pPr>
          </w:p>
        </w:tc>
        <w:tc>
          <w:tcPr>
            <w:tcW w:w="3242" w:type="dxa"/>
            <w:tcBorders>
              <w:top w:val="nil"/>
              <w:bottom w:val="nil"/>
            </w:tcBorders>
          </w:tcPr>
          <w:p w:rsidR="003146B0" w:rsidRPr="000E0F90" w:rsidRDefault="003146B0" w:rsidP="002D30B3">
            <w:pPr>
              <w:jc w:val="left"/>
              <w:rPr>
                <w:rFonts w:ascii="Arial" w:hAnsi="Arial" w:cs="Arial"/>
                <w:color w:val="000000" w:themeColor="text1"/>
                <w:sz w:val="20"/>
                <w:szCs w:val="20"/>
              </w:rPr>
            </w:pPr>
            <w:r w:rsidRPr="000E0F90">
              <w:rPr>
                <w:rFonts w:ascii="Arial" w:hAnsi="Arial" w:cs="Arial"/>
                <w:i/>
                <w:color w:val="000000" w:themeColor="text1"/>
                <w:sz w:val="20"/>
                <w:szCs w:val="20"/>
              </w:rPr>
              <w:t>Minería</w:t>
            </w:r>
            <w:r w:rsidRPr="000E0F90">
              <w:rPr>
                <w:rFonts w:ascii="Arial" w:hAnsi="Arial" w:cs="Arial"/>
                <w:color w:val="000000" w:themeColor="text1"/>
                <w:sz w:val="20"/>
                <w:szCs w:val="20"/>
              </w:rPr>
              <w:t>: 132 faenas mineras, principalmente categoría D (101) y A (13) y C (16),</w:t>
            </w:r>
          </w:p>
          <w:p w:rsidR="003146B0" w:rsidRPr="000E0F90" w:rsidRDefault="003146B0" w:rsidP="002D30B3">
            <w:pPr>
              <w:jc w:val="left"/>
              <w:rPr>
                <w:rFonts w:ascii="Arial" w:hAnsi="Arial" w:cs="Arial"/>
                <w:color w:val="000000" w:themeColor="text1"/>
                <w:sz w:val="20"/>
                <w:szCs w:val="20"/>
              </w:rPr>
            </w:pPr>
            <w:r w:rsidRPr="000E0F90">
              <w:rPr>
                <w:rFonts w:ascii="Arial" w:hAnsi="Arial" w:cs="Arial"/>
                <w:i/>
                <w:color w:val="000000" w:themeColor="text1"/>
                <w:sz w:val="20"/>
                <w:szCs w:val="20"/>
              </w:rPr>
              <w:t>Agricultura</w:t>
            </w:r>
            <w:r w:rsidRPr="000E0F90">
              <w:rPr>
                <w:rFonts w:ascii="Arial" w:hAnsi="Arial" w:cs="Arial"/>
                <w:color w:val="000000" w:themeColor="text1"/>
                <w:sz w:val="20"/>
                <w:szCs w:val="20"/>
              </w:rPr>
              <w:t>: Producción de plantas forrajeras (391,2 ha) y Frutales (226,8ha)</w:t>
            </w:r>
          </w:p>
          <w:p w:rsidR="003146B0" w:rsidRPr="000E0F90" w:rsidRDefault="003146B0" w:rsidP="002D30B3">
            <w:pPr>
              <w:jc w:val="left"/>
              <w:rPr>
                <w:rFonts w:ascii="Arial" w:hAnsi="Arial" w:cs="Arial"/>
                <w:color w:val="000000" w:themeColor="text1"/>
                <w:sz w:val="20"/>
                <w:szCs w:val="20"/>
              </w:rPr>
            </w:pPr>
            <w:r w:rsidRPr="000E0F90">
              <w:rPr>
                <w:rFonts w:ascii="Arial" w:hAnsi="Arial" w:cs="Arial"/>
                <w:i/>
                <w:color w:val="000000" w:themeColor="text1"/>
                <w:sz w:val="20"/>
                <w:szCs w:val="20"/>
              </w:rPr>
              <w:t>Turismo</w:t>
            </w:r>
            <w:r w:rsidRPr="000E0F90">
              <w:rPr>
                <w:rFonts w:ascii="Arial" w:hAnsi="Arial" w:cs="Arial"/>
                <w:color w:val="000000" w:themeColor="text1"/>
                <w:sz w:val="20"/>
                <w:szCs w:val="20"/>
              </w:rPr>
              <w:t>: Reserva Nacional Pingüino de Humboldt; Punta de Choros</w:t>
            </w:r>
          </w:p>
        </w:tc>
        <w:tc>
          <w:tcPr>
            <w:tcW w:w="3230" w:type="dxa"/>
            <w:tcBorders>
              <w:top w:val="nil"/>
              <w:bottom w:val="nil"/>
            </w:tcBorders>
          </w:tcPr>
          <w:p w:rsidR="003146B0" w:rsidRPr="000E0F90" w:rsidRDefault="003146B0" w:rsidP="002D30B3">
            <w:pPr>
              <w:jc w:val="left"/>
              <w:rPr>
                <w:rFonts w:ascii="Arial" w:hAnsi="Arial" w:cs="Arial"/>
                <w:color w:val="000000" w:themeColor="text1"/>
                <w:sz w:val="20"/>
                <w:szCs w:val="20"/>
              </w:rPr>
            </w:pPr>
            <w:r w:rsidRPr="000E0F90">
              <w:rPr>
                <w:rFonts w:ascii="Arial" w:hAnsi="Arial" w:cs="Arial"/>
                <w:i/>
                <w:color w:val="000000" w:themeColor="text1"/>
                <w:sz w:val="20"/>
                <w:szCs w:val="20"/>
              </w:rPr>
              <w:t>Minería</w:t>
            </w:r>
            <w:r w:rsidRPr="000E0F90">
              <w:rPr>
                <w:rFonts w:ascii="Arial" w:hAnsi="Arial" w:cs="Arial"/>
                <w:color w:val="000000" w:themeColor="text1"/>
                <w:sz w:val="20"/>
                <w:szCs w:val="20"/>
              </w:rPr>
              <w:t>: 92 faenas mineras, principalmente categoría D (77) y A (8), B (6) y C (1).</w:t>
            </w:r>
          </w:p>
          <w:p w:rsidR="003146B0" w:rsidRPr="000E0F90" w:rsidRDefault="003146B0" w:rsidP="002D30B3">
            <w:pPr>
              <w:jc w:val="left"/>
              <w:rPr>
                <w:rFonts w:ascii="Arial" w:hAnsi="Arial" w:cs="Arial"/>
                <w:color w:val="000000" w:themeColor="text1"/>
                <w:sz w:val="20"/>
                <w:szCs w:val="20"/>
              </w:rPr>
            </w:pPr>
            <w:r w:rsidRPr="000E0F90">
              <w:rPr>
                <w:rFonts w:ascii="Arial" w:hAnsi="Arial" w:cs="Arial"/>
                <w:i/>
                <w:color w:val="000000" w:themeColor="text1"/>
                <w:sz w:val="20"/>
                <w:szCs w:val="20"/>
              </w:rPr>
              <w:t>Agricultura</w:t>
            </w:r>
            <w:r w:rsidRPr="000E0F90">
              <w:rPr>
                <w:rFonts w:ascii="Arial" w:hAnsi="Arial" w:cs="Arial"/>
                <w:color w:val="000000" w:themeColor="text1"/>
                <w:sz w:val="20"/>
                <w:szCs w:val="20"/>
              </w:rPr>
              <w:t>: Producción de viñas y parrones (1.685,9 ha),  Frutales (1.427,52ha) y plantas forrajeras (751,82 ha).</w:t>
            </w:r>
          </w:p>
          <w:p w:rsidR="003146B0" w:rsidRPr="000E0F90" w:rsidRDefault="003146B0" w:rsidP="002D30B3">
            <w:pPr>
              <w:jc w:val="left"/>
              <w:rPr>
                <w:rFonts w:ascii="Arial" w:hAnsi="Arial" w:cs="Arial"/>
                <w:color w:val="000000" w:themeColor="text1"/>
                <w:sz w:val="20"/>
                <w:szCs w:val="20"/>
              </w:rPr>
            </w:pPr>
            <w:r w:rsidRPr="000E0F90">
              <w:rPr>
                <w:rFonts w:ascii="Arial" w:hAnsi="Arial" w:cs="Arial"/>
                <w:i/>
                <w:color w:val="000000" w:themeColor="text1"/>
                <w:sz w:val="20"/>
                <w:szCs w:val="20"/>
              </w:rPr>
              <w:t>Turismo</w:t>
            </w:r>
            <w:r w:rsidRPr="000E0F90">
              <w:rPr>
                <w:rFonts w:ascii="Arial" w:hAnsi="Arial" w:cs="Arial"/>
                <w:color w:val="000000" w:themeColor="text1"/>
                <w:sz w:val="20"/>
                <w:szCs w:val="20"/>
              </w:rPr>
              <w:t>: La Raja de Manquehua, las Iglesias de Huanque y Señor de la Tierra, petroglifos y viñas</w:t>
            </w:r>
          </w:p>
        </w:tc>
      </w:tr>
      <w:tr w:rsidR="003146B0" w:rsidRPr="000E0F90" w:rsidTr="002A21E4">
        <w:tc>
          <w:tcPr>
            <w:tcW w:w="2372" w:type="dxa"/>
            <w:tcBorders>
              <w:top w:val="nil"/>
            </w:tcBorders>
          </w:tcPr>
          <w:p w:rsidR="003146B0" w:rsidRPr="000E0F90" w:rsidRDefault="003146B0" w:rsidP="002D30B3">
            <w:pPr>
              <w:jc w:val="left"/>
              <w:rPr>
                <w:rFonts w:ascii="Arial" w:hAnsi="Arial" w:cs="Arial"/>
                <w:color w:val="000000" w:themeColor="text1"/>
                <w:sz w:val="20"/>
                <w:szCs w:val="20"/>
              </w:rPr>
            </w:pPr>
            <w:r w:rsidRPr="000E0F90">
              <w:rPr>
                <w:rFonts w:ascii="Arial" w:hAnsi="Arial" w:cs="Arial"/>
                <w:color w:val="000000" w:themeColor="text1"/>
                <w:sz w:val="20"/>
                <w:szCs w:val="20"/>
              </w:rPr>
              <w:t>Situación Socioeconómica</w:t>
            </w:r>
          </w:p>
        </w:tc>
        <w:tc>
          <w:tcPr>
            <w:tcW w:w="3242" w:type="dxa"/>
            <w:tcBorders>
              <w:top w:val="nil"/>
            </w:tcBorders>
          </w:tcPr>
          <w:p w:rsidR="003146B0" w:rsidRPr="000E0F90" w:rsidRDefault="003146B0" w:rsidP="002D30B3">
            <w:pPr>
              <w:rPr>
                <w:rFonts w:ascii="Arial" w:hAnsi="Arial" w:cs="Arial"/>
                <w:color w:val="000000" w:themeColor="text1"/>
                <w:sz w:val="20"/>
                <w:szCs w:val="20"/>
              </w:rPr>
            </w:pPr>
            <w:r w:rsidRPr="000E0F90">
              <w:rPr>
                <w:rFonts w:ascii="Arial" w:hAnsi="Arial" w:cs="Arial"/>
                <w:color w:val="000000" w:themeColor="text1"/>
                <w:sz w:val="20"/>
                <w:szCs w:val="20"/>
              </w:rPr>
              <w:t>Salud: 4 establecimientos de salud (2,3% región)</w:t>
            </w:r>
          </w:p>
          <w:p w:rsidR="003146B0" w:rsidRPr="000E0F90" w:rsidRDefault="003146B0" w:rsidP="002D30B3">
            <w:pPr>
              <w:rPr>
                <w:rFonts w:ascii="Arial" w:hAnsi="Arial" w:cs="Arial"/>
                <w:color w:val="000000" w:themeColor="text1"/>
                <w:sz w:val="20"/>
                <w:szCs w:val="20"/>
              </w:rPr>
            </w:pPr>
            <w:r w:rsidRPr="000E0F90">
              <w:rPr>
                <w:rFonts w:ascii="Arial" w:hAnsi="Arial" w:cs="Arial"/>
                <w:color w:val="000000" w:themeColor="text1"/>
                <w:sz w:val="20"/>
                <w:szCs w:val="20"/>
              </w:rPr>
              <w:t>Educación: 7 establecimientos. Sin educación media ni Educación Superior.</w:t>
            </w:r>
          </w:p>
        </w:tc>
        <w:tc>
          <w:tcPr>
            <w:tcW w:w="3230" w:type="dxa"/>
            <w:tcBorders>
              <w:top w:val="nil"/>
            </w:tcBorders>
            <w:shd w:val="clear" w:color="auto" w:fill="auto"/>
          </w:tcPr>
          <w:p w:rsidR="003146B0" w:rsidRPr="000E0F90" w:rsidRDefault="003146B0" w:rsidP="002D30B3">
            <w:pPr>
              <w:rPr>
                <w:rFonts w:ascii="Arial" w:hAnsi="Arial" w:cs="Arial"/>
                <w:color w:val="000000" w:themeColor="text1"/>
                <w:sz w:val="20"/>
                <w:szCs w:val="20"/>
              </w:rPr>
            </w:pPr>
            <w:r w:rsidRPr="000E0F90">
              <w:rPr>
                <w:rFonts w:ascii="Arial" w:hAnsi="Arial" w:cs="Arial"/>
                <w:color w:val="000000" w:themeColor="text1"/>
                <w:sz w:val="20"/>
                <w:szCs w:val="20"/>
              </w:rPr>
              <w:t>Salud: 12 establecimientos de salud (2,3% región)</w:t>
            </w:r>
          </w:p>
          <w:p w:rsidR="003146B0" w:rsidRPr="000E0F90" w:rsidRDefault="003146B0" w:rsidP="002D30B3">
            <w:pPr>
              <w:rPr>
                <w:rFonts w:ascii="Arial" w:hAnsi="Arial" w:cs="Arial"/>
                <w:color w:val="000000" w:themeColor="text1"/>
                <w:sz w:val="20"/>
                <w:szCs w:val="20"/>
              </w:rPr>
            </w:pPr>
            <w:r w:rsidRPr="000E0F90">
              <w:rPr>
                <w:rFonts w:ascii="Arial" w:hAnsi="Arial" w:cs="Arial"/>
                <w:color w:val="000000" w:themeColor="text1"/>
                <w:sz w:val="20"/>
                <w:szCs w:val="20"/>
              </w:rPr>
              <w:t>Educación: 38 establecimientos. Sin Educación Superior.</w:t>
            </w:r>
          </w:p>
        </w:tc>
      </w:tr>
    </w:tbl>
    <w:p w:rsidR="003146B0" w:rsidRPr="003146B0" w:rsidRDefault="003146B0" w:rsidP="003146B0"/>
    <w:p w:rsidR="003146B0" w:rsidRDefault="003146B0" w:rsidP="002F44F7"/>
    <w:p w:rsidR="005B48D5" w:rsidRPr="000E0F90" w:rsidRDefault="00B307B3" w:rsidP="00702D9A">
      <w:pPr>
        <w:pStyle w:val="Ttulo3"/>
        <w:spacing w:line="360" w:lineRule="auto"/>
        <w:rPr>
          <w:rFonts w:ascii="Arial" w:hAnsi="Arial" w:cs="Arial"/>
        </w:rPr>
      </w:pPr>
      <w:r w:rsidRPr="000E0F90">
        <w:rPr>
          <w:rFonts w:ascii="Arial" w:hAnsi="Arial" w:cs="Arial"/>
        </w:rPr>
        <w:br w:type="page"/>
      </w:r>
      <w:r w:rsidR="005B48D5" w:rsidRPr="000E0F90">
        <w:rPr>
          <w:rFonts w:ascii="Arial" w:hAnsi="Arial" w:cs="Arial"/>
        </w:rPr>
        <w:lastRenderedPageBreak/>
        <w:t>TEMAS RELEVANTES ACTORES SOCIALES LOCALES</w:t>
      </w:r>
    </w:p>
    <w:p w:rsidR="003D3F06" w:rsidRPr="000E0F90" w:rsidRDefault="00D93690" w:rsidP="00702D9A">
      <w:pPr>
        <w:spacing w:before="240" w:line="360" w:lineRule="auto"/>
        <w:rPr>
          <w:rFonts w:ascii="Arial" w:hAnsi="Arial" w:cs="Arial"/>
          <w:color w:val="000000" w:themeColor="text1"/>
        </w:rPr>
      </w:pPr>
      <w:r w:rsidRPr="000E0F90">
        <w:rPr>
          <w:rFonts w:ascii="Arial" w:hAnsi="Arial" w:cs="Arial"/>
          <w:color w:val="000000" w:themeColor="text1"/>
        </w:rPr>
        <w:t xml:space="preserve">Las temáticas presentadas a continuación </w:t>
      </w:r>
      <w:r w:rsidR="000554F8" w:rsidRPr="000E0F90">
        <w:rPr>
          <w:rFonts w:ascii="Arial" w:hAnsi="Arial" w:cs="Arial"/>
          <w:color w:val="000000" w:themeColor="text1"/>
        </w:rPr>
        <w:t xml:space="preserve">corresponden a una representación </w:t>
      </w:r>
      <w:r w:rsidRPr="000E0F90">
        <w:rPr>
          <w:rFonts w:ascii="Arial" w:hAnsi="Arial" w:cs="Arial"/>
          <w:color w:val="000000" w:themeColor="text1"/>
        </w:rPr>
        <w:t>local del estado de los territor</w:t>
      </w:r>
      <w:r w:rsidR="004B6803" w:rsidRPr="000E0F90">
        <w:rPr>
          <w:rFonts w:ascii="Arial" w:hAnsi="Arial" w:cs="Arial"/>
          <w:color w:val="000000" w:themeColor="text1"/>
        </w:rPr>
        <w:t>ios mineros</w:t>
      </w:r>
      <w:r w:rsidRPr="000E0F90">
        <w:rPr>
          <w:rFonts w:ascii="Arial" w:hAnsi="Arial" w:cs="Arial"/>
          <w:color w:val="000000" w:themeColor="text1"/>
        </w:rPr>
        <w:t>. Por tanto es una aproximación a los elementos más significativos del territorio, desde la perspectiva los actores sociales, e</w:t>
      </w:r>
      <w:r w:rsidR="004B6803" w:rsidRPr="000E0F90">
        <w:rPr>
          <w:rFonts w:ascii="Arial" w:hAnsi="Arial" w:cs="Arial"/>
          <w:color w:val="000000" w:themeColor="text1"/>
        </w:rPr>
        <w:t>n</w:t>
      </w:r>
      <w:r w:rsidRPr="000E0F90">
        <w:rPr>
          <w:rFonts w:ascii="Arial" w:hAnsi="Arial" w:cs="Arial"/>
          <w:color w:val="000000" w:themeColor="text1"/>
        </w:rPr>
        <w:t xml:space="preserve"> un lugar y momento determinado, proveniente de entrevistas e investigaciones del área de estudio. Se considera un análisis </w:t>
      </w:r>
      <w:r w:rsidR="000554F8" w:rsidRPr="000E0F90">
        <w:rPr>
          <w:rFonts w:ascii="Arial" w:hAnsi="Arial" w:cs="Arial"/>
          <w:color w:val="000000" w:themeColor="text1"/>
        </w:rPr>
        <w:t>pa</w:t>
      </w:r>
      <w:r w:rsidRPr="000E0F90">
        <w:rPr>
          <w:rFonts w:ascii="Arial" w:hAnsi="Arial" w:cs="Arial"/>
          <w:color w:val="000000" w:themeColor="text1"/>
        </w:rPr>
        <w:t xml:space="preserve">rcial de la situación local, sin embargo que aporta información de los receptores directos del estado del territorio. </w:t>
      </w:r>
      <w:r w:rsidR="003D3F06" w:rsidRPr="000E0F90">
        <w:rPr>
          <w:rFonts w:ascii="Arial" w:hAnsi="Arial" w:cs="Arial"/>
          <w:color w:val="000000" w:themeColor="text1"/>
        </w:rPr>
        <w:t xml:space="preserve">La información de cada comuna se agrupó según región, dado que pertenecen a una unidad administrativa geopolítica en </w:t>
      </w:r>
      <w:r w:rsidR="00EB25B0" w:rsidRPr="000E0F90">
        <w:rPr>
          <w:rFonts w:ascii="Arial" w:hAnsi="Arial" w:cs="Arial"/>
          <w:color w:val="000000" w:themeColor="text1"/>
        </w:rPr>
        <w:t>común</w:t>
      </w:r>
      <w:r w:rsidR="003D3F06" w:rsidRPr="000E0F90">
        <w:rPr>
          <w:rFonts w:ascii="Arial" w:hAnsi="Arial" w:cs="Arial"/>
          <w:color w:val="000000" w:themeColor="text1"/>
        </w:rPr>
        <w:t xml:space="preserve"> y por tanto los lineamientos políticos y de desarrollo son concordantes</w:t>
      </w:r>
    </w:p>
    <w:p w:rsidR="004949F3" w:rsidRPr="000E0F90" w:rsidRDefault="004949F3" w:rsidP="00702D9A">
      <w:pPr>
        <w:pStyle w:val="Ttulo4"/>
        <w:spacing w:line="360" w:lineRule="auto"/>
        <w:rPr>
          <w:rFonts w:ascii="Arial" w:hAnsi="Arial" w:cs="Arial"/>
          <w:color w:val="000000" w:themeColor="text1"/>
        </w:rPr>
      </w:pPr>
      <w:r w:rsidRPr="000E0F90">
        <w:rPr>
          <w:rFonts w:ascii="Arial" w:hAnsi="Arial" w:cs="Arial"/>
          <w:color w:val="000000" w:themeColor="text1"/>
        </w:rPr>
        <w:t>TERCERA REGIÓN</w:t>
      </w:r>
      <w:r w:rsidR="00E74418" w:rsidRPr="000E0F90">
        <w:rPr>
          <w:rFonts w:ascii="Arial" w:hAnsi="Arial" w:cs="Arial"/>
          <w:color w:val="000000" w:themeColor="text1"/>
        </w:rPr>
        <w:t>: Comuna de Tierra Amarilla y Alto del Carmen</w:t>
      </w:r>
    </w:p>
    <w:p w:rsidR="003D3F06" w:rsidRPr="000E0F90" w:rsidRDefault="00D75218" w:rsidP="00702D9A">
      <w:pPr>
        <w:spacing w:before="240" w:after="0" w:line="360" w:lineRule="auto"/>
        <w:rPr>
          <w:rFonts w:ascii="Arial" w:hAnsi="Arial" w:cs="Arial"/>
          <w:color w:val="000000" w:themeColor="text1"/>
        </w:rPr>
      </w:pPr>
      <w:r w:rsidRPr="000E0F90">
        <w:rPr>
          <w:rFonts w:ascii="Arial" w:hAnsi="Arial" w:cs="Arial"/>
          <w:b/>
          <w:color w:val="000000" w:themeColor="text1"/>
        </w:rPr>
        <w:t>1</w:t>
      </w:r>
      <w:r w:rsidR="006738C5" w:rsidRPr="000E0F90">
        <w:rPr>
          <w:rFonts w:ascii="Arial" w:hAnsi="Arial" w:cs="Arial"/>
          <w:b/>
          <w:color w:val="000000" w:themeColor="text1"/>
        </w:rPr>
        <w:t>. Territorialidad histórica</w:t>
      </w:r>
      <w:r w:rsidR="006738C5" w:rsidRPr="000E0F90">
        <w:rPr>
          <w:rFonts w:ascii="Arial" w:hAnsi="Arial" w:cs="Arial"/>
          <w:color w:val="000000" w:themeColor="text1"/>
        </w:rPr>
        <w:t xml:space="preserve"> </w:t>
      </w:r>
    </w:p>
    <w:p w:rsidR="00F34C25" w:rsidRPr="000E0F90" w:rsidRDefault="003D3F06" w:rsidP="00702D9A">
      <w:pPr>
        <w:spacing w:line="360" w:lineRule="auto"/>
        <w:rPr>
          <w:rFonts w:ascii="Arial" w:hAnsi="Arial" w:cs="Arial"/>
          <w:color w:val="000000" w:themeColor="text1"/>
        </w:rPr>
      </w:pPr>
      <w:r w:rsidRPr="000E0F90">
        <w:rPr>
          <w:rFonts w:ascii="Arial" w:hAnsi="Arial" w:cs="Arial"/>
          <w:color w:val="000000" w:themeColor="text1"/>
        </w:rPr>
        <w:t>La territorialidad identificada en los territorios de Tierra Amarilla y Alto del Carmen, se relaciona estrechamente con los asentamientos indígenas precolombinos,</w:t>
      </w:r>
      <w:r w:rsidR="000562D8" w:rsidRPr="000E0F90">
        <w:rPr>
          <w:rFonts w:ascii="Arial" w:hAnsi="Arial" w:cs="Arial"/>
          <w:color w:val="000000" w:themeColor="text1"/>
        </w:rPr>
        <w:t xml:space="preserve"> como fue la cultura Diaguita</w:t>
      </w:r>
      <w:r w:rsidR="00124B42" w:rsidRPr="000E0F90">
        <w:rPr>
          <w:rFonts w:ascii="Arial" w:hAnsi="Arial" w:cs="Arial"/>
          <w:color w:val="000000" w:themeColor="text1"/>
        </w:rPr>
        <w:t xml:space="preserve">, </w:t>
      </w:r>
      <w:r w:rsidR="004949F3" w:rsidRPr="000E0F90">
        <w:rPr>
          <w:rFonts w:ascii="Arial" w:hAnsi="Arial" w:cs="Arial"/>
          <w:color w:val="000000" w:themeColor="text1"/>
        </w:rPr>
        <w:t>Inca y Molle, desarrollando</w:t>
      </w:r>
      <w:r w:rsidR="000562D8" w:rsidRPr="000E0F90">
        <w:rPr>
          <w:rFonts w:ascii="Arial" w:hAnsi="Arial" w:cs="Arial"/>
          <w:color w:val="000000" w:themeColor="text1"/>
        </w:rPr>
        <w:t xml:space="preserve"> actividades agrícolas en los fondos de valle, ganadería trashumante, y actividades en la costa, como pesca y extracción de mariscos y animales marinos</w:t>
      </w:r>
      <w:r w:rsidR="00124B42" w:rsidRPr="000E0F90">
        <w:rPr>
          <w:rFonts w:ascii="Arial" w:hAnsi="Arial" w:cs="Arial"/>
          <w:color w:val="000000" w:themeColor="text1"/>
        </w:rPr>
        <w:t>, al igual que</w:t>
      </w:r>
      <w:r w:rsidR="0027388F" w:rsidRPr="000E0F90">
        <w:rPr>
          <w:rFonts w:ascii="Arial" w:hAnsi="Arial" w:cs="Arial"/>
          <w:color w:val="000000" w:themeColor="text1"/>
        </w:rPr>
        <w:t xml:space="preserve"> desarrollo incipiente de la minería</w:t>
      </w:r>
      <w:r w:rsidR="00CE6062" w:rsidRPr="000E0F90">
        <w:rPr>
          <w:rFonts w:ascii="Arial" w:hAnsi="Arial" w:cs="Arial"/>
          <w:color w:val="000000" w:themeColor="text1"/>
        </w:rPr>
        <w:t xml:space="preserve">, </w:t>
      </w:r>
      <w:r w:rsidR="00124B42" w:rsidRPr="000E0F90">
        <w:rPr>
          <w:rFonts w:ascii="Arial" w:hAnsi="Arial" w:cs="Arial"/>
          <w:color w:val="000000" w:themeColor="text1"/>
        </w:rPr>
        <w:t>actividades que</w:t>
      </w:r>
      <w:r w:rsidR="00CE6062" w:rsidRPr="000E0F90">
        <w:rPr>
          <w:rFonts w:ascii="Arial" w:hAnsi="Arial" w:cs="Arial"/>
          <w:color w:val="000000" w:themeColor="text1"/>
        </w:rPr>
        <w:t xml:space="preserve"> se potenciaron con la llegada del pueblo inca y la incorporación de tecnologías</w:t>
      </w:r>
      <w:r w:rsidR="000562D8" w:rsidRPr="000E0F90">
        <w:rPr>
          <w:rFonts w:ascii="Arial" w:hAnsi="Arial" w:cs="Arial"/>
          <w:color w:val="000000" w:themeColor="text1"/>
        </w:rPr>
        <w:t xml:space="preserve"> </w:t>
      </w:r>
      <w:sdt>
        <w:sdtPr>
          <w:rPr>
            <w:rFonts w:ascii="Arial" w:hAnsi="Arial" w:cs="Arial"/>
            <w:color w:val="000000" w:themeColor="text1"/>
          </w:rPr>
          <w:id w:val="-317651092"/>
          <w:citation/>
        </w:sdtPr>
        <w:sdtEndPr/>
        <w:sdtContent>
          <w:r w:rsidR="000562D8" w:rsidRPr="000E0F90">
            <w:rPr>
              <w:rFonts w:ascii="Arial" w:hAnsi="Arial" w:cs="Arial"/>
              <w:color w:val="000000" w:themeColor="text1"/>
            </w:rPr>
            <w:fldChar w:fldCharType="begin"/>
          </w:r>
          <w:r w:rsidR="000562D8" w:rsidRPr="000E0F90">
            <w:rPr>
              <w:rFonts w:ascii="Arial" w:hAnsi="Arial" w:cs="Arial"/>
              <w:color w:val="000000" w:themeColor="text1"/>
            </w:rPr>
            <w:instrText xml:space="preserve">CITATION Gas16 \l 13322 </w:instrText>
          </w:r>
          <w:r w:rsidR="000562D8" w:rsidRPr="000E0F90">
            <w:rPr>
              <w:rFonts w:ascii="Arial" w:hAnsi="Arial" w:cs="Arial"/>
              <w:color w:val="000000" w:themeColor="text1"/>
            </w:rPr>
            <w:fldChar w:fldCharType="separate"/>
          </w:r>
          <w:r w:rsidR="008D0261" w:rsidRPr="000E0F90">
            <w:rPr>
              <w:rFonts w:ascii="Arial" w:hAnsi="Arial" w:cs="Arial"/>
              <w:noProof/>
              <w:color w:val="000000" w:themeColor="text1"/>
            </w:rPr>
            <w:t>(Gastó, Gálvez, Subercauseaux, &amp; Fuentes, 2015)</w:t>
          </w:r>
          <w:r w:rsidR="000562D8" w:rsidRPr="000E0F90">
            <w:rPr>
              <w:rFonts w:ascii="Arial" w:hAnsi="Arial" w:cs="Arial"/>
              <w:color w:val="000000" w:themeColor="text1"/>
            </w:rPr>
            <w:fldChar w:fldCharType="end"/>
          </w:r>
        </w:sdtContent>
      </w:sdt>
      <w:r w:rsidR="00124B42" w:rsidRPr="000E0F90">
        <w:rPr>
          <w:rFonts w:ascii="Arial" w:hAnsi="Arial" w:cs="Arial"/>
          <w:color w:val="000000" w:themeColor="text1"/>
        </w:rPr>
        <w:t>.</w:t>
      </w:r>
    </w:p>
    <w:p w:rsidR="000E30E0" w:rsidRPr="000E0F90" w:rsidRDefault="00CE3857" w:rsidP="00702D9A">
      <w:pPr>
        <w:spacing w:line="360" w:lineRule="auto"/>
        <w:rPr>
          <w:rFonts w:ascii="Arial" w:hAnsi="Arial" w:cs="Arial"/>
          <w:color w:val="000000" w:themeColor="text1"/>
        </w:rPr>
      </w:pPr>
      <w:r w:rsidRPr="000E0F90">
        <w:rPr>
          <w:rFonts w:ascii="Arial" w:hAnsi="Arial" w:cs="Arial"/>
          <w:color w:val="000000" w:themeColor="text1"/>
        </w:rPr>
        <w:t>Con el</w:t>
      </w:r>
      <w:r w:rsidR="00124B42" w:rsidRPr="000E0F90">
        <w:rPr>
          <w:rFonts w:ascii="Arial" w:hAnsi="Arial" w:cs="Arial"/>
          <w:color w:val="000000" w:themeColor="text1"/>
        </w:rPr>
        <w:t xml:space="preserve"> </w:t>
      </w:r>
      <w:r w:rsidRPr="000E0F90">
        <w:rPr>
          <w:rFonts w:ascii="Arial" w:hAnsi="Arial" w:cs="Arial"/>
          <w:color w:val="000000" w:themeColor="text1"/>
        </w:rPr>
        <w:t>arribo</w:t>
      </w:r>
      <w:r w:rsidR="00124B42" w:rsidRPr="000E0F90">
        <w:rPr>
          <w:rFonts w:ascii="Arial" w:hAnsi="Arial" w:cs="Arial"/>
          <w:color w:val="000000" w:themeColor="text1"/>
        </w:rPr>
        <w:t xml:space="preserve"> de los españoles </w:t>
      </w:r>
      <w:r w:rsidR="00CE6062" w:rsidRPr="000E0F90">
        <w:rPr>
          <w:rFonts w:ascii="Arial" w:hAnsi="Arial" w:cs="Arial"/>
          <w:color w:val="000000" w:themeColor="text1"/>
        </w:rPr>
        <w:t xml:space="preserve">se inicia el </w:t>
      </w:r>
      <w:r w:rsidR="00124B42" w:rsidRPr="000E0F90">
        <w:rPr>
          <w:rFonts w:ascii="Arial" w:hAnsi="Arial" w:cs="Arial"/>
          <w:color w:val="000000" w:themeColor="text1"/>
        </w:rPr>
        <w:t xml:space="preserve">desarrollo de la </w:t>
      </w:r>
      <w:r w:rsidR="00CE6062" w:rsidRPr="000E0F90">
        <w:rPr>
          <w:rFonts w:ascii="Arial" w:hAnsi="Arial" w:cs="Arial"/>
          <w:color w:val="000000" w:themeColor="text1"/>
        </w:rPr>
        <w:t>actividad minera en la región,</w:t>
      </w:r>
      <w:r w:rsidR="00124B42" w:rsidRPr="000E0F90">
        <w:rPr>
          <w:rFonts w:ascii="Arial" w:hAnsi="Arial" w:cs="Arial"/>
          <w:color w:val="000000" w:themeColor="text1"/>
        </w:rPr>
        <w:t xml:space="preserve"> de manera más intensa,</w:t>
      </w:r>
      <w:r w:rsidR="00FC2F4D" w:rsidRPr="000E0F90">
        <w:rPr>
          <w:rFonts w:ascii="Arial" w:hAnsi="Arial" w:cs="Arial"/>
          <w:color w:val="000000" w:themeColor="text1"/>
        </w:rPr>
        <w:t xml:space="preserve"> lo</w:t>
      </w:r>
      <w:r w:rsidR="00CE6062" w:rsidRPr="000E0F90">
        <w:rPr>
          <w:rFonts w:ascii="Arial" w:hAnsi="Arial" w:cs="Arial"/>
          <w:color w:val="000000" w:themeColor="text1"/>
        </w:rPr>
        <w:t xml:space="preserve"> que trajo consigo el establecimiento de destacamentos </w:t>
      </w:r>
      <w:r w:rsidR="004E57A5" w:rsidRPr="000E0F90">
        <w:rPr>
          <w:rFonts w:ascii="Arial" w:hAnsi="Arial" w:cs="Arial"/>
          <w:color w:val="000000" w:themeColor="text1"/>
        </w:rPr>
        <w:t>mineros y asentamientos humanos</w:t>
      </w:r>
      <w:r w:rsidR="00CE6062" w:rsidRPr="000E0F90">
        <w:rPr>
          <w:rFonts w:ascii="Arial" w:hAnsi="Arial" w:cs="Arial"/>
          <w:color w:val="000000" w:themeColor="text1"/>
        </w:rPr>
        <w:t xml:space="preserve"> </w:t>
      </w:r>
      <w:r w:rsidR="004E57A5" w:rsidRPr="000E0F90">
        <w:rPr>
          <w:rFonts w:ascii="Arial" w:hAnsi="Arial" w:cs="Arial"/>
          <w:color w:val="000000" w:themeColor="text1"/>
        </w:rPr>
        <w:t>y el fomento de la actividad agrícola y ganadera, al igual que la asignación de indígenas a mercedes y encomiendas</w:t>
      </w:r>
      <w:r w:rsidR="000E30E0" w:rsidRPr="000E0F90">
        <w:rPr>
          <w:rFonts w:ascii="Arial" w:hAnsi="Arial" w:cs="Arial"/>
          <w:color w:val="000000" w:themeColor="text1"/>
        </w:rPr>
        <w:t xml:space="preserve"> </w:t>
      </w:r>
      <w:sdt>
        <w:sdtPr>
          <w:rPr>
            <w:rFonts w:ascii="Arial" w:hAnsi="Arial" w:cs="Arial"/>
            <w:color w:val="000000" w:themeColor="text1"/>
          </w:rPr>
          <w:id w:val="1440480097"/>
          <w:citation/>
        </w:sdtPr>
        <w:sdtEndPr/>
        <w:sdtContent>
          <w:r w:rsidR="000E30E0" w:rsidRPr="000E0F90">
            <w:rPr>
              <w:rFonts w:ascii="Arial" w:hAnsi="Arial" w:cs="Arial"/>
              <w:color w:val="000000" w:themeColor="text1"/>
            </w:rPr>
            <w:fldChar w:fldCharType="begin"/>
          </w:r>
          <w:r w:rsidR="000E30E0" w:rsidRPr="000E0F90">
            <w:rPr>
              <w:rFonts w:ascii="Arial" w:hAnsi="Arial" w:cs="Arial"/>
              <w:color w:val="000000" w:themeColor="text1"/>
            </w:rPr>
            <w:instrText xml:space="preserve"> CITATION Gas16 \l 13322 </w:instrText>
          </w:r>
          <w:r w:rsidR="000E30E0" w:rsidRPr="000E0F90">
            <w:rPr>
              <w:rFonts w:ascii="Arial" w:hAnsi="Arial" w:cs="Arial"/>
              <w:color w:val="000000" w:themeColor="text1"/>
            </w:rPr>
            <w:fldChar w:fldCharType="separate"/>
          </w:r>
          <w:r w:rsidR="008D0261" w:rsidRPr="000E0F90">
            <w:rPr>
              <w:rFonts w:ascii="Arial" w:hAnsi="Arial" w:cs="Arial"/>
              <w:noProof/>
              <w:color w:val="000000" w:themeColor="text1"/>
            </w:rPr>
            <w:t>(Gastó, Gálvez, Subercauseaux, &amp; Fuentes, 2015)</w:t>
          </w:r>
          <w:r w:rsidR="000E30E0" w:rsidRPr="000E0F90">
            <w:rPr>
              <w:rFonts w:ascii="Arial" w:hAnsi="Arial" w:cs="Arial"/>
              <w:color w:val="000000" w:themeColor="text1"/>
            </w:rPr>
            <w:fldChar w:fldCharType="end"/>
          </w:r>
        </w:sdtContent>
      </w:sdt>
      <w:r w:rsidR="00CE6062" w:rsidRPr="000E0F90">
        <w:rPr>
          <w:rFonts w:ascii="Arial" w:hAnsi="Arial" w:cs="Arial"/>
          <w:color w:val="000000" w:themeColor="text1"/>
        </w:rPr>
        <w:t xml:space="preserve">. </w:t>
      </w:r>
      <w:r w:rsidRPr="000E0F90">
        <w:rPr>
          <w:rFonts w:ascii="Arial" w:hAnsi="Arial" w:cs="Arial"/>
          <w:color w:val="000000" w:themeColor="text1"/>
        </w:rPr>
        <w:t xml:space="preserve">Esta </w:t>
      </w:r>
      <w:r w:rsidR="00CE6062" w:rsidRPr="000E0F90">
        <w:rPr>
          <w:rFonts w:ascii="Arial" w:hAnsi="Arial" w:cs="Arial"/>
          <w:color w:val="000000" w:themeColor="text1"/>
        </w:rPr>
        <w:t xml:space="preserve">actividad </w:t>
      </w:r>
      <w:r w:rsidR="0027388F" w:rsidRPr="000E0F90">
        <w:rPr>
          <w:rFonts w:ascii="Arial" w:hAnsi="Arial" w:cs="Arial"/>
          <w:color w:val="000000" w:themeColor="text1"/>
        </w:rPr>
        <w:t xml:space="preserve">continúa desarrollándose en el territorio, en particular en el siglo XIX, </w:t>
      </w:r>
      <w:r w:rsidR="000E30E0" w:rsidRPr="000E0F90">
        <w:rPr>
          <w:rFonts w:ascii="Arial" w:hAnsi="Arial" w:cs="Arial"/>
          <w:color w:val="000000" w:themeColor="text1"/>
        </w:rPr>
        <w:t>período en que se constituye como el polo de desarrollo a escala nacional, como recalca Alejandro Aracena (Tierra Amarilla): “</w:t>
      </w:r>
      <w:r w:rsidR="000E30E0" w:rsidRPr="000E0F90">
        <w:rPr>
          <w:rFonts w:ascii="Arial" w:hAnsi="Arial" w:cs="Arial"/>
          <w:i/>
          <w:color w:val="000000" w:themeColor="text1"/>
        </w:rPr>
        <w:t>En el desarrollo de la minería en Atacama, no solo acá en Copiapó, en este valle, en Tierra Amarilla, en Atacama, empieza una era fructífera minera que es la de Chañarcillo, siglo XIX, donde se desarrolla el país…”</w:t>
      </w:r>
      <w:r w:rsidR="00CE6062" w:rsidRPr="000E0F90">
        <w:rPr>
          <w:rFonts w:ascii="Arial" w:hAnsi="Arial" w:cs="Arial"/>
          <w:color w:val="000000" w:themeColor="text1"/>
        </w:rPr>
        <w:t xml:space="preserve">. </w:t>
      </w:r>
    </w:p>
    <w:p w:rsidR="000E30E0" w:rsidRPr="000E0F90" w:rsidRDefault="000E30E0" w:rsidP="00702D9A">
      <w:pPr>
        <w:spacing w:before="240" w:line="360" w:lineRule="auto"/>
        <w:rPr>
          <w:rFonts w:ascii="Arial" w:hAnsi="Arial" w:cs="Arial"/>
          <w:color w:val="000000" w:themeColor="text1"/>
        </w:rPr>
      </w:pPr>
      <w:r w:rsidRPr="000E0F90">
        <w:rPr>
          <w:rFonts w:ascii="Arial" w:hAnsi="Arial" w:cs="Arial"/>
          <w:color w:val="000000" w:themeColor="text1"/>
        </w:rPr>
        <w:lastRenderedPageBreak/>
        <w:t xml:space="preserve">Respecto a </w:t>
      </w:r>
      <w:r w:rsidR="00CE6062" w:rsidRPr="000E0F90">
        <w:rPr>
          <w:rFonts w:ascii="Arial" w:hAnsi="Arial" w:cs="Arial"/>
          <w:color w:val="000000" w:themeColor="text1"/>
        </w:rPr>
        <w:t>las actividades agrícolas y ganaderas,</w:t>
      </w:r>
      <w:r w:rsidRPr="000E0F90">
        <w:rPr>
          <w:rFonts w:ascii="Arial" w:hAnsi="Arial" w:cs="Arial"/>
          <w:color w:val="000000" w:themeColor="text1"/>
        </w:rPr>
        <w:t xml:space="preserve"> éstas se desarrollaron en forma de subsistencia y trashumancia, </w:t>
      </w:r>
      <w:r w:rsidR="00EB25B0" w:rsidRPr="000E0F90">
        <w:rPr>
          <w:rFonts w:ascii="Arial" w:hAnsi="Arial" w:cs="Arial"/>
          <w:color w:val="000000" w:themeColor="text1"/>
        </w:rPr>
        <w:t>desplegándose</w:t>
      </w:r>
      <w:r w:rsidR="00CE6062" w:rsidRPr="000E0F90">
        <w:rPr>
          <w:rFonts w:ascii="Arial" w:hAnsi="Arial" w:cs="Arial"/>
          <w:color w:val="000000" w:themeColor="text1"/>
        </w:rPr>
        <w:t xml:space="preserve"> como una forma permanente de vinculación con el territorio</w:t>
      </w:r>
      <w:r w:rsidR="004E57A5" w:rsidRPr="000E0F90">
        <w:rPr>
          <w:rFonts w:ascii="Arial" w:hAnsi="Arial" w:cs="Arial"/>
          <w:color w:val="000000" w:themeColor="text1"/>
        </w:rPr>
        <w:t xml:space="preserve">, </w:t>
      </w:r>
      <w:r w:rsidRPr="000E0F90">
        <w:rPr>
          <w:rFonts w:ascii="Arial" w:hAnsi="Arial" w:cs="Arial"/>
          <w:color w:val="000000" w:themeColor="text1"/>
        </w:rPr>
        <w:t xml:space="preserve">situación que se expone en los relatos de los entrevistados: </w:t>
      </w:r>
      <w:r w:rsidRPr="000E0F90">
        <w:rPr>
          <w:rFonts w:ascii="Arial" w:hAnsi="Arial" w:cs="Arial"/>
          <w:i/>
          <w:color w:val="000000" w:themeColor="text1"/>
        </w:rPr>
        <w:t>(¿Y ellos a qué se dedicaban(los padres)? ¿O se dedican?)</w:t>
      </w:r>
      <w:r w:rsidRPr="000E0F90">
        <w:rPr>
          <w:rFonts w:ascii="Arial" w:hAnsi="Arial" w:cs="Arial"/>
          <w:color w:val="000000" w:themeColor="text1"/>
        </w:rPr>
        <w:t xml:space="preserve"> </w:t>
      </w:r>
      <w:r w:rsidRPr="000E0F90">
        <w:rPr>
          <w:rFonts w:ascii="Arial" w:hAnsi="Arial" w:cs="Arial"/>
          <w:i/>
          <w:color w:val="000000" w:themeColor="text1"/>
        </w:rPr>
        <w:t>Se dedicaban… Es que más antes… Emm, existía mucho la ganadería. Trabajaban, vivían de cabras…</w:t>
      </w:r>
      <w:r w:rsidRPr="000E0F90">
        <w:rPr>
          <w:rFonts w:ascii="Arial" w:hAnsi="Arial" w:cs="Arial"/>
          <w:color w:val="000000" w:themeColor="text1"/>
        </w:rPr>
        <w:t xml:space="preserve"> </w:t>
      </w:r>
      <w:r w:rsidRPr="000E0F90">
        <w:rPr>
          <w:rFonts w:ascii="Arial" w:hAnsi="Arial" w:cs="Arial"/>
          <w:i/>
          <w:color w:val="000000" w:themeColor="text1"/>
        </w:rPr>
        <w:t xml:space="preserve">Andaban más hacia la cordillera, por una quebrada ahí en El Tránsito. Hay una quebrada que se llama La Totora, por ahí, esas partes vivían ellos. Después, ya cuando empezamos a llegar nosotros, ya se bajaron al río, ya vivían ahí en el río El Tránsito. </w:t>
      </w:r>
      <w:r w:rsidRPr="000E0F90">
        <w:rPr>
          <w:rFonts w:ascii="Arial" w:hAnsi="Arial" w:cs="Arial"/>
          <w:color w:val="000000" w:themeColor="text1"/>
        </w:rPr>
        <w:t>Edith Campillay (Alto del Carmen).</w:t>
      </w:r>
    </w:p>
    <w:p w:rsidR="003F4E6D" w:rsidRPr="000E0F90" w:rsidRDefault="00D75218" w:rsidP="00702D9A">
      <w:pPr>
        <w:spacing w:before="240" w:after="0" w:line="360" w:lineRule="auto"/>
        <w:rPr>
          <w:rFonts w:ascii="Arial" w:hAnsi="Arial" w:cs="Arial"/>
          <w:b/>
          <w:color w:val="000000" w:themeColor="text1"/>
        </w:rPr>
      </w:pPr>
      <w:r w:rsidRPr="000E0F90">
        <w:rPr>
          <w:rFonts w:ascii="Arial" w:hAnsi="Arial" w:cs="Arial"/>
          <w:b/>
          <w:color w:val="000000" w:themeColor="text1"/>
        </w:rPr>
        <w:t>2</w:t>
      </w:r>
      <w:r w:rsidR="00E37FAB" w:rsidRPr="000E0F90">
        <w:rPr>
          <w:rFonts w:ascii="Arial" w:hAnsi="Arial" w:cs="Arial"/>
          <w:b/>
          <w:color w:val="000000" w:themeColor="text1"/>
        </w:rPr>
        <w:t>. Desarrollo local</w:t>
      </w:r>
    </w:p>
    <w:p w:rsidR="000E30E0" w:rsidRPr="000E0F90" w:rsidRDefault="003701EE" w:rsidP="00702D9A">
      <w:pPr>
        <w:spacing w:line="360" w:lineRule="auto"/>
        <w:rPr>
          <w:rFonts w:ascii="Arial" w:hAnsi="Arial" w:cs="Arial"/>
          <w:color w:val="000000" w:themeColor="text1"/>
        </w:rPr>
      </w:pPr>
      <w:r w:rsidRPr="000E0F90">
        <w:rPr>
          <w:rFonts w:ascii="Arial" w:hAnsi="Arial" w:cs="Arial"/>
          <w:color w:val="000000" w:themeColor="text1"/>
        </w:rPr>
        <w:t>De acuerdo a los relatos de los entrevistados</w:t>
      </w:r>
      <w:r w:rsidR="00E37FAB" w:rsidRPr="000E0F90">
        <w:rPr>
          <w:rFonts w:ascii="Arial" w:hAnsi="Arial" w:cs="Arial"/>
          <w:color w:val="000000" w:themeColor="text1"/>
        </w:rPr>
        <w:t xml:space="preserve">, </w:t>
      </w:r>
      <w:r w:rsidR="00176A6E" w:rsidRPr="000E0F90">
        <w:rPr>
          <w:rFonts w:ascii="Arial" w:hAnsi="Arial" w:cs="Arial"/>
          <w:color w:val="000000" w:themeColor="text1"/>
        </w:rPr>
        <w:t xml:space="preserve">durante los últimos treinta años, </w:t>
      </w:r>
      <w:r w:rsidR="004D7E1C" w:rsidRPr="000E0F90">
        <w:rPr>
          <w:rFonts w:ascii="Arial" w:hAnsi="Arial" w:cs="Arial"/>
          <w:color w:val="000000" w:themeColor="text1"/>
        </w:rPr>
        <w:t xml:space="preserve">en </w:t>
      </w:r>
      <w:r w:rsidR="00773A46" w:rsidRPr="000E0F90">
        <w:rPr>
          <w:rFonts w:ascii="Arial" w:hAnsi="Arial" w:cs="Arial"/>
          <w:color w:val="000000" w:themeColor="text1"/>
        </w:rPr>
        <w:t>l</w:t>
      </w:r>
      <w:r w:rsidR="004D7E1C" w:rsidRPr="000E0F90">
        <w:rPr>
          <w:rFonts w:ascii="Arial" w:hAnsi="Arial" w:cs="Arial"/>
          <w:color w:val="000000" w:themeColor="text1"/>
        </w:rPr>
        <w:t>os</w:t>
      </w:r>
      <w:r w:rsidR="00773A46" w:rsidRPr="000E0F90">
        <w:rPr>
          <w:rFonts w:ascii="Arial" w:hAnsi="Arial" w:cs="Arial"/>
          <w:color w:val="000000" w:themeColor="text1"/>
        </w:rPr>
        <w:t xml:space="preserve"> territorio</w:t>
      </w:r>
      <w:r w:rsidR="004D7E1C" w:rsidRPr="000E0F90">
        <w:rPr>
          <w:rFonts w:ascii="Arial" w:hAnsi="Arial" w:cs="Arial"/>
          <w:color w:val="000000" w:themeColor="text1"/>
        </w:rPr>
        <w:t>s</w:t>
      </w:r>
      <w:r w:rsidR="00773A46" w:rsidRPr="000E0F90">
        <w:rPr>
          <w:rFonts w:ascii="Arial" w:hAnsi="Arial" w:cs="Arial"/>
          <w:color w:val="000000" w:themeColor="text1"/>
        </w:rPr>
        <w:t xml:space="preserve"> </w:t>
      </w:r>
      <w:r w:rsidR="00176A6E" w:rsidRPr="000E0F90">
        <w:rPr>
          <w:rFonts w:ascii="Arial" w:hAnsi="Arial" w:cs="Arial"/>
          <w:color w:val="000000" w:themeColor="text1"/>
        </w:rPr>
        <w:t>no se evidenci</w:t>
      </w:r>
      <w:r w:rsidR="00E66B63" w:rsidRPr="000E0F90">
        <w:rPr>
          <w:rFonts w:ascii="Arial" w:hAnsi="Arial" w:cs="Arial"/>
          <w:color w:val="000000" w:themeColor="text1"/>
        </w:rPr>
        <w:t>a</w:t>
      </w:r>
      <w:r w:rsidR="00176A6E" w:rsidRPr="000E0F90">
        <w:rPr>
          <w:rFonts w:ascii="Arial" w:hAnsi="Arial" w:cs="Arial"/>
          <w:color w:val="000000" w:themeColor="text1"/>
        </w:rPr>
        <w:t xml:space="preserve"> una política </w:t>
      </w:r>
      <w:r w:rsidR="007726EB" w:rsidRPr="000E0F90">
        <w:rPr>
          <w:rFonts w:ascii="Arial" w:hAnsi="Arial" w:cs="Arial"/>
          <w:color w:val="000000" w:themeColor="text1"/>
        </w:rPr>
        <w:t>de</w:t>
      </w:r>
      <w:r w:rsidR="00067A25" w:rsidRPr="000E0F90">
        <w:rPr>
          <w:rFonts w:ascii="Arial" w:hAnsi="Arial" w:cs="Arial"/>
          <w:color w:val="000000" w:themeColor="text1"/>
        </w:rPr>
        <w:t xml:space="preserve"> desarrollo local</w:t>
      </w:r>
      <w:r w:rsidR="00176A6E" w:rsidRPr="000E0F90">
        <w:rPr>
          <w:rFonts w:ascii="Arial" w:hAnsi="Arial" w:cs="Arial"/>
          <w:color w:val="000000" w:themeColor="text1"/>
        </w:rPr>
        <w:t xml:space="preserve"> </w:t>
      </w:r>
      <w:r w:rsidR="007726EB" w:rsidRPr="000E0F90">
        <w:rPr>
          <w:rFonts w:ascii="Arial" w:hAnsi="Arial" w:cs="Arial"/>
          <w:color w:val="000000" w:themeColor="text1"/>
        </w:rPr>
        <w:t xml:space="preserve">importante que </w:t>
      </w:r>
      <w:r w:rsidR="00176A6E" w:rsidRPr="000E0F90">
        <w:rPr>
          <w:rFonts w:ascii="Arial" w:hAnsi="Arial" w:cs="Arial"/>
          <w:color w:val="000000" w:themeColor="text1"/>
        </w:rPr>
        <w:t xml:space="preserve">contribuyera a mejorar </w:t>
      </w:r>
      <w:r w:rsidR="00A3142E" w:rsidRPr="000E0F90">
        <w:rPr>
          <w:rFonts w:ascii="Arial" w:hAnsi="Arial" w:cs="Arial"/>
          <w:color w:val="000000" w:themeColor="text1"/>
        </w:rPr>
        <w:t xml:space="preserve">las condiciones socioeconómicas. </w:t>
      </w:r>
      <w:r w:rsidR="007726EB" w:rsidRPr="000E0F90">
        <w:rPr>
          <w:rFonts w:ascii="Arial" w:hAnsi="Arial" w:cs="Arial"/>
          <w:color w:val="000000" w:themeColor="text1"/>
        </w:rPr>
        <w:t>Q</w:t>
      </w:r>
      <w:r w:rsidR="00176A6E" w:rsidRPr="000E0F90">
        <w:rPr>
          <w:rFonts w:ascii="Arial" w:hAnsi="Arial" w:cs="Arial"/>
          <w:color w:val="000000" w:themeColor="text1"/>
        </w:rPr>
        <w:t>uedando el valle del Huasco</w:t>
      </w:r>
      <w:r w:rsidR="00F34C25" w:rsidRPr="000E0F90">
        <w:rPr>
          <w:rFonts w:ascii="Arial" w:hAnsi="Arial" w:cs="Arial"/>
          <w:color w:val="000000" w:themeColor="text1"/>
        </w:rPr>
        <w:t xml:space="preserve"> y el de Copiapó relegado a un nivel secundario</w:t>
      </w:r>
      <w:r w:rsidR="00FC7E07" w:rsidRPr="000E0F90">
        <w:rPr>
          <w:rFonts w:ascii="Arial" w:hAnsi="Arial" w:cs="Arial"/>
          <w:color w:val="000000" w:themeColor="text1"/>
        </w:rPr>
        <w:t xml:space="preserve">. </w:t>
      </w:r>
      <w:r w:rsidRPr="000E0F90">
        <w:rPr>
          <w:rFonts w:ascii="Arial" w:hAnsi="Arial" w:cs="Arial"/>
          <w:color w:val="000000" w:themeColor="text1"/>
        </w:rPr>
        <w:t>Situación que se</w:t>
      </w:r>
      <w:r w:rsidR="00E66B63" w:rsidRPr="000E0F90">
        <w:rPr>
          <w:rFonts w:ascii="Arial" w:hAnsi="Arial" w:cs="Arial"/>
          <w:color w:val="000000" w:themeColor="text1"/>
        </w:rPr>
        <w:t xml:space="preserve"> manifiesta</w:t>
      </w:r>
      <w:r w:rsidRPr="000E0F90">
        <w:rPr>
          <w:rFonts w:ascii="Arial" w:hAnsi="Arial" w:cs="Arial"/>
          <w:color w:val="000000" w:themeColor="text1"/>
        </w:rPr>
        <w:t xml:space="preserve"> tanto en las zonas urbanas como rurales. </w:t>
      </w:r>
      <w:r w:rsidR="000E30E0" w:rsidRPr="000E0F90">
        <w:rPr>
          <w:rFonts w:ascii="Arial" w:hAnsi="Arial" w:cs="Arial"/>
          <w:color w:val="000000" w:themeColor="text1"/>
        </w:rPr>
        <w:t xml:space="preserve">Fernando Flores señala </w:t>
      </w:r>
      <w:r w:rsidR="000E30E0" w:rsidRPr="000E0F90">
        <w:rPr>
          <w:rFonts w:ascii="Arial" w:hAnsi="Arial" w:cs="Arial"/>
          <w:i/>
          <w:color w:val="000000" w:themeColor="text1"/>
        </w:rPr>
        <w:t>“…la provincia del Huasco no experimentaba participar o tener una nueva actividad económica después de 30 años. La última actividad económica grande que hubo acá fue CAP</w:t>
      </w:r>
      <w:r w:rsidR="0071786A" w:rsidRPr="000E0F90">
        <w:rPr>
          <w:rFonts w:ascii="Arial" w:hAnsi="Arial" w:cs="Arial"/>
          <w:color w:val="000000" w:themeColor="text1"/>
        </w:rPr>
        <w:t xml:space="preserve"> </w:t>
      </w:r>
      <w:r w:rsidR="0071786A" w:rsidRPr="000E0F90">
        <w:rPr>
          <w:rFonts w:ascii="Arial" w:hAnsi="Arial" w:cs="Arial"/>
          <w:i/>
          <w:color w:val="000000" w:themeColor="text1"/>
        </w:rPr>
        <w:t>(Compañía de Acero del Pacífico S.A.)</w:t>
      </w:r>
      <w:r w:rsidR="000E30E0" w:rsidRPr="000E0F90">
        <w:rPr>
          <w:rFonts w:ascii="Arial" w:hAnsi="Arial" w:cs="Arial"/>
          <w:i/>
          <w:color w:val="000000" w:themeColor="text1"/>
        </w:rPr>
        <w:t>, cuando se instaló en Huasco…</w:t>
      </w:r>
      <w:r w:rsidR="000E30E0" w:rsidRPr="000E0F90">
        <w:rPr>
          <w:rFonts w:ascii="Arial" w:hAnsi="Arial" w:cs="Arial"/>
          <w:color w:val="000000" w:themeColor="text1"/>
        </w:rPr>
        <w:t xml:space="preserve"> </w:t>
      </w:r>
      <w:r w:rsidR="000E30E0" w:rsidRPr="000E0F90">
        <w:rPr>
          <w:rFonts w:ascii="Arial" w:hAnsi="Arial" w:cs="Arial"/>
          <w:i/>
          <w:color w:val="000000" w:themeColor="text1"/>
        </w:rPr>
        <w:t>Y eso nos fue postergando, nos quedamos con la seguridad de CAP…</w:t>
      </w:r>
      <w:r w:rsidR="000E30E0" w:rsidRPr="000E0F90">
        <w:rPr>
          <w:rFonts w:ascii="Arial" w:hAnsi="Arial" w:cs="Arial"/>
          <w:color w:val="000000" w:themeColor="text1"/>
        </w:rPr>
        <w:t xml:space="preserve">” </w:t>
      </w:r>
    </w:p>
    <w:p w:rsidR="004D7E1C" w:rsidRPr="000E0F90" w:rsidRDefault="00E66B63" w:rsidP="00702D9A">
      <w:pPr>
        <w:spacing w:before="240" w:line="360" w:lineRule="auto"/>
        <w:rPr>
          <w:rFonts w:ascii="Arial" w:hAnsi="Arial" w:cs="Arial"/>
          <w:color w:val="000000" w:themeColor="text1"/>
        </w:rPr>
      </w:pPr>
      <w:r w:rsidRPr="000E0F90">
        <w:rPr>
          <w:rFonts w:ascii="Arial" w:hAnsi="Arial" w:cs="Arial"/>
          <w:color w:val="000000" w:themeColor="text1"/>
        </w:rPr>
        <w:t>Por otro lado no se identifica una fuente laboral</w:t>
      </w:r>
      <w:r w:rsidR="00F34C25" w:rsidRPr="000E0F90">
        <w:rPr>
          <w:rFonts w:ascii="Arial" w:hAnsi="Arial" w:cs="Arial"/>
          <w:color w:val="000000" w:themeColor="text1"/>
        </w:rPr>
        <w:t xml:space="preserve"> estable</w:t>
      </w:r>
      <w:r w:rsidRPr="000E0F90">
        <w:rPr>
          <w:rFonts w:ascii="Arial" w:hAnsi="Arial" w:cs="Arial"/>
          <w:color w:val="000000" w:themeColor="text1"/>
        </w:rPr>
        <w:t xml:space="preserve">, que permita un desarrollo local más </w:t>
      </w:r>
      <w:r w:rsidR="00F34C25" w:rsidRPr="000E0F90">
        <w:rPr>
          <w:rFonts w:ascii="Arial" w:hAnsi="Arial" w:cs="Arial"/>
          <w:color w:val="000000" w:themeColor="text1"/>
        </w:rPr>
        <w:t xml:space="preserve">consistente. </w:t>
      </w:r>
      <w:r w:rsidRPr="000E0F90">
        <w:rPr>
          <w:rFonts w:ascii="Arial" w:hAnsi="Arial" w:cs="Arial"/>
          <w:color w:val="000000" w:themeColor="text1"/>
        </w:rPr>
        <w:t>Solo se evidencia la agricultura y ganadería como fuentes laborales</w:t>
      </w:r>
      <w:r w:rsidR="007726EB" w:rsidRPr="000E0F90">
        <w:rPr>
          <w:rFonts w:ascii="Arial" w:hAnsi="Arial" w:cs="Arial"/>
          <w:color w:val="000000" w:themeColor="text1"/>
        </w:rPr>
        <w:t>, previo a</w:t>
      </w:r>
      <w:r w:rsidRPr="000E0F90">
        <w:rPr>
          <w:rFonts w:ascii="Arial" w:hAnsi="Arial" w:cs="Arial"/>
          <w:color w:val="000000" w:themeColor="text1"/>
        </w:rPr>
        <w:t xml:space="preserve"> la llegada de las mineras</w:t>
      </w:r>
      <w:r w:rsidR="007726EB" w:rsidRPr="000E0F90">
        <w:rPr>
          <w:rFonts w:ascii="Arial" w:hAnsi="Arial" w:cs="Arial"/>
          <w:color w:val="000000" w:themeColor="text1"/>
        </w:rPr>
        <w:t>, las cuales se desarrollan a un nivel de subsistencia</w:t>
      </w:r>
      <w:r w:rsidR="004D7E1C" w:rsidRPr="000E0F90">
        <w:rPr>
          <w:rFonts w:ascii="Arial" w:hAnsi="Arial" w:cs="Arial"/>
          <w:color w:val="000000" w:themeColor="text1"/>
        </w:rPr>
        <w:t xml:space="preserve"> (Fernando Flores, Vallenar)</w:t>
      </w:r>
      <w:r w:rsidRPr="000E0F90">
        <w:rPr>
          <w:rFonts w:ascii="Arial" w:hAnsi="Arial" w:cs="Arial"/>
          <w:color w:val="000000" w:themeColor="text1"/>
        </w:rPr>
        <w:t xml:space="preserve">. </w:t>
      </w:r>
      <w:r w:rsidR="00EB25B0" w:rsidRPr="000E0F90">
        <w:rPr>
          <w:rFonts w:ascii="Arial" w:hAnsi="Arial" w:cs="Arial"/>
          <w:color w:val="000000" w:themeColor="text1"/>
        </w:rPr>
        <w:t>Al respecto,</w:t>
      </w:r>
      <w:r w:rsidR="000E30E0" w:rsidRPr="000E0F90">
        <w:rPr>
          <w:rFonts w:ascii="Arial" w:hAnsi="Arial" w:cs="Arial"/>
          <w:color w:val="000000" w:themeColor="text1"/>
        </w:rPr>
        <w:t xml:space="preserve"> Fernando Flores manifiesta </w:t>
      </w:r>
      <w:r w:rsidR="000E30E0" w:rsidRPr="000E0F90">
        <w:rPr>
          <w:rFonts w:ascii="Arial" w:hAnsi="Arial" w:cs="Arial"/>
          <w:i/>
          <w:color w:val="000000" w:themeColor="text1"/>
        </w:rPr>
        <w:t xml:space="preserve">“La agricultura tiene una participación menor, porque claramente es de temporada. Entonces no tiene una mantención estable, no genera digamos la actividad estable para una familia”. </w:t>
      </w:r>
      <w:r w:rsidR="004D7E1C" w:rsidRPr="000E0F90">
        <w:rPr>
          <w:rFonts w:ascii="Arial" w:hAnsi="Arial" w:cs="Arial"/>
          <w:color w:val="000000" w:themeColor="text1"/>
        </w:rPr>
        <w:t xml:space="preserve">Esta falta de oportunidades de desarrollo se evidencia </w:t>
      </w:r>
      <w:r w:rsidR="00CE3857" w:rsidRPr="000E0F90">
        <w:rPr>
          <w:rFonts w:ascii="Arial" w:hAnsi="Arial" w:cs="Arial"/>
          <w:color w:val="000000" w:themeColor="text1"/>
        </w:rPr>
        <w:t xml:space="preserve">en Alto del Carmen </w:t>
      </w:r>
      <w:r w:rsidR="004D7E1C" w:rsidRPr="000E0F90">
        <w:rPr>
          <w:rFonts w:ascii="Arial" w:hAnsi="Arial" w:cs="Arial"/>
          <w:color w:val="000000" w:themeColor="text1"/>
        </w:rPr>
        <w:t>señalando que en la comuna de Alto del Carmen existe una migración elevada de jóvenes en busca de oportunidades de trabajo hacia otros sectores</w:t>
      </w:r>
      <w:r w:rsidR="00CE3857" w:rsidRPr="000E0F90">
        <w:rPr>
          <w:rFonts w:ascii="Arial" w:hAnsi="Arial" w:cs="Arial"/>
          <w:color w:val="000000" w:themeColor="text1"/>
        </w:rPr>
        <w:t xml:space="preserve"> </w:t>
      </w:r>
      <w:sdt>
        <w:sdtPr>
          <w:rPr>
            <w:rFonts w:ascii="Arial" w:hAnsi="Arial" w:cs="Arial"/>
            <w:color w:val="000000" w:themeColor="text1"/>
          </w:rPr>
          <w:id w:val="-1558618374"/>
          <w:citation/>
        </w:sdtPr>
        <w:sdtEndPr/>
        <w:sdtContent>
          <w:r w:rsidR="00CE3857" w:rsidRPr="000E0F90">
            <w:rPr>
              <w:rFonts w:ascii="Arial" w:hAnsi="Arial" w:cs="Arial"/>
              <w:color w:val="000000" w:themeColor="text1"/>
            </w:rPr>
            <w:fldChar w:fldCharType="begin"/>
          </w:r>
          <w:r w:rsidR="00CE3857" w:rsidRPr="000E0F90">
            <w:rPr>
              <w:rFonts w:ascii="Arial" w:hAnsi="Arial" w:cs="Arial"/>
              <w:color w:val="000000" w:themeColor="text1"/>
            </w:rPr>
            <w:instrText xml:space="preserve">CITATION Gas16 \l 13322 </w:instrText>
          </w:r>
          <w:r w:rsidR="00CE3857" w:rsidRPr="000E0F90">
            <w:rPr>
              <w:rFonts w:ascii="Arial" w:hAnsi="Arial" w:cs="Arial"/>
              <w:color w:val="000000" w:themeColor="text1"/>
            </w:rPr>
            <w:fldChar w:fldCharType="separate"/>
          </w:r>
          <w:r w:rsidR="008D0261" w:rsidRPr="000E0F90">
            <w:rPr>
              <w:rFonts w:ascii="Arial" w:hAnsi="Arial" w:cs="Arial"/>
              <w:noProof/>
              <w:color w:val="000000" w:themeColor="text1"/>
            </w:rPr>
            <w:t>(Gastó, Gálvez, Subercauseaux, &amp; Fuentes, 2015)</w:t>
          </w:r>
          <w:r w:rsidR="00CE3857" w:rsidRPr="000E0F90">
            <w:rPr>
              <w:rFonts w:ascii="Arial" w:hAnsi="Arial" w:cs="Arial"/>
              <w:color w:val="000000" w:themeColor="text1"/>
            </w:rPr>
            <w:fldChar w:fldCharType="end"/>
          </w:r>
        </w:sdtContent>
      </w:sdt>
      <w:r w:rsidR="004D7E1C" w:rsidRPr="000E0F90">
        <w:rPr>
          <w:rFonts w:ascii="Arial" w:hAnsi="Arial" w:cs="Arial"/>
          <w:color w:val="000000" w:themeColor="text1"/>
        </w:rPr>
        <w:t xml:space="preserve">.  </w:t>
      </w:r>
    </w:p>
    <w:p w:rsidR="005F4399" w:rsidRDefault="004D7E1C" w:rsidP="00702D9A">
      <w:pPr>
        <w:spacing w:before="240" w:after="0" w:line="360" w:lineRule="auto"/>
        <w:rPr>
          <w:rFonts w:ascii="Arial" w:hAnsi="Arial" w:cs="Arial"/>
          <w:color w:val="000000" w:themeColor="text1"/>
        </w:rPr>
      </w:pPr>
      <w:r w:rsidRPr="000E0F90">
        <w:rPr>
          <w:rFonts w:ascii="Arial" w:hAnsi="Arial" w:cs="Arial"/>
          <w:color w:val="000000" w:themeColor="text1"/>
        </w:rPr>
        <w:t xml:space="preserve"> </w:t>
      </w:r>
    </w:p>
    <w:p w:rsidR="005F4399" w:rsidRDefault="005F4399" w:rsidP="00702D9A">
      <w:pPr>
        <w:spacing w:before="240" w:after="0" w:line="360" w:lineRule="auto"/>
        <w:rPr>
          <w:rFonts w:ascii="Arial" w:hAnsi="Arial" w:cs="Arial"/>
          <w:color w:val="000000" w:themeColor="text1"/>
        </w:rPr>
      </w:pPr>
    </w:p>
    <w:p w:rsidR="00D75218" w:rsidRPr="000E0F90" w:rsidRDefault="00D75218" w:rsidP="00702D9A">
      <w:pPr>
        <w:spacing w:before="240" w:after="0" w:line="360" w:lineRule="auto"/>
        <w:rPr>
          <w:rFonts w:ascii="Arial" w:hAnsi="Arial" w:cs="Arial"/>
          <w:b/>
          <w:color w:val="000000" w:themeColor="text1"/>
        </w:rPr>
      </w:pPr>
      <w:r w:rsidRPr="000E0F90">
        <w:rPr>
          <w:rFonts w:ascii="Arial" w:hAnsi="Arial" w:cs="Arial"/>
          <w:b/>
          <w:color w:val="000000" w:themeColor="text1"/>
        </w:rPr>
        <w:lastRenderedPageBreak/>
        <w:t xml:space="preserve">3. Servicios Públicos e Infraestructura </w:t>
      </w:r>
    </w:p>
    <w:p w:rsidR="007957CF" w:rsidRPr="000E0F90" w:rsidRDefault="00D75218" w:rsidP="00702D9A">
      <w:pPr>
        <w:spacing w:after="0" w:line="360" w:lineRule="auto"/>
        <w:rPr>
          <w:rFonts w:ascii="Arial" w:hAnsi="Arial" w:cs="Arial"/>
          <w:color w:val="000000" w:themeColor="text1"/>
        </w:rPr>
      </w:pPr>
      <w:r w:rsidRPr="000E0F90">
        <w:rPr>
          <w:rFonts w:ascii="Arial" w:hAnsi="Arial" w:cs="Arial"/>
          <w:color w:val="000000" w:themeColor="text1"/>
        </w:rPr>
        <w:t xml:space="preserve">Uno de los aspectos que se describe en forma </w:t>
      </w:r>
      <w:r w:rsidR="00CE3857" w:rsidRPr="000E0F90">
        <w:rPr>
          <w:rFonts w:ascii="Arial" w:hAnsi="Arial" w:cs="Arial"/>
          <w:color w:val="000000" w:themeColor="text1"/>
        </w:rPr>
        <w:t>recurrente es la reducida dotación de</w:t>
      </w:r>
      <w:r w:rsidRPr="000E0F90">
        <w:rPr>
          <w:rFonts w:ascii="Arial" w:hAnsi="Arial" w:cs="Arial"/>
          <w:color w:val="000000" w:themeColor="text1"/>
        </w:rPr>
        <w:t xml:space="preserve"> servicios públicos en las zonas rurales y también urbanas, llama la atención la precaria atención de los centros de salud, así como la educación incompleta que reciben los niños de los pueblos r</w:t>
      </w:r>
      <w:r w:rsidR="000E30E0" w:rsidRPr="000E0F90">
        <w:rPr>
          <w:rFonts w:ascii="Arial" w:hAnsi="Arial" w:cs="Arial"/>
          <w:color w:val="000000" w:themeColor="text1"/>
        </w:rPr>
        <w:t>urales</w:t>
      </w:r>
      <w:r w:rsidRPr="000E0F90">
        <w:rPr>
          <w:rFonts w:ascii="Arial" w:hAnsi="Arial" w:cs="Arial"/>
          <w:color w:val="000000" w:themeColor="text1"/>
        </w:rPr>
        <w:t xml:space="preserve">. </w:t>
      </w:r>
    </w:p>
    <w:p w:rsidR="00D75218" w:rsidRPr="000E0F90" w:rsidRDefault="00D75218" w:rsidP="00702D9A">
      <w:pPr>
        <w:spacing w:before="240" w:line="360" w:lineRule="auto"/>
        <w:rPr>
          <w:rFonts w:ascii="Arial" w:hAnsi="Arial" w:cs="Arial"/>
          <w:color w:val="000000" w:themeColor="text1"/>
        </w:rPr>
      </w:pPr>
      <w:r w:rsidRPr="000E0F90">
        <w:rPr>
          <w:rFonts w:ascii="Arial" w:hAnsi="Arial" w:cs="Arial"/>
          <w:b/>
          <w:color w:val="000000" w:themeColor="text1"/>
        </w:rPr>
        <w:t xml:space="preserve">Educación: </w:t>
      </w:r>
      <w:r w:rsidR="00014572" w:rsidRPr="000E0F90">
        <w:rPr>
          <w:rFonts w:ascii="Arial" w:hAnsi="Arial" w:cs="Arial"/>
          <w:color w:val="000000" w:themeColor="text1"/>
        </w:rPr>
        <w:t>En los territorios l</w:t>
      </w:r>
      <w:r w:rsidRPr="000E0F90">
        <w:rPr>
          <w:rFonts w:ascii="Arial" w:hAnsi="Arial" w:cs="Arial"/>
          <w:color w:val="000000" w:themeColor="text1"/>
        </w:rPr>
        <w:t>a educación es considerada de calidad regular e incompleta, ya que se deben desplazar para continuar y completar la educación media.</w:t>
      </w:r>
      <w:r w:rsidR="00EB25B0" w:rsidRPr="000E0F90">
        <w:rPr>
          <w:rFonts w:ascii="Arial" w:hAnsi="Arial" w:cs="Arial"/>
          <w:color w:val="000000" w:themeColor="text1"/>
        </w:rPr>
        <w:t xml:space="preserve"> </w:t>
      </w:r>
      <w:sdt>
        <w:sdtPr>
          <w:rPr>
            <w:rFonts w:ascii="Arial" w:hAnsi="Arial" w:cs="Arial"/>
            <w:color w:val="000000" w:themeColor="text1"/>
          </w:rPr>
          <w:id w:val="-442918798"/>
          <w:citation/>
        </w:sdtPr>
        <w:sdtEndPr/>
        <w:sdtContent>
          <w:r w:rsidRPr="000E0F90">
            <w:rPr>
              <w:rFonts w:ascii="Arial" w:hAnsi="Arial" w:cs="Arial"/>
              <w:color w:val="000000" w:themeColor="text1"/>
            </w:rPr>
            <w:fldChar w:fldCharType="begin"/>
          </w:r>
          <w:r w:rsidR="00787BA1" w:rsidRPr="000E0F90">
            <w:rPr>
              <w:rFonts w:ascii="Arial" w:hAnsi="Arial" w:cs="Arial"/>
              <w:color w:val="000000" w:themeColor="text1"/>
            </w:rPr>
            <w:instrText xml:space="preserve">CITATION Gas16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(Gastó, Gálvez, Subercauseaux, &amp; Fuentes, 2015)</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w:t>
      </w:r>
      <w:proofErr w:type="gramStart"/>
      <w:r w:rsidRPr="000E0F90">
        <w:rPr>
          <w:rFonts w:ascii="Arial" w:hAnsi="Arial" w:cs="Arial"/>
          <w:color w:val="000000" w:themeColor="text1"/>
        </w:rPr>
        <w:t>señalan</w:t>
      </w:r>
      <w:proofErr w:type="gramEnd"/>
      <w:r w:rsidRPr="000E0F90">
        <w:rPr>
          <w:rFonts w:ascii="Arial" w:hAnsi="Arial" w:cs="Arial"/>
          <w:color w:val="000000" w:themeColor="text1"/>
        </w:rPr>
        <w:t xml:space="preserve"> que la deficiencia en la cobertura educacional conlleva que se dificulte continuar con la educación, propiciando el abandono de la enseñanza.</w:t>
      </w:r>
      <w:r w:rsidR="007A2B9B" w:rsidRPr="000E0F90">
        <w:rPr>
          <w:rFonts w:ascii="Arial" w:hAnsi="Arial" w:cs="Arial"/>
          <w:color w:val="000000" w:themeColor="text1"/>
        </w:rPr>
        <w:t xml:space="preserve"> </w:t>
      </w:r>
      <w:r w:rsidR="00F44F3C" w:rsidRPr="000E0F90">
        <w:rPr>
          <w:rFonts w:ascii="Arial" w:hAnsi="Arial" w:cs="Arial"/>
          <w:color w:val="000000" w:themeColor="text1"/>
        </w:rPr>
        <w:t xml:space="preserve">Incluso se señala la ausencia de un internado en la ciudades más cercanas para los alumnos de las zonas rurales (ARCADIS, 2004). </w:t>
      </w:r>
      <w:r w:rsidR="000E30E0" w:rsidRPr="000E0F90">
        <w:rPr>
          <w:rFonts w:ascii="Arial" w:hAnsi="Arial" w:cs="Arial"/>
          <w:color w:val="000000" w:themeColor="text1"/>
        </w:rPr>
        <w:t xml:space="preserve">Al respecto, el relato de los entrevistados demuestra </w:t>
      </w:r>
      <w:r w:rsidR="00A17ADC" w:rsidRPr="000E0F90">
        <w:rPr>
          <w:rFonts w:ascii="Arial" w:hAnsi="Arial" w:cs="Arial"/>
          <w:color w:val="000000" w:themeColor="text1"/>
        </w:rPr>
        <w:t>cómo</w:t>
      </w:r>
      <w:r w:rsidR="00CE3857" w:rsidRPr="000E0F90">
        <w:rPr>
          <w:rFonts w:ascii="Arial" w:hAnsi="Arial" w:cs="Arial"/>
          <w:color w:val="000000" w:themeColor="text1"/>
        </w:rPr>
        <w:t xml:space="preserve"> esta </w:t>
      </w:r>
      <w:r w:rsidR="000E30E0" w:rsidRPr="000E0F90">
        <w:rPr>
          <w:rFonts w:ascii="Arial" w:hAnsi="Arial" w:cs="Arial"/>
          <w:color w:val="000000" w:themeColor="text1"/>
        </w:rPr>
        <w:t>situación</w:t>
      </w:r>
      <w:r w:rsidR="00CE3857" w:rsidRPr="000E0F90">
        <w:rPr>
          <w:rFonts w:ascii="Arial" w:hAnsi="Arial" w:cs="Arial"/>
          <w:color w:val="000000" w:themeColor="text1"/>
        </w:rPr>
        <w:t xml:space="preserve"> se ha presentado en forma histórica</w:t>
      </w:r>
      <w:r w:rsidR="000E30E0" w:rsidRPr="000E0F90">
        <w:rPr>
          <w:rFonts w:ascii="Arial" w:hAnsi="Arial" w:cs="Arial"/>
          <w:color w:val="000000" w:themeColor="text1"/>
        </w:rPr>
        <w:t>:</w:t>
      </w:r>
      <w:r w:rsidR="00CE3857" w:rsidRPr="000E0F90">
        <w:rPr>
          <w:rFonts w:ascii="Arial" w:hAnsi="Arial" w:cs="Arial"/>
          <w:color w:val="000000" w:themeColor="text1"/>
        </w:rPr>
        <w:t xml:space="preserve"> </w:t>
      </w:r>
    </w:p>
    <w:p w:rsidR="000E30E0" w:rsidRPr="000E0F90" w:rsidRDefault="000E30E0" w:rsidP="00702D9A">
      <w:pPr>
        <w:spacing w:before="120" w:after="0" w:line="360" w:lineRule="auto"/>
        <w:rPr>
          <w:rFonts w:ascii="Arial" w:hAnsi="Arial" w:cs="Arial"/>
          <w:color w:val="000000" w:themeColor="text1"/>
        </w:rPr>
      </w:pPr>
      <w:r w:rsidRPr="000E0F90">
        <w:rPr>
          <w:rFonts w:ascii="Arial" w:hAnsi="Arial" w:cs="Arial"/>
          <w:color w:val="000000" w:themeColor="text1"/>
        </w:rPr>
        <w:t xml:space="preserve">- </w:t>
      </w:r>
      <w:r w:rsidRPr="000E0F90">
        <w:rPr>
          <w:rFonts w:ascii="Arial" w:hAnsi="Arial" w:cs="Arial"/>
          <w:i/>
          <w:color w:val="000000" w:themeColor="text1"/>
        </w:rPr>
        <w:t>Si, llegué hasta 8vo básico no más. Claro, porque ya los colegios ya no habían más enseñanza en esos tiempos. En mis años no había tanta como movilización, para ir a colegios, cosas más lejos. Entonces no pudimos seguir estudiando</w:t>
      </w:r>
      <w:r w:rsidRPr="000E0F90">
        <w:rPr>
          <w:rFonts w:ascii="Arial" w:hAnsi="Arial" w:cs="Arial"/>
          <w:color w:val="000000" w:themeColor="text1"/>
        </w:rPr>
        <w:t xml:space="preserve"> (Sara Ceriche, Alto del Carmen)</w:t>
      </w:r>
    </w:p>
    <w:p w:rsidR="00766E95" w:rsidRPr="000E0F90" w:rsidRDefault="00766E95" w:rsidP="00702D9A">
      <w:pPr>
        <w:spacing w:before="240" w:line="360" w:lineRule="auto"/>
        <w:rPr>
          <w:rFonts w:ascii="Arial" w:hAnsi="Arial" w:cs="Arial"/>
          <w:color w:val="000000" w:themeColor="text1"/>
        </w:rPr>
      </w:pPr>
      <w:r w:rsidRPr="000E0F90">
        <w:rPr>
          <w:rFonts w:ascii="Arial" w:hAnsi="Arial" w:cs="Arial"/>
          <w:b/>
          <w:color w:val="000000" w:themeColor="text1"/>
        </w:rPr>
        <w:t>Salud:</w:t>
      </w:r>
      <w:r w:rsidRPr="000E0F90">
        <w:rPr>
          <w:rFonts w:ascii="Arial" w:hAnsi="Arial" w:cs="Arial"/>
          <w:color w:val="000000" w:themeColor="text1"/>
        </w:rPr>
        <w:t xml:space="preserve"> En la comuna de Alto del Carmen, particularmente en los sectores más apartados de la comuna, se han identificado déficits en cobertura de servicios de salud, en cuanto a paramédicos,  ambulancias, profesionales especializados, medicamentos y falta de campañas de prevención </w:t>
      </w:r>
      <w:sdt>
        <w:sdtPr>
          <w:rPr>
            <w:rFonts w:ascii="Arial" w:hAnsi="Arial" w:cs="Arial"/>
            <w:color w:val="000000" w:themeColor="text1"/>
          </w:rPr>
          <w:id w:val="39172680"/>
          <w:citation/>
        </w:sdtPr>
        <w:sdtEndPr/>
        <w:sdtContent>
          <w:r w:rsidRPr="000E0F90">
            <w:rPr>
              <w:rFonts w:ascii="Arial" w:hAnsi="Arial" w:cs="Arial"/>
              <w:color w:val="000000" w:themeColor="text1"/>
            </w:rPr>
            <w:fldChar w:fldCharType="begin"/>
          </w:r>
          <w:r w:rsidR="00787BA1" w:rsidRPr="000E0F90">
            <w:rPr>
              <w:rFonts w:ascii="Arial" w:hAnsi="Arial" w:cs="Arial"/>
              <w:color w:val="000000" w:themeColor="text1"/>
            </w:rPr>
            <w:instrText xml:space="preserve">CITATION Gas16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(Gastó, Gálvez, Subercauseaux, &amp; Fuentes, 2015)</w:t>
          </w:r>
          <w:r w:rsidRPr="000E0F90">
            <w:rPr>
              <w:rFonts w:ascii="Arial" w:hAnsi="Arial" w:cs="Arial"/>
              <w:color w:val="000000" w:themeColor="text1"/>
            </w:rPr>
            <w:fldChar w:fldCharType="end"/>
          </w:r>
        </w:sdtContent>
      </w:sdt>
      <w:r w:rsidR="005D3469" w:rsidRPr="000E0F90">
        <w:rPr>
          <w:rFonts w:ascii="Arial" w:hAnsi="Arial" w:cs="Arial"/>
          <w:color w:val="000000" w:themeColor="text1"/>
        </w:rPr>
        <w:t>.</w:t>
      </w:r>
    </w:p>
    <w:p w:rsidR="00AB13C8" w:rsidRPr="000E0F90" w:rsidRDefault="005B48D5" w:rsidP="00702D9A">
      <w:pPr>
        <w:spacing w:before="360" w:after="0" w:line="360" w:lineRule="auto"/>
        <w:rPr>
          <w:rFonts w:ascii="Arial" w:hAnsi="Arial" w:cs="Arial"/>
          <w:b/>
          <w:color w:val="000000" w:themeColor="text1"/>
        </w:rPr>
      </w:pPr>
      <w:r w:rsidRPr="000E0F90">
        <w:rPr>
          <w:rFonts w:ascii="Arial" w:hAnsi="Arial" w:cs="Arial"/>
          <w:b/>
          <w:color w:val="000000" w:themeColor="text1"/>
        </w:rPr>
        <w:t>4</w:t>
      </w:r>
      <w:r w:rsidR="00AB13C8" w:rsidRPr="000E0F90">
        <w:rPr>
          <w:rFonts w:ascii="Arial" w:hAnsi="Arial" w:cs="Arial"/>
          <w:b/>
          <w:color w:val="000000" w:themeColor="text1"/>
        </w:rPr>
        <w:t>.</w:t>
      </w:r>
      <w:r w:rsidR="004D7E1C" w:rsidRPr="000E0F90">
        <w:rPr>
          <w:rFonts w:ascii="Arial" w:hAnsi="Arial" w:cs="Arial"/>
          <w:b/>
          <w:color w:val="000000" w:themeColor="text1"/>
        </w:rPr>
        <w:t xml:space="preserve"> Patrimonio</w:t>
      </w:r>
      <w:r w:rsidR="00C523EA" w:rsidRPr="000E0F90">
        <w:rPr>
          <w:rFonts w:ascii="Arial" w:hAnsi="Arial" w:cs="Arial"/>
          <w:b/>
          <w:color w:val="000000" w:themeColor="text1"/>
        </w:rPr>
        <w:t xml:space="preserve"> e </w:t>
      </w:r>
      <w:r w:rsidR="004D7E1C" w:rsidRPr="000E0F90">
        <w:rPr>
          <w:rFonts w:ascii="Arial" w:hAnsi="Arial" w:cs="Arial"/>
          <w:b/>
          <w:color w:val="000000" w:themeColor="text1"/>
        </w:rPr>
        <w:t>Identidad Cultural</w:t>
      </w:r>
    </w:p>
    <w:p w:rsidR="004D7E1C" w:rsidRPr="000E0F90" w:rsidRDefault="00AB13C8" w:rsidP="00702D9A">
      <w:pPr>
        <w:spacing w:line="360" w:lineRule="auto"/>
        <w:rPr>
          <w:rFonts w:ascii="Arial" w:hAnsi="Arial" w:cs="Arial"/>
          <w:color w:val="000000" w:themeColor="text1"/>
        </w:rPr>
      </w:pPr>
      <w:r w:rsidRPr="000E0F90">
        <w:rPr>
          <w:rFonts w:ascii="Arial" w:hAnsi="Arial" w:cs="Arial"/>
          <w:color w:val="000000" w:themeColor="text1"/>
        </w:rPr>
        <w:t xml:space="preserve">Respecto al patrimonio cultural de los entrevistados de Alto del Carmen, se observa una fuerte vinculación de los actores sociales con sus orígenes étnicos, destacándose el interés por recuperar las tradiciones y costumbres indígenas, el dialecto (Kacán), así como reconocer su calidad de indígena. A partir de lo anterior, es considerado relevante, continuar con el legado indígena, mediante la creación de comunidades. </w:t>
      </w:r>
    </w:p>
    <w:p w:rsidR="00DC70D0" w:rsidRPr="000E0F90" w:rsidRDefault="000628EE" w:rsidP="00702D9A">
      <w:pPr>
        <w:spacing w:before="240" w:line="360" w:lineRule="auto"/>
        <w:rPr>
          <w:rFonts w:ascii="Arial" w:hAnsi="Arial" w:cs="Arial"/>
          <w:color w:val="000000" w:themeColor="text1"/>
        </w:rPr>
      </w:pPr>
      <w:r w:rsidRPr="000E0F90">
        <w:rPr>
          <w:rFonts w:ascii="Arial" w:hAnsi="Arial" w:cs="Arial"/>
          <w:color w:val="000000" w:themeColor="text1"/>
        </w:rPr>
        <w:t xml:space="preserve">Cabe señalar que de los relatos analizados se desprende que la agrupación en comunidades indígenas es una vía hacer frente a los cambios que están ocurriendo en el territorio, las cuales provocan dilución de tradiciones, pérdida de propiedades y </w:t>
      </w:r>
      <w:r w:rsidRPr="000E0F90">
        <w:rPr>
          <w:rFonts w:ascii="Arial" w:hAnsi="Arial" w:cs="Arial"/>
          <w:color w:val="000000" w:themeColor="text1"/>
        </w:rPr>
        <w:lastRenderedPageBreak/>
        <w:t xml:space="preserve">derechos de agua, así como también un medio de conservar y proteger la naturaleza. En particular, se considera como mecanismo de protección de las propiedades y derechos de agua, </w:t>
      </w:r>
      <w:r w:rsidR="00AB13C8" w:rsidRPr="000E0F90">
        <w:rPr>
          <w:rFonts w:ascii="Arial" w:hAnsi="Arial" w:cs="Arial"/>
          <w:color w:val="000000" w:themeColor="text1"/>
        </w:rPr>
        <w:t>lo cual se comienza a evidenciar con la llegada de las mineras y privados (i.e. huascoaltinos), al igual que por la contaminación del agua</w:t>
      </w:r>
      <w:r w:rsidR="00DC70D0" w:rsidRPr="000E0F90">
        <w:rPr>
          <w:rFonts w:ascii="Arial" w:hAnsi="Arial" w:cs="Arial"/>
          <w:color w:val="000000" w:themeColor="text1"/>
        </w:rPr>
        <w:t xml:space="preserve">. Como manifiesta Edith Campillay (Alto del Carmen): </w:t>
      </w:r>
    </w:p>
    <w:p w:rsidR="00DC70D0" w:rsidRPr="000E0F90" w:rsidRDefault="00DC70D0" w:rsidP="00702D9A">
      <w:pPr>
        <w:spacing w:before="240" w:line="360" w:lineRule="auto"/>
        <w:rPr>
          <w:rFonts w:ascii="Arial" w:hAnsi="Arial" w:cs="Arial"/>
          <w:i/>
          <w:color w:val="000000" w:themeColor="text1"/>
        </w:rPr>
      </w:pPr>
      <w:r w:rsidRPr="000E0F90">
        <w:rPr>
          <w:rFonts w:ascii="Arial" w:hAnsi="Arial" w:cs="Arial"/>
          <w:color w:val="000000" w:themeColor="text1"/>
        </w:rPr>
        <w:t xml:space="preserve">- </w:t>
      </w:r>
      <w:r w:rsidRPr="000E0F90">
        <w:rPr>
          <w:rFonts w:ascii="Arial" w:hAnsi="Arial" w:cs="Arial"/>
          <w:i/>
          <w:color w:val="000000" w:themeColor="text1"/>
        </w:rPr>
        <w:t>(¿por qué empezaron a organizarse cuando llegaron las mineras?) “Claro a raíz de pelear las aguas…</w:t>
      </w:r>
      <w:r w:rsidRPr="000E0F90">
        <w:rPr>
          <w:rFonts w:ascii="Arial" w:hAnsi="Arial" w:cs="Arial"/>
          <w:color w:val="000000" w:themeColor="text1"/>
        </w:rPr>
        <w:t xml:space="preserve"> </w:t>
      </w:r>
      <w:r w:rsidRPr="000E0F90">
        <w:rPr>
          <w:rFonts w:ascii="Arial" w:hAnsi="Arial" w:cs="Arial"/>
          <w:i/>
          <w:color w:val="000000" w:themeColor="text1"/>
        </w:rPr>
        <w:t>Pero es que aquí iban a empezar a contaminar las aguas poh. Ese es el problema, por eso empezaron</w:t>
      </w:r>
      <w:r w:rsidRPr="000E0F90">
        <w:rPr>
          <w:rFonts w:ascii="Arial" w:hAnsi="Arial" w:cs="Arial"/>
          <w:color w:val="000000" w:themeColor="text1"/>
        </w:rPr>
        <w:t xml:space="preserve">… </w:t>
      </w:r>
      <w:r w:rsidRPr="000E0F90">
        <w:rPr>
          <w:rFonts w:ascii="Arial" w:hAnsi="Arial" w:cs="Arial"/>
          <w:i/>
          <w:color w:val="000000" w:themeColor="text1"/>
        </w:rPr>
        <w:t>De ahí se empezaron a organizar y por los terrenos igual poh. Porque estaban metiéndose otras personas a quitar terreno y todo”.</w:t>
      </w:r>
      <w:r w:rsidRPr="000E0F90">
        <w:rPr>
          <w:rFonts w:ascii="Arial" w:hAnsi="Arial" w:cs="Arial"/>
          <w:color w:val="000000" w:themeColor="text1"/>
        </w:rPr>
        <w:t xml:space="preserve"> </w:t>
      </w:r>
    </w:p>
    <w:p w:rsidR="00AB13C8" w:rsidRPr="000E0F90" w:rsidRDefault="000628EE" w:rsidP="00702D9A">
      <w:pPr>
        <w:spacing w:before="240" w:line="360" w:lineRule="auto"/>
        <w:rPr>
          <w:rFonts w:ascii="Arial" w:hAnsi="Arial" w:cs="Arial"/>
          <w:color w:val="000000" w:themeColor="text1"/>
        </w:rPr>
      </w:pPr>
      <w:r w:rsidRPr="000E0F90">
        <w:rPr>
          <w:rFonts w:ascii="Arial" w:hAnsi="Arial" w:cs="Arial"/>
          <w:color w:val="000000" w:themeColor="text1"/>
        </w:rPr>
        <w:t>Este mecanismo permitiría alcanzar</w:t>
      </w:r>
      <w:r w:rsidR="00AB13C8" w:rsidRPr="000E0F90">
        <w:rPr>
          <w:rFonts w:ascii="Arial" w:hAnsi="Arial" w:cs="Arial"/>
          <w:color w:val="000000" w:themeColor="text1"/>
        </w:rPr>
        <w:t xml:space="preserve"> resultados más efectivos que las aproximaciones individuales</w:t>
      </w:r>
      <w:r w:rsidR="00014572" w:rsidRPr="000E0F90">
        <w:rPr>
          <w:rFonts w:ascii="Arial" w:hAnsi="Arial" w:cs="Arial"/>
          <w:color w:val="000000" w:themeColor="text1"/>
        </w:rPr>
        <w:t xml:space="preserve">, dado que </w:t>
      </w:r>
      <w:r w:rsidR="00AB13C8" w:rsidRPr="000E0F90">
        <w:rPr>
          <w:rFonts w:ascii="Arial" w:hAnsi="Arial" w:cs="Arial"/>
          <w:color w:val="000000" w:themeColor="text1"/>
        </w:rPr>
        <w:t>de acuerdo a lo expresado desde el Servicio de Evaluación Ambiental</w:t>
      </w:r>
      <w:r w:rsidR="00014572" w:rsidRPr="000E0F90">
        <w:rPr>
          <w:rFonts w:ascii="Arial" w:hAnsi="Arial" w:cs="Arial"/>
          <w:color w:val="000000" w:themeColor="text1"/>
        </w:rPr>
        <w:t xml:space="preserve"> (SEA)</w:t>
      </w:r>
      <w:r w:rsidR="00AB13C8" w:rsidRPr="000E0F90">
        <w:rPr>
          <w:rFonts w:ascii="Arial" w:hAnsi="Arial" w:cs="Arial"/>
          <w:color w:val="000000" w:themeColor="text1"/>
        </w:rPr>
        <w:t xml:space="preserve">, por Pablo Rossel, existe una mayor consideración en los procesos de impacto ambiental hacia los pueblos indígenas que la ciudadanía en general. </w:t>
      </w:r>
    </w:p>
    <w:p w:rsidR="0062128A" w:rsidRPr="000E0F90" w:rsidRDefault="005B48D5" w:rsidP="00702D9A">
      <w:pPr>
        <w:spacing w:before="240" w:after="0" w:line="360" w:lineRule="auto"/>
        <w:rPr>
          <w:rFonts w:ascii="Arial" w:hAnsi="Arial" w:cs="Arial"/>
          <w:b/>
          <w:color w:val="000000" w:themeColor="text1"/>
        </w:rPr>
      </w:pPr>
      <w:r w:rsidRPr="000E0F90">
        <w:rPr>
          <w:rFonts w:ascii="Arial" w:hAnsi="Arial" w:cs="Arial"/>
          <w:b/>
          <w:color w:val="000000" w:themeColor="text1"/>
        </w:rPr>
        <w:t>5</w:t>
      </w:r>
      <w:r w:rsidR="0062128A" w:rsidRPr="000E0F90">
        <w:rPr>
          <w:rFonts w:ascii="Arial" w:hAnsi="Arial" w:cs="Arial"/>
          <w:b/>
          <w:color w:val="000000" w:themeColor="text1"/>
        </w:rPr>
        <w:t>. Agricultura y Ganadería:</w:t>
      </w:r>
    </w:p>
    <w:p w:rsidR="00F44F3C" w:rsidRPr="000E0F90" w:rsidRDefault="0062128A" w:rsidP="00702D9A">
      <w:pPr>
        <w:tabs>
          <w:tab w:val="left" w:pos="3183"/>
        </w:tabs>
        <w:spacing w:line="360" w:lineRule="auto"/>
        <w:rPr>
          <w:rFonts w:ascii="Arial" w:hAnsi="Arial" w:cs="Arial"/>
          <w:color w:val="000000" w:themeColor="text1"/>
        </w:rPr>
      </w:pPr>
      <w:r w:rsidRPr="000E0F90">
        <w:rPr>
          <w:rFonts w:ascii="Arial" w:hAnsi="Arial" w:cs="Arial"/>
          <w:color w:val="000000" w:themeColor="text1"/>
        </w:rPr>
        <w:t>La agricultura y la ganadería son actividades que han estado vinculadas al territo</w:t>
      </w:r>
      <w:r w:rsidR="001F6601" w:rsidRPr="000E0F90">
        <w:rPr>
          <w:rFonts w:ascii="Arial" w:hAnsi="Arial" w:cs="Arial"/>
          <w:color w:val="000000" w:themeColor="text1"/>
        </w:rPr>
        <w:t>rio históricamente, en donde la orientación</w:t>
      </w:r>
      <w:r w:rsidRPr="000E0F90">
        <w:rPr>
          <w:rFonts w:ascii="Arial" w:hAnsi="Arial" w:cs="Arial"/>
          <w:color w:val="000000" w:themeColor="text1"/>
        </w:rPr>
        <w:t xml:space="preserve"> ha sido la agricultura de subsistencia y ganadería de trashumancia. </w:t>
      </w:r>
      <w:r w:rsidR="001F6601" w:rsidRPr="000E0F90">
        <w:rPr>
          <w:rFonts w:ascii="Arial" w:hAnsi="Arial" w:cs="Arial"/>
          <w:color w:val="000000" w:themeColor="text1"/>
        </w:rPr>
        <w:t>En la actualidad, d</w:t>
      </w:r>
      <w:r w:rsidRPr="000E0F90">
        <w:rPr>
          <w:rFonts w:ascii="Arial" w:hAnsi="Arial" w:cs="Arial"/>
          <w:color w:val="000000" w:themeColor="text1"/>
        </w:rPr>
        <w:t xml:space="preserve">e acuerdo a </w:t>
      </w:r>
      <w:sdt>
        <w:sdtPr>
          <w:rPr>
            <w:rFonts w:ascii="Arial" w:hAnsi="Arial" w:cs="Arial"/>
            <w:color w:val="000000" w:themeColor="text1"/>
          </w:rPr>
          <w:id w:val="-693846992"/>
          <w:citation/>
        </w:sdtPr>
        <w:sdtEndPr/>
        <w:sdtContent>
          <w:r w:rsidRPr="000E0F90">
            <w:rPr>
              <w:rFonts w:ascii="Arial" w:hAnsi="Arial" w:cs="Arial"/>
              <w:color w:val="000000" w:themeColor="text1"/>
            </w:rPr>
            <w:fldChar w:fldCharType="begin"/>
          </w:r>
          <w:r w:rsidR="00787BA1" w:rsidRPr="000E0F90">
            <w:rPr>
              <w:rFonts w:ascii="Arial" w:hAnsi="Arial" w:cs="Arial"/>
              <w:color w:val="000000" w:themeColor="text1"/>
            </w:rPr>
            <w:instrText xml:space="preserve">CITATION Gas16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(Gastó, Gálvez, Subercauseaux, &amp; Fuentes, 2015)</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la agricultura y la ganadería</w:t>
      </w:r>
      <w:r w:rsidR="0071786A" w:rsidRPr="000E0F90">
        <w:rPr>
          <w:rFonts w:ascii="Arial" w:hAnsi="Arial" w:cs="Arial"/>
          <w:color w:val="000000" w:themeColor="text1"/>
        </w:rPr>
        <w:t xml:space="preserve"> trashumante</w:t>
      </w:r>
      <w:r w:rsidRPr="000E0F90">
        <w:rPr>
          <w:rFonts w:ascii="Arial" w:hAnsi="Arial" w:cs="Arial"/>
          <w:color w:val="000000" w:themeColor="text1"/>
        </w:rPr>
        <w:t>, principalmente caprina, corresponden a las principales actividades económicas de la comuna de</w:t>
      </w:r>
      <w:r w:rsidR="00393958" w:rsidRPr="000E0F90">
        <w:rPr>
          <w:rFonts w:ascii="Arial" w:hAnsi="Arial" w:cs="Arial"/>
          <w:color w:val="000000" w:themeColor="text1"/>
        </w:rPr>
        <w:t xml:space="preserve"> </w:t>
      </w:r>
      <w:r w:rsidRPr="000E0F90">
        <w:rPr>
          <w:rFonts w:ascii="Arial" w:hAnsi="Arial" w:cs="Arial"/>
          <w:color w:val="000000" w:themeColor="text1"/>
        </w:rPr>
        <w:t>Alto del Carmen.</w:t>
      </w:r>
      <w:r w:rsidR="00393958" w:rsidRPr="000E0F90">
        <w:rPr>
          <w:rFonts w:ascii="Arial" w:hAnsi="Arial" w:cs="Arial"/>
          <w:color w:val="000000" w:themeColor="text1"/>
        </w:rPr>
        <w:t xml:space="preserve"> </w:t>
      </w:r>
      <w:r w:rsidRPr="000E0F90">
        <w:rPr>
          <w:rFonts w:ascii="Arial" w:hAnsi="Arial" w:cs="Arial"/>
          <w:color w:val="000000" w:themeColor="text1"/>
        </w:rPr>
        <w:t>Observándose una alta proporción de agricultores (y ganaderos), quienes trabajan en sus terrenos o bien asalariados</w:t>
      </w:r>
      <w:r w:rsidR="00766E95" w:rsidRPr="000E0F90">
        <w:rPr>
          <w:rFonts w:ascii="Arial" w:hAnsi="Arial" w:cs="Arial"/>
          <w:color w:val="000000" w:themeColor="text1"/>
        </w:rPr>
        <w:t xml:space="preserve"> en otros predios agrícolas</w:t>
      </w:r>
      <w:r w:rsidRPr="000E0F90">
        <w:rPr>
          <w:rFonts w:ascii="Arial" w:hAnsi="Arial" w:cs="Arial"/>
          <w:color w:val="000000" w:themeColor="text1"/>
        </w:rPr>
        <w:t>, lo cual contribuye fuertemente a la identidad local</w:t>
      </w:r>
      <w:r w:rsidR="000628EE" w:rsidRPr="000E0F90">
        <w:rPr>
          <w:rFonts w:ascii="Arial" w:hAnsi="Arial" w:cs="Arial"/>
          <w:color w:val="000000" w:themeColor="text1"/>
        </w:rPr>
        <w:t xml:space="preserve"> </w:t>
      </w:r>
      <w:sdt>
        <w:sdtPr>
          <w:rPr>
            <w:rFonts w:ascii="Arial" w:hAnsi="Arial" w:cs="Arial"/>
            <w:color w:val="000000" w:themeColor="text1"/>
          </w:rPr>
          <w:id w:val="1886989194"/>
          <w:citation/>
        </w:sdtPr>
        <w:sdtEndPr/>
        <w:sdtContent>
          <w:r w:rsidR="000628EE" w:rsidRPr="000E0F90">
            <w:rPr>
              <w:rFonts w:ascii="Arial" w:hAnsi="Arial" w:cs="Arial"/>
              <w:color w:val="000000" w:themeColor="text1"/>
            </w:rPr>
            <w:fldChar w:fldCharType="begin"/>
          </w:r>
          <w:r w:rsidR="000628EE" w:rsidRPr="000E0F90">
            <w:rPr>
              <w:rFonts w:ascii="Arial" w:hAnsi="Arial" w:cs="Arial"/>
              <w:color w:val="000000" w:themeColor="text1"/>
            </w:rPr>
            <w:instrText xml:space="preserve">CITATION Gas16 \l 13322 </w:instrText>
          </w:r>
          <w:r w:rsidR="000628EE" w:rsidRPr="000E0F90">
            <w:rPr>
              <w:rFonts w:ascii="Arial" w:hAnsi="Arial" w:cs="Arial"/>
              <w:color w:val="000000" w:themeColor="text1"/>
            </w:rPr>
            <w:fldChar w:fldCharType="separate"/>
          </w:r>
          <w:r w:rsidR="008D0261" w:rsidRPr="000E0F90">
            <w:rPr>
              <w:rFonts w:ascii="Arial" w:hAnsi="Arial" w:cs="Arial"/>
              <w:noProof/>
              <w:color w:val="000000" w:themeColor="text1"/>
            </w:rPr>
            <w:t>(Gastó, Gálvez, Subercauseaux, &amp; Fuentes, 2015)</w:t>
          </w:r>
          <w:r w:rsidR="000628EE" w:rsidRPr="000E0F90">
            <w:rPr>
              <w:rFonts w:ascii="Arial" w:hAnsi="Arial" w:cs="Arial"/>
              <w:color w:val="000000" w:themeColor="text1"/>
            </w:rPr>
            <w:fldChar w:fldCharType="end"/>
          </w:r>
        </w:sdtContent>
      </w:sdt>
      <w:r w:rsidRPr="000E0F90">
        <w:rPr>
          <w:rFonts w:ascii="Arial" w:hAnsi="Arial" w:cs="Arial"/>
          <w:color w:val="000000" w:themeColor="text1"/>
        </w:rPr>
        <w:t>.</w:t>
      </w:r>
      <w:r w:rsidR="00362811" w:rsidRPr="000E0F90">
        <w:rPr>
          <w:rFonts w:ascii="Arial" w:hAnsi="Arial" w:cs="Arial"/>
          <w:color w:val="000000" w:themeColor="text1"/>
        </w:rPr>
        <w:t xml:space="preserve"> </w:t>
      </w:r>
      <w:r w:rsidR="00014572" w:rsidRPr="000E0F90">
        <w:rPr>
          <w:rFonts w:ascii="Arial" w:hAnsi="Arial" w:cs="Arial"/>
          <w:color w:val="000000" w:themeColor="text1"/>
        </w:rPr>
        <w:t xml:space="preserve">Si bien, el recurso hídrico se manifiesta como limitante en la comuna de Alto del Carmen, existe una escasa implementación de prácticas que reduzcan la demanda de agua, como la instalación de riego tecnificado, o bien el uso de especies productivas más adaptadas a la aridez </w:t>
      </w:r>
      <w:sdt>
        <w:sdtPr>
          <w:rPr>
            <w:rFonts w:ascii="Arial" w:hAnsi="Arial" w:cs="Arial"/>
            <w:color w:val="000000" w:themeColor="text1"/>
          </w:rPr>
          <w:id w:val="971940651"/>
          <w:citation/>
        </w:sdtPr>
        <w:sdtEndPr/>
        <w:sdtContent>
          <w:r w:rsidR="00014572" w:rsidRPr="000E0F90">
            <w:rPr>
              <w:rFonts w:ascii="Arial" w:hAnsi="Arial" w:cs="Arial"/>
              <w:color w:val="000000" w:themeColor="text1"/>
            </w:rPr>
            <w:fldChar w:fldCharType="begin"/>
          </w:r>
          <w:r w:rsidR="00014572" w:rsidRPr="000E0F90">
            <w:rPr>
              <w:rFonts w:ascii="Arial" w:hAnsi="Arial" w:cs="Arial"/>
              <w:color w:val="000000" w:themeColor="text1"/>
            </w:rPr>
            <w:instrText xml:space="preserve">CITATION ARC04 \t  \l 13322 </w:instrText>
          </w:r>
          <w:r w:rsidR="00014572" w:rsidRPr="000E0F90">
            <w:rPr>
              <w:rFonts w:ascii="Arial" w:hAnsi="Arial" w:cs="Arial"/>
              <w:color w:val="000000" w:themeColor="text1"/>
            </w:rPr>
            <w:fldChar w:fldCharType="separate"/>
          </w:r>
          <w:r w:rsidR="008D0261" w:rsidRPr="000E0F90">
            <w:rPr>
              <w:rFonts w:ascii="Arial" w:hAnsi="Arial" w:cs="Arial"/>
              <w:noProof/>
              <w:color w:val="000000" w:themeColor="text1"/>
            </w:rPr>
            <w:t>(ARCADIS, 2004)</w:t>
          </w:r>
          <w:r w:rsidR="00014572" w:rsidRPr="000E0F90">
            <w:rPr>
              <w:rFonts w:ascii="Arial" w:hAnsi="Arial" w:cs="Arial"/>
              <w:color w:val="000000" w:themeColor="text1"/>
            </w:rPr>
            <w:fldChar w:fldCharType="end"/>
          </w:r>
        </w:sdtContent>
      </w:sdt>
      <w:r w:rsidR="00014572" w:rsidRPr="000E0F90">
        <w:rPr>
          <w:rFonts w:ascii="Arial" w:hAnsi="Arial" w:cs="Arial"/>
          <w:color w:val="000000" w:themeColor="text1"/>
        </w:rPr>
        <w:t>.</w:t>
      </w:r>
    </w:p>
    <w:p w:rsidR="0062128A" w:rsidRPr="000E0F90" w:rsidRDefault="0062128A" w:rsidP="00702D9A">
      <w:pPr>
        <w:tabs>
          <w:tab w:val="left" w:pos="3183"/>
        </w:tabs>
        <w:spacing w:before="240" w:line="360" w:lineRule="auto"/>
        <w:rPr>
          <w:rFonts w:ascii="Arial" w:hAnsi="Arial" w:cs="Arial"/>
          <w:i/>
          <w:color w:val="000000" w:themeColor="text1"/>
          <w:szCs w:val="24"/>
        </w:rPr>
      </w:pPr>
      <w:r w:rsidRPr="000E0F90">
        <w:rPr>
          <w:rFonts w:ascii="Arial" w:hAnsi="Arial" w:cs="Arial"/>
          <w:color w:val="000000" w:themeColor="text1"/>
        </w:rPr>
        <w:t xml:space="preserve">Sin embargo, en la actualidad el valle del Huasco ha </w:t>
      </w:r>
      <w:r w:rsidR="00485234" w:rsidRPr="000E0F90">
        <w:rPr>
          <w:rFonts w:ascii="Arial" w:hAnsi="Arial" w:cs="Arial"/>
          <w:color w:val="000000" w:themeColor="text1"/>
        </w:rPr>
        <w:t>presentado cambi</w:t>
      </w:r>
      <w:r w:rsidRPr="000E0F90">
        <w:rPr>
          <w:rFonts w:ascii="Arial" w:hAnsi="Arial" w:cs="Arial"/>
          <w:color w:val="000000" w:themeColor="text1"/>
        </w:rPr>
        <w:t>o</w:t>
      </w:r>
      <w:r w:rsidR="00485234" w:rsidRPr="000E0F90">
        <w:rPr>
          <w:rFonts w:ascii="Arial" w:hAnsi="Arial" w:cs="Arial"/>
          <w:color w:val="000000" w:themeColor="text1"/>
        </w:rPr>
        <w:t>s en</w:t>
      </w:r>
      <w:r w:rsidR="003C1255" w:rsidRPr="000E0F90">
        <w:rPr>
          <w:rFonts w:ascii="Arial" w:hAnsi="Arial" w:cs="Arial"/>
          <w:color w:val="000000" w:themeColor="text1"/>
        </w:rPr>
        <w:t xml:space="preserve"> su estructura y </w:t>
      </w:r>
      <w:r w:rsidRPr="000E0F90">
        <w:rPr>
          <w:rFonts w:ascii="Arial" w:hAnsi="Arial" w:cs="Arial"/>
          <w:color w:val="000000" w:themeColor="text1"/>
        </w:rPr>
        <w:t xml:space="preserve">composición predial, </w:t>
      </w:r>
      <w:r w:rsidR="00485234" w:rsidRPr="000E0F90">
        <w:rPr>
          <w:rFonts w:ascii="Arial" w:hAnsi="Arial" w:cs="Arial"/>
          <w:color w:val="000000" w:themeColor="text1"/>
        </w:rPr>
        <w:t>orientándose hacia el</w:t>
      </w:r>
      <w:r w:rsidRPr="000E0F90">
        <w:rPr>
          <w:rFonts w:ascii="Arial" w:hAnsi="Arial" w:cs="Arial"/>
          <w:color w:val="000000" w:themeColor="text1"/>
        </w:rPr>
        <w:t xml:space="preserve"> monocultivo de parrones y dejando al margen a la agricultura y ruralidad del pasado</w:t>
      </w:r>
      <w:r w:rsidR="00DC70D0" w:rsidRPr="000E0F90">
        <w:rPr>
          <w:rFonts w:ascii="Arial" w:hAnsi="Arial" w:cs="Arial"/>
          <w:color w:val="000000" w:themeColor="text1"/>
        </w:rPr>
        <w:t xml:space="preserve">. Como lo manifiesta </w:t>
      </w:r>
      <w:r w:rsidR="00DC70D0" w:rsidRPr="000E0F90">
        <w:rPr>
          <w:rFonts w:ascii="Arial" w:hAnsi="Arial" w:cs="Arial"/>
          <w:color w:val="000000" w:themeColor="text1"/>
          <w:szCs w:val="24"/>
        </w:rPr>
        <w:t>Edith Campillay Quinsacara (Alto del Carmen): “</w:t>
      </w:r>
      <w:r w:rsidR="00DC70D0" w:rsidRPr="000E0F90">
        <w:rPr>
          <w:rFonts w:ascii="Arial" w:hAnsi="Arial" w:cs="Arial"/>
          <w:i/>
          <w:color w:val="000000" w:themeColor="text1"/>
          <w:szCs w:val="24"/>
        </w:rPr>
        <w:t xml:space="preserve">Claro, ahora después que ya también se </w:t>
      </w:r>
      <w:r w:rsidR="00DC70D0" w:rsidRPr="000E0F90">
        <w:rPr>
          <w:rFonts w:ascii="Arial" w:hAnsi="Arial" w:cs="Arial"/>
          <w:i/>
          <w:color w:val="000000" w:themeColor="text1"/>
          <w:szCs w:val="24"/>
        </w:rPr>
        <w:lastRenderedPageBreak/>
        <w:t>empezaron a poner todos esos parronales y todo. Antes no, eran puros chicos de acá de los dueños”.</w:t>
      </w:r>
      <w:r w:rsidR="00393958" w:rsidRPr="000E0F90">
        <w:rPr>
          <w:rFonts w:ascii="Arial" w:hAnsi="Arial" w:cs="Arial"/>
          <w:color w:val="000000" w:themeColor="text1"/>
        </w:rPr>
        <w:t xml:space="preserve"> </w:t>
      </w:r>
    </w:p>
    <w:p w:rsidR="00014572" w:rsidRPr="000E0F90" w:rsidRDefault="00014572" w:rsidP="00702D9A">
      <w:pPr>
        <w:spacing w:before="240" w:line="360" w:lineRule="auto"/>
        <w:rPr>
          <w:rFonts w:ascii="Arial" w:hAnsi="Arial" w:cs="Arial"/>
          <w:color w:val="000000" w:themeColor="text1"/>
        </w:rPr>
      </w:pPr>
      <w:r w:rsidRPr="000E0F90">
        <w:rPr>
          <w:rFonts w:ascii="Arial" w:hAnsi="Arial" w:cs="Arial"/>
          <w:color w:val="000000" w:themeColor="text1"/>
        </w:rPr>
        <w:t>Se</w:t>
      </w:r>
      <w:r w:rsidR="0062128A" w:rsidRPr="000E0F90">
        <w:rPr>
          <w:rFonts w:ascii="Arial" w:hAnsi="Arial" w:cs="Arial"/>
          <w:color w:val="000000" w:themeColor="text1"/>
        </w:rPr>
        <w:t xml:space="preserve"> evidencia también que las actividades industriales (energía/minería) que se han instalado en el valle han afectado la agricultura y ganadería, ya sea por el cambio de condiciones ambientales, o por efectos directos de la contaminación, la cual afecta el suelo, el agua y el ambiente. Entre los efectos señalados se encuentran</w:t>
      </w:r>
      <w:r w:rsidRPr="000E0F90">
        <w:rPr>
          <w:rFonts w:ascii="Arial" w:hAnsi="Arial" w:cs="Arial"/>
          <w:color w:val="000000" w:themeColor="text1"/>
        </w:rPr>
        <w:t>:</w:t>
      </w:r>
    </w:p>
    <w:p w:rsidR="00DC70D0" w:rsidRPr="000E0F90" w:rsidRDefault="00014572" w:rsidP="00702D9A">
      <w:pPr>
        <w:spacing w:before="240" w:line="360" w:lineRule="auto"/>
        <w:rPr>
          <w:rFonts w:ascii="Arial" w:hAnsi="Arial" w:cs="Arial"/>
          <w:color w:val="000000" w:themeColor="text1"/>
        </w:rPr>
      </w:pPr>
      <w:r w:rsidRPr="000E0F90">
        <w:rPr>
          <w:rFonts w:ascii="Arial" w:hAnsi="Arial" w:cs="Arial"/>
          <w:color w:val="000000" w:themeColor="text1"/>
        </w:rPr>
        <w:t xml:space="preserve">- </w:t>
      </w:r>
      <w:r w:rsidR="00DC70D0" w:rsidRPr="000E0F90">
        <w:rPr>
          <w:rFonts w:ascii="Arial" w:hAnsi="Arial" w:cs="Arial"/>
          <w:color w:val="000000" w:themeColor="text1"/>
        </w:rPr>
        <w:t xml:space="preserve">el </w:t>
      </w:r>
      <w:r w:rsidR="00DC70D0" w:rsidRPr="000E0F90">
        <w:rPr>
          <w:rFonts w:ascii="Arial" w:hAnsi="Arial" w:cs="Arial"/>
          <w:b/>
          <w:color w:val="000000" w:themeColor="text1"/>
        </w:rPr>
        <w:t>efecto de las nubes tóxicas</w:t>
      </w:r>
      <w:r w:rsidR="00DC70D0" w:rsidRPr="000E0F90">
        <w:rPr>
          <w:rFonts w:ascii="Arial" w:hAnsi="Arial" w:cs="Arial"/>
          <w:color w:val="000000" w:themeColor="text1"/>
        </w:rPr>
        <w:t xml:space="preserve"> que provienen de la minería, que como relata Alejandro Aracena (Tierra Amarilla)</w:t>
      </w:r>
      <w:r w:rsidRPr="000E0F90">
        <w:rPr>
          <w:rFonts w:ascii="Arial" w:hAnsi="Arial" w:cs="Arial"/>
          <w:color w:val="000000" w:themeColor="text1"/>
        </w:rPr>
        <w:t>:</w:t>
      </w:r>
      <w:r w:rsidR="00DC70D0" w:rsidRPr="000E0F90">
        <w:rPr>
          <w:rFonts w:ascii="Arial" w:hAnsi="Arial" w:cs="Arial"/>
          <w:color w:val="000000" w:themeColor="text1"/>
        </w:rPr>
        <w:t xml:space="preserve"> “</w:t>
      </w:r>
      <w:r w:rsidR="00DC70D0" w:rsidRPr="000E0F90">
        <w:rPr>
          <w:rFonts w:ascii="Arial" w:hAnsi="Arial" w:cs="Arial"/>
          <w:i/>
          <w:color w:val="000000" w:themeColor="text1"/>
        </w:rPr>
        <w:t>Y sabemos, y daña, ha dañado la agricultura, las nubes tóxicas de Paipote van a dar a la Cordillera, envenenan el pasto, los animales igual se mueren.</w:t>
      </w:r>
      <w:r w:rsidR="00DC70D0" w:rsidRPr="000E0F90">
        <w:rPr>
          <w:rFonts w:ascii="Arial" w:hAnsi="Arial" w:cs="Arial"/>
          <w:color w:val="000000" w:themeColor="text1"/>
        </w:rPr>
        <w:t xml:space="preserve"> </w:t>
      </w:r>
    </w:p>
    <w:p w:rsidR="00DC70D0" w:rsidRPr="000E0F90" w:rsidRDefault="00DC70D0" w:rsidP="00702D9A">
      <w:pPr>
        <w:spacing w:before="240" w:line="360" w:lineRule="auto"/>
        <w:rPr>
          <w:rFonts w:ascii="Arial" w:hAnsi="Arial" w:cs="Arial"/>
          <w:i/>
          <w:color w:val="000000" w:themeColor="text1"/>
        </w:rPr>
      </w:pPr>
      <w:r w:rsidRPr="000E0F90">
        <w:rPr>
          <w:rFonts w:ascii="Arial" w:hAnsi="Arial" w:cs="Arial"/>
          <w:color w:val="000000" w:themeColor="text1"/>
        </w:rPr>
        <w:t xml:space="preserve">- </w:t>
      </w:r>
      <w:r w:rsidRPr="000E0F90">
        <w:rPr>
          <w:rFonts w:ascii="Arial" w:hAnsi="Arial" w:cs="Arial"/>
          <w:b/>
          <w:color w:val="000000" w:themeColor="text1"/>
        </w:rPr>
        <w:t>la contaminación de vegas</w:t>
      </w:r>
      <w:r w:rsidRPr="000E0F90">
        <w:rPr>
          <w:rFonts w:ascii="Arial" w:hAnsi="Arial" w:cs="Arial"/>
          <w:color w:val="000000" w:themeColor="text1"/>
        </w:rPr>
        <w:t xml:space="preserve">, que señala Alejandro Aracena (Tierra Amarilla) </w:t>
      </w:r>
      <w:r w:rsidRPr="000E0F90">
        <w:rPr>
          <w:rFonts w:ascii="Arial" w:hAnsi="Arial" w:cs="Arial"/>
          <w:i/>
          <w:color w:val="000000" w:themeColor="text1"/>
        </w:rPr>
        <w:t>“Y qué es lo que hay en la vega, hay sal que brotó de una planta que está arriba que se llama La Coipa. Y La Coipa contaminó un lugar precioso y la gente se fue. Los coyas se fueron de ahí, los quimpas que vivían”</w:t>
      </w:r>
    </w:p>
    <w:p w:rsidR="00DC70D0" w:rsidRPr="000E0F90" w:rsidRDefault="00DC70D0" w:rsidP="00702D9A">
      <w:pPr>
        <w:spacing w:before="240" w:line="360" w:lineRule="auto"/>
        <w:rPr>
          <w:rFonts w:ascii="Arial" w:hAnsi="Arial" w:cs="Arial"/>
          <w:i/>
          <w:color w:val="000000" w:themeColor="text1"/>
        </w:rPr>
      </w:pPr>
      <w:r w:rsidRPr="000E0F90">
        <w:rPr>
          <w:rFonts w:ascii="Arial" w:hAnsi="Arial" w:cs="Arial"/>
          <w:i/>
          <w:color w:val="000000" w:themeColor="text1"/>
        </w:rPr>
        <w:t xml:space="preserve">- </w:t>
      </w:r>
      <w:r w:rsidRPr="000E0F90">
        <w:rPr>
          <w:rFonts w:ascii="Arial" w:hAnsi="Arial" w:cs="Arial"/>
          <w:color w:val="000000" w:themeColor="text1"/>
        </w:rPr>
        <w:t>la</w:t>
      </w:r>
      <w:r w:rsidRPr="000E0F90">
        <w:rPr>
          <w:rFonts w:ascii="Arial" w:hAnsi="Arial" w:cs="Arial"/>
          <w:i/>
          <w:color w:val="000000" w:themeColor="text1"/>
        </w:rPr>
        <w:t xml:space="preserve"> </w:t>
      </w:r>
      <w:r w:rsidRPr="000E0F90">
        <w:rPr>
          <w:rFonts w:ascii="Arial" w:hAnsi="Arial" w:cs="Arial"/>
          <w:b/>
          <w:color w:val="000000" w:themeColor="text1"/>
        </w:rPr>
        <w:t>mortalidad de árboles frutales producto del incremento de plagas</w:t>
      </w:r>
      <w:r w:rsidRPr="000E0F90">
        <w:rPr>
          <w:rFonts w:ascii="Arial" w:hAnsi="Arial" w:cs="Arial"/>
          <w:color w:val="000000" w:themeColor="text1"/>
        </w:rPr>
        <w:t xml:space="preserve"> que se asocian al incremento de polvo en el valle. Como que señala Alejandro Aracena (Tierra Amarilla) </w:t>
      </w:r>
      <w:r w:rsidRPr="000E0F90">
        <w:rPr>
          <w:rFonts w:ascii="Arial" w:hAnsi="Arial" w:cs="Arial"/>
          <w:i/>
          <w:color w:val="000000" w:themeColor="text1"/>
        </w:rPr>
        <w:t xml:space="preserve">“…les muestro lo que eran los olivos, secos los olivos. Ahí está: termoeléctrica, la termoeléctrica. Primero, dicen ellos…Ahora, se secaron los olivos y entró la conchuela, me contaba la gente”. </w:t>
      </w:r>
    </w:p>
    <w:p w:rsidR="00DC70D0" w:rsidRPr="000E0F90" w:rsidRDefault="0062128A" w:rsidP="00702D9A">
      <w:pPr>
        <w:spacing w:before="240" w:line="360" w:lineRule="auto"/>
        <w:rPr>
          <w:rFonts w:ascii="Arial" w:hAnsi="Arial" w:cs="Arial"/>
          <w:color w:val="000000" w:themeColor="text1"/>
        </w:rPr>
      </w:pPr>
      <w:r w:rsidRPr="000E0F90">
        <w:rPr>
          <w:rFonts w:ascii="Arial" w:hAnsi="Arial" w:cs="Arial"/>
          <w:color w:val="000000" w:themeColor="text1"/>
        </w:rPr>
        <w:t>Cabe señalar que la agricultura es también sindicalizada como una actividad que contamina el medioambiente y afecta la salud humana por el uso de agroquímicos, sin embargo se percibe de menor impacto que las actividades extractivas</w:t>
      </w:r>
      <w:r w:rsidR="00DC70D0" w:rsidRPr="000E0F90">
        <w:rPr>
          <w:rFonts w:ascii="Arial" w:hAnsi="Arial" w:cs="Arial"/>
          <w:color w:val="000000" w:themeColor="text1"/>
        </w:rPr>
        <w:t>. Como señala Sara Ceriche (Alto del Carmen): “</w:t>
      </w:r>
      <w:r w:rsidR="00DC70D0" w:rsidRPr="000E0F90">
        <w:rPr>
          <w:rFonts w:ascii="Arial" w:hAnsi="Arial" w:cs="Arial"/>
          <w:i/>
          <w:color w:val="000000" w:themeColor="text1"/>
        </w:rPr>
        <w:t xml:space="preserve">Yo siempre he dicho a todo el que me ha consultado, la contaminación ya está en el valle… (Y ¿contaminación por qué?)… Los parrones, la empresa agrícola”. </w:t>
      </w:r>
    </w:p>
    <w:p w:rsidR="00F86D79" w:rsidRPr="000E0F90" w:rsidRDefault="0062128A" w:rsidP="00702D9A">
      <w:pPr>
        <w:spacing w:before="240" w:line="360" w:lineRule="auto"/>
        <w:rPr>
          <w:rFonts w:ascii="Arial" w:hAnsi="Arial" w:cs="Arial"/>
          <w:b/>
          <w:color w:val="000000" w:themeColor="text1"/>
        </w:rPr>
      </w:pPr>
      <w:r w:rsidRPr="000E0F90">
        <w:rPr>
          <w:rFonts w:ascii="Arial" w:hAnsi="Arial" w:cs="Arial"/>
          <w:color w:val="000000" w:themeColor="text1"/>
        </w:rPr>
        <w:t xml:space="preserve">Otro aspecto que ha afectado el desarrollo de las actividades ganaderas, es el cambio de uso de propiedad, </w:t>
      </w:r>
      <w:r w:rsidR="00014572" w:rsidRPr="000E0F90">
        <w:rPr>
          <w:rFonts w:ascii="Arial" w:hAnsi="Arial" w:cs="Arial"/>
          <w:color w:val="000000" w:themeColor="text1"/>
        </w:rPr>
        <w:t>que desencadena en</w:t>
      </w:r>
      <w:r w:rsidRPr="000E0F90">
        <w:rPr>
          <w:rFonts w:ascii="Arial" w:hAnsi="Arial" w:cs="Arial"/>
          <w:color w:val="000000" w:themeColor="text1"/>
        </w:rPr>
        <w:t xml:space="preserve"> la restricción de libre tránsito, lo cual dificulta</w:t>
      </w:r>
      <w:r w:rsidR="00014572" w:rsidRPr="000E0F90">
        <w:rPr>
          <w:rFonts w:ascii="Arial" w:hAnsi="Arial" w:cs="Arial"/>
          <w:color w:val="000000" w:themeColor="text1"/>
        </w:rPr>
        <w:t xml:space="preserve"> l</w:t>
      </w:r>
      <w:r w:rsidRPr="000E0F90">
        <w:rPr>
          <w:rFonts w:ascii="Arial" w:hAnsi="Arial" w:cs="Arial"/>
          <w:color w:val="000000" w:themeColor="text1"/>
        </w:rPr>
        <w:t>as actividades ganaderas de trashumancia</w:t>
      </w:r>
      <w:r w:rsidR="00393958" w:rsidRPr="000E0F90">
        <w:rPr>
          <w:rFonts w:ascii="Arial" w:hAnsi="Arial" w:cs="Arial"/>
          <w:color w:val="000000" w:themeColor="text1"/>
        </w:rPr>
        <w:t xml:space="preserve"> </w:t>
      </w:r>
      <w:r w:rsidR="00DC70D0" w:rsidRPr="000E0F90">
        <w:rPr>
          <w:rFonts w:ascii="Arial" w:hAnsi="Arial" w:cs="Arial"/>
          <w:color w:val="000000" w:themeColor="text1"/>
        </w:rPr>
        <w:t xml:space="preserve">como lo plantea Edith Campillay: “(Respecto a los Huascoaltinos) </w:t>
      </w:r>
      <w:r w:rsidR="00DC70D0" w:rsidRPr="000E0F90">
        <w:rPr>
          <w:rFonts w:ascii="Arial" w:hAnsi="Arial" w:cs="Arial"/>
          <w:i/>
          <w:color w:val="000000" w:themeColor="text1"/>
        </w:rPr>
        <w:t xml:space="preserve">Claro, ya no dejaban pasar la ganadería. Les cobraban los que no tenían, que tenían que estar inscritos en esa comunidad. No </w:t>
      </w:r>
      <w:r w:rsidR="00DC70D0" w:rsidRPr="000E0F90">
        <w:rPr>
          <w:rFonts w:ascii="Arial" w:hAnsi="Arial" w:cs="Arial"/>
          <w:i/>
          <w:color w:val="000000" w:themeColor="text1"/>
        </w:rPr>
        <w:lastRenderedPageBreak/>
        <w:t>comunidad, si no que…</w:t>
      </w:r>
      <w:r w:rsidR="00DC70D0" w:rsidRPr="000E0F90">
        <w:rPr>
          <w:rFonts w:ascii="Arial" w:hAnsi="Arial" w:cs="Arial"/>
          <w:color w:val="000000" w:themeColor="text1"/>
        </w:rPr>
        <w:t xml:space="preserve"> </w:t>
      </w:r>
      <w:r w:rsidR="00DC70D0" w:rsidRPr="000E0F90">
        <w:rPr>
          <w:rFonts w:ascii="Arial" w:hAnsi="Arial" w:cs="Arial"/>
          <w:i/>
          <w:color w:val="000000" w:themeColor="text1"/>
        </w:rPr>
        <w:t>Empezaron a cercar todo, hasta el cementerio. (Edith Campillay, Alto del Carmen).</w:t>
      </w:r>
      <w:r w:rsidR="00014572" w:rsidRPr="000E0F90">
        <w:rPr>
          <w:rFonts w:ascii="Arial" w:hAnsi="Arial" w:cs="Arial"/>
          <w:i/>
          <w:color w:val="000000" w:themeColor="text1"/>
        </w:rPr>
        <w:t xml:space="preserve"> </w:t>
      </w:r>
      <w:r w:rsidR="0071786A" w:rsidRPr="000E0F90">
        <w:rPr>
          <w:rFonts w:ascii="Arial" w:hAnsi="Arial" w:cs="Arial"/>
          <w:color w:val="000000" w:themeColor="text1"/>
        </w:rPr>
        <w:t xml:space="preserve">Esta pérdida de propiedades, repercute en la conectividad natural e histórica del valle, al limitar el libre tránsito y el uso y el sentido apropiación histórica del territorio.  </w:t>
      </w:r>
    </w:p>
    <w:p w:rsidR="00D079E7" w:rsidRPr="000E0F90" w:rsidRDefault="00D079E7" w:rsidP="00702D9A">
      <w:pPr>
        <w:spacing w:after="0" w:line="360" w:lineRule="auto"/>
        <w:rPr>
          <w:rFonts w:ascii="Arial" w:hAnsi="Arial" w:cs="Arial"/>
          <w:b/>
          <w:color w:val="000000" w:themeColor="text1"/>
        </w:rPr>
      </w:pPr>
      <w:r w:rsidRPr="000E0F90">
        <w:rPr>
          <w:rFonts w:ascii="Arial" w:hAnsi="Arial" w:cs="Arial"/>
          <w:b/>
          <w:color w:val="000000" w:themeColor="text1"/>
        </w:rPr>
        <w:t>6. Medioambiente:</w:t>
      </w:r>
    </w:p>
    <w:p w:rsidR="00D079E7" w:rsidRPr="000E0F90" w:rsidRDefault="00D079E7" w:rsidP="00702D9A">
      <w:pPr>
        <w:spacing w:line="360" w:lineRule="auto"/>
        <w:rPr>
          <w:rFonts w:ascii="Arial" w:hAnsi="Arial" w:cs="Arial"/>
          <w:color w:val="000000" w:themeColor="text1"/>
        </w:rPr>
      </w:pPr>
      <w:r w:rsidRPr="000E0F90">
        <w:rPr>
          <w:rFonts w:ascii="Arial" w:hAnsi="Arial" w:cs="Arial"/>
          <w:color w:val="000000" w:themeColor="text1"/>
        </w:rPr>
        <w:t>Existe preocupación por la contaminación del medioambiente, asociada a las actividades productivas del territorio tanto actuales como pasadas. Se señala la contaminación del agua, del suelo y el a</w:t>
      </w:r>
      <w:r w:rsidR="001F6EFD" w:rsidRPr="000E0F90">
        <w:rPr>
          <w:rFonts w:ascii="Arial" w:hAnsi="Arial" w:cs="Arial"/>
          <w:color w:val="000000" w:themeColor="text1"/>
        </w:rPr>
        <w:t>ire</w:t>
      </w:r>
      <w:r w:rsidR="00C36A04" w:rsidRPr="000E0F90">
        <w:rPr>
          <w:rFonts w:ascii="Arial" w:hAnsi="Arial" w:cs="Arial"/>
          <w:color w:val="000000" w:themeColor="text1"/>
        </w:rPr>
        <w:t>;</w:t>
      </w:r>
      <w:r w:rsidRPr="000E0F90">
        <w:rPr>
          <w:rFonts w:ascii="Arial" w:hAnsi="Arial" w:cs="Arial"/>
          <w:color w:val="000000" w:themeColor="text1"/>
        </w:rPr>
        <w:t xml:space="preserve"> por el polvo, el humo tóxico y desechos industriales, como los aspectos de mayor interés, dado que podrían afectar a la salud humana</w:t>
      </w:r>
      <w:r w:rsidR="007A2351" w:rsidRPr="000E0F90">
        <w:rPr>
          <w:rFonts w:ascii="Arial" w:hAnsi="Arial" w:cs="Arial"/>
          <w:color w:val="000000" w:themeColor="text1"/>
        </w:rPr>
        <w:t xml:space="preserve"> y medioambiente</w:t>
      </w:r>
      <w:r w:rsidRPr="000E0F90">
        <w:rPr>
          <w:rFonts w:ascii="Arial" w:hAnsi="Arial" w:cs="Arial"/>
          <w:color w:val="000000" w:themeColor="text1"/>
        </w:rPr>
        <w:t>.</w:t>
      </w:r>
    </w:p>
    <w:p w:rsidR="00770869" w:rsidRPr="000E0F90" w:rsidRDefault="00D079E7" w:rsidP="00702D9A">
      <w:pPr>
        <w:spacing w:before="240" w:line="360" w:lineRule="auto"/>
        <w:rPr>
          <w:rFonts w:ascii="Arial" w:hAnsi="Arial" w:cs="Arial"/>
          <w:color w:val="000000" w:themeColor="text1"/>
        </w:rPr>
      </w:pPr>
      <w:r w:rsidRPr="000E0F90">
        <w:rPr>
          <w:rFonts w:ascii="Arial" w:hAnsi="Arial" w:cs="Arial"/>
          <w:color w:val="000000" w:themeColor="text1"/>
        </w:rPr>
        <w:t xml:space="preserve">Dentro de los impactos al medioambiente que se han identificados en el territorio, </w:t>
      </w:r>
      <w:r w:rsidRPr="000E0F90">
        <w:rPr>
          <w:rFonts w:ascii="Arial" w:hAnsi="Arial" w:cs="Arial"/>
          <w:b/>
          <w:color w:val="000000" w:themeColor="text1"/>
        </w:rPr>
        <w:t>e</w:t>
      </w:r>
      <w:r w:rsidR="00694A0B" w:rsidRPr="000E0F90">
        <w:rPr>
          <w:rFonts w:ascii="Arial" w:hAnsi="Arial" w:cs="Arial"/>
          <w:b/>
          <w:color w:val="000000" w:themeColor="text1"/>
        </w:rPr>
        <w:t>l</w:t>
      </w:r>
      <w:r w:rsidRPr="000E0F90">
        <w:rPr>
          <w:rFonts w:ascii="Arial" w:hAnsi="Arial" w:cs="Arial"/>
          <w:b/>
          <w:color w:val="000000" w:themeColor="text1"/>
        </w:rPr>
        <w:t xml:space="preserve"> polvo</w:t>
      </w:r>
      <w:r w:rsidR="00694A0B" w:rsidRPr="000E0F90">
        <w:rPr>
          <w:rFonts w:ascii="Arial" w:hAnsi="Arial" w:cs="Arial"/>
          <w:b/>
          <w:color w:val="000000" w:themeColor="text1"/>
        </w:rPr>
        <w:t xml:space="preserve"> en suspensión</w:t>
      </w:r>
      <w:r w:rsidRPr="000E0F90">
        <w:rPr>
          <w:rFonts w:ascii="Arial" w:hAnsi="Arial" w:cs="Arial"/>
          <w:b/>
          <w:color w:val="000000" w:themeColor="text1"/>
        </w:rPr>
        <w:t xml:space="preserve"> </w:t>
      </w:r>
      <w:r w:rsidRPr="000E0F90">
        <w:rPr>
          <w:rFonts w:ascii="Arial" w:hAnsi="Arial" w:cs="Arial"/>
          <w:color w:val="000000" w:themeColor="text1"/>
        </w:rPr>
        <w:t>proveniente de la</w:t>
      </w:r>
      <w:r w:rsidR="003C1255" w:rsidRPr="000E0F90">
        <w:rPr>
          <w:rFonts w:ascii="Arial" w:hAnsi="Arial" w:cs="Arial"/>
          <w:color w:val="000000" w:themeColor="text1"/>
        </w:rPr>
        <w:t>s operaciones</w:t>
      </w:r>
      <w:r w:rsidRPr="000E0F90">
        <w:rPr>
          <w:rFonts w:ascii="Arial" w:hAnsi="Arial" w:cs="Arial"/>
          <w:color w:val="000000" w:themeColor="text1"/>
        </w:rPr>
        <w:t xml:space="preserve"> minera</w:t>
      </w:r>
      <w:r w:rsidR="003C1255" w:rsidRPr="000E0F90">
        <w:rPr>
          <w:rFonts w:ascii="Arial" w:hAnsi="Arial" w:cs="Arial"/>
          <w:color w:val="000000" w:themeColor="text1"/>
        </w:rPr>
        <w:t>s</w:t>
      </w:r>
      <w:r w:rsidRPr="000E0F90">
        <w:rPr>
          <w:rFonts w:ascii="Arial" w:hAnsi="Arial" w:cs="Arial"/>
          <w:color w:val="000000" w:themeColor="text1"/>
        </w:rPr>
        <w:t xml:space="preserve">, </w:t>
      </w:r>
      <w:r w:rsidR="003C1255" w:rsidRPr="000E0F90">
        <w:rPr>
          <w:rFonts w:ascii="Arial" w:hAnsi="Arial" w:cs="Arial"/>
          <w:color w:val="000000" w:themeColor="text1"/>
        </w:rPr>
        <w:t>como</w:t>
      </w:r>
      <w:r w:rsidRPr="000E0F90">
        <w:rPr>
          <w:rFonts w:ascii="Arial" w:hAnsi="Arial" w:cs="Arial"/>
          <w:color w:val="000000" w:themeColor="text1"/>
        </w:rPr>
        <w:t xml:space="preserve"> un problema latente que afecta constantemente a los habitantes de localidades</w:t>
      </w:r>
      <w:r w:rsidR="000628EE" w:rsidRPr="000E0F90">
        <w:rPr>
          <w:rFonts w:ascii="Arial" w:hAnsi="Arial" w:cs="Arial"/>
          <w:color w:val="000000" w:themeColor="text1"/>
        </w:rPr>
        <w:t xml:space="preserve"> próximas a las faenas mineras</w:t>
      </w:r>
      <w:r w:rsidR="00B74FEE" w:rsidRPr="000E0F90">
        <w:rPr>
          <w:rFonts w:ascii="Arial" w:hAnsi="Arial" w:cs="Arial"/>
          <w:color w:val="000000" w:themeColor="text1"/>
        </w:rPr>
        <w:t xml:space="preserve">. </w:t>
      </w:r>
      <w:r w:rsidR="00770869" w:rsidRPr="000E0F90">
        <w:rPr>
          <w:rFonts w:ascii="Arial" w:hAnsi="Arial" w:cs="Arial"/>
          <w:color w:val="000000" w:themeColor="text1"/>
        </w:rPr>
        <w:t>Como es el caso de Tierra Amarilla, donde Alejandro Aracena señala que “</w:t>
      </w:r>
      <w:r w:rsidR="00770869" w:rsidRPr="000E0F90">
        <w:rPr>
          <w:rFonts w:ascii="Arial" w:hAnsi="Arial" w:cs="Arial"/>
          <w:i/>
          <w:color w:val="000000" w:themeColor="text1"/>
        </w:rPr>
        <w:t>(La mina) Candelaria nos llenó con millones de toneladas (botadero), y nos tapó la entrada de aire, entonces aquí la tierra de todas éstas minas, estamos rodeados de minas, se mantienen</w:t>
      </w:r>
      <w:r w:rsidR="00770869" w:rsidRPr="000E0F90">
        <w:rPr>
          <w:rFonts w:ascii="Arial" w:hAnsi="Arial" w:cs="Arial"/>
          <w:color w:val="000000" w:themeColor="text1"/>
        </w:rPr>
        <w:t>”.</w:t>
      </w:r>
      <w:r w:rsidRPr="000E0F90">
        <w:rPr>
          <w:rFonts w:ascii="Arial" w:hAnsi="Arial" w:cs="Arial"/>
          <w:color w:val="000000" w:themeColor="text1"/>
        </w:rPr>
        <w:t xml:space="preserve"> </w:t>
      </w:r>
    </w:p>
    <w:p w:rsidR="00770869" w:rsidRPr="000E0F90" w:rsidRDefault="00D079E7" w:rsidP="00702D9A">
      <w:pPr>
        <w:spacing w:before="240" w:line="360" w:lineRule="auto"/>
        <w:rPr>
          <w:rFonts w:ascii="Arial" w:hAnsi="Arial" w:cs="Arial"/>
          <w:color w:val="000000" w:themeColor="text1"/>
        </w:rPr>
      </w:pPr>
      <w:r w:rsidRPr="000E0F90">
        <w:rPr>
          <w:rFonts w:ascii="Arial" w:hAnsi="Arial" w:cs="Arial"/>
          <w:color w:val="000000" w:themeColor="text1"/>
        </w:rPr>
        <w:t xml:space="preserve">Otro aspecto que es considerado relevante en materia medioambiental, es la concentración de </w:t>
      </w:r>
      <w:r w:rsidRPr="000E0F90">
        <w:rPr>
          <w:rFonts w:ascii="Arial" w:hAnsi="Arial" w:cs="Arial"/>
          <w:b/>
          <w:color w:val="000000" w:themeColor="text1"/>
        </w:rPr>
        <w:t>humo tóxico (gases tóxicos)</w:t>
      </w:r>
      <w:r w:rsidRPr="000E0F90">
        <w:rPr>
          <w:rFonts w:ascii="Arial" w:hAnsi="Arial" w:cs="Arial"/>
          <w:color w:val="000000" w:themeColor="text1"/>
        </w:rPr>
        <w:t xml:space="preserve"> proveniente de las mineras que se percibe en las localidades cuando las condiciones de ventilación del valle empeoran</w:t>
      </w:r>
      <w:r w:rsidR="00770869" w:rsidRPr="000E0F90">
        <w:rPr>
          <w:rFonts w:ascii="Arial" w:hAnsi="Arial" w:cs="Arial"/>
          <w:color w:val="000000" w:themeColor="text1"/>
        </w:rPr>
        <w:t xml:space="preserve">. Al respecto, Alejandro Aracena (Tierra amarilla) señala que: </w:t>
      </w:r>
      <w:r w:rsidR="00770869" w:rsidRPr="000E0F90">
        <w:rPr>
          <w:rFonts w:ascii="Arial" w:hAnsi="Arial" w:cs="Arial"/>
          <w:i/>
          <w:color w:val="000000" w:themeColor="text1"/>
        </w:rPr>
        <w:t>“y si hay niebla, empieza la radio inmediatamente y la gente a arrancar de Tierra Amarilla, los que son asmáticos, los que ya se enfermaron, se va</w:t>
      </w:r>
      <w:r w:rsidR="0071786A" w:rsidRPr="000E0F90">
        <w:rPr>
          <w:rFonts w:ascii="Arial" w:hAnsi="Arial" w:cs="Arial"/>
          <w:i/>
          <w:color w:val="000000" w:themeColor="text1"/>
        </w:rPr>
        <w:t xml:space="preserve">n a Copiapó. Y es desesperante…ya que </w:t>
      </w:r>
      <w:r w:rsidR="00770869" w:rsidRPr="000E0F90">
        <w:rPr>
          <w:rFonts w:ascii="Arial" w:hAnsi="Arial" w:cs="Arial"/>
          <w:i/>
          <w:color w:val="000000" w:themeColor="text1"/>
        </w:rPr>
        <w:t xml:space="preserve">la niebla no deja subir el humo contaminado de los convertidores” </w:t>
      </w:r>
    </w:p>
    <w:p w:rsidR="00014572" w:rsidRPr="000E0F90" w:rsidRDefault="0052575B" w:rsidP="00702D9A">
      <w:pPr>
        <w:spacing w:before="240" w:line="360" w:lineRule="auto"/>
        <w:rPr>
          <w:rFonts w:ascii="Arial" w:hAnsi="Arial" w:cs="Arial"/>
          <w:color w:val="000000" w:themeColor="text1"/>
        </w:rPr>
      </w:pPr>
      <w:r w:rsidRPr="000E0F90">
        <w:rPr>
          <w:rFonts w:ascii="Arial" w:hAnsi="Arial" w:cs="Arial"/>
          <w:color w:val="000000" w:themeColor="text1"/>
        </w:rPr>
        <w:t xml:space="preserve">Existe también preocupación por la </w:t>
      </w:r>
      <w:r w:rsidRPr="000E0F90">
        <w:rPr>
          <w:rFonts w:ascii="Arial" w:hAnsi="Arial" w:cs="Arial"/>
          <w:b/>
          <w:color w:val="000000" w:themeColor="text1"/>
        </w:rPr>
        <w:t>contaminación de agua y suelo por los desechos tóxicos proveniente de la minería</w:t>
      </w:r>
      <w:r w:rsidRPr="000E0F90">
        <w:rPr>
          <w:rFonts w:ascii="Arial" w:hAnsi="Arial" w:cs="Arial"/>
          <w:color w:val="000000" w:themeColor="text1"/>
        </w:rPr>
        <w:t>. Generándose</w:t>
      </w:r>
      <w:r w:rsidR="00D079E7" w:rsidRPr="000E0F90">
        <w:rPr>
          <w:rFonts w:ascii="Arial" w:hAnsi="Arial" w:cs="Arial"/>
          <w:color w:val="000000" w:themeColor="text1"/>
        </w:rPr>
        <w:t xml:space="preserve"> reparos frente a la posibilidad de contaminación de fuentes de agua, suelo, pérdida de vegetación nativa, por las operaciones</w:t>
      </w:r>
      <w:r w:rsidR="000628EE" w:rsidRPr="000E0F90">
        <w:rPr>
          <w:rFonts w:ascii="Arial" w:hAnsi="Arial" w:cs="Arial"/>
          <w:color w:val="000000" w:themeColor="text1"/>
        </w:rPr>
        <w:t xml:space="preserve"> mineras</w:t>
      </w:r>
      <w:r w:rsidR="00D079E7" w:rsidRPr="000E0F90">
        <w:rPr>
          <w:rFonts w:ascii="Arial" w:hAnsi="Arial" w:cs="Arial"/>
          <w:color w:val="000000" w:themeColor="text1"/>
        </w:rPr>
        <w:t xml:space="preserve">. </w:t>
      </w:r>
      <w:r w:rsidR="00770869" w:rsidRPr="000E0F90">
        <w:rPr>
          <w:rFonts w:ascii="Arial" w:hAnsi="Arial" w:cs="Arial"/>
          <w:color w:val="000000" w:themeColor="text1"/>
        </w:rPr>
        <w:t xml:space="preserve">Dentro de estos, </w:t>
      </w:r>
      <w:r w:rsidR="00B67E5A" w:rsidRPr="000E0F90">
        <w:rPr>
          <w:rFonts w:ascii="Arial" w:hAnsi="Arial" w:cs="Arial"/>
          <w:color w:val="000000" w:themeColor="text1"/>
        </w:rPr>
        <w:t>se señala:</w:t>
      </w:r>
    </w:p>
    <w:p w:rsidR="00E37D58" w:rsidRPr="000E0F90" w:rsidRDefault="00E37D58" w:rsidP="00702D9A">
      <w:pPr>
        <w:spacing w:before="240" w:line="360" w:lineRule="auto"/>
        <w:rPr>
          <w:rFonts w:ascii="Arial" w:hAnsi="Arial" w:cs="Arial"/>
          <w:color w:val="000000" w:themeColor="text1"/>
        </w:rPr>
      </w:pPr>
      <w:r w:rsidRPr="000E0F90">
        <w:rPr>
          <w:rFonts w:ascii="Arial" w:hAnsi="Arial" w:cs="Arial"/>
          <w:color w:val="000000" w:themeColor="text1"/>
        </w:rPr>
        <w:t xml:space="preserve">- </w:t>
      </w:r>
      <w:r w:rsidRPr="000E0F90">
        <w:rPr>
          <w:rFonts w:ascii="Arial" w:hAnsi="Arial" w:cs="Arial"/>
          <w:i/>
          <w:color w:val="000000" w:themeColor="text1"/>
        </w:rPr>
        <w:t xml:space="preserve">Los relaves de El Morro debieran tirarlos hacia el desierto donde no hay plantaciones y no hay sembradío de la gente, porque para la cuenca del río, se va a ir contaminando </w:t>
      </w:r>
      <w:r w:rsidRPr="000E0F90">
        <w:rPr>
          <w:rFonts w:ascii="Arial" w:hAnsi="Arial" w:cs="Arial"/>
          <w:i/>
          <w:color w:val="000000" w:themeColor="text1"/>
        </w:rPr>
        <w:lastRenderedPageBreak/>
        <w:t xml:space="preserve">el río para acá… Ahí cierran las quebradas, pero y la filtración por abajo, contaminan en el valle </w:t>
      </w:r>
      <w:r w:rsidRPr="000E0F90">
        <w:rPr>
          <w:rFonts w:ascii="Arial" w:hAnsi="Arial" w:cs="Arial"/>
          <w:color w:val="000000" w:themeColor="text1"/>
        </w:rPr>
        <w:t>(Sixto Segovia, Alto del Carmen).</w:t>
      </w:r>
    </w:p>
    <w:p w:rsidR="00770869" w:rsidRPr="000E0F90" w:rsidRDefault="00770869" w:rsidP="00702D9A">
      <w:pPr>
        <w:spacing w:before="240" w:line="360" w:lineRule="auto"/>
        <w:rPr>
          <w:rFonts w:ascii="Arial" w:hAnsi="Arial" w:cs="Arial"/>
          <w:color w:val="000000" w:themeColor="text1"/>
        </w:rPr>
      </w:pPr>
      <w:r w:rsidRPr="000E0F90">
        <w:rPr>
          <w:rFonts w:ascii="Arial" w:hAnsi="Arial" w:cs="Arial"/>
          <w:i/>
          <w:color w:val="000000" w:themeColor="text1"/>
        </w:rPr>
        <w:t>“…van a botar los relaves de la plata, y van a tirarlos en una quebrada que tiene un bosque de varillas de 2000 a 3000 años”</w:t>
      </w:r>
      <w:r w:rsidRPr="000E0F90">
        <w:rPr>
          <w:rFonts w:ascii="Arial" w:hAnsi="Arial" w:cs="Arial"/>
          <w:color w:val="000000" w:themeColor="text1"/>
        </w:rPr>
        <w:t xml:space="preserve"> (Alejandro Aracena, Tierra Amarilla). </w:t>
      </w:r>
    </w:p>
    <w:p w:rsidR="00770869" w:rsidRPr="000E0F90" w:rsidRDefault="00770869" w:rsidP="00702D9A">
      <w:pPr>
        <w:spacing w:before="240" w:line="360" w:lineRule="auto"/>
        <w:rPr>
          <w:rFonts w:ascii="Arial" w:hAnsi="Arial" w:cs="Arial"/>
          <w:color w:val="000000" w:themeColor="text1"/>
        </w:rPr>
      </w:pPr>
      <w:r w:rsidRPr="000E0F90">
        <w:rPr>
          <w:rFonts w:ascii="Arial" w:hAnsi="Arial" w:cs="Arial"/>
          <w:color w:val="000000" w:themeColor="text1"/>
        </w:rPr>
        <w:t xml:space="preserve">- </w:t>
      </w:r>
      <w:r w:rsidRPr="000E0F90">
        <w:rPr>
          <w:rFonts w:ascii="Arial" w:hAnsi="Arial" w:cs="Arial"/>
          <w:i/>
          <w:color w:val="000000" w:themeColor="text1"/>
        </w:rPr>
        <w:t xml:space="preserve">“Si tú ves ese tranque Los Rumanos, geológicamente no debiera estar. Fue construido en una falla geológica, y es tanto el sector que ahora… mira…” </w:t>
      </w:r>
      <w:r w:rsidRPr="000E0F90">
        <w:rPr>
          <w:rFonts w:ascii="Arial" w:hAnsi="Arial" w:cs="Arial"/>
          <w:color w:val="000000" w:themeColor="text1"/>
        </w:rPr>
        <w:t>(Alejandro Aracena, Tierra Amarilla)</w:t>
      </w:r>
    </w:p>
    <w:p w:rsidR="00D079E7" w:rsidRPr="000E0F90" w:rsidRDefault="00D079E7" w:rsidP="00702D9A">
      <w:pPr>
        <w:spacing w:before="240" w:line="360" w:lineRule="auto"/>
        <w:rPr>
          <w:rFonts w:ascii="Arial" w:hAnsi="Arial" w:cs="Arial"/>
          <w:i/>
          <w:color w:val="000000" w:themeColor="text1"/>
        </w:rPr>
      </w:pPr>
      <w:r w:rsidRPr="000E0F90">
        <w:rPr>
          <w:rFonts w:ascii="Arial" w:hAnsi="Arial" w:cs="Arial"/>
          <w:color w:val="000000" w:themeColor="text1"/>
        </w:rPr>
        <w:t>Del mismo modo se originan aprensiones en relación a</w:t>
      </w:r>
      <w:r w:rsidR="00182907" w:rsidRPr="000E0F90">
        <w:rPr>
          <w:rFonts w:ascii="Arial" w:hAnsi="Arial" w:cs="Arial"/>
          <w:color w:val="000000" w:themeColor="text1"/>
        </w:rPr>
        <w:t xml:space="preserve"> malas prácticas</w:t>
      </w:r>
      <w:r w:rsidRPr="000E0F90">
        <w:rPr>
          <w:rFonts w:ascii="Arial" w:hAnsi="Arial" w:cs="Arial"/>
          <w:color w:val="000000" w:themeColor="text1"/>
        </w:rPr>
        <w:t xml:space="preserve"> </w:t>
      </w:r>
      <w:r w:rsidR="00DC5F5D" w:rsidRPr="000E0F90">
        <w:rPr>
          <w:rFonts w:ascii="Arial" w:hAnsi="Arial" w:cs="Arial"/>
          <w:color w:val="000000" w:themeColor="text1"/>
        </w:rPr>
        <w:t>evidenciadas en las faenas</w:t>
      </w:r>
      <w:r w:rsidRPr="000E0F90">
        <w:rPr>
          <w:rFonts w:ascii="Arial" w:hAnsi="Arial" w:cs="Arial"/>
          <w:color w:val="000000" w:themeColor="text1"/>
        </w:rPr>
        <w:t xml:space="preserve"> minera</w:t>
      </w:r>
      <w:r w:rsidR="00DC5F5D" w:rsidRPr="000E0F90">
        <w:rPr>
          <w:rFonts w:ascii="Arial" w:hAnsi="Arial" w:cs="Arial"/>
          <w:color w:val="000000" w:themeColor="text1"/>
        </w:rPr>
        <w:t>s</w:t>
      </w:r>
      <w:r w:rsidRPr="000E0F90">
        <w:rPr>
          <w:rFonts w:ascii="Arial" w:hAnsi="Arial" w:cs="Arial"/>
          <w:color w:val="000000" w:themeColor="text1"/>
        </w:rPr>
        <w:t>, que pudiese contaminar el suelo y las fuentes de agua, como es el entierro de basura en la cordillera, la contaminación de glaciares y la contaminación de suelos agrícolas, entre otros</w:t>
      </w:r>
      <w:r w:rsidRPr="000E0F90">
        <w:rPr>
          <w:rFonts w:ascii="Arial" w:hAnsi="Arial" w:cs="Arial"/>
          <w:i/>
          <w:color w:val="000000" w:themeColor="text1"/>
        </w:rPr>
        <w:t xml:space="preserve"> </w:t>
      </w:r>
      <w:r w:rsidRPr="000E0F90">
        <w:rPr>
          <w:rFonts w:ascii="Arial" w:hAnsi="Arial" w:cs="Arial"/>
          <w:color w:val="000000" w:themeColor="text1"/>
        </w:rPr>
        <w:t>(Sara Ceriche, Alto del Carmen)</w:t>
      </w:r>
      <w:r w:rsidRPr="000E0F90">
        <w:rPr>
          <w:rFonts w:ascii="Arial" w:hAnsi="Arial" w:cs="Arial"/>
          <w:i/>
          <w:color w:val="000000" w:themeColor="text1"/>
        </w:rPr>
        <w:t xml:space="preserve"> </w:t>
      </w:r>
      <w:r w:rsidRPr="000E0F90">
        <w:rPr>
          <w:rFonts w:ascii="Arial" w:hAnsi="Arial" w:cs="Arial"/>
          <w:color w:val="000000" w:themeColor="text1"/>
        </w:rPr>
        <w:t>(Alejandro Aracena, Tierra Amarilla)</w:t>
      </w:r>
      <w:r w:rsidR="00F946A5" w:rsidRPr="000E0F90">
        <w:rPr>
          <w:rFonts w:ascii="Arial" w:hAnsi="Arial" w:cs="Arial"/>
          <w:color w:val="000000" w:themeColor="text1"/>
        </w:rPr>
        <w:t xml:space="preserve"> (Sixto Segovia, Alto del Carmen).</w:t>
      </w:r>
    </w:p>
    <w:p w:rsidR="00D079E7" w:rsidRPr="000E0F90" w:rsidRDefault="00D079E7" w:rsidP="00702D9A">
      <w:pPr>
        <w:spacing w:before="240" w:line="360" w:lineRule="auto"/>
        <w:rPr>
          <w:rFonts w:ascii="Arial" w:hAnsi="Arial" w:cs="Arial"/>
          <w:color w:val="000000" w:themeColor="text1"/>
        </w:rPr>
      </w:pPr>
      <w:r w:rsidRPr="000E0F90">
        <w:rPr>
          <w:rFonts w:ascii="Arial" w:hAnsi="Arial" w:cs="Arial"/>
          <w:color w:val="000000" w:themeColor="text1"/>
        </w:rPr>
        <w:t xml:space="preserve">Cabe señalar que gran parte de estos impactos han sido identificados por la institucionalidad vigente o bien por la propia minera, al recibir los reclamos de las comunidades, elaborándose planes de mitigación de impactos. Sin embargo, éstos </w:t>
      </w:r>
      <w:r w:rsidR="00B74FEE" w:rsidRPr="000E0F90">
        <w:rPr>
          <w:rFonts w:ascii="Arial" w:hAnsi="Arial" w:cs="Arial"/>
          <w:color w:val="000000" w:themeColor="text1"/>
        </w:rPr>
        <w:t>se consideran insuficientes por</w:t>
      </w:r>
      <w:r w:rsidR="00B67E5A" w:rsidRPr="000E0F90">
        <w:rPr>
          <w:rFonts w:ascii="Arial" w:hAnsi="Arial" w:cs="Arial"/>
          <w:color w:val="000000" w:themeColor="text1"/>
        </w:rPr>
        <w:t xml:space="preserve"> los habitantes</w:t>
      </w:r>
      <w:r w:rsidR="00770869" w:rsidRPr="000E0F90">
        <w:rPr>
          <w:rFonts w:ascii="Arial" w:hAnsi="Arial" w:cs="Arial"/>
          <w:color w:val="000000" w:themeColor="text1"/>
        </w:rPr>
        <w:t>. Esto queda plasmado en el relato que realiza Alejandro Aracena: “</w:t>
      </w:r>
      <w:r w:rsidR="00770869" w:rsidRPr="000E0F90">
        <w:rPr>
          <w:rFonts w:ascii="Arial" w:hAnsi="Arial" w:cs="Arial"/>
          <w:i/>
          <w:color w:val="000000" w:themeColor="text1"/>
        </w:rPr>
        <w:t>Se está mitigando en un 20-25%. Si Candelaria me dice que riega para que … y yo veo igual las columnas de tierra que viene al valle en horas que no se controla, no se riega, ya hay… ellos tienen horas para producir los disparos, que se llaman, pero igual vemos la tierra llegar allá</w:t>
      </w:r>
      <w:r w:rsidR="00770869" w:rsidRPr="000E0F90">
        <w:rPr>
          <w:rFonts w:ascii="Arial" w:hAnsi="Arial" w:cs="Arial"/>
          <w:color w:val="000000" w:themeColor="text1"/>
        </w:rPr>
        <w:t xml:space="preserve">”. </w:t>
      </w:r>
      <w:r w:rsidR="00F946A5" w:rsidRPr="000E0F90">
        <w:rPr>
          <w:rFonts w:ascii="Arial" w:hAnsi="Arial" w:cs="Arial"/>
          <w:color w:val="000000" w:themeColor="text1"/>
        </w:rPr>
        <w:t xml:space="preserve"> (A</w:t>
      </w:r>
      <w:r w:rsidRPr="000E0F90">
        <w:rPr>
          <w:rFonts w:ascii="Arial" w:hAnsi="Arial" w:cs="Arial"/>
          <w:color w:val="000000" w:themeColor="text1"/>
        </w:rPr>
        <w:t>lejandro Aracena</w:t>
      </w:r>
      <w:r w:rsidR="00F946A5" w:rsidRPr="000E0F90">
        <w:rPr>
          <w:rFonts w:ascii="Arial" w:hAnsi="Arial" w:cs="Arial"/>
          <w:color w:val="000000" w:themeColor="text1"/>
        </w:rPr>
        <w:t>, Tierra Amarilla).</w:t>
      </w:r>
      <w:r w:rsidRPr="000E0F90">
        <w:rPr>
          <w:rFonts w:ascii="Arial" w:hAnsi="Arial" w:cs="Arial"/>
          <w:color w:val="000000" w:themeColor="text1"/>
        </w:rPr>
        <w:t xml:space="preserve"> Esta situación se considera como una escasa vinculación de la minera en el territorio, donde la mirada de territorio de la minería se circunscribe a los límites de su propiedad</w:t>
      </w:r>
      <w:r w:rsidR="00770869" w:rsidRPr="000E0F90">
        <w:rPr>
          <w:rFonts w:ascii="Arial" w:hAnsi="Arial" w:cs="Arial"/>
          <w:color w:val="000000" w:themeColor="text1"/>
        </w:rPr>
        <w:t>.</w:t>
      </w:r>
    </w:p>
    <w:p w:rsidR="00770869" w:rsidRPr="000E0F90" w:rsidRDefault="00D079E7" w:rsidP="00702D9A">
      <w:pPr>
        <w:spacing w:before="240" w:line="360" w:lineRule="auto"/>
        <w:rPr>
          <w:rFonts w:ascii="Arial" w:hAnsi="Arial" w:cs="Arial"/>
          <w:color w:val="000000" w:themeColor="text1"/>
        </w:rPr>
      </w:pPr>
      <w:r w:rsidRPr="000E0F90">
        <w:rPr>
          <w:rFonts w:ascii="Arial" w:hAnsi="Arial" w:cs="Arial"/>
          <w:color w:val="000000" w:themeColor="text1"/>
        </w:rPr>
        <w:t xml:space="preserve">Un aspecto particular que fue identificado en las entrevistas, son los </w:t>
      </w:r>
      <w:r w:rsidRPr="000E0F90">
        <w:rPr>
          <w:rFonts w:ascii="Arial" w:hAnsi="Arial" w:cs="Arial"/>
          <w:b/>
          <w:color w:val="000000" w:themeColor="text1"/>
        </w:rPr>
        <w:t>efectos de legado medioambiental</w:t>
      </w:r>
      <w:r w:rsidRPr="000E0F90">
        <w:rPr>
          <w:rFonts w:ascii="Arial" w:hAnsi="Arial" w:cs="Arial"/>
          <w:color w:val="000000" w:themeColor="text1"/>
        </w:rPr>
        <w:t>, considerados particularmente relevantes, dado su instauración en el territorio desde períodos precolombinos y su persiste</w:t>
      </w:r>
      <w:r w:rsidR="00212F51" w:rsidRPr="000E0F90">
        <w:rPr>
          <w:rFonts w:ascii="Arial" w:hAnsi="Arial" w:cs="Arial"/>
          <w:color w:val="000000" w:themeColor="text1"/>
        </w:rPr>
        <w:t>ncia en el presente y al futuro.</w:t>
      </w:r>
      <w:r w:rsidRPr="000E0F90">
        <w:rPr>
          <w:rFonts w:ascii="Arial" w:hAnsi="Arial" w:cs="Arial"/>
          <w:color w:val="000000" w:themeColor="text1"/>
        </w:rPr>
        <w:t xml:space="preserve"> </w:t>
      </w:r>
      <w:r w:rsidR="00770869" w:rsidRPr="000E0F90">
        <w:rPr>
          <w:rFonts w:ascii="Arial" w:hAnsi="Arial" w:cs="Arial"/>
          <w:color w:val="000000" w:themeColor="text1"/>
        </w:rPr>
        <w:t xml:space="preserve">Es así como lo señala Alejandro Aracena, </w:t>
      </w:r>
      <w:r w:rsidR="00770869" w:rsidRPr="000E0F90">
        <w:rPr>
          <w:rFonts w:ascii="Arial" w:hAnsi="Arial" w:cs="Arial"/>
          <w:i/>
          <w:color w:val="000000" w:themeColor="text1"/>
        </w:rPr>
        <w:t>“O sea, el hecho de conocer tan bien la región, estoy viendo el daño que nos están haciendo al medio ambiente, que no solo es histórico es permanente y va a seguir. Y va a seguir porque la contaminación no la paran, no la para nadie”.</w:t>
      </w:r>
    </w:p>
    <w:p w:rsidR="00770869" w:rsidRPr="000E0F90" w:rsidRDefault="0052575B" w:rsidP="00702D9A">
      <w:pPr>
        <w:spacing w:before="240" w:line="360" w:lineRule="auto"/>
        <w:rPr>
          <w:rFonts w:ascii="Arial" w:hAnsi="Arial" w:cs="Arial"/>
          <w:i/>
          <w:color w:val="000000" w:themeColor="text1"/>
        </w:rPr>
      </w:pPr>
      <w:r w:rsidRPr="000E0F90">
        <w:rPr>
          <w:rFonts w:ascii="Arial" w:hAnsi="Arial" w:cs="Arial"/>
          <w:color w:val="000000" w:themeColor="text1"/>
        </w:rPr>
        <w:lastRenderedPageBreak/>
        <w:t xml:space="preserve">Existe también preocupación por la </w:t>
      </w:r>
      <w:r w:rsidRPr="000E0F90">
        <w:rPr>
          <w:rFonts w:ascii="Arial" w:hAnsi="Arial" w:cs="Arial"/>
          <w:b/>
          <w:color w:val="000000" w:themeColor="text1"/>
        </w:rPr>
        <w:t>contaminación de agua y suelo</w:t>
      </w:r>
      <w:r w:rsidRPr="000E0F90">
        <w:rPr>
          <w:rFonts w:ascii="Arial" w:hAnsi="Arial" w:cs="Arial"/>
          <w:color w:val="000000" w:themeColor="text1"/>
        </w:rPr>
        <w:t xml:space="preserve"> por los desechos tóxicos proveniente de la minería pasada. Por una parte se atribuye esta contaminación por la gran existencia de pasivos ambientales en el territorio, como relaves, botaderos y plantas abandonadas desde los inicios de la actividad minera en la región, que son considerados una fuente de contaminación activa y permanente del agua y suelo</w:t>
      </w:r>
      <w:r w:rsidR="00212F51" w:rsidRPr="000E0F90">
        <w:rPr>
          <w:rFonts w:ascii="Arial" w:hAnsi="Arial" w:cs="Arial"/>
          <w:color w:val="000000" w:themeColor="text1"/>
        </w:rPr>
        <w:t>.</w:t>
      </w:r>
      <w:r w:rsidR="00F946A5" w:rsidRPr="000E0F90">
        <w:rPr>
          <w:rFonts w:ascii="Arial" w:hAnsi="Arial" w:cs="Arial"/>
          <w:color w:val="000000" w:themeColor="text1"/>
        </w:rPr>
        <w:t xml:space="preserve"> </w:t>
      </w:r>
      <w:r w:rsidR="00770869" w:rsidRPr="000E0F90">
        <w:rPr>
          <w:rFonts w:ascii="Arial" w:hAnsi="Arial" w:cs="Arial"/>
          <w:color w:val="000000" w:themeColor="text1"/>
        </w:rPr>
        <w:t>En referencia a este aspecto los entrevistados manifiestan su preocupación: “</w:t>
      </w:r>
      <w:r w:rsidR="00770869" w:rsidRPr="000E0F90">
        <w:rPr>
          <w:rFonts w:ascii="Arial" w:hAnsi="Arial" w:cs="Arial"/>
          <w:i/>
          <w:color w:val="000000" w:themeColor="text1"/>
        </w:rPr>
        <w:t>Entonces este valle, está contaminado…hay relaves con mercurio</w:t>
      </w:r>
      <w:r w:rsidR="00770869" w:rsidRPr="000E0F90">
        <w:rPr>
          <w:rFonts w:ascii="Arial" w:hAnsi="Arial" w:cs="Arial"/>
          <w:color w:val="000000" w:themeColor="text1"/>
        </w:rPr>
        <w:t>…</w:t>
      </w:r>
      <w:r w:rsidR="00770869" w:rsidRPr="000E0F90">
        <w:rPr>
          <w:rFonts w:ascii="Arial" w:hAnsi="Arial" w:cs="Arial"/>
          <w:i/>
          <w:color w:val="000000" w:themeColor="text1"/>
        </w:rPr>
        <w:t xml:space="preserve"> ésos minerales deberían haber sido depositados lejos de los ríos, lejos de los lugares donde hay agua, porqu</w:t>
      </w:r>
      <w:r w:rsidR="00B67E5A" w:rsidRPr="000E0F90">
        <w:rPr>
          <w:rFonts w:ascii="Arial" w:hAnsi="Arial" w:cs="Arial"/>
          <w:i/>
          <w:color w:val="000000" w:themeColor="text1"/>
        </w:rPr>
        <w:t>e la estamos consumiendo igual</w:t>
      </w:r>
      <w:r w:rsidR="00770869" w:rsidRPr="000E0F90">
        <w:rPr>
          <w:rFonts w:ascii="Arial" w:hAnsi="Arial" w:cs="Arial"/>
          <w:i/>
          <w:color w:val="000000" w:themeColor="text1"/>
        </w:rPr>
        <w:t>…Cuando llueve, la filtración de ese mercurio va hacia las napas, y Copiapó, Tierra Amarilla y Caldera tomamos agua de las napas. Por lo tanto, sigue</w:t>
      </w:r>
      <w:r w:rsidR="00770869" w:rsidRPr="000E0F90">
        <w:rPr>
          <w:rFonts w:ascii="Arial" w:hAnsi="Arial" w:cs="Arial"/>
          <w:color w:val="000000" w:themeColor="text1"/>
        </w:rPr>
        <w:t xml:space="preserve"> presente</w:t>
      </w:r>
      <w:r w:rsidR="00770869" w:rsidRPr="000E0F90">
        <w:rPr>
          <w:rFonts w:ascii="Arial" w:hAnsi="Arial" w:cs="Arial"/>
          <w:i/>
          <w:color w:val="000000" w:themeColor="text1"/>
        </w:rPr>
        <w:t>”</w:t>
      </w:r>
      <w:r w:rsidR="00770869" w:rsidRPr="000E0F90">
        <w:rPr>
          <w:rFonts w:ascii="Arial" w:hAnsi="Arial" w:cs="Arial"/>
          <w:color w:val="000000" w:themeColor="text1"/>
        </w:rPr>
        <w:t xml:space="preserve"> (Alejandro Aracena, Tierra Amarilla).</w:t>
      </w:r>
    </w:p>
    <w:p w:rsidR="0071786A" w:rsidRPr="000E0F90" w:rsidRDefault="00D079E7" w:rsidP="00702D9A">
      <w:pPr>
        <w:spacing w:before="240" w:after="0" w:line="360" w:lineRule="auto"/>
        <w:rPr>
          <w:rFonts w:ascii="Arial" w:hAnsi="Arial" w:cs="Arial"/>
          <w:i/>
          <w:color w:val="000000" w:themeColor="text1"/>
        </w:rPr>
      </w:pPr>
      <w:r w:rsidRPr="000E0F90">
        <w:rPr>
          <w:rFonts w:ascii="Arial" w:hAnsi="Arial" w:cs="Arial"/>
          <w:color w:val="000000" w:themeColor="text1"/>
        </w:rPr>
        <w:t>Cabe destacar  la visión que se tiene del pasado en relación al uso que se hace del territorio y los efectos que se han trasladado al presente. Dentro de éstos</w:t>
      </w:r>
      <w:r w:rsidR="00182907" w:rsidRPr="000E0F90">
        <w:rPr>
          <w:rFonts w:ascii="Arial" w:hAnsi="Arial" w:cs="Arial"/>
          <w:color w:val="000000" w:themeColor="text1"/>
        </w:rPr>
        <w:t>,</w:t>
      </w:r>
      <w:r w:rsidRPr="000E0F90">
        <w:rPr>
          <w:rFonts w:ascii="Arial" w:hAnsi="Arial" w:cs="Arial"/>
          <w:color w:val="000000" w:themeColor="text1"/>
        </w:rPr>
        <w:t xml:space="preserve"> la deforestación es señalada como un efecto significativo y permanente en el territorio, </w:t>
      </w:r>
      <w:r w:rsidR="00CB35EB" w:rsidRPr="000E0F90">
        <w:rPr>
          <w:rFonts w:ascii="Arial" w:hAnsi="Arial" w:cs="Arial"/>
          <w:color w:val="000000" w:themeColor="text1"/>
        </w:rPr>
        <w:t xml:space="preserve">producto de la fundación de ciudades y de </w:t>
      </w:r>
      <w:r w:rsidRPr="000E0F90">
        <w:rPr>
          <w:rFonts w:ascii="Arial" w:hAnsi="Arial" w:cs="Arial"/>
          <w:color w:val="000000" w:themeColor="text1"/>
        </w:rPr>
        <w:t>la creciente actividad minera que se desarrolló en el territorio en el siglo XIX</w:t>
      </w:r>
      <w:r w:rsidR="00CB35EB" w:rsidRPr="000E0F90">
        <w:rPr>
          <w:rFonts w:ascii="Arial" w:hAnsi="Arial" w:cs="Arial"/>
          <w:color w:val="000000" w:themeColor="text1"/>
        </w:rPr>
        <w:t xml:space="preserve">. </w:t>
      </w:r>
      <w:r w:rsidR="00770869" w:rsidRPr="000E0F90">
        <w:rPr>
          <w:rFonts w:ascii="Arial" w:hAnsi="Arial" w:cs="Arial"/>
          <w:color w:val="000000" w:themeColor="text1"/>
        </w:rPr>
        <w:t>Como lo expone Alejandro Aracena “</w:t>
      </w:r>
      <w:r w:rsidR="00770869" w:rsidRPr="000E0F90">
        <w:rPr>
          <w:rFonts w:ascii="Arial" w:hAnsi="Arial" w:cs="Arial"/>
          <w:i/>
          <w:color w:val="000000" w:themeColor="text1"/>
        </w:rPr>
        <w:t xml:space="preserve">…San Francisco de la Selva: era lleno de árboles, desde Caldera hasta 100 km. Y éste San Francisco de la Selva, que lleva ese nombre, que ahora tú ves que… Todo, todo, desde Caldera, María Isabel, la última hacienda hasta la cordillera, era un  bosque… Esto fue selva, el valle. </w:t>
      </w:r>
    </w:p>
    <w:p w:rsidR="00D079E7" w:rsidRPr="000E0F90" w:rsidRDefault="00D079E7" w:rsidP="00702D9A">
      <w:pPr>
        <w:spacing w:before="240" w:after="0" w:line="360" w:lineRule="auto"/>
        <w:rPr>
          <w:rFonts w:ascii="Arial" w:hAnsi="Arial" w:cs="Arial"/>
          <w:color w:val="000000" w:themeColor="text1"/>
        </w:rPr>
      </w:pPr>
      <w:r w:rsidRPr="000E0F90">
        <w:rPr>
          <w:rFonts w:ascii="Arial" w:hAnsi="Arial" w:cs="Arial"/>
          <w:color w:val="000000" w:themeColor="text1"/>
        </w:rPr>
        <w:t xml:space="preserve">Cabe destacar una interesante apreciación que realiza Alejandro Aracena de las acciones pasadas </w:t>
      </w:r>
      <w:r w:rsidRPr="000E0F90">
        <w:rPr>
          <w:rFonts w:ascii="Arial" w:hAnsi="Arial" w:cs="Arial"/>
          <w:i/>
          <w:color w:val="000000" w:themeColor="text1"/>
        </w:rPr>
        <w:t>“Y digo por qué no se cuidó, por qué no cuidamos nosotros los que teníamos”,</w:t>
      </w:r>
      <w:r w:rsidRPr="000E0F90">
        <w:rPr>
          <w:rFonts w:ascii="Arial" w:hAnsi="Arial" w:cs="Arial"/>
          <w:color w:val="000000" w:themeColor="text1"/>
        </w:rPr>
        <w:t xml:space="preserve"> evidenciando que el paradigma pasado fue el causante de los impactos medioam</w:t>
      </w:r>
      <w:r w:rsidR="00182907" w:rsidRPr="000E0F90">
        <w:rPr>
          <w:rFonts w:ascii="Arial" w:hAnsi="Arial" w:cs="Arial"/>
          <w:color w:val="000000" w:themeColor="text1"/>
        </w:rPr>
        <w:t>bientales del territorio actual</w:t>
      </w:r>
      <w:r w:rsidR="00CB35EB" w:rsidRPr="000E0F90">
        <w:rPr>
          <w:rFonts w:ascii="Arial" w:hAnsi="Arial" w:cs="Arial"/>
          <w:color w:val="000000" w:themeColor="text1"/>
        </w:rPr>
        <w:t>, haciéndose parte de la problemática.</w:t>
      </w:r>
    </w:p>
    <w:p w:rsidR="00F44937" w:rsidRPr="000E0F90" w:rsidRDefault="00D079E7" w:rsidP="00702D9A">
      <w:pPr>
        <w:spacing w:before="240" w:after="0" w:line="360" w:lineRule="auto"/>
        <w:rPr>
          <w:rFonts w:ascii="Arial" w:hAnsi="Arial" w:cs="Arial"/>
          <w:b/>
          <w:color w:val="000000" w:themeColor="text1"/>
        </w:rPr>
      </w:pPr>
      <w:r w:rsidRPr="000E0F90">
        <w:rPr>
          <w:rFonts w:ascii="Arial" w:hAnsi="Arial" w:cs="Arial"/>
          <w:b/>
          <w:color w:val="000000" w:themeColor="text1"/>
        </w:rPr>
        <w:t>7</w:t>
      </w:r>
      <w:r w:rsidR="00FC7E07" w:rsidRPr="000E0F90">
        <w:rPr>
          <w:rFonts w:ascii="Arial" w:hAnsi="Arial" w:cs="Arial"/>
          <w:b/>
          <w:color w:val="000000" w:themeColor="text1"/>
        </w:rPr>
        <w:t xml:space="preserve">. </w:t>
      </w:r>
      <w:r w:rsidR="007D35AF" w:rsidRPr="000E0F90">
        <w:rPr>
          <w:rFonts w:ascii="Arial" w:hAnsi="Arial" w:cs="Arial"/>
          <w:b/>
          <w:color w:val="000000" w:themeColor="text1"/>
        </w:rPr>
        <w:t>Agua:</w:t>
      </w:r>
    </w:p>
    <w:p w:rsidR="006F2B3F" w:rsidRPr="000E0F90" w:rsidRDefault="00FB32CA" w:rsidP="00702D9A">
      <w:pPr>
        <w:spacing w:line="360" w:lineRule="auto"/>
        <w:rPr>
          <w:rFonts w:ascii="Arial" w:hAnsi="Arial" w:cs="Arial"/>
          <w:color w:val="000000" w:themeColor="text1"/>
        </w:rPr>
      </w:pPr>
      <w:r w:rsidRPr="000E0F90">
        <w:rPr>
          <w:rFonts w:ascii="Arial" w:hAnsi="Arial" w:cs="Arial"/>
          <w:color w:val="000000" w:themeColor="text1"/>
        </w:rPr>
        <w:t>El agua es un aspecto de interés particular para los entrevistados, por el riesgo de contaminación así como el impacto en la disponibilidad del recurso derivado de las actividades productivas. La</w:t>
      </w:r>
      <w:r w:rsidR="006F2B3F" w:rsidRPr="000E0F90">
        <w:rPr>
          <w:rFonts w:ascii="Arial" w:hAnsi="Arial" w:cs="Arial"/>
          <w:color w:val="000000" w:themeColor="text1"/>
        </w:rPr>
        <w:t xml:space="preserve"> preocupación en la </w:t>
      </w:r>
      <w:r w:rsidR="006F2B3F" w:rsidRPr="000E0F90">
        <w:rPr>
          <w:rFonts w:ascii="Arial" w:hAnsi="Arial" w:cs="Arial"/>
          <w:b/>
          <w:color w:val="000000" w:themeColor="text1"/>
        </w:rPr>
        <w:t>disponibilidad de agua</w:t>
      </w:r>
      <w:r w:rsidR="006F2B3F" w:rsidRPr="000E0F90">
        <w:rPr>
          <w:rFonts w:ascii="Arial" w:hAnsi="Arial" w:cs="Arial"/>
          <w:color w:val="000000" w:themeColor="text1"/>
        </w:rPr>
        <w:t>, se origina a raíz de la escasez latente del recurso en el valle, dado que es un recurso se encuentra</w:t>
      </w:r>
      <w:r w:rsidR="004544A1" w:rsidRPr="000E0F90">
        <w:rPr>
          <w:rFonts w:ascii="Arial" w:hAnsi="Arial" w:cs="Arial"/>
          <w:color w:val="000000" w:themeColor="text1"/>
        </w:rPr>
        <w:t xml:space="preserve"> permanentemente</w:t>
      </w:r>
      <w:r w:rsidR="006F2B3F" w:rsidRPr="000E0F90">
        <w:rPr>
          <w:rFonts w:ascii="Arial" w:hAnsi="Arial" w:cs="Arial"/>
          <w:color w:val="000000" w:themeColor="text1"/>
        </w:rPr>
        <w:t xml:space="preserve"> en niveles críticos. </w:t>
      </w:r>
      <w:r w:rsidR="009F22EB">
        <w:rPr>
          <w:rFonts w:ascii="Arial" w:hAnsi="Arial" w:cs="Arial"/>
          <w:color w:val="000000" w:themeColor="text1"/>
        </w:rPr>
        <w:t>Gasto et al., (2015)</w:t>
      </w:r>
      <w:r w:rsidR="006F2B3F" w:rsidRPr="000E0F90">
        <w:rPr>
          <w:rFonts w:ascii="Arial" w:hAnsi="Arial" w:cs="Arial"/>
          <w:color w:val="000000" w:themeColor="text1"/>
        </w:rPr>
        <w:t xml:space="preserve"> </w:t>
      </w:r>
      <w:r w:rsidR="00A3142E" w:rsidRPr="000E0F90">
        <w:rPr>
          <w:rFonts w:ascii="Arial" w:hAnsi="Arial" w:cs="Arial"/>
          <w:color w:val="000000" w:themeColor="text1"/>
        </w:rPr>
        <w:t>plantean q</w:t>
      </w:r>
      <w:r w:rsidR="006F2B3F" w:rsidRPr="000E0F90">
        <w:rPr>
          <w:rFonts w:ascii="Arial" w:hAnsi="Arial" w:cs="Arial"/>
          <w:color w:val="000000" w:themeColor="text1"/>
        </w:rPr>
        <w:t xml:space="preserve">ue el agua es la principal limitante del valle para diversas actividades, particularmente la actividad </w:t>
      </w:r>
      <w:r w:rsidR="006F2B3F" w:rsidRPr="000E0F90">
        <w:rPr>
          <w:rFonts w:ascii="Arial" w:hAnsi="Arial" w:cs="Arial"/>
          <w:color w:val="000000" w:themeColor="text1"/>
        </w:rPr>
        <w:lastRenderedPageBreak/>
        <w:t xml:space="preserve">agrícola, </w:t>
      </w:r>
      <w:proofErr w:type="gramStart"/>
      <w:r w:rsidR="006F2B3F" w:rsidRPr="000E0F90">
        <w:rPr>
          <w:rFonts w:ascii="Arial" w:hAnsi="Arial" w:cs="Arial"/>
          <w:color w:val="000000" w:themeColor="text1"/>
        </w:rPr>
        <w:t>dado</w:t>
      </w:r>
      <w:proofErr w:type="gramEnd"/>
      <w:r w:rsidR="006F2B3F" w:rsidRPr="000E0F90">
        <w:rPr>
          <w:rFonts w:ascii="Arial" w:hAnsi="Arial" w:cs="Arial"/>
          <w:color w:val="000000" w:themeColor="text1"/>
        </w:rPr>
        <w:t xml:space="preserve"> por el incremento de la superficie </w:t>
      </w:r>
      <w:r w:rsidR="00A3142E" w:rsidRPr="000E0F90">
        <w:rPr>
          <w:rFonts w:ascii="Arial" w:hAnsi="Arial" w:cs="Arial"/>
          <w:color w:val="000000" w:themeColor="text1"/>
        </w:rPr>
        <w:t xml:space="preserve">e </w:t>
      </w:r>
      <w:r w:rsidR="006F2B3F" w:rsidRPr="000E0F90">
        <w:rPr>
          <w:rFonts w:ascii="Arial" w:hAnsi="Arial" w:cs="Arial"/>
          <w:color w:val="000000" w:themeColor="text1"/>
        </w:rPr>
        <w:t xml:space="preserve">intensificación de cultivos, y la </w:t>
      </w:r>
      <w:r w:rsidR="00A3142E" w:rsidRPr="000E0F90">
        <w:rPr>
          <w:rFonts w:ascii="Arial" w:hAnsi="Arial" w:cs="Arial"/>
          <w:color w:val="000000" w:themeColor="text1"/>
        </w:rPr>
        <w:t xml:space="preserve">llegada </w:t>
      </w:r>
      <w:r w:rsidR="006F2B3F" w:rsidRPr="000E0F90">
        <w:rPr>
          <w:rFonts w:ascii="Arial" w:hAnsi="Arial" w:cs="Arial"/>
          <w:color w:val="000000" w:themeColor="text1"/>
        </w:rPr>
        <w:t>de grandes proyectos de inversión agrícolas y mineras, amenaza</w:t>
      </w:r>
      <w:r w:rsidR="00A3142E" w:rsidRPr="000E0F90">
        <w:rPr>
          <w:rFonts w:ascii="Arial" w:hAnsi="Arial" w:cs="Arial"/>
          <w:color w:val="000000" w:themeColor="text1"/>
        </w:rPr>
        <w:t>ndo a</w:t>
      </w:r>
      <w:r w:rsidR="006F2B3F" w:rsidRPr="000E0F90">
        <w:rPr>
          <w:rFonts w:ascii="Arial" w:hAnsi="Arial" w:cs="Arial"/>
          <w:color w:val="000000" w:themeColor="text1"/>
        </w:rPr>
        <w:t xml:space="preserve"> la cuenca en su totalidad.</w:t>
      </w:r>
    </w:p>
    <w:p w:rsidR="00B67E5A" w:rsidRPr="000E0F90" w:rsidRDefault="006F2B3F" w:rsidP="00702D9A">
      <w:pPr>
        <w:spacing w:before="240" w:line="360" w:lineRule="auto"/>
        <w:rPr>
          <w:rFonts w:ascii="Arial" w:hAnsi="Arial" w:cs="Arial"/>
          <w:color w:val="000000" w:themeColor="text1"/>
        </w:rPr>
      </w:pPr>
      <w:r w:rsidRPr="000E0F90">
        <w:rPr>
          <w:rFonts w:ascii="Arial" w:hAnsi="Arial" w:cs="Arial"/>
          <w:color w:val="000000" w:themeColor="text1"/>
        </w:rPr>
        <w:t>De hecho, la utilización de los glaciares y aguas de los ríos para la minería, es considerada perjudicial para las actividades del valle, en particular por hacer uso del recurso en la cabecera de la cuenca, afectando la disponibilidad hídrica en sectores más abajo de la cuenca</w:t>
      </w:r>
      <w:r w:rsidR="00B67E5A" w:rsidRPr="000E0F90">
        <w:rPr>
          <w:rFonts w:ascii="Arial" w:hAnsi="Arial" w:cs="Arial"/>
          <w:color w:val="000000" w:themeColor="text1"/>
        </w:rPr>
        <w:t>.</w:t>
      </w:r>
      <w:r w:rsidR="00A3142E" w:rsidRPr="000E0F90">
        <w:rPr>
          <w:rFonts w:ascii="Arial" w:hAnsi="Arial" w:cs="Arial"/>
          <w:color w:val="000000" w:themeColor="text1"/>
        </w:rPr>
        <w:t xml:space="preserve"> </w:t>
      </w:r>
      <w:r w:rsidR="00B67E5A" w:rsidRPr="000E0F90">
        <w:rPr>
          <w:rFonts w:ascii="Arial" w:hAnsi="Arial" w:cs="Arial"/>
          <w:color w:val="000000" w:themeColor="text1"/>
        </w:rPr>
        <w:t>Est</w:t>
      </w:r>
      <w:r w:rsidR="00A3142E" w:rsidRPr="000E0F90">
        <w:rPr>
          <w:rFonts w:ascii="Arial" w:hAnsi="Arial" w:cs="Arial"/>
          <w:color w:val="000000" w:themeColor="text1"/>
        </w:rPr>
        <w:t>o</w:t>
      </w:r>
      <w:r w:rsidR="00B67E5A" w:rsidRPr="000E0F90">
        <w:rPr>
          <w:rFonts w:ascii="Arial" w:hAnsi="Arial" w:cs="Arial"/>
          <w:color w:val="000000" w:themeColor="text1"/>
        </w:rPr>
        <w:t xml:space="preserve">  se manifiesta con lo expresado por Sixto Segovia </w:t>
      </w:r>
      <w:r w:rsidR="00B67E5A" w:rsidRPr="000E0F90">
        <w:rPr>
          <w:rFonts w:ascii="Arial" w:hAnsi="Arial" w:cs="Arial"/>
          <w:i/>
          <w:color w:val="000000" w:themeColor="text1"/>
        </w:rPr>
        <w:t>“Pero me gustaría que trabajaran con agua desalinizada del mar porque así las cuencas no perderían su capacidad de agua poh. ¿Ya? Entonces no ocuparían el agua del riego ni de agua de bebida que tomamos aquí. Entonces por la parte ambiental sería… esa parte me gustaría que fuera”</w:t>
      </w:r>
      <w:r w:rsidR="00B67E5A" w:rsidRPr="000E0F90">
        <w:rPr>
          <w:rFonts w:ascii="Arial" w:hAnsi="Arial" w:cs="Arial"/>
          <w:color w:val="000000" w:themeColor="text1"/>
        </w:rPr>
        <w:t>.</w:t>
      </w:r>
    </w:p>
    <w:p w:rsidR="006F2B3F" w:rsidRPr="000E0F90" w:rsidRDefault="006F2B3F" w:rsidP="00702D9A">
      <w:pPr>
        <w:spacing w:before="240" w:line="360" w:lineRule="auto"/>
        <w:rPr>
          <w:rFonts w:ascii="Arial" w:hAnsi="Arial" w:cs="Arial"/>
          <w:color w:val="000000" w:themeColor="text1"/>
        </w:rPr>
      </w:pPr>
      <w:r w:rsidRPr="000E0F90">
        <w:rPr>
          <w:rFonts w:ascii="Arial" w:hAnsi="Arial" w:cs="Arial"/>
          <w:color w:val="000000" w:themeColor="text1"/>
        </w:rPr>
        <w:t xml:space="preserve">En relación a lo anterior, se considera que los derechos de agua no debiesen ser tratados como un bien de consumo, sin responsabilidad de los efectos posteriores que pueda tener el traspaso de los derechos a personas que no están vinculadas al territorio, </w:t>
      </w:r>
      <w:r w:rsidR="009C63B2" w:rsidRPr="000E0F90">
        <w:rPr>
          <w:rFonts w:ascii="Arial" w:hAnsi="Arial" w:cs="Arial"/>
          <w:color w:val="000000" w:themeColor="text1"/>
        </w:rPr>
        <w:t xml:space="preserve">dejando territorios sin posibilidad de acceder al recurso hídrico; </w:t>
      </w:r>
      <w:r w:rsidRPr="000E0F90">
        <w:rPr>
          <w:rFonts w:ascii="Arial" w:hAnsi="Arial" w:cs="Arial"/>
          <w:color w:val="000000" w:themeColor="text1"/>
        </w:rPr>
        <w:t xml:space="preserve">así como a la especulación económica del recurso </w:t>
      </w:r>
      <w:r w:rsidR="009C63B2" w:rsidRPr="000E0F90">
        <w:rPr>
          <w:rFonts w:ascii="Arial" w:hAnsi="Arial" w:cs="Arial"/>
          <w:color w:val="000000" w:themeColor="text1"/>
        </w:rPr>
        <w:t xml:space="preserve">desencadenando en </w:t>
      </w:r>
      <w:r w:rsidRPr="000E0F90">
        <w:rPr>
          <w:rFonts w:ascii="Arial" w:hAnsi="Arial" w:cs="Arial"/>
          <w:color w:val="000000" w:themeColor="text1"/>
        </w:rPr>
        <w:t xml:space="preserve">el mal uso del recurso. Situación que ha originado que la administración del recurso </w:t>
      </w:r>
      <w:r w:rsidR="009C63B2" w:rsidRPr="000E0F90">
        <w:rPr>
          <w:rFonts w:ascii="Arial" w:hAnsi="Arial" w:cs="Arial"/>
          <w:color w:val="000000" w:themeColor="text1"/>
        </w:rPr>
        <w:t>se rij</w:t>
      </w:r>
      <w:r w:rsidRPr="000E0F90">
        <w:rPr>
          <w:rFonts w:ascii="Arial" w:hAnsi="Arial" w:cs="Arial"/>
          <w:color w:val="000000" w:themeColor="text1"/>
        </w:rPr>
        <w:t>a por estándares económicos y no de acuerdo a las necesidades del valle</w:t>
      </w:r>
      <w:r w:rsidR="0039142D" w:rsidRPr="000E0F90">
        <w:rPr>
          <w:rFonts w:ascii="Arial" w:hAnsi="Arial" w:cs="Arial"/>
          <w:color w:val="000000" w:themeColor="text1"/>
        </w:rPr>
        <w:t xml:space="preserve"> (Fernando Flores, Vallenar).</w:t>
      </w:r>
    </w:p>
    <w:p w:rsidR="00CB35EB" w:rsidRPr="000E0F90" w:rsidRDefault="00FB32CA" w:rsidP="00702D9A">
      <w:pPr>
        <w:spacing w:before="240" w:line="360" w:lineRule="auto"/>
        <w:rPr>
          <w:rFonts w:ascii="Arial" w:hAnsi="Arial" w:cs="Arial"/>
          <w:i/>
          <w:color w:val="000000" w:themeColor="text1"/>
        </w:rPr>
      </w:pPr>
      <w:r w:rsidRPr="000E0F90">
        <w:rPr>
          <w:rFonts w:ascii="Arial" w:hAnsi="Arial" w:cs="Arial"/>
          <w:color w:val="000000" w:themeColor="text1"/>
        </w:rPr>
        <w:t>Por otra parte, l</w:t>
      </w:r>
      <w:r w:rsidR="0068143A" w:rsidRPr="000E0F90">
        <w:rPr>
          <w:rFonts w:ascii="Arial" w:hAnsi="Arial" w:cs="Arial"/>
          <w:color w:val="000000" w:themeColor="text1"/>
        </w:rPr>
        <w:t xml:space="preserve">a posibilidad de contaminación de las aguas con desechos de la minería se </w:t>
      </w:r>
      <w:r w:rsidR="00CC2ED5" w:rsidRPr="000E0F90">
        <w:rPr>
          <w:rFonts w:ascii="Arial" w:hAnsi="Arial" w:cs="Arial"/>
          <w:color w:val="000000" w:themeColor="text1"/>
        </w:rPr>
        <w:t xml:space="preserve">considera un riesgo latente, </w:t>
      </w:r>
      <w:r w:rsidR="003A4F70" w:rsidRPr="000E0F90">
        <w:rPr>
          <w:rFonts w:ascii="Arial" w:hAnsi="Arial" w:cs="Arial"/>
          <w:color w:val="000000" w:themeColor="text1"/>
        </w:rPr>
        <w:t>debido a la proximidad</w:t>
      </w:r>
      <w:r w:rsidR="00434D31" w:rsidRPr="000E0F90">
        <w:rPr>
          <w:rFonts w:ascii="Arial" w:hAnsi="Arial" w:cs="Arial"/>
          <w:color w:val="000000" w:themeColor="text1"/>
        </w:rPr>
        <w:t xml:space="preserve"> de fuentes de aguas superficiales y profundas</w:t>
      </w:r>
      <w:r w:rsidR="00182907" w:rsidRPr="000E0F90">
        <w:rPr>
          <w:rFonts w:ascii="Arial" w:hAnsi="Arial" w:cs="Arial"/>
          <w:color w:val="000000" w:themeColor="text1"/>
        </w:rPr>
        <w:t>,</w:t>
      </w:r>
      <w:r w:rsidR="00434D31" w:rsidRPr="000E0F90">
        <w:rPr>
          <w:rFonts w:ascii="Arial" w:hAnsi="Arial" w:cs="Arial"/>
          <w:color w:val="000000" w:themeColor="text1"/>
        </w:rPr>
        <w:t xml:space="preserve"> que son utilizadas para consumo humano y riego</w:t>
      </w:r>
      <w:r w:rsidR="00182907" w:rsidRPr="000E0F90">
        <w:rPr>
          <w:rFonts w:ascii="Arial" w:hAnsi="Arial" w:cs="Arial"/>
          <w:color w:val="000000" w:themeColor="text1"/>
        </w:rPr>
        <w:t>,</w:t>
      </w:r>
      <w:r w:rsidR="008C6AB4" w:rsidRPr="000E0F90">
        <w:rPr>
          <w:rFonts w:ascii="Arial" w:hAnsi="Arial" w:cs="Arial"/>
          <w:color w:val="000000" w:themeColor="text1"/>
        </w:rPr>
        <w:t xml:space="preserve"> con</w:t>
      </w:r>
      <w:r w:rsidR="003A4F70" w:rsidRPr="000E0F90">
        <w:rPr>
          <w:rFonts w:ascii="Arial" w:hAnsi="Arial" w:cs="Arial"/>
          <w:color w:val="000000" w:themeColor="text1"/>
        </w:rPr>
        <w:t xml:space="preserve"> relaves (operativos e inactivos), plantas abandonada</w:t>
      </w:r>
      <w:r w:rsidR="008C6AB4" w:rsidRPr="000E0F90">
        <w:rPr>
          <w:rFonts w:ascii="Arial" w:hAnsi="Arial" w:cs="Arial"/>
          <w:color w:val="000000" w:themeColor="text1"/>
        </w:rPr>
        <w:t>s y desechos mineros en general</w:t>
      </w:r>
      <w:r w:rsidR="00CB35EB" w:rsidRPr="000E0F90">
        <w:rPr>
          <w:rFonts w:ascii="Arial" w:hAnsi="Arial" w:cs="Arial"/>
          <w:color w:val="000000" w:themeColor="text1"/>
        </w:rPr>
        <w:t xml:space="preserve"> (Alejandro Aracena, Tierra Amarilla)</w:t>
      </w:r>
    </w:p>
    <w:p w:rsidR="00A3142E" w:rsidRPr="000E0F90" w:rsidRDefault="008C6AB4" w:rsidP="00702D9A">
      <w:pPr>
        <w:spacing w:before="240" w:line="360" w:lineRule="auto"/>
        <w:rPr>
          <w:rFonts w:ascii="Arial" w:hAnsi="Arial" w:cs="Arial"/>
          <w:color w:val="000000" w:themeColor="text1"/>
        </w:rPr>
      </w:pPr>
      <w:r w:rsidRPr="000E0F90">
        <w:rPr>
          <w:rFonts w:ascii="Arial" w:hAnsi="Arial" w:cs="Arial"/>
          <w:color w:val="000000" w:themeColor="text1"/>
        </w:rPr>
        <w:t>Por otro lado</w:t>
      </w:r>
      <w:r w:rsidR="00C63BCF" w:rsidRPr="000E0F90">
        <w:rPr>
          <w:rFonts w:ascii="Arial" w:hAnsi="Arial" w:cs="Arial"/>
          <w:color w:val="000000" w:themeColor="text1"/>
        </w:rPr>
        <w:t xml:space="preserve">, en la actualidad el recurso hídrico se percibe en riesgo de </w:t>
      </w:r>
      <w:r w:rsidRPr="000E0F90">
        <w:rPr>
          <w:rFonts w:ascii="Arial" w:hAnsi="Arial" w:cs="Arial"/>
          <w:color w:val="000000" w:themeColor="text1"/>
        </w:rPr>
        <w:t>contaminación</w:t>
      </w:r>
      <w:r w:rsidR="00C63BCF" w:rsidRPr="000E0F90">
        <w:rPr>
          <w:rFonts w:ascii="Arial" w:hAnsi="Arial" w:cs="Arial"/>
          <w:color w:val="000000" w:themeColor="text1"/>
        </w:rPr>
        <w:t>, debido mayormente a la ubicación de relaves en quebradas próximas a fuen</w:t>
      </w:r>
      <w:r w:rsidR="00A3142E" w:rsidRPr="000E0F90">
        <w:rPr>
          <w:rFonts w:ascii="Arial" w:hAnsi="Arial" w:cs="Arial"/>
          <w:color w:val="000000" w:themeColor="text1"/>
        </w:rPr>
        <w:t>tes de agua y suelos agrícolas (Sixto Segovia</w:t>
      </w:r>
      <w:r w:rsidR="00E37D58" w:rsidRPr="000E0F90">
        <w:rPr>
          <w:rFonts w:ascii="Arial" w:hAnsi="Arial" w:cs="Arial"/>
          <w:color w:val="000000" w:themeColor="text1"/>
        </w:rPr>
        <w:t>, Alto del Carmen</w:t>
      </w:r>
      <w:r w:rsidR="00A3142E" w:rsidRPr="000E0F90">
        <w:rPr>
          <w:rFonts w:ascii="Arial" w:hAnsi="Arial" w:cs="Arial"/>
          <w:color w:val="000000" w:themeColor="text1"/>
        </w:rPr>
        <w:t>).</w:t>
      </w:r>
    </w:p>
    <w:p w:rsidR="00CB35EB" w:rsidRPr="000E0F90" w:rsidRDefault="00CB35EB" w:rsidP="00702D9A">
      <w:pPr>
        <w:spacing w:before="240" w:line="360" w:lineRule="auto"/>
        <w:rPr>
          <w:rFonts w:ascii="Arial" w:hAnsi="Arial" w:cs="Arial"/>
          <w:color w:val="000000" w:themeColor="text1"/>
        </w:rPr>
      </w:pPr>
      <w:r w:rsidRPr="000E0F90">
        <w:rPr>
          <w:rFonts w:ascii="Arial" w:hAnsi="Arial" w:cs="Arial"/>
          <w:color w:val="000000" w:themeColor="text1"/>
        </w:rPr>
        <w:t xml:space="preserve">- </w:t>
      </w:r>
      <w:r w:rsidRPr="000E0F90">
        <w:rPr>
          <w:rFonts w:ascii="Arial" w:hAnsi="Arial" w:cs="Arial"/>
          <w:i/>
          <w:color w:val="000000" w:themeColor="text1"/>
        </w:rPr>
        <w:t>Los relaves de El Morro debieran tirarlos hacia el desierto donde no hay plantaciones y no hay sembradío de la gente, porque para la cuenca del río, se va a ir contaminando el río para acá… Ahí cierran las quebradas, pero y la filtración por abajo, contaminan en el valle.</w:t>
      </w:r>
      <w:r w:rsidRPr="000E0F90">
        <w:rPr>
          <w:rFonts w:ascii="Arial" w:hAnsi="Arial" w:cs="Arial"/>
          <w:color w:val="000000" w:themeColor="text1"/>
        </w:rPr>
        <w:t xml:space="preserve"> (Sixto Segovia).</w:t>
      </w:r>
    </w:p>
    <w:p w:rsidR="00CB35EB" w:rsidRPr="000E0F90" w:rsidRDefault="00CB35EB" w:rsidP="00702D9A">
      <w:pPr>
        <w:spacing w:before="240" w:line="360" w:lineRule="auto"/>
        <w:rPr>
          <w:rFonts w:ascii="Arial" w:hAnsi="Arial" w:cs="Arial"/>
          <w:color w:val="000000" w:themeColor="text1"/>
        </w:rPr>
      </w:pPr>
      <w:r w:rsidRPr="000E0F90">
        <w:rPr>
          <w:rFonts w:ascii="Arial" w:hAnsi="Arial" w:cs="Arial"/>
          <w:color w:val="000000" w:themeColor="text1"/>
        </w:rPr>
        <w:lastRenderedPageBreak/>
        <w:t xml:space="preserve">- </w:t>
      </w:r>
      <w:r w:rsidRPr="000E0F90">
        <w:rPr>
          <w:rFonts w:ascii="Arial" w:hAnsi="Arial" w:cs="Arial"/>
          <w:i/>
          <w:color w:val="000000" w:themeColor="text1"/>
        </w:rPr>
        <w:t>Claro, tenían el relave ahí, así que no… Contaminaron al tiro y contaminaron al tiro el río ese que baja el agua (Sara Ceriche).</w:t>
      </w:r>
    </w:p>
    <w:p w:rsidR="00C612A0" w:rsidRPr="000E0F90" w:rsidRDefault="00FB32CA" w:rsidP="00702D9A">
      <w:pPr>
        <w:spacing w:before="240" w:line="360" w:lineRule="auto"/>
        <w:rPr>
          <w:rFonts w:ascii="Arial" w:hAnsi="Arial" w:cs="Arial"/>
          <w:color w:val="000000" w:themeColor="text1"/>
        </w:rPr>
      </w:pPr>
      <w:r w:rsidRPr="000E0F90">
        <w:rPr>
          <w:rFonts w:ascii="Arial" w:hAnsi="Arial" w:cs="Arial"/>
          <w:color w:val="000000" w:themeColor="text1"/>
        </w:rPr>
        <w:t>Si bien, la agricultura es también identificada como una fuente de contaminación del recurso, es considerada de menor magn</w:t>
      </w:r>
      <w:r w:rsidR="00CB35EB" w:rsidRPr="000E0F90">
        <w:rPr>
          <w:rFonts w:ascii="Arial" w:hAnsi="Arial" w:cs="Arial"/>
          <w:color w:val="000000" w:themeColor="text1"/>
        </w:rPr>
        <w:t xml:space="preserve">itud </w:t>
      </w:r>
      <w:r w:rsidR="00C612A0" w:rsidRPr="000E0F90">
        <w:rPr>
          <w:rFonts w:ascii="Arial" w:hAnsi="Arial" w:cs="Arial"/>
          <w:color w:val="000000" w:themeColor="text1"/>
        </w:rPr>
        <w:t>(Sara Ceriche, Alto del Carmen).</w:t>
      </w:r>
    </w:p>
    <w:p w:rsidR="00EE5356" w:rsidRPr="000E0F90" w:rsidRDefault="005B48D5" w:rsidP="00702D9A">
      <w:pPr>
        <w:spacing w:before="240" w:after="0" w:line="360" w:lineRule="auto"/>
        <w:rPr>
          <w:rFonts w:ascii="Arial" w:hAnsi="Arial" w:cs="Arial"/>
          <w:b/>
          <w:color w:val="000000" w:themeColor="text1"/>
        </w:rPr>
      </w:pPr>
      <w:r w:rsidRPr="000E0F90">
        <w:rPr>
          <w:rFonts w:ascii="Arial" w:hAnsi="Arial" w:cs="Arial"/>
          <w:b/>
          <w:color w:val="000000" w:themeColor="text1"/>
        </w:rPr>
        <w:t>8</w:t>
      </w:r>
      <w:r w:rsidR="00EE5356" w:rsidRPr="000E0F90">
        <w:rPr>
          <w:rFonts w:ascii="Arial" w:hAnsi="Arial" w:cs="Arial"/>
          <w:b/>
          <w:color w:val="000000" w:themeColor="text1"/>
        </w:rPr>
        <w:t xml:space="preserve">. Salud y Minería: </w:t>
      </w:r>
    </w:p>
    <w:p w:rsidR="00A3142E" w:rsidRPr="000E0F90" w:rsidRDefault="00EE5356" w:rsidP="00702D9A">
      <w:pPr>
        <w:spacing w:line="360" w:lineRule="auto"/>
        <w:rPr>
          <w:rFonts w:ascii="Arial" w:hAnsi="Arial" w:cs="Arial"/>
          <w:color w:val="000000" w:themeColor="text1"/>
        </w:rPr>
      </w:pPr>
      <w:r w:rsidRPr="000E0F90">
        <w:rPr>
          <w:rFonts w:ascii="Arial" w:hAnsi="Arial" w:cs="Arial"/>
          <w:color w:val="000000" w:themeColor="text1"/>
        </w:rPr>
        <w:t>La minería también se relaciona con los efectos en la salud humana, por contaminación de agua con metales pesados, por la cercanía de los depósitos de relaves y botaderos a las localidades y por la contaminación ambiental l</w:t>
      </w:r>
      <w:r w:rsidR="00C612A0" w:rsidRPr="000E0F90">
        <w:rPr>
          <w:rFonts w:ascii="Arial" w:hAnsi="Arial" w:cs="Arial"/>
          <w:color w:val="000000" w:themeColor="text1"/>
        </w:rPr>
        <w:t>ocal, denominadas nubes tóxicas</w:t>
      </w:r>
      <w:r w:rsidR="00A3142E" w:rsidRPr="000E0F90">
        <w:rPr>
          <w:rFonts w:ascii="Arial" w:hAnsi="Arial" w:cs="Arial"/>
          <w:color w:val="000000" w:themeColor="text1"/>
        </w:rPr>
        <w:t>. Como lo manifiestan los siguientes entrevistados:</w:t>
      </w:r>
    </w:p>
    <w:p w:rsidR="00A3142E" w:rsidRPr="000E0F90" w:rsidRDefault="00A3142E" w:rsidP="00702D9A">
      <w:pPr>
        <w:spacing w:before="240" w:line="360" w:lineRule="auto"/>
        <w:rPr>
          <w:rFonts w:ascii="Arial" w:hAnsi="Arial" w:cs="Arial"/>
          <w:color w:val="000000" w:themeColor="text1"/>
        </w:rPr>
      </w:pPr>
      <w:r w:rsidRPr="000E0F90">
        <w:rPr>
          <w:rFonts w:ascii="Arial" w:hAnsi="Arial" w:cs="Arial"/>
          <w:color w:val="000000" w:themeColor="text1"/>
        </w:rPr>
        <w:t xml:space="preserve">- </w:t>
      </w:r>
      <w:r w:rsidRPr="000E0F90">
        <w:rPr>
          <w:rFonts w:ascii="Arial" w:hAnsi="Arial" w:cs="Arial"/>
          <w:i/>
          <w:color w:val="000000" w:themeColor="text1"/>
        </w:rPr>
        <w:t>Eso… Los mercurios, todas esas cosas… Los radioactivos, lo agarra el agua poh. Y si lo agarra el agua, lo agarra el árbol y si lo agarra el árbol lo va a agarrar la gente</w:t>
      </w:r>
      <w:r w:rsidRPr="000E0F90">
        <w:rPr>
          <w:rFonts w:ascii="Arial" w:hAnsi="Arial" w:cs="Arial"/>
          <w:color w:val="000000" w:themeColor="text1"/>
        </w:rPr>
        <w:t xml:space="preserve"> (Sixto Segovia, Alto del Carmen).</w:t>
      </w:r>
    </w:p>
    <w:p w:rsidR="00A3142E" w:rsidRPr="000E0F90" w:rsidRDefault="00A3142E" w:rsidP="00702D9A">
      <w:pPr>
        <w:spacing w:before="240" w:line="360" w:lineRule="auto"/>
        <w:rPr>
          <w:rFonts w:ascii="Arial" w:hAnsi="Arial" w:cs="Arial"/>
          <w:color w:val="000000" w:themeColor="text1"/>
        </w:rPr>
      </w:pPr>
      <w:r w:rsidRPr="000E0F90">
        <w:rPr>
          <w:rFonts w:ascii="Arial" w:hAnsi="Arial" w:cs="Arial"/>
          <w:color w:val="000000" w:themeColor="text1"/>
        </w:rPr>
        <w:t xml:space="preserve">- </w:t>
      </w:r>
      <w:r w:rsidRPr="000E0F90">
        <w:rPr>
          <w:rFonts w:ascii="Arial" w:hAnsi="Arial" w:cs="Arial"/>
          <w:i/>
          <w:color w:val="000000" w:themeColor="text1"/>
        </w:rPr>
        <w:t>Y los niños que Tierra Amarilla siguen con los pulmones… hay que hacerles una autopsia no más po’, si no son rosados, son negros. Y sabemos, y daña.</w:t>
      </w:r>
      <w:r w:rsidRPr="000E0F90">
        <w:rPr>
          <w:rFonts w:ascii="Arial" w:hAnsi="Arial" w:cs="Arial"/>
          <w:color w:val="000000" w:themeColor="text1"/>
        </w:rPr>
        <w:t>.. (Alejandro Aracena, Tierra Amarilla)</w:t>
      </w:r>
    </w:p>
    <w:p w:rsidR="00EE5356" w:rsidRPr="000E0F90" w:rsidRDefault="00EE5356" w:rsidP="00702D9A">
      <w:pPr>
        <w:spacing w:before="240" w:line="360" w:lineRule="auto"/>
        <w:rPr>
          <w:rFonts w:ascii="Arial" w:hAnsi="Arial" w:cs="Arial"/>
          <w:i/>
          <w:color w:val="000000" w:themeColor="text1"/>
        </w:rPr>
      </w:pPr>
      <w:r w:rsidRPr="000E0F90">
        <w:rPr>
          <w:rFonts w:ascii="Arial" w:hAnsi="Arial" w:cs="Arial"/>
          <w:color w:val="000000" w:themeColor="text1"/>
        </w:rPr>
        <w:t>Respecto a la salud, como tema relevante en las personas entrevistadas, destaca la estrecha relación que se establece entre minería y enfermedades profesionales, la cual se manifiesta desde los inicios de la minería, con la aparición de las primeras enfermedades en los pirquineros por el contacto directo con elementos tóxicos asociados a la actividad</w:t>
      </w:r>
      <w:r w:rsidR="00C612A0" w:rsidRPr="000E0F90">
        <w:rPr>
          <w:rFonts w:ascii="Arial" w:hAnsi="Arial" w:cs="Arial"/>
          <w:color w:val="000000" w:themeColor="text1"/>
        </w:rPr>
        <w:t xml:space="preserve"> (</w:t>
      </w:r>
      <w:r w:rsidRPr="000E0F90">
        <w:rPr>
          <w:rFonts w:ascii="Arial" w:hAnsi="Arial" w:cs="Arial"/>
          <w:color w:val="000000" w:themeColor="text1"/>
        </w:rPr>
        <w:t>Alejandro Aracena</w:t>
      </w:r>
      <w:r w:rsidR="00C612A0" w:rsidRPr="000E0F90">
        <w:rPr>
          <w:rFonts w:ascii="Arial" w:hAnsi="Arial" w:cs="Arial"/>
          <w:color w:val="000000" w:themeColor="text1"/>
        </w:rPr>
        <w:t>, Tierra Amarilla).</w:t>
      </w:r>
      <w:r w:rsidR="00A3142E" w:rsidRPr="000E0F90">
        <w:rPr>
          <w:rFonts w:ascii="Arial" w:hAnsi="Arial" w:cs="Arial"/>
          <w:color w:val="000000" w:themeColor="text1"/>
        </w:rPr>
        <w:t xml:space="preserve"> </w:t>
      </w:r>
      <w:r w:rsidRPr="000E0F90">
        <w:rPr>
          <w:rFonts w:ascii="Arial" w:hAnsi="Arial" w:cs="Arial"/>
          <w:color w:val="000000" w:themeColor="text1"/>
        </w:rPr>
        <w:t xml:space="preserve">En la actualidad, esta situación se manifiesta en las enfermedades profesionales crónicas que padecen los trabajadores de la mina, generalmente una vez jubilados, los cuales poseen una menor expectativa de vida y fallecen generalmente de enfermedades asociadas a la actividad (i.e. silicosis). </w:t>
      </w:r>
      <w:r w:rsidR="00EB25B0" w:rsidRPr="000E0F90">
        <w:rPr>
          <w:rFonts w:ascii="Arial" w:hAnsi="Arial" w:cs="Arial"/>
          <w:color w:val="000000" w:themeColor="text1"/>
        </w:rPr>
        <w:t>S</w:t>
      </w:r>
      <w:r w:rsidRPr="000E0F90">
        <w:rPr>
          <w:rFonts w:ascii="Arial" w:hAnsi="Arial" w:cs="Arial"/>
          <w:color w:val="000000" w:themeColor="text1"/>
        </w:rPr>
        <w:t>e destaca la falta de un rol más activo de las empresas mineras al abordar esta problemática</w:t>
      </w:r>
      <w:r w:rsidR="00C612A0" w:rsidRPr="000E0F90">
        <w:rPr>
          <w:rFonts w:ascii="Arial" w:hAnsi="Arial" w:cs="Arial"/>
          <w:color w:val="000000" w:themeColor="text1"/>
        </w:rPr>
        <w:t xml:space="preserve"> (</w:t>
      </w:r>
      <w:r w:rsidRPr="000E0F90">
        <w:rPr>
          <w:rFonts w:ascii="Arial" w:hAnsi="Arial" w:cs="Arial"/>
          <w:color w:val="000000" w:themeColor="text1"/>
        </w:rPr>
        <w:t>Alejandro Aracena</w:t>
      </w:r>
      <w:r w:rsidR="00C612A0" w:rsidRPr="000E0F90">
        <w:rPr>
          <w:rFonts w:ascii="Arial" w:hAnsi="Arial" w:cs="Arial"/>
          <w:color w:val="000000" w:themeColor="text1"/>
        </w:rPr>
        <w:t>, Tierra Amarilla)</w:t>
      </w:r>
      <w:r w:rsidRPr="000E0F90">
        <w:rPr>
          <w:rFonts w:ascii="Arial" w:hAnsi="Arial" w:cs="Arial"/>
          <w:color w:val="000000" w:themeColor="text1"/>
        </w:rPr>
        <w:t xml:space="preserve"> </w:t>
      </w:r>
    </w:p>
    <w:p w:rsidR="00EE5356" w:rsidRPr="000E0F90" w:rsidRDefault="00E37D58" w:rsidP="00702D9A">
      <w:pPr>
        <w:spacing w:before="240" w:line="360" w:lineRule="auto"/>
        <w:rPr>
          <w:rFonts w:ascii="Arial" w:hAnsi="Arial" w:cs="Arial"/>
          <w:color w:val="000000" w:themeColor="text1"/>
        </w:rPr>
      </w:pPr>
      <w:r w:rsidRPr="000E0F90">
        <w:rPr>
          <w:rFonts w:ascii="Arial" w:hAnsi="Arial" w:cs="Arial"/>
          <w:color w:val="000000" w:themeColor="text1"/>
        </w:rPr>
        <w:t>Desde el S</w:t>
      </w:r>
      <w:r w:rsidR="009C6466" w:rsidRPr="000E0F90">
        <w:rPr>
          <w:rFonts w:ascii="Arial" w:hAnsi="Arial" w:cs="Arial"/>
          <w:color w:val="000000" w:themeColor="text1"/>
        </w:rPr>
        <w:t>EA</w:t>
      </w:r>
      <w:r w:rsidR="00EE5356" w:rsidRPr="000E0F90">
        <w:rPr>
          <w:rFonts w:ascii="Arial" w:hAnsi="Arial" w:cs="Arial"/>
          <w:color w:val="000000" w:themeColor="text1"/>
        </w:rPr>
        <w:t xml:space="preserve"> </w:t>
      </w:r>
      <w:r w:rsidR="009C6466" w:rsidRPr="000E0F90">
        <w:rPr>
          <w:rFonts w:ascii="Arial" w:hAnsi="Arial" w:cs="Arial"/>
          <w:color w:val="000000" w:themeColor="text1"/>
        </w:rPr>
        <w:t>se señalan existen</w:t>
      </w:r>
      <w:r w:rsidR="00EE5356" w:rsidRPr="000E0F90">
        <w:rPr>
          <w:rFonts w:ascii="Arial" w:hAnsi="Arial" w:cs="Arial"/>
          <w:color w:val="000000" w:themeColor="text1"/>
        </w:rPr>
        <w:t xml:space="preserve"> otros aspectos que son derechamente excluidos de la evaluación como es el  bienestar sicológico y social, psicosocial. Lo cual se relaciona con temas de adicciones, delincuencia, enfermedades de transmisión sexual, entre otras</w:t>
      </w:r>
      <w:r w:rsidRPr="000E0F90">
        <w:rPr>
          <w:rFonts w:ascii="Arial" w:hAnsi="Arial" w:cs="Arial"/>
          <w:color w:val="000000" w:themeColor="text1"/>
        </w:rPr>
        <w:t>.</w:t>
      </w:r>
      <w:r w:rsidR="00C612A0" w:rsidRPr="000E0F90">
        <w:rPr>
          <w:rFonts w:ascii="Arial" w:hAnsi="Arial" w:cs="Arial"/>
          <w:color w:val="000000" w:themeColor="text1"/>
        </w:rPr>
        <w:t xml:space="preserve"> </w:t>
      </w:r>
      <w:r w:rsidR="00EE5356" w:rsidRPr="000E0F90">
        <w:rPr>
          <w:rFonts w:ascii="Arial" w:hAnsi="Arial" w:cs="Arial"/>
          <w:color w:val="000000" w:themeColor="text1"/>
        </w:rPr>
        <w:t xml:space="preserve">Requerimiento que permitiría visibilizar sustancialmente las afectaciones de un proyecto </w:t>
      </w:r>
      <w:r w:rsidR="009C6466" w:rsidRPr="000E0F90">
        <w:rPr>
          <w:rFonts w:ascii="Arial" w:hAnsi="Arial" w:cs="Arial"/>
          <w:color w:val="000000" w:themeColor="text1"/>
        </w:rPr>
        <w:t xml:space="preserve">minero </w:t>
      </w:r>
      <w:r w:rsidR="00EE5356" w:rsidRPr="000E0F90">
        <w:rPr>
          <w:rFonts w:ascii="Arial" w:hAnsi="Arial" w:cs="Arial"/>
          <w:color w:val="000000" w:themeColor="text1"/>
        </w:rPr>
        <w:t>en el medio humano</w:t>
      </w:r>
      <w:r w:rsidRPr="000E0F90">
        <w:rPr>
          <w:rFonts w:ascii="Arial" w:hAnsi="Arial" w:cs="Arial"/>
          <w:color w:val="000000" w:themeColor="text1"/>
        </w:rPr>
        <w:t xml:space="preserve"> (Pablo Rossel, SEA)</w:t>
      </w:r>
      <w:r w:rsidR="00EE5356" w:rsidRPr="000E0F90">
        <w:rPr>
          <w:rFonts w:ascii="Arial" w:hAnsi="Arial" w:cs="Arial"/>
          <w:color w:val="000000" w:themeColor="text1"/>
        </w:rPr>
        <w:t>.</w:t>
      </w:r>
    </w:p>
    <w:p w:rsidR="00A3142E" w:rsidRPr="000E0F90" w:rsidRDefault="005B48D5" w:rsidP="00702D9A">
      <w:pPr>
        <w:spacing w:before="240" w:after="0" w:line="360" w:lineRule="auto"/>
        <w:rPr>
          <w:rFonts w:ascii="Arial" w:hAnsi="Arial" w:cs="Arial"/>
          <w:b/>
          <w:color w:val="000000" w:themeColor="text1"/>
        </w:rPr>
      </w:pPr>
      <w:r w:rsidRPr="000E0F90">
        <w:rPr>
          <w:rFonts w:ascii="Arial" w:hAnsi="Arial" w:cs="Arial"/>
          <w:b/>
          <w:color w:val="000000" w:themeColor="text1"/>
        </w:rPr>
        <w:lastRenderedPageBreak/>
        <w:t>9</w:t>
      </w:r>
      <w:r w:rsidR="00A3142E" w:rsidRPr="000E0F90">
        <w:rPr>
          <w:rFonts w:ascii="Arial" w:hAnsi="Arial" w:cs="Arial"/>
          <w:b/>
          <w:color w:val="000000" w:themeColor="text1"/>
        </w:rPr>
        <w:t>. Minería</w:t>
      </w:r>
    </w:p>
    <w:p w:rsidR="004544A1" w:rsidRPr="000E0F90" w:rsidRDefault="004544A1" w:rsidP="00702D9A">
      <w:pPr>
        <w:spacing w:after="0" w:line="360" w:lineRule="auto"/>
        <w:rPr>
          <w:rFonts w:ascii="Arial" w:hAnsi="Arial" w:cs="Arial"/>
          <w:b/>
          <w:color w:val="000000" w:themeColor="text1"/>
        </w:rPr>
      </w:pPr>
      <w:r w:rsidRPr="000E0F90">
        <w:rPr>
          <w:rFonts w:ascii="Arial" w:hAnsi="Arial" w:cs="Arial"/>
          <w:color w:val="000000" w:themeColor="text1"/>
        </w:rPr>
        <w:t xml:space="preserve">De acuerdo a la opinión de algunos entrevistados, la minería es percibida como una actividad que inevitablemente generará </w:t>
      </w:r>
      <w:r w:rsidRPr="000E0F90">
        <w:rPr>
          <w:rFonts w:ascii="Arial" w:hAnsi="Arial" w:cs="Arial"/>
          <w:b/>
          <w:color w:val="000000" w:themeColor="text1"/>
        </w:rPr>
        <w:t>contaminación en el valle</w:t>
      </w:r>
      <w:r w:rsidRPr="000E0F90">
        <w:rPr>
          <w:rFonts w:ascii="Arial" w:hAnsi="Arial" w:cs="Arial"/>
          <w:color w:val="000000" w:themeColor="text1"/>
        </w:rPr>
        <w:t>. Se señala incluso que las empresas mineras buscan diversos medios para continuar operando, independiente de los efectos que pudiesen tener las acciones en el territorio, de ahí que algunas comunidades no desean que se instalen nuevas empresas mineras en sus territorios.</w:t>
      </w:r>
    </w:p>
    <w:p w:rsidR="00A3142E" w:rsidRPr="000E0F90" w:rsidRDefault="004544A1" w:rsidP="00702D9A">
      <w:pPr>
        <w:spacing w:before="240" w:line="360" w:lineRule="auto"/>
        <w:rPr>
          <w:rFonts w:ascii="Arial" w:hAnsi="Arial" w:cs="Arial"/>
          <w:color w:val="000000" w:themeColor="text1"/>
        </w:rPr>
      </w:pPr>
      <w:r w:rsidRPr="000E0F90">
        <w:rPr>
          <w:rFonts w:ascii="Arial" w:hAnsi="Arial" w:cs="Arial"/>
          <w:color w:val="000000" w:themeColor="text1"/>
        </w:rPr>
        <w:t>Sin embargo existen otros enfoques que esperan que la minera trabaje y que trabaje bien, particularmente en temáticas de contaminación, lo cual se relaciona también con la expectativa laboral que genera la llegada de la minería</w:t>
      </w:r>
      <w:r w:rsidR="00A3142E" w:rsidRPr="000E0F90">
        <w:rPr>
          <w:rFonts w:ascii="Arial" w:hAnsi="Arial" w:cs="Arial"/>
          <w:color w:val="000000" w:themeColor="text1"/>
        </w:rPr>
        <w:t>, que se traduzca en un</w:t>
      </w:r>
      <w:r w:rsidRPr="000E0F90">
        <w:rPr>
          <w:rFonts w:ascii="Arial" w:hAnsi="Arial" w:cs="Arial"/>
          <w:color w:val="000000" w:themeColor="text1"/>
        </w:rPr>
        <w:t xml:space="preserve"> mejoramiento general de la calidad de vida de las personas</w:t>
      </w:r>
      <w:r w:rsidR="00A3142E" w:rsidRPr="000E0F90">
        <w:rPr>
          <w:rFonts w:ascii="Arial" w:hAnsi="Arial" w:cs="Arial"/>
          <w:color w:val="000000" w:themeColor="text1"/>
        </w:rPr>
        <w:t xml:space="preserve"> producto de la </w:t>
      </w:r>
      <w:r w:rsidRPr="000E0F90">
        <w:rPr>
          <w:rFonts w:ascii="Arial" w:hAnsi="Arial" w:cs="Arial"/>
          <w:color w:val="000000" w:themeColor="text1"/>
        </w:rPr>
        <w:t>reactivación de la economía local</w:t>
      </w:r>
      <w:r w:rsidR="00A3142E" w:rsidRPr="000E0F90">
        <w:rPr>
          <w:rFonts w:ascii="Arial" w:hAnsi="Arial" w:cs="Arial"/>
          <w:color w:val="000000" w:themeColor="text1"/>
        </w:rPr>
        <w:t>. Al respecto se manifiesta:</w:t>
      </w:r>
    </w:p>
    <w:p w:rsidR="00A3142E" w:rsidRPr="000E0F90" w:rsidRDefault="00E37D58" w:rsidP="00702D9A">
      <w:pPr>
        <w:spacing w:before="240" w:line="360" w:lineRule="auto"/>
        <w:rPr>
          <w:rFonts w:ascii="Arial" w:hAnsi="Arial" w:cs="Arial"/>
          <w:i/>
          <w:color w:val="000000" w:themeColor="text1"/>
        </w:rPr>
      </w:pPr>
      <w:r w:rsidRPr="000E0F90">
        <w:rPr>
          <w:rFonts w:ascii="Arial" w:hAnsi="Arial" w:cs="Arial"/>
          <w:i/>
          <w:color w:val="000000" w:themeColor="text1"/>
        </w:rPr>
        <w:t xml:space="preserve">- </w:t>
      </w:r>
      <w:r w:rsidR="00A3142E" w:rsidRPr="000E0F90">
        <w:rPr>
          <w:rFonts w:ascii="Arial" w:hAnsi="Arial" w:cs="Arial"/>
          <w:i/>
          <w:color w:val="000000" w:themeColor="text1"/>
        </w:rPr>
        <w:t xml:space="preserve">“De las mineras. Que por una parte es bueno, que hay trabajo. Pero lo que se quiere, que si van a trabajar hagan algo bueno. Que no contaminen” </w:t>
      </w:r>
      <w:r w:rsidR="00A3142E" w:rsidRPr="000E0F90">
        <w:rPr>
          <w:rFonts w:ascii="Arial" w:hAnsi="Arial" w:cs="Arial"/>
          <w:color w:val="000000" w:themeColor="text1"/>
        </w:rPr>
        <w:t>Edith Campillay (Alto del Carmen)</w:t>
      </w:r>
    </w:p>
    <w:p w:rsidR="00A3142E" w:rsidRPr="000E0F90" w:rsidRDefault="00A3142E" w:rsidP="00702D9A">
      <w:pPr>
        <w:spacing w:before="240" w:line="360" w:lineRule="auto"/>
        <w:rPr>
          <w:rFonts w:ascii="Arial" w:hAnsi="Arial" w:cs="Arial"/>
          <w:i/>
          <w:color w:val="000000" w:themeColor="text1"/>
        </w:rPr>
      </w:pPr>
      <w:r w:rsidRPr="000E0F90">
        <w:rPr>
          <w:rFonts w:ascii="Arial" w:hAnsi="Arial" w:cs="Arial"/>
          <w:color w:val="000000" w:themeColor="text1"/>
        </w:rPr>
        <w:t xml:space="preserve">- </w:t>
      </w:r>
      <w:r w:rsidRPr="000E0F90">
        <w:rPr>
          <w:rFonts w:ascii="Arial" w:hAnsi="Arial" w:cs="Arial"/>
          <w:i/>
          <w:color w:val="000000" w:themeColor="text1"/>
        </w:rPr>
        <w:t>“Bueno, muchos pensamos en la escasez de trabajo que solamente la agrícola Campillay es la que tiene todo el trabajo. Hay mucha gente que necesita trabajar, pero por lo menos que contraten gente del valle, que es del sector, porque siempre traen gente de afuera”.</w:t>
      </w:r>
      <w:r w:rsidRPr="000E0F90">
        <w:rPr>
          <w:rFonts w:ascii="Arial" w:hAnsi="Arial" w:cs="Arial"/>
          <w:color w:val="000000" w:themeColor="text1"/>
        </w:rPr>
        <w:t xml:space="preserve"> Sara Ceriche (Alto del Carmen)</w:t>
      </w:r>
    </w:p>
    <w:p w:rsidR="00077ED0" w:rsidRPr="000E0F90" w:rsidRDefault="004544A1" w:rsidP="00702D9A">
      <w:pPr>
        <w:spacing w:before="240" w:line="360" w:lineRule="auto"/>
        <w:rPr>
          <w:rFonts w:ascii="Arial" w:hAnsi="Arial" w:cs="Arial"/>
          <w:i/>
          <w:color w:val="000000" w:themeColor="text1"/>
        </w:rPr>
      </w:pPr>
      <w:r w:rsidRPr="000E0F90">
        <w:rPr>
          <w:rFonts w:ascii="Arial" w:hAnsi="Arial" w:cs="Arial"/>
          <w:b/>
          <w:color w:val="000000" w:themeColor="text1"/>
        </w:rPr>
        <w:t>Relac</w:t>
      </w:r>
      <w:r w:rsidR="00805E27" w:rsidRPr="000E0F90">
        <w:rPr>
          <w:rFonts w:ascii="Arial" w:hAnsi="Arial" w:cs="Arial"/>
          <w:b/>
          <w:color w:val="000000" w:themeColor="text1"/>
        </w:rPr>
        <w:t>ión minería con</w:t>
      </w:r>
      <w:r w:rsidRPr="000E0F90">
        <w:rPr>
          <w:rFonts w:ascii="Arial" w:hAnsi="Arial" w:cs="Arial"/>
          <w:b/>
          <w:color w:val="000000" w:themeColor="text1"/>
        </w:rPr>
        <w:t xml:space="preserve"> actores sociales</w:t>
      </w:r>
      <w:r w:rsidRPr="000E0F90">
        <w:rPr>
          <w:rFonts w:ascii="Arial" w:hAnsi="Arial" w:cs="Arial"/>
          <w:color w:val="000000" w:themeColor="text1"/>
        </w:rPr>
        <w:t xml:space="preserve">: La relación entre la minería y los actores sociales, es identificada como una asimetría de poder, donde la minera </w:t>
      </w:r>
      <w:r w:rsidR="009C6466" w:rsidRPr="000E0F90">
        <w:rPr>
          <w:rFonts w:ascii="Arial" w:hAnsi="Arial" w:cs="Arial"/>
          <w:color w:val="000000" w:themeColor="text1"/>
        </w:rPr>
        <w:t xml:space="preserve">se visualiza la minera como un actor con mayor poder económico, político, educacional y técnico, que dificulta a los actores sociales relacionarse en igualdad de condiciones con la minera. La cual además </w:t>
      </w:r>
      <w:r w:rsidRPr="000E0F90">
        <w:rPr>
          <w:rFonts w:ascii="Arial" w:hAnsi="Arial" w:cs="Arial"/>
          <w:color w:val="000000" w:themeColor="text1"/>
        </w:rPr>
        <w:t xml:space="preserve">marca la pauta para establecer las reuniones, las oficinas y horarios, y la modalidad que se entregan los aportes económicos a la comunidad. </w:t>
      </w:r>
      <w:r w:rsidR="00077ED0" w:rsidRPr="000E0F90">
        <w:rPr>
          <w:rFonts w:ascii="Arial" w:hAnsi="Arial" w:cs="Arial"/>
          <w:color w:val="000000" w:themeColor="text1"/>
        </w:rPr>
        <w:t xml:space="preserve">En esta relación. Alejandro Aracena (Tierra Amarilla) señala en relación a las oficinas que instalan las mineras en las localidades </w:t>
      </w:r>
      <w:r w:rsidR="00077ED0" w:rsidRPr="000E0F90">
        <w:rPr>
          <w:rFonts w:ascii="Arial" w:hAnsi="Arial" w:cs="Arial"/>
          <w:i/>
          <w:color w:val="000000" w:themeColor="text1"/>
        </w:rPr>
        <w:t>“Son la manera que ellos están con la comunidad. De mostrar. Pero la comunidad no tiene fuero, no tiene poder”.</w:t>
      </w:r>
    </w:p>
    <w:p w:rsidR="004544A1" w:rsidRPr="000E0F90" w:rsidRDefault="004544A1" w:rsidP="00702D9A">
      <w:pPr>
        <w:spacing w:before="240" w:line="360" w:lineRule="auto"/>
        <w:rPr>
          <w:rFonts w:ascii="Arial" w:hAnsi="Arial" w:cs="Arial"/>
          <w:color w:val="000000" w:themeColor="text1"/>
        </w:rPr>
      </w:pPr>
      <w:r w:rsidRPr="000E0F90">
        <w:rPr>
          <w:rFonts w:ascii="Arial" w:hAnsi="Arial" w:cs="Arial"/>
          <w:color w:val="000000" w:themeColor="text1"/>
        </w:rPr>
        <w:t>Por otra parte, las empresas mineras no son actores que generen</w:t>
      </w:r>
      <w:r w:rsidRPr="000E0F90">
        <w:rPr>
          <w:rFonts w:ascii="Arial" w:hAnsi="Arial" w:cs="Arial"/>
          <w:b/>
          <w:color w:val="000000" w:themeColor="text1"/>
        </w:rPr>
        <w:t xml:space="preserve"> confianza </w:t>
      </w:r>
      <w:r w:rsidRPr="000E0F90">
        <w:rPr>
          <w:rFonts w:ascii="Arial" w:hAnsi="Arial" w:cs="Arial"/>
          <w:color w:val="000000" w:themeColor="text1"/>
        </w:rPr>
        <w:t>en la comunidad, lo cual se ve reafirma</w:t>
      </w:r>
      <w:r w:rsidR="00FB32CA" w:rsidRPr="000E0F90">
        <w:rPr>
          <w:rFonts w:ascii="Arial" w:hAnsi="Arial" w:cs="Arial"/>
          <w:color w:val="000000" w:themeColor="text1"/>
        </w:rPr>
        <w:t>do</w:t>
      </w:r>
      <w:r w:rsidRPr="000E0F90">
        <w:rPr>
          <w:rFonts w:ascii="Arial" w:hAnsi="Arial" w:cs="Arial"/>
          <w:color w:val="000000" w:themeColor="text1"/>
        </w:rPr>
        <w:t xml:space="preserve"> en los incumplimientos detectados en materia </w:t>
      </w:r>
      <w:r w:rsidRPr="000E0F90">
        <w:rPr>
          <w:rFonts w:ascii="Arial" w:hAnsi="Arial" w:cs="Arial"/>
          <w:color w:val="000000" w:themeColor="text1"/>
        </w:rPr>
        <w:lastRenderedPageBreak/>
        <w:t>medioambiental tanto por los propios actores sociales como por la institucionalidad actual</w:t>
      </w:r>
      <w:r w:rsidR="00077ED0" w:rsidRPr="000E0F90">
        <w:rPr>
          <w:rFonts w:ascii="Arial" w:hAnsi="Arial" w:cs="Arial"/>
          <w:color w:val="000000" w:themeColor="text1"/>
        </w:rPr>
        <w:t>. Como se refleja en el relato de Sixto Segovia “</w:t>
      </w:r>
      <w:r w:rsidR="00077ED0" w:rsidRPr="000E0F90">
        <w:rPr>
          <w:rFonts w:ascii="Arial" w:hAnsi="Arial" w:cs="Arial"/>
          <w:i/>
          <w:color w:val="000000" w:themeColor="text1"/>
        </w:rPr>
        <w:t xml:space="preserve">Claro, el año pasado, si ahí pararon toda la empresa, ve que pasó al medio ambiente y fueron a los tribunales de Copiapó, Santiago y ahí optaron por terminar. Si el mismo gerente de operaciones de Barrick reconoció que de las 24 causas que ellos firmaron que no iban a hacer, 23 estaban incumplidas. Imagínese, el 100% casi…”. </w:t>
      </w:r>
      <w:r w:rsidR="00077ED0" w:rsidRPr="000E0F90">
        <w:rPr>
          <w:rFonts w:ascii="Arial" w:hAnsi="Arial" w:cs="Arial"/>
          <w:color w:val="000000" w:themeColor="text1"/>
        </w:rPr>
        <w:t xml:space="preserve">Del mismo modo la Sra. Sara Ceriche señala </w:t>
      </w:r>
      <w:r w:rsidR="00077ED0" w:rsidRPr="000E0F90">
        <w:rPr>
          <w:rFonts w:ascii="Arial" w:hAnsi="Arial" w:cs="Arial"/>
          <w:i/>
          <w:color w:val="000000" w:themeColor="text1"/>
        </w:rPr>
        <w:t xml:space="preserve">“…Muchas personas infiltradas, como le llaman, sacaron fotos de las… </w:t>
      </w:r>
      <w:r w:rsidR="008F70E6" w:rsidRPr="000E0F90">
        <w:rPr>
          <w:rFonts w:ascii="Arial" w:hAnsi="Arial" w:cs="Arial"/>
          <w:i/>
          <w:color w:val="000000" w:themeColor="text1"/>
        </w:rPr>
        <w:t>d</w:t>
      </w:r>
      <w:r w:rsidR="00077ED0" w:rsidRPr="000E0F90">
        <w:rPr>
          <w:rFonts w:ascii="Arial" w:hAnsi="Arial" w:cs="Arial"/>
          <w:i/>
          <w:color w:val="000000" w:themeColor="text1"/>
        </w:rPr>
        <w:t xml:space="preserve">esperdicios, de lo que tiraban, contaminaron… Claro, tenían mucha basura. Ya después cuando llegaron las demandas y todo, creo que la gente empezó con máquinas, enterraron todo. Sí que no…”. </w:t>
      </w:r>
      <w:r w:rsidR="00077ED0" w:rsidRPr="000E0F90">
        <w:rPr>
          <w:rFonts w:ascii="Arial" w:hAnsi="Arial" w:cs="Arial"/>
          <w:color w:val="000000" w:themeColor="text1"/>
        </w:rPr>
        <w:t xml:space="preserve"> </w:t>
      </w:r>
    </w:p>
    <w:p w:rsidR="004544A1" w:rsidRPr="000E0F90" w:rsidRDefault="004544A1" w:rsidP="00702D9A">
      <w:pPr>
        <w:spacing w:before="240" w:line="360" w:lineRule="auto"/>
        <w:rPr>
          <w:rFonts w:ascii="Arial" w:hAnsi="Arial" w:cs="Arial"/>
          <w:color w:val="000000" w:themeColor="text1"/>
        </w:rPr>
      </w:pPr>
      <w:r w:rsidRPr="000E0F90">
        <w:rPr>
          <w:rFonts w:ascii="Arial" w:hAnsi="Arial" w:cs="Arial"/>
          <w:color w:val="000000" w:themeColor="text1"/>
        </w:rPr>
        <w:t xml:space="preserve">Por otro lado, las empresas mineras, se relacionan con las comunidades realizando </w:t>
      </w:r>
      <w:r w:rsidRPr="000E0F90">
        <w:rPr>
          <w:rFonts w:ascii="Arial" w:hAnsi="Arial" w:cs="Arial"/>
          <w:b/>
          <w:color w:val="000000" w:themeColor="text1"/>
        </w:rPr>
        <w:t>ayudas económicas y mejorando los servicios locales</w:t>
      </w:r>
      <w:r w:rsidRPr="000E0F90">
        <w:rPr>
          <w:rFonts w:ascii="Arial" w:hAnsi="Arial" w:cs="Arial"/>
          <w:color w:val="000000" w:themeColor="text1"/>
        </w:rPr>
        <w:t xml:space="preserve"> (infraestructura, transporte, becas escolares). Lo cual </w:t>
      </w:r>
      <w:r w:rsidR="009C6466" w:rsidRPr="000E0F90">
        <w:rPr>
          <w:rFonts w:ascii="Arial" w:hAnsi="Arial" w:cs="Arial"/>
          <w:color w:val="000000" w:themeColor="text1"/>
        </w:rPr>
        <w:t>favorece las condiciones locales que el E</w:t>
      </w:r>
      <w:r w:rsidRPr="000E0F90">
        <w:rPr>
          <w:rFonts w:ascii="Arial" w:hAnsi="Arial" w:cs="Arial"/>
          <w:color w:val="000000" w:themeColor="text1"/>
        </w:rPr>
        <w:t xml:space="preserve">stado no ha podido abordar oportunamente, lo cual es considerado un beneficio para la comunidad. </w:t>
      </w:r>
      <w:r w:rsidRPr="000E0F90">
        <w:rPr>
          <w:rFonts w:ascii="Arial" w:hAnsi="Arial" w:cs="Arial"/>
          <w:i/>
          <w:color w:val="000000" w:themeColor="text1"/>
        </w:rPr>
        <w:t>“y han ayudado al valle en ciertas cosas...Por ejemplo las becas a la municipalidad, ayuda al liceo, cosas… Proyectos que ha sacado la gente en el valle…Ayudaron en los niños del liceo, en lo que es turismo. Regalaron buses, todas esas cosas. Varias cosas. Y la beca que dan a la municipalidad, que es la beca Aimar…En plata pa’ los niños que estudian fuera enseñanza superior, enseñanza media”</w:t>
      </w:r>
      <w:r w:rsidRPr="000E0F90">
        <w:rPr>
          <w:rFonts w:ascii="Arial" w:hAnsi="Arial" w:cs="Arial"/>
          <w:color w:val="000000" w:themeColor="text1"/>
        </w:rPr>
        <w:t xml:space="preserve"> (Sara Ceriche, Alto del Carmen)</w:t>
      </w:r>
      <w:r w:rsidR="0039142D" w:rsidRPr="000E0F90">
        <w:rPr>
          <w:rFonts w:ascii="Arial" w:hAnsi="Arial" w:cs="Arial"/>
          <w:color w:val="000000" w:themeColor="text1"/>
        </w:rPr>
        <w:t>.</w:t>
      </w:r>
    </w:p>
    <w:p w:rsidR="00F96F76" w:rsidRPr="000E0F90" w:rsidRDefault="00F96F76" w:rsidP="00702D9A">
      <w:pPr>
        <w:spacing w:before="240" w:after="0" w:line="360" w:lineRule="auto"/>
        <w:rPr>
          <w:rFonts w:ascii="Arial" w:hAnsi="Arial" w:cs="Arial"/>
          <w:b/>
          <w:color w:val="000000" w:themeColor="text1"/>
        </w:rPr>
      </w:pPr>
      <w:r w:rsidRPr="000E0F90">
        <w:rPr>
          <w:rFonts w:ascii="Arial" w:hAnsi="Arial" w:cs="Arial"/>
          <w:b/>
          <w:color w:val="000000" w:themeColor="text1"/>
        </w:rPr>
        <w:t xml:space="preserve">10. Institucionalidad: </w:t>
      </w:r>
    </w:p>
    <w:p w:rsidR="00F96F76" w:rsidRPr="000E0F90" w:rsidRDefault="00F96F76" w:rsidP="00702D9A">
      <w:pPr>
        <w:spacing w:line="360" w:lineRule="auto"/>
        <w:rPr>
          <w:rFonts w:ascii="Arial" w:hAnsi="Arial" w:cs="Arial"/>
          <w:color w:val="000000" w:themeColor="text1"/>
        </w:rPr>
      </w:pPr>
      <w:r w:rsidRPr="000E0F90">
        <w:rPr>
          <w:rFonts w:ascii="Arial" w:hAnsi="Arial" w:cs="Arial"/>
          <w:color w:val="000000" w:themeColor="text1"/>
        </w:rPr>
        <w:t xml:space="preserve">Respecto a la institucionalidad, los entrevistados señalaron que la consideran insuficiente, particularmente en temáticas relacionadas con los impactos de la minería en medioambiente y en la salud humana. Manifiestan que la institucionalidad abarca estos aspectos principalmente en la etapa de aprobación del proyecto, pero no se continúa durante la ejecución, que es donde se generan mayores impactos en el medio local. </w:t>
      </w:r>
    </w:p>
    <w:p w:rsidR="00B3151D" w:rsidRPr="000E0F90" w:rsidRDefault="00EB25B0" w:rsidP="00702D9A">
      <w:pPr>
        <w:spacing w:before="240" w:line="360" w:lineRule="auto"/>
        <w:rPr>
          <w:rFonts w:ascii="Arial" w:hAnsi="Arial" w:cs="Arial"/>
          <w:color w:val="000000" w:themeColor="text1"/>
        </w:rPr>
      </w:pPr>
      <w:r w:rsidRPr="000E0F90">
        <w:rPr>
          <w:rFonts w:ascii="Arial" w:hAnsi="Arial" w:cs="Arial"/>
          <w:color w:val="000000" w:themeColor="text1"/>
        </w:rPr>
        <w:t>S</w:t>
      </w:r>
      <w:r w:rsidR="00F96F76" w:rsidRPr="000E0F90">
        <w:rPr>
          <w:rFonts w:ascii="Arial" w:hAnsi="Arial" w:cs="Arial"/>
          <w:color w:val="000000" w:themeColor="text1"/>
        </w:rPr>
        <w:t xml:space="preserve">e espera que la institucionalidad pueda dar seguridad del correcto desempeño de los procesos productivos en las minas y las plantas, para evitar la contaminación. </w:t>
      </w:r>
      <w:r w:rsidR="00B3151D" w:rsidRPr="000E0F90">
        <w:rPr>
          <w:rFonts w:ascii="Arial" w:hAnsi="Arial" w:cs="Arial"/>
          <w:color w:val="000000" w:themeColor="text1"/>
        </w:rPr>
        <w:t>Particularmente en relación a la necesidad de fiscalización durante la ejecución del proyecto, que es donde las comunidades re</w:t>
      </w:r>
      <w:r w:rsidR="00E37D58" w:rsidRPr="000E0F90">
        <w:rPr>
          <w:rFonts w:ascii="Arial" w:hAnsi="Arial" w:cs="Arial"/>
          <w:color w:val="000000" w:themeColor="text1"/>
        </w:rPr>
        <w:t>ciben</w:t>
      </w:r>
      <w:r w:rsidR="00B3151D" w:rsidRPr="000E0F90">
        <w:rPr>
          <w:rFonts w:ascii="Arial" w:hAnsi="Arial" w:cs="Arial"/>
          <w:color w:val="000000" w:themeColor="text1"/>
        </w:rPr>
        <w:t xml:space="preserve"> las externalidades negativas de la </w:t>
      </w:r>
      <w:r w:rsidR="00B3151D" w:rsidRPr="000E0F90">
        <w:rPr>
          <w:rFonts w:ascii="Arial" w:hAnsi="Arial" w:cs="Arial"/>
          <w:color w:val="000000" w:themeColor="text1"/>
        </w:rPr>
        <w:lastRenderedPageBreak/>
        <w:t>actividad</w:t>
      </w:r>
      <w:r w:rsidR="00077ED0" w:rsidRPr="000E0F90">
        <w:rPr>
          <w:rFonts w:ascii="Arial" w:hAnsi="Arial" w:cs="Arial"/>
          <w:color w:val="000000" w:themeColor="text1"/>
        </w:rPr>
        <w:t xml:space="preserve">. Esto queda claramente expresado en la entrevista de Alejandro Aracena en relación a la necesidad de fiscalización durante la ejecución del proyecto </w:t>
      </w:r>
      <w:r w:rsidR="008F70E6" w:rsidRPr="000E0F90">
        <w:rPr>
          <w:rFonts w:ascii="Arial" w:hAnsi="Arial" w:cs="Arial"/>
          <w:i/>
          <w:color w:val="000000" w:themeColor="text1"/>
        </w:rPr>
        <w:t>“</w:t>
      </w:r>
      <w:r w:rsidR="00077ED0" w:rsidRPr="000E0F90">
        <w:rPr>
          <w:rFonts w:ascii="Arial" w:hAnsi="Arial" w:cs="Arial"/>
          <w:i/>
          <w:color w:val="000000" w:themeColor="text1"/>
        </w:rPr>
        <w:t>(Se requieren) Inspectores (de Medioambiente), para que me vayan a ver el tranque de relave: “A ver, no están cumpliendo con el tranque de relave ustedes”. Me vayan a ver el botadero, me vayan a ver cómo están usando el explosivo, ¿sí?, todo lo que ustedes dijeron que iban a hacer</w:t>
      </w:r>
      <w:r w:rsidR="00B3151D" w:rsidRPr="000E0F90">
        <w:rPr>
          <w:rFonts w:ascii="Arial" w:hAnsi="Arial" w:cs="Arial"/>
          <w:color w:val="000000" w:themeColor="text1"/>
        </w:rPr>
        <w:t xml:space="preserve"> (</w:t>
      </w:r>
      <w:r w:rsidR="00F96F76" w:rsidRPr="000E0F90">
        <w:rPr>
          <w:rFonts w:ascii="Arial" w:hAnsi="Arial" w:cs="Arial"/>
          <w:color w:val="000000" w:themeColor="text1"/>
        </w:rPr>
        <w:t>Alejandro Aracena</w:t>
      </w:r>
      <w:r w:rsidR="00B3151D" w:rsidRPr="000E0F90">
        <w:rPr>
          <w:rFonts w:ascii="Arial" w:hAnsi="Arial" w:cs="Arial"/>
          <w:color w:val="000000" w:themeColor="text1"/>
        </w:rPr>
        <w:t>, Tierra Amarilla)</w:t>
      </w:r>
      <w:r w:rsidR="00077ED0" w:rsidRPr="000E0F90">
        <w:rPr>
          <w:rFonts w:ascii="Arial" w:hAnsi="Arial" w:cs="Arial"/>
          <w:color w:val="000000" w:themeColor="text1"/>
        </w:rPr>
        <w:t>.</w:t>
      </w:r>
    </w:p>
    <w:p w:rsidR="007A4D62" w:rsidRPr="000E0F90" w:rsidRDefault="00F96F76" w:rsidP="00702D9A">
      <w:pPr>
        <w:spacing w:before="240" w:line="360" w:lineRule="auto"/>
        <w:rPr>
          <w:rFonts w:ascii="Arial" w:hAnsi="Arial" w:cs="Arial"/>
          <w:i/>
          <w:color w:val="000000" w:themeColor="text1"/>
        </w:rPr>
      </w:pPr>
      <w:r w:rsidRPr="000E0F90">
        <w:rPr>
          <w:rFonts w:ascii="Arial" w:hAnsi="Arial" w:cs="Arial"/>
          <w:color w:val="000000" w:themeColor="text1"/>
        </w:rPr>
        <w:t>En general los habitantes perciben a diario los incumplimientos de los planes y medidas de mitigación propuestas por las empresas mineras, lo cual se atribuye a la falta de fiscalización.</w:t>
      </w:r>
      <w:r w:rsidR="00EB25B0" w:rsidRPr="000E0F90">
        <w:rPr>
          <w:rFonts w:ascii="Arial" w:hAnsi="Arial" w:cs="Arial"/>
          <w:color w:val="000000" w:themeColor="text1"/>
        </w:rPr>
        <w:t xml:space="preserve"> S</w:t>
      </w:r>
      <w:r w:rsidR="007A4D62" w:rsidRPr="000E0F90">
        <w:rPr>
          <w:rFonts w:ascii="Arial" w:hAnsi="Arial" w:cs="Arial"/>
          <w:color w:val="000000" w:themeColor="text1"/>
        </w:rPr>
        <w:t>e señala que el S</w:t>
      </w:r>
      <w:r w:rsidR="009C6466" w:rsidRPr="000E0F90">
        <w:rPr>
          <w:rFonts w:ascii="Arial" w:hAnsi="Arial" w:cs="Arial"/>
          <w:color w:val="000000" w:themeColor="text1"/>
        </w:rPr>
        <w:t xml:space="preserve">EA </w:t>
      </w:r>
      <w:r w:rsidR="007A4D62" w:rsidRPr="000E0F90">
        <w:rPr>
          <w:rFonts w:ascii="Arial" w:hAnsi="Arial" w:cs="Arial"/>
          <w:color w:val="000000" w:themeColor="text1"/>
        </w:rPr>
        <w:t xml:space="preserve">tiene atribuciones hasta que se otorgan las Resoluciones de Calificación Ambiental </w:t>
      </w:r>
      <w:r w:rsidR="009C6466" w:rsidRPr="000E0F90">
        <w:rPr>
          <w:rFonts w:ascii="Arial" w:hAnsi="Arial" w:cs="Arial"/>
          <w:color w:val="000000" w:themeColor="text1"/>
        </w:rPr>
        <w:t xml:space="preserve">(RCA) </w:t>
      </w:r>
      <w:r w:rsidR="007A4D62" w:rsidRPr="000E0F90">
        <w:rPr>
          <w:rFonts w:ascii="Arial" w:hAnsi="Arial" w:cs="Arial"/>
          <w:color w:val="000000" w:themeColor="text1"/>
        </w:rPr>
        <w:t xml:space="preserve">como lo indica Pablo Rossel </w:t>
      </w:r>
      <w:r w:rsidR="007A4D62" w:rsidRPr="000E0F90">
        <w:rPr>
          <w:rFonts w:ascii="Arial" w:hAnsi="Arial" w:cs="Arial"/>
          <w:i/>
          <w:color w:val="000000" w:themeColor="text1"/>
        </w:rPr>
        <w:t>“Quizás ese es un poco el, hay un sesgo porque nosotros como SEA tenemos un sesgo de ¿cuál es nuestro campo de acción? Que es hasta que se obtiene la RCA</w:t>
      </w:r>
      <w:r w:rsidR="004C38BF" w:rsidRPr="000E0F90">
        <w:rPr>
          <w:rFonts w:ascii="Arial" w:hAnsi="Arial" w:cs="Arial"/>
          <w:i/>
          <w:color w:val="000000" w:themeColor="text1"/>
        </w:rPr>
        <w:t>”</w:t>
      </w:r>
      <w:r w:rsidR="007A4D62" w:rsidRPr="000E0F90">
        <w:rPr>
          <w:rFonts w:ascii="Arial" w:hAnsi="Arial" w:cs="Arial"/>
          <w:i/>
          <w:color w:val="000000" w:themeColor="text1"/>
        </w:rPr>
        <w:t>.</w:t>
      </w:r>
    </w:p>
    <w:p w:rsidR="00EB37D6" w:rsidRPr="000E0F90" w:rsidRDefault="00F96F76" w:rsidP="00702D9A">
      <w:pPr>
        <w:spacing w:before="240" w:line="360" w:lineRule="auto"/>
        <w:rPr>
          <w:rFonts w:ascii="Arial" w:hAnsi="Arial" w:cs="Arial"/>
          <w:color w:val="000000" w:themeColor="text1"/>
        </w:rPr>
      </w:pPr>
      <w:r w:rsidRPr="000E0F90">
        <w:rPr>
          <w:rFonts w:ascii="Arial" w:hAnsi="Arial" w:cs="Arial"/>
          <w:color w:val="000000" w:themeColor="text1"/>
        </w:rPr>
        <w:t>De igual forma, consideran que las normas para controlar los impactos de la minería en el territorio, principalmente los efectos medioambientales y de salu</w:t>
      </w:r>
      <w:r w:rsidR="00462B21" w:rsidRPr="000E0F90">
        <w:rPr>
          <w:rFonts w:ascii="Arial" w:hAnsi="Arial" w:cs="Arial"/>
          <w:color w:val="000000" w:themeColor="text1"/>
        </w:rPr>
        <w:t>d, requieren de mayor exigencia</w:t>
      </w:r>
      <w:r w:rsidRPr="000E0F90">
        <w:rPr>
          <w:rFonts w:ascii="Arial" w:hAnsi="Arial" w:cs="Arial"/>
          <w:color w:val="000000" w:themeColor="text1"/>
        </w:rPr>
        <w:t>. De ahí surge la creación de organizaciones comunitarias, como forma de ser un ente de mayor poder que pueda exigir el cumplimiento de los planes de mitigación propuestos</w:t>
      </w:r>
      <w:r w:rsidR="0039142D" w:rsidRPr="000E0F90">
        <w:rPr>
          <w:rFonts w:ascii="Arial" w:hAnsi="Arial" w:cs="Arial"/>
          <w:color w:val="000000" w:themeColor="text1"/>
        </w:rPr>
        <w:t xml:space="preserve"> (</w:t>
      </w:r>
      <w:r w:rsidRPr="000E0F90">
        <w:rPr>
          <w:rFonts w:ascii="Arial" w:hAnsi="Arial" w:cs="Arial"/>
          <w:color w:val="000000" w:themeColor="text1"/>
        </w:rPr>
        <w:t>Edith Campilay</w:t>
      </w:r>
      <w:r w:rsidR="0039142D" w:rsidRPr="000E0F90">
        <w:rPr>
          <w:rFonts w:ascii="Arial" w:hAnsi="Arial" w:cs="Arial"/>
          <w:color w:val="000000" w:themeColor="text1"/>
        </w:rPr>
        <w:t>, Alto del Carmen)</w:t>
      </w:r>
      <w:r w:rsidR="00462B21" w:rsidRPr="000E0F90">
        <w:rPr>
          <w:rFonts w:ascii="Arial" w:hAnsi="Arial" w:cs="Arial"/>
          <w:color w:val="000000" w:themeColor="text1"/>
        </w:rPr>
        <w:t>.</w:t>
      </w:r>
      <w:r w:rsidR="00EB37D6" w:rsidRPr="000E0F90">
        <w:rPr>
          <w:rFonts w:ascii="Arial" w:hAnsi="Arial" w:cs="Arial"/>
          <w:i/>
          <w:color w:val="000000" w:themeColor="text1"/>
        </w:rPr>
        <w:t xml:space="preserve"> </w:t>
      </w:r>
      <w:r w:rsidR="00EB37D6" w:rsidRPr="000E0F90">
        <w:rPr>
          <w:rFonts w:ascii="Arial" w:hAnsi="Arial" w:cs="Arial"/>
          <w:color w:val="000000" w:themeColor="text1"/>
        </w:rPr>
        <w:t>De hecho, como plantea Pablo Rossel: “</w:t>
      </w:r>
      <w:r w:rsidR="00EB37D6" w:rsidRPr="000E0F90">
        <w:rPr>
          <w:rFonts w:ascii="Arial" w:hAnsi="Arial" w:cs="Arial"/>
          <w:i/>
          <w:color w:val="000000" w:themeColor="text1"/>
        </w:rPr>
        <w:t>…la judicialización, a mi criterio, lo que ha hecho es que ha subido los estándares de la evaluación ambiental”</w:t>
      </w:r>
      <w:r w:rsidR="0039142D" w:rsidRPr="000E0F90">
        <w:rPr>
          <w:rFonts w:ascii="Arial" w:hAnsi="Arial" w:cs="Arial"/>
          <w:i/>
          <w:color w:val="000000" w:themeColor="text1"/>
        </w:rPr>
        <w:t>.</w:t>
      </w:r>
    </w:p>
    <w:p w:rsidR="007F7446" w:rsidRPr="000E0F90" w:rsidRDefault="00EB37D6" w:rsidP="00702D9A">
      <w:pPr>
        <w:spacing w:before="240" w:line="360" w:lineRule="auto"/>
        <w:rPr>
          <w:rFonts w:ascii="Arial" w:hAnsi="Arial" w:cs="Arial"/>
          <w:color w:val="000000" w:themeColor="text1"/>
        </w:rPr>
      </w:pPr>
      <w:r w:rsidRPr="000E0F90">
        <w:rPr>
          <w:rFonts w:ascii="Arial" w:hAnsi="Arial" w:cs="Arial"/>
          <w:color w:val="000000" w:themeColor="text1"/>
        </w:rPr>
        <w:t>Por otra parte</w:t>
      </w:r>
      <w:r w:rsidR="007F7446" w:rsidRPr="000E0F90">
        <w:rPr>
          <w:rFonts w:ascii="Arial" w:hAnsi="Arial" w:cs="Arial"/>
          <w:color w:val="000000" w:themeColor="text1"/>
        </w:rPr>
        <w:t xml:space="preserve">, </w:t>
      </w:r>
      <w:r w:rsidR="009C6466" w:rsidRPr="000E0F90">
        <w:rPr>
          <w:rFonts w:ascii="Arial" w:hAnsi="Arial" w:cs="Arial"/>
          <w:color w:val="000000" w:themeColor="text1"/>
        </w:rPr>
        <w:t>del</w:t>
      </w:r>
      <w:r w:rsidR="007F7446" w:rsidRPr="000E0F90">
        <w:rPr>
          <w:rFonts w:ascii="Arial" w:hAnsi="Arial" w:cs="Arial"/>
          <w:color w:val="000000" w:themeColor="text1"/>
        </w:rPr>
        <w:t xml:space="preserve"> S</w:t>
      </w:r>
      <w:r w:rsidR="009C6466" w:rsidRPr="000E0F90">
        <w:rPr>
          <w:rFonts w:ascii="Arial" w:hAnsi="Arial" w:cs="Arial"/>
          <w:color w:val="000000" w:themeColor="text1"/>
        </w:rPr>
        <w:t>EA</w:t>
      </w:r>
      <w:r w:rsidR="007F7446" w:rsidRPr="000E0F90">
        <w:rPr>
          <w:rFonts w:ascii="Arial" w:hAnsi="Arial" w:cs="Arial"/>
          <w:color w:val="000000" w:themeColor="text1"/>
        </w:rPr>
        <w:t xml:space="preserve"> (Pablo Rossel) se señala que se existe un déficit en recursos humanos en el departamento de fiscalización, lo que </w:t>
      </w:r>
      <w:r w:rsidR="00B56C6E" w:rsidRPr="000E0F90">
        <w:rPr>
          <w:rFonts w:ascii="Arial" w:hAnsi="Arial" w:cs="Arial"/>
          <w:color w:val="000000" w:themeColor="text1"/>
        </w:rPr>
        <w:t xml:space="preserve">dificulta </w:t>
      </w:r>
      <w:r w:rsidR="007F7446" w:rsidRPr="000E0F90">
        <w:rPr>
          <w:rFonts w:ascii="Arial" w:hAnsi="Arial" w:cs="Arial"/>
          <w:color w:val="000000" w:themeColor="text1"/>
        </w:rPr>
        <w:t xml:space="preserve">realizar la oportuna fiscalización en terreno de los proyectos que poseen RCA. Señalando que se prioriza la fiscalización de algunos proyectos sobre otros, o bien dentro del proyecto algunas áreas más críticas. Por otro se señala que la particularidad de cada proyecto involucra una metodología de fiscalización </w:t>
      </w:r>
      <w:r w:rsidR="001657B1" w:rsidRPr="000E0F90">
        <w:rPr>
          <w:rFonts w:ascii="Arial" w:hAnsi="Arial" w:cs="Arial"/>
          <w:color w:val="000000" w:themeColor="text1"/>
        </w:rPr>
        <w:t xml:space="preserve">específica, </w:t>
      </w:r>
      <w:r w:rsidR="007F7446" w:rsidRPr="000E0F90">
        <w:rPr>
          <w:rFonts w:ascii="Arial" w:hAnsi="Arial" w:cs="Arial"/>
          <w:color w:val="000000" w:themeColor="text1"/>
        </w:rPr>
        <w:t xml:space="preserve">así como de </w:t>
      </w:r>
      <w:r w:rsidR="001657B1" w:rsidRPr="000E0F90">
        <w:rPr>
          <w:rFonts w:ascii="Arial" w:hAnsi="Arial" w:cs="Arial"/>
          <w:color w:val="000000" w:themeColor="text1"/>
        </w:rPr>
        <w:t xml:space="preserve">determinados </w:t>
      </w:r>
      <w:r w:rsidR="007F7446" w:rsidRPr="000E0F90">
        <w:rPr>
          <w:rFonts w:ascii="Arial" w:hAnsi="Arial" w:cs="Arial"/>
          <w:color w:val="000000" w:themeColor="text1"/>
        </w:rPr>
        <w:t>profesionales para la evaluación de ciertas áreas, lo cual implica una mayor difi</w:t>
      </w:r>
      <w:r w:rsidR="00B56C6E" w:rsidRPr="000E0F90">
        <w:rPr>
          <w:rFonts w:ascii="Arial" w:hAnsi="Arial" w:cs="Arial"/>
          <w:color w:val="000000" w:themeColor="text1"/>
        </w:rPr>
        <w:t>cultad en realizar la fiscalización.</w:t>
      </w:r>
      <w:r w:rsidR="007F7446" w:rsidRPr="000E0F90">
        <w:rPr>
          <w:rFonts w:ascii="Arial" w:hAnsi="Arial" w:cs="Arial"/>
          <w:color w:val="000000" w:themeColor="text1"/>
        </w:rPr>
        <w:t xml:space="preserve"> </w:t>
      </w:r>
    </w:p>
    <w:p w:rsidR="00F96F76" w:rsidRPr="000E0F90" w:rsidRDefault="00F96F76" w:rsidP="00702D9A">
      <w:pPr>
        <w:spacing w:before="240" w:line="360" w:lineRule="auto"/>
        <w:rPr>
          <w:rFonts w:ascii="Arial" w:hAnsi="Arial" w:cs="Arial"/>
          <w:color w:val="000000" w:themeColor="text1"/>
        </w:rPr>
      </w:pPr>
      <w:r w:rsidRPr="000E0F90">
        <w:rPr>
          <w:rFonts w:ascii="Arial" w:hAnsi="Arial" w:cs="Arial"/>
          <w:color w:val="000000" w:themeColor="text1"/>
        </w:rPr>
        <w:t xml:space="preserve">Por otra parte se requiere una mayor fiscalización una vez finalizada la operación minera, específicamente en el tratamiento de los desechos mineros provenientes de los pasivos ambientales mineros por parte de las empresas (remediación, plantas </w:t>
      </w:r>
      <w:r w:rsidRPr="000E0F90">
        <w:rPr>
          <w:rFonts w:ascii="Arial" w:hAnsi="Arial" w:cs="Arial"/>
          <w:color w:val="000000" w:themeColor="text1"/>
        </w:rPr>
        <w:lastRenderedPageBreak/>
        <w:t>abandonadas, extracción  de relaves), los cuales son señalados repetidamente como fuentes de contaminantes que afectan la salud humana de la población.</w:t>
      </w:r>
    </w:p>
    <w:p w:rsidR="00077ED0" w:rsidRPr="000E0F90" w:rsidRDefault="001657B1" w:rsidP="00702D9A">
      <w:pPr>
        <w:spacing w:before="240" w:line="360" w:lineRule="auto"/>
        <w:rPr>
          <w:rFonts w:ascii="Arial" w:hAnsi="Arial" w:cs="Arial"/>
          <w:color w:val="000000" w:themeColor="text1"/>
        </w:rPr>
      </w:pPr>
      <w:r w:rsidRPr="000E0F90">
        <w:rPr>
          <w:rFonts w:ascii="Arial" w:hAnsi="Arial" w:cs="Arial"/>
          <w:color w:val="000000" w:themeColor="text1"/>
        </w:rPr>
        <w:t>Desde otra perspectiva,</w:t>
      </w:r>
      <w:r w:rsidR="00F96F76" w:rsidRPr="000E0F90">
        <w:rPr>
          <w:rFonts w:ascii="Arial" w:hAnsi="Arial" w:cs="Arial"/>
          <w:color w:val="000000" w:themeColor="text1"/>
        </w:rPr>
        <w:t xml:space="preserve"> se señala que las autoridades locales que se enfrentan a los proyectos mineros en sus territorios, no tienen las atribuciones para exigir o fiscalizar que se cumplan los planes propuestos, como es el caso de los acaldes, lo cual los invalida como un actor clave de</w:t>
      </w:r>
      <w:r w:rsidR="00077ED0" w:rsidRPr="000E0F90">
        <w:rPr>
          <w:rFonts w:ascii="Arial" w:hAnsi="Arial" w:cs="Arial"/>
          <w:color w:val="000000" w:themeColor="text1"/>
        </w:rPr>
        <w:t>l estado en el territorio local</w:t>
      </w:r>
      <w:r w:rsidR="00F96F76" w:rsidRPr="000E0F90">
        <w:rPr>
          <w:rFonts w:ascii="Arial" w:hAnsi="Arial" w:cs="Arial"/>
          <w:color w:val="000000" w:themeColor="text1"/>
        </w:rPr>
        <w:t>. Además, se evidencia que las autoridades provinciales y regionales, intendente y gobernador, actúan desde una l</w:t>
      </w:r>
      <w:r w:rsidR="00077ED0" w:rsidRPr="000E0F90">
        <w:rPr>
          <w:rFonts w:ascii="Arial" w:hAnsi="Arial" w:cs="Arial"/>
          <w:color w:val="000000" w:themeColor="text1"/>
        </w:rPr>
        <w:t>ógica más centralista que local. Como manifiesta Fernando Flores (Vallenar)</w:t>
      </w:r>
      <w:r w:rsidR="00077ED0" w:rsidRPr="000E0F90">
        <w:rPr>
          <w:rFonts w:ascii="Arial" w:hAnsi="Arial" w:cs="Arial"/>
          <w:i/>
          <w:color w:val="000000" w:themeColor="text1"/>
        </w:rPr>
        <w:t xml:space="preserve"> “Mientras no sean elegidos ni los Gobernadores ni los Intendentes, nadie va a pelear por esto, porque el Gobernador tiene que hacer lo que dictaminan a nivel central y los Intendentes con mayor razón. Entonces, quién defiende los interese de las localidades. Los alcaldes, que han peleado en forma independiente, y pasan a ser caudillo”</w:t>
      </w:r>
      <w:r w:rsidR="00077ED0" w:rsidRPr="000E0F90">
        <w:rPr>
          <w:rFonts w:ascii="Arial" w:hAnsi="Arial" w:cs="Arial"/>
          <w:color w:val="000000" w:themeColor="text1"/>
        </w:rPr>
        <w:t>.</w:t>
      </w:r>
    </w:p>
    <w:p w:rsidR="00EB6879" w:rsidRPr="000E0F90" w:rsidRDefault="00F96F76" w:rsidP="00702D9A">
      <w:pPr>
        <w:spacing w:before="240" w:line="360" w:lineRule="auto"/>
        <w:rPr>
          <w:rFonts w:ascii="Arial" w:hAnsi="Arial" w:cs="Arial"/>
          <w:color w:val="000000" w:themeColor="text1"/>
        </w:rPr>
      </w:pPr>
      <w:r w:rsidRPr="000E0F90">
        <w:rPr>
          <w:rFonts w:ascii="Arial" w:hAnsi="Arial" w:cs="Arial"/>
          <w:color w:val="000000" w:themeColor="text1"/>
        </w:rPr>
        <w:t>Cabe destacar un aspecto muy relevante que se menciona, donde el estado debe participar en forma más activa, es en la regulación los aportes que entrega la minera a las comunidades</w:t>
      </w:r>
      <w:r w:rsidR="00EB6879" w:rsidRPr="000E0F90">
        <w:rPr>
          <w:rFonts w:ascii="Arial" w:hAnsi="Arial" w:cs="Arial"/>
          <w:color w:val="000000" w:themeColor="text1"/>
        </w:rPr>
        <w:t xml:space="preserve"> y servicios públicos</w:t>
      </w:r>
      <w:r w:rsidRPr="000E0F90">
        <w:rPr>
          <w:rFonts w:ascii="Arial" w:hAnsi="Arial" w:cs="Arial"/>
          <w:color w:val="000000" w:themeColor="text1"/>
        </w:rPr>
        <w:t>, dado que se generan situaciones que alteran la dinámica del territorio provocando conflictos entre los actores de la comunidad, así como irregularidades en</w:t>
      </w:r>
      <w:r w:rsidR="008F70E6" w:rsidRPr="000E0F90">
        <w:rPr>
          <w:rFonts w:ascii="Arial" w:hAnsi="Arial" w:cs="Arial"/>
          <w:color w:val="000000" w:themeColor="text1"/>
        </w:rPr>
        <w:t xml:space="preserve"> los servicios públicos locales </w:t>
      </w:r>
      <w:r w:rsidR="00EB6879" w:rsidRPr="000E0F90">
        <w:rPr>
          <w:rFonts w:ascii="Arial" w:hAnsi="Arial" w:cs="Arial"/>
          <w:color w:val="000000" w:themeColor="text1"/>
        </w:rPr>
        <w:t>(</w:t>
      </w:r>
      <w:r w:rsidR="00077ED0" w:rsidRPr="000E0F90">
        <w:rPr>
          <w:rFonts w:ascii="Arial" w:hAnsi="Arial" w:cs="Arial"/>
          <w:color w:val="000000" w:themeColor="text1"/>
        </w:rPr>
        <w:t>Fernando Flores, Vallenar)</w:t>
      </w:r>
      <w:r w:rsidRPr="000E0F90">
        <w:rPr>
          <w:rFonts w:ascii="Arial" w:hAnsi="Arial" w:cs="Arial"/>
          <w:color w:val="000000" w:themeColor="text1"/>
        </w:rPr>
        <w:t xml:space="preserve">. </w:t>
      </w:r>
    </w:p>
    <w:p w:rsidR="00F96F76" w:rsidRPr="000E0F90" w:rsidRDefault="00FF017F" w:rsidP="00702D9A">
      <w:pPr>
        <w:spacing w:before="240" w:line="360" w:lineRule="auto"/>
        <w:rPr>
          <w:rFonts w:ascii="Arial" w:hAnsi="Arial" w:cs="Arial"/>
          <w:color w:val="000000" w:themeColor="text1"/>
        </w:rPr>
      </w:pPr>
      <w:r w:rsidRPr="000E0F90">
        <w:rPr>
          <w:rFonts w:ascii="Arial" w:hAnsi="Arial" w:cs="Arial"/>
          <w:color w:val="000000" w:themeColor="text1"/>
        </w:rPr>
        <w:t xml:space="preserve">Otro aspecto que se señala que debe ser regulado </w:t>
      </w:r>
      <w:r w:rsidR="00EB37D6" w:rsidRPr="000E0F90">
        <w:rPr>
          <w:rFonts w:ascii="Arial" w:hAnsi="Arial" w:cs="Arial"/>
          <w:color w:val="000000" w:themeColor="text1"/>
        </w:rPr>
        <w:t xml:space="preserve">son </w:t>
      </w:r>
      <w:r w:rsidR="00447D5D" w:rsidRPr="000E0F90">
        <w:rPr>
          <w:rFonts w:ascii="Arial" w:hAnsi="Arial" w:cs="Arial"/>
          <w:color w:val="000000" w:themeColor="text1"/>
        </w:rPr>
        <w:t>los aportes que realizan</w:t>
      </w:r>
      <w:r w:rsidR="00EB6879" w:rsidRPr="000E0F90">
        <w:rPr>
          <w:rFonts w:ascii="Arial" w:hAnsi="Arial" w:cs="Arial"/>
          <w:color w:val="000000" w:themeColor="text1"/>
        </w:rPr>
        <w:t xml:space="preserve"> las mineras a</w:t>
      </w:r>
      <w:r w:rsidR="00447D5D" w:rsidRPr="000E0F90">
        <w:rPr>
          <w:rFonts w:ascii="Arial" w:hAnsi="Arial" w:cs="Arial"/>
          <w:color w:val="000000" w:themeColor="text1"/>
        </w:rPr>
        <w:t xml:space="preserve"> las Juntas de Vigilancia de Aguas, </w:t>
      </w:r>
      <w:r w:rsidR="00EB6879" w:rsidRPr="000E0F90">
        <w:rPr>
          <w:rFonts w:ascii="Arial" w:hAnsi="Arial" w:cs="Arial"/>
          <w:color w:val="000000" w:themeColor="text1"/>
        </w:rPr>
        <w:t xml:space="preserve">esto por un parte, debido a que son entidades que administran los recursos </w:t>
      </w:r>
      <w:r w:rsidR="00F46E7E" w:rsidRPr="000E0F90">
        <w:rPr>
          <w:rFonts w:ascii="Arial" w:hAnsi="Arial" w:cs="Arial"/>
          <w:color w:val="000000" w:themeColor="text1"/>
        </w:rPr>
        <w:t>hídricos de todo</w:t>
      </w:r>
      <w:r w:rsidR="00EB6879" w:rsidRPr="000E0F90">
        <w:rPr>
          <w:rFonts w:ascii="Arial" w:hAnsi="Arial" w:cs="Arial"/>
          <w:color w:val="000000" w:themeColor="text1"/>
        </w:rPr>
        <w:t xml:space="preserve"> el valle, y por tanto deben </w:t>
      </w:r>
      <w:r w:rsidR="00077ED0" w:rsidRPr="000E0F90">
        <w:rPr>
          <w:rFonts w:ascii="Arial" w:hAnsi="Arial" w:cs="Arial"/>
          <w:color w:val="000000" w:themeColor="text1"/>
        </w:rPr>
        <w:t>procurar el</w:t>
      </w:r>
      <w:r w:rsidR="00EB6879" w:rsidRPr="000E0F90">
        <w:rPr>
          <w:rFonts w:ascii="Arial" w:hAnsi="Arial" w:cs="Arial"/>
          <w:color w:val="000000" w:themeColor="text1"/>
        </w:rPr>
        <w:t xml:space="preserve"> </w:t>
      </w:r>
      <w:r w:rsidR="00A01C4C" w:rsidRPr="000E0F90">
        <w:rPr>
          <w:rFonts w:ascii="Arial" w:hAnsi="Arial" w:cs="Arial"/>
          <w:color w:val="000000" w:themeColor="text1"/>
        </w:rPr>
        <w:t>uso equitativo del recurso</w:t>
      </w:r>
      <w:r w:rsidR="00F148ED" w:rsidRPr="000E0F90">
        <w:rPr>
          <w:rFonts w:ascii="Arial" w:hAnsi="Arial" w:cs="Arial"/>
          <w:color w:val="000000" w:themeColor="text1"/>
        </w:rPr>
        <w:t xml:space="preserve">, </w:t>
      </w:r>
      <w:r w:rsidR="0039142D" w:rsidRPr="000E0F90">
        <w:rPr>
          <w:rFonts w:ascii="Arial" w:hAnsi="Arial" w:cs="Arial"/>
          <w:color w:val="000000" w:themeColor="text1"/>
        </w:rPr>
        <w:t>siguiendo</w:t>
      </w:r>
      <w:r w:rsidR="00F148ED" w:rsidRPr="000E0F90">
        <w:rPr>
          <w:rFonts w:ascii="Arial" w:hAnsi="Arial" w:cs="Arial"/>
          <w:color w:val="000000" w:themeColor="text1"/>
        </w:rPr>
        <w:t xml:space="preserve"> el Código Civil de Aguas</w:t>
      </w:r>
      <w:r w:rsidR="00F46E7E" w:rsidRPr="000E0F90">
        <w:rPr>
          <w:rFonts w:ascii="Arial" w:hAnsi="Arial" w:cs="Arial"/>
          <w:color w:val="000000" w:themeColor="text1"/>
        </w:rPr>
        <w:t>.</w:t>
      </w:r>
      <w:r w:rsidR="00A01C4C" w:rsidRPr="000E0F90">
        <w:rPr>
          <w:rFonts w:ascii="Arial" w:hAnsi="Arial" w:cs="Arial"/>
          <w:color w:val="000000" w:themeColor="text1"/>
        </w:rPr>
        <w:t xml:space="preserve"> </w:t>
      </w:r>
      <w:r w:rsidR="00077ED0" w:rsidRPr="000E0F90">
        <w:rPr>
          <w:rFonts w:ascii="Arial" w:hAnsi="Arial" w:cs="Arial"/>
          <w:color w:val="000000" w:themeColor="text1"/>
        </w:rPr>
        <w:t>C</w:t>
      </w:r>
      <w:r w:rsidR="00F148ED" w:rsidRPr="000E0F90">
        <w:rPr>
          <w:rFonts w:ascii="Arial" w:hAnsi="Arial" w:cs="Arial"/>
          <w:color w:val="000000" w:themeColor="text1"/>
        </w:rPr>
        <w:t>omo lo indica Fernando Flores (Ex gobernador Vallenar)</w:t>
      </w:r>
      <w:r w:rsidR="00077ED0" w:rsidRPr="000E0F90">
        <w:rPr>
          <w:rFonts w:ascii="Arial" w:hAnsi="Arial" w:cs="Arial"/>
          <w:color w:val="000000" w:themeColor="text1"/>
        </w:rPr>
        <w:t xml:space="preserve"> “</w:t>
      </w:r>
      <w:r w:rsidR="00077ED0" w:rsidRPr="000E0F90">
        <w:rPr>
          <w:rFonts w:ascii="Arial" w:hAnsi="Arial" w:cs="Arial"/>
          <w:i/>
          <w:color w:val="000000" w:themeColor="text1"/>
        </w:rPr>
        <w:t>pueden</w:t>
      </w:r>
      <w:r w:rsidR="00077ED0" w:rsidRPr="000E0F90">
        <w:rPr>
          <w:rFonts w:ascii="Arial" w:hAnsi="Arial" w:cs="Arial"/>
          <w:color w:val="000000" w:themeColor="text1"/>
        </w:rPr>
        <w:t xml:space="preserve"> d</w:t>
      </w:r>
      <w:r w:rsidR="00F46E7E" w:rsidRPr="000E0F90">
        <w:rPr>
          <w:rFonts w:ascii="Arial" w:hAnsi="Arial" w:cs="Arial"/>
          <w:i/>
          <w:color w:val="000000" w:themeColor="text1"/>
        </w:rPr>
        <w:t>estruir la cuenca, porque la naturalidad de la cuenca dice que tú tienes que retirar el agua según la capacidad de acciones que hay”.</w:t>
      </w:r>
      <w:r w:rsidR="00F148ED" w:rsidRPr="000E0F90">
        <w:rPr>
          <w:rFonts w:ascii="Arial" w:hAnsi="Arial" w:cs="Arial"/>
          <w:i/>
          <w:color w:val="000000" w:themeColor="text1"/>
        </w:rPr>
        <w:t xml:space="preserve"> </w:t>
      </w:r>
      <w:r w:rsidR="00A01C4C" w:rsidRPr="000E0F90">
        <w:rPr>
          <w:rFonts w:ascii="Arial" w:hAnsi="Arial" w:cs="Arial"/>
          <w:color w:val="000000" w:themeColor="text1"/>
        </w:rPr>
        <w:t xml:space="preserve">Por otra parte, </w:t>
      </w:r>
      <w:r w:rsidR="00447D5D" w:rsidRPr="000E0F90">
        <w:rPr>
          <w:rFonts w:ascii="Arial" w:hAnsi="Arial" w:cs="Arial"/>
          <w:color w:val="000000" w:themeColor="text1"/>
        </w:rPr>
        <w:t>dado que las mineras al adquirir los derechos de agua del valle, pasan a ser accionistas</w:t>
      </w:r>
      <w:r w:rsidR="00A01C4C" w:rsidRPr="000E0F90">
        <w:rPr>
          <w:rFonts w:ascii="Arial" w:hAnsi="Arial" w:cs="Arial"/>
          <w:color w:val="000000" w:themeColor="text1"/>
        </w:rPr>
        <w:t xml:space="preserve"> mayoritario pueden</w:t>
      </w:r>
      <w:r w:rsidR="00447D5D" w:rsidRPr="000E0F90">
        <w:rPr>
          <w:rFonts w:ascii="Arial" w:hAnsi="Arial" w:cs="Arial"/>
          <w:color w:val="000000" w:themeColor="text1"/>
        </w:rPr>
        <w:t xml:space="preserve"> influir en las tomas de </w:t>
      </w:r>
      <w:r w:rsidR="00A01C4C" w:rsidRPr="000E0F90">
        <w:rPr>
          <w:rFonts w:ascii="Arial" w:hAnsi="Arial" w:cs="Arial"/>
          <w:color w:val="000000" w:themeColor="text1"/>
        </w:rPr>
        <w:t>decisiones</w:t>
      </w:r>
      <w:r w:rsidR="00447D5D" w:rsidRPr="000E0F90">
        <w:rPr>
          <w:rFonts w:ascii="Arial" w:hAnsi="Arial" w:cs="Arial"/>
          <w:color w:val="000000" w:themeColor="text1"/>
        </w:rPr>
        <w:t xml:space="preserve"> de la junta de vigilancia del agua de todo el valle</w:t>
      </w:r>
      <w:r w:rsidR="0039142D" w:rsidRPr="000E0F90">
        <w:rPr>
          <w:rFonts w:ascii="Arial" w:hAnsi="Arial" w:cs="Arial"/>
          <w:color w:val="000000" w:themeColor="text1"/>
        </w:rPr>
        <w:t>, requiriendo que la administración del recurso hídrico provenga del estado,  y no bajo un modelo comercial. (</w:t>
      </w:r>
      <w:r w:rsidR="00A01C4C" w:rsidRPr="000E0F90">
        <w:rPr>
          <w:rFonts w:ascii="Arial" w:hAnsi="Arial" w:cs="Arial"/>
          <w:color w:val="000000" w:themeColor="text1"/>
        </w:rPr>
        <w:t>Fernando Flores</w:t>
      </w:r>
      <w:r w:rsidR="0039142D" w:rsidRPr="000E0F90">
        <w:rPr>
          <w:rFonts w:ascii="Arial" w:hAnsi="Arial" w:cs="Arial"/>
          <w:color w:val="000000" w:themeColor="text1"/>
        </w:rPr>
        <w:t xml:space="preserve">, </w:t>
      </w:r>
      <w:r w:rsidR="00F46E7E" w:rsidRPr="000E0F90">
        <w:rPr>
          <w:rFonts w:ascii="Arial" w:hAnsi="Arial" w:cs="Arial"/>
          <w:color w:val="000000" w:themeColor="text1"/>
        </w:rPr>
        <w:t>Vallenar</w:t>
      </w:r>
      <w:r w:rsidR="00A01C4C" w:rsidRPr="000E0F90">
        <w:rPr>
          <w:rFonts w:ascii="Arial" w:hAnsi="Arial" w:cs="Arial"/>
          <w:color w:val="000000" w:themeColor="text1"/>
        </w:rPr>
        <w:t>)</w:t>
      </w:r>
      <w:r w:rsidR="00B74FEE" w:rsidRPr="000E0F90">
        <w:rPr>
          <w:rFonts w:ascii="Arial" w:hAnsi="Arial" w:cs="Arial"/>
          <w:color w:val="000000" w:themeColor="text1"/>
        </w:rPr>
        <w:t>.</w:t>
      </w:r>
      <w:r w:rsidR="00A01C4C" w:rsidRPr="000E0F90">
        <w:rPr>
          <w:rFonts w:ascii="Arial" w:hAnsi="Arial" w:cs="Arial"/>
          <w:color w:val="000000" w:themeColor="text1"/>
        </w:rPr>
        <w:t xml:space="preserve"> </w:t>
      </w:r>
    </w:p>
    <w:p w:rsidR="003F2E43" w:rsidRPr="000E0F90" w:rsidRDefault="003F2E43" w:rsidP="00702D9A">
      <w:pPr>
        <w:spacing w:after="0" w:line="360" w:lineRule="auto"/>
        <w:rPr>
          <w:rFonts w:ascii="Arial" w:hAnsi="Arial" w:cs="Arial"/>
          <w:b/>
          <w:color w:val="000000" w:themeColor="text1"/>
        </w:rPr>
      </w:pPr>
    </w:p>
    <w:p w:rsidR="003F2E43" w:rsidRPr="000E0F90" w:rsidRDefault="003F2E43" w:rsidP="00702D9A">
      <w:pPr>
        <w:spacing w:after="0" w:line="360" w:lineRule="auto"/>
        <w:rPr>
          <w:rFonts w:ascii="Arial" w:hAnsi="Arial" w:cs="Arial"/>
          <w:b/>
          <w:color w:val="000000" w:themeColor="text1"/>
        </w:rPr>
      </w:pPr>
    </w:p>
    <w:p w:rsidR="00F7220D" w:rsidRDefault="00F7220D" w:rsidP="00702D9A">
      <w:pPr>
        <w:spacing w:after="0" w:line="360" w:lineRule="auto"/>
        <w:rPr>
          <w:rFonts w:ascii="Arial" w:hAnsi="Arial" w:cs="Arial"/>
          <w:b/>
          <w:color w:val="000000" w:themeColor="text1"/>
        </w:rPr>
      </w:pPr>
    </w:p>
    <w:p w:rsidR="004272A4" w:rsidRPr="000E0F90" w:rsidRDefault="00F96F76" w:rsidP="00702D9A">
      <w:pPr>
        <w:spacing w:after="0" w:line="360" w:lineRule="auto"/>
        <w:rPr>
          <w:rFonts w:ascii="Arial" w:hAnsi="Arial" w:cs="Arial"/>
          <w:b/>
          <w:color w:val="000000" w:themeColor="text1"/>
        </w:rPr>
      </w:pPr>
      <w:r w:rsidRPr="000E0F90">
        <w:rPr>
          <w:rFonts w:ascii="Arial" w:hAnsi="Arial" w:cs="Arial"/>
          <w:b/>
          <w:color w:val="000000" w:themeColor="text1"/>
        </w:rPr>
        <w:lastRenderedPageBreak/>
        <w:t>11</w:t>
      </w:r>
      <w:r w:rsidR="00257707" w:rsidRPr="000E0F90">
        <w:rPr>
          <w:rFonts w:ascii="Arial" w:hAnsi="Arial" w:cs="Arial"/>
          <w:b/>
          <w:color w:val="000000" w:themeColor="text1"/>
        </w:rPr>
        <w:t xml:space="preserve">. </w:t>
      </w:r>
      <w:r w:rsidR="008F70E6" w:rsidRPr="000E0F90">
        <w:rPr>
          <w:rFonts w:ascii="Arial" w:hAnsi="Arial" w:cs="Arial"/>
          <w:b/>
          <w:color w:val="000000" w:themeColor="text1"/>
        </w:rPr>
        <w:t>Participación en procesos de t</w:t>
      </w:r>
      <w:r w:rsidR="0008206E" w:rsidRPr="000E0F90">
        <w:rPr>
          <w:rFonts w:ascii="Arial" w:hAnsi="Arial" w:cs="Arial"/>
          <w:b/>
          <w:color w:val="000000" w:themeColor="text1"/>
        </w:rPr>
        <w:t xml:space="preserve">oma de </w:t>
      </w:r>
      <w:r w:rsidR="008F70E6" w:rsidRPr="000E0F90">
        <w:rPr>
          <w:rFonts w:ascii="Arial" w:hAnsi="Arial" w:cs="Arial"/>
          <w:b/>
          <w:color w:val="000000" w:themeColor="text1"/>
        </w:rPr>
        <w:t>d</w:t>
      </w:r>
      <w:r w:rsidR="0008206E" w:rsidRPr="000E0F90">
        <w:rPr>
          <w:rFonts w:ascii="Arial" w:hAnsi="Arial" w:cs="Arial"/>
          <w:b/>
          <w:color w:val="000000" w:themeColor="text1"/>
        </w:rPr>
        <w:t>ecisión</w:t>
      </w:r>
    </w:p>
    <w:p w:rsidR="009947C3" w:rsidRPr="000E0F90" w:rsidRDefault="00D7635C" w:rsidP="00702D9A">
      <w:pPr>
        <w:spacing w:line="360" w:lineRule="auto"/>
        <w:rPr>
          <w:rFonts w:ascii="Arial" w:hAnsi="Arial" w:cs="Arial"/>
          <w:color w:val="000000" w:themeColor="text1"/>
        </w:rPr>
      </w:pPr>
      <w:r w:rsidRPr="000E0F90">
        <w:rPr>
          <w:rFonts w:ascii="Arial" w:hAnsi="Arial" w:cs="Arial"/>
          <w:color w:val="000000" w:themeColor="text1"/>
        </w:rPr>
        <w:t xml:space="preserve">En cuanto a los procesos de toma de decisión que involucran la instalación de proyectos </w:t>
      </w:r>
      <w:r w:rsidR="0046269A" w:rsidRPr="000E0F90">
        <w:rPr>
          <w:rFonts w:ascii="Arial" w:hAnsi="Arial" w:cs="Arial"/>
          <w:color w:val="000000" w:themeColor="text1"/>
        </w:rPr>
        <w:t xml:space="preserve">industriales </w:t>
      </w:r>
      <w:r w:rsidRPr="000E0F90">
        <w:rPr>
          <w:rFonts w:ascii="Arial" w:hAnsi="Arial" w:cs="Arial"/>
          <w:color w:val="000000" w:themeColor="text1"/>
        </w:rPr>
        <w:t xml:space="preserve">en los territorios locales, los entrevistados señalan que sus posturas no tienen cabida en el actual mecanismo de evaluación ambiental.  </w:t>
      </w:r>
    </w:p>
    <w:p w:rsidR="009947C3" w:rsidRPr="000E0F90" w:rsidRDefault="005A3353" w:rsidP="00702D9A">
      <w:pPr>
        <w:spacing w:before="240" w:line="360" w:lineRule="auto"/>
        <w:rPr>
          <w:rFonts w:ascii="Arial" w:hAnsi="Arial" w:cs="Arial"/>
          <w:i/>
          <w:color w:val="000000" w:themeColor="text1"/>
        </w:rPr>
      </w:pPr>
      <w:r w:rsidRPr="000E0F90">
        <w:rPr>
          <w:rFonts w:ascii="Arial" w:hAnsi="Arial" w:cs="Arial"/>
          <w:color w:val="000000" w:themeColor="text1"/>
        </w:rPr>
        <w:t>En relación a la demanda que se levantó en contra del Morro por el proceso de consulta realizado por la minera, Sara Ceriche (Alto del Carmen) señala: “</w:t>
      </w:r>
      <w:r w:rsidRPr="000E0F90">
        <w:rPr>
          <w:rFonts w:ascii="Arial" w:hAnsi="Arial" w:cs="Arial"/>
          <w:i/>
          <w:color w:val="000000" w:themeColor="text1"/>
        </w:rPr>
        <w:t>El Morro (esta demandado) por no hacer las consultas, que ellos dijeron que si habían hecho, pero no..</w:t>
      </w:r>
      <w:r w:rsidR="009947C3" w:rsidRPr="000E0F90">
        <w:rPr>
          <w:rFonts w:ascii="Arial" w:hAnsi="Arial" w:cs="Arial"/>
          <w:i/>
          <w:color w:val="000000" w:themeColor="text1"/>
        </w:rPr>
        <w:t>. Hicieron… O sea, ya venían a decir lo que iban a hacer, el proyecto no más, como informado no más. Hecho</w:t>
      </w:r>
      <w:r w:rsidRPr="000E0F90">
        <w:rPr>
          <w:rFonts w:ascii="Arial" w:hAnsi="Arial" w:cs="Arial"/>
          <w:i/>
          <w:color w:val="000000" w:themeColor="text1"/>
        </w:rPr>
        <w:t xml:space="preserve"> </w:t>
      </w:r>
      <w:r w:rsidRPr="000E0F90">
        <w:rPr>
          <w:rFonts w:ascii="Arial" w:hAnsi="Arial" w:cs="Arial"/>
          <w:color w:val="000000" w:themeColor="text1"/>
        </w:rPr>
        <w:t>(Sara Ceriche, Alto del Carmen)</w:t>
      </w:r>
      <w:r w:rsidR="009947C3" w:rsidRPr="000E0F90">
        <w:rPr>
          <w:rFonts w:ascii="Arial" w:hAnsi="Arial" w:cs="Arial"/>
          <w:color w:val="000000" w:themeColor="text1"/>
        </w:rPr>
        <w:t>.</w:t>
      </w:r>
      <w:r w:rsidR="009947C3" w:rsidRPr="000E0F90">
        <w:rPr>
          <w:rFonts w:ascii="Arial" w:hAnsi="Arial" w:cs="Arial"/>
          <w:i/>
          <w:color w:val="000000" w:themeColor="text1"/>
        </w:rPr>
        <w:t xml:space="preserve"> </w:t>
      </w:r>
    </w:p>
    <w:p w:rsidR="0046269A" w:rsidRPr="000E0F90" w:rsidRDefault="00D7635C" w:rsidP="00702D9A">
      <w:pPr>
        <w:spacing w:before="240" w:line="360" w:lineRule="auto"/>
        <w:rPr>
          <w:rFonts w:ascii="Arial" w:hAnsi="Arial" w:cs="Arial"/>
          <w:color w:val="000000" w:themeColor="text1"/>
        </w:rPr>
      </w:pPr>
      <w:r w:rsidRPr="000E0F90">
        <w:rPr>
          <w:rFonts w:ascii="Arial" w:hAnsi="Arial" w:cs="Arial"/>
          <w:color w:val="000000" w:themeColor="text1"/>
        </w:rPr>
        <w:t>Dado que el mecanismo de participación ciudadana no tiene el carácter de vinculante, e</w:t>
      </w:r>
      <w:r w:rsidR="008F70E6" w:rsidRPr="000E0F90">
        <w:rPr>
          <w:rFonts w:ascii="Arial" w:hAnsi="Arial" w:cs="Arial"/>
          <w:color w:val="000000" w:themeColor="text1"/>
        </w:rPr>
        <w:t>n el sentido que sus solicitudes</w:t>
      </w:r>
      <w:r w:rsidRPr="000E0F90">
        <w:rPr>
          <w:rFonts w:ascii="Arial" w:hAnsi="Arial" w:cs="Arial"/>
          <w:color w:val="000000" w:themeColor="text1"/>
        </w:rPr>
        <w:t xml:space="preserve"> no conllevan a </w:t>
      </w:r>
      <w:r w:rsidR="0046269A" w:rsidRPr="000E0F90">
        <w:rPr>
          <w:rFonts w:ascii="Arial" w:hAnsi="Arial" w:cs="Arial"/>
          <w:color w:val="000000" w:themeColor="text1"/>
        </w:rPr>
        <w:t>modificaciones</w:t>
      </w:r>
      <w:r w:rsidRPr="000E0F90">
        <w:rPr>
          <w:rFonts w:ascii="Arial" w:hAnsi="Arial" w:cs="Arial"/>
          <w:color w:val="000000" w:themeColor="text1"/>
        </w:rPr>
        <w:t xml:space="preserve"> </w:t>
      </w:r>
      <w:r w:rsidR="0046269A" w:rsidRPr="000E0F90">
        <w:rPr>
          <w:rFonts w:ascii="Arial" w:hAnsi="Arial" w:cs="Arial"/>
          <w:color w:val="000000" w:themeColor="text1"/>
        </w:rPr>
        <w:t xml:space="preserve">sustanciales del proyecto y tampoco </w:t>
      </w:r>
      <w:r w:rsidRPr="000E0F90">
        <w:rPr>
          <w:rFonts w:ascii="Arial" w:hAnsi="Arial" w:cs="Arial"/>
          <w:color w:val="000000" w:themeColor="text1"/>
        </w:rPr>
        <w:t>existe la posibilidad de rechazar un proyecto por parte de las comunidades</w:t>
      </w:r>
      <w:r w:rsidR="0046269A" w:rsidRPr="000E0F90">
        <w:rPr>
          <w:rFonts w:ascii="Arial" w:hAnsi="Arial" w:cs="Arial"/>
          <w:color w:val="000000" w:themeColor="text1"/>
        </w:rPr>
        <w:t>, siendo  únicamente un proceso informativo</w:t>
      </w:r>
      <w:r w:rsidRPr="000E0F90">
        <w:rPr>
          <w:rFonts w:ascii="Arial" w:hAnsi="Arial" w:cs="Arial"/>
          <w:color w:val="000000" w:themeColor="text1"/>
        </w:rPr>
        <w:t xml:space="preserve">. </w:t>
      </w:r>
      <w:r w:rsidR="00B56C6E" w:rsidRPr="000E0F90">
        <w:rPr>
          <w:rFonts w:ascii="Arial" w:hAnsi="Arial" w:cs="Arial"/>
          <w:color w:val="000000" w:themeColor="text1"/>
        </w:rPr>
        <w:t xml:space="preserve">Situación que ha </w:t>
      </w:r>
      <w:r w:rsidR="00717E07" w:rsidRPr="000E0F90">
        <w:rPr>
          <w:rFonts w:ascii="Arial" w:hAnsi="Arial" w:cs="Arial"/>
          <w:color w:val="000000" w:themeColor="text1"/>
        </w:rPr>
        <w:t>llevado a la judicialización de proyectos</w:t>
      </w:r>
      <w:r w:rsidR="00B56C6E" w:rsidRPr="000E0F90">
        <w:rPr>
          <w:rFonts w:ascii="Arial" w:hAnsi="Arial" w:cs="Arial"/>
          <w:color w:val="000000" w:themeColor="text1"/>
        </w:rPr>
        <w:t xml:space="preserve"> y manifestaciones públicas </w:t>
      </w:r>
      <w:r w:rsidR="00717E07" w:rsidRPr="000E0F90">
        <w:rPr>
          <w:rFonts w:ascii="Arial" w:hAnsi="Arial" w:cs="Arial"/>
          <w:color w:val="000000" w:themeColor="text1"/>
        </w:rPr>
        <w:t>por no realizar una participación ciudadana vinculante</w:t>
      </w:r>
      <w:r w:rsidR="009947C3" w:rsidRPr="000E0F90">
        <w:rPr>
          <w:rFonts w:ascii="Arial" w:hAnsi="Arial" w:cs="Arial"/>
          <w:color w:val="000000" w:themeColor="text1"/>
        </w:rPr>
        <w:t xml:space="preserve">. </w:t>
      </w:r>
    </w:p>
    <w:p w:rsidR="009947C3" w:rsidRPr="000E0F90" w:rsidRDefault="009947C3" w:rsidP="00702D9A">
      <w:pPr>
        <w:spacing w:before="240" w:line="360" w:lineRule="auto"/>
        <w:rPr>
          <w:rFonts w:ascii="Arial" w:hAnsi="Arial" w:cs="Arial"/>
          <w:color w:val="000000" w:themeColor="text1"/>
        </w:rPr>
      </w:pPr>
      <w:r w:rsidRPr="000E0F90">
        <w:rPr>
          <w:rFonts w:ascii="Arial" w:hAnsi="Arial" w:cs="Arial"/>
          <w:color w:val="000000" w:themeColor="text1"/>
        </w:rPr>
        <w:t>Pablo Rossel (S</w:t>
      </w:r>
      <w:r w:rsidR="009C6466" w:rsidRPr="000E0F90">
        <w:rPr>
          <w:rFonts w:ascii="Arial" w:hAnsi="Arial" w:cs="Arial"/>
          <w:color w:val="000000" w:themeColor="text1"/>
        </w:rPr>
        <w:t>EA</w:t>
      </w:r>
      <w:r w:rsidRPr="000E0F90">
        <w:rPr>
          <w:rFonts w:ascii="Arial" w:hAnsi="Arial" w:cs="Arial"/>
          <w:color w:val="000000" w:themeColor="text1"/>
        </w:rPr>
        <w:t>) considera que la imposibilidad de efectuar cambios o modificación sustanciales a los proyectos una vez que ingresa al Servicio es una falencia del sistema, dado que el proyecto se debe evaluar como ingresa</w:t>
      </w:r>
      <w:r w:rsidR="007A4D62" w:rsidRPr="000E0F90">
        <w:rPr>
          <w:rFonts w:ascii="Arial" w:hAnsi="Arial" w:cs="Arial"/>
          <w:color w:val="000000" w:themeColor="text1"/>
        </w:rPr>
        <w:t>,</w:t>
      </w:r>
      <w:r w:rsidRPr="000E0F90">
        <w:rPr>
          <w:rFonts w:ascii="Arial" w:hAnsi="Arial" w:cs="Arial"/>
          <w:color w:val="000000" w:themeColor="text1"/>
        </w:rPr>
        <w:t xml:space="preserve"> sin </w:t>
      </w:r>
      <w:r w:rsidR="007A4D62" w:rsidRPr="000E0F90">
        <w:rPr>
          <w:rFonts w:ascii="Arial" w:hAnsi="Arial" w:cs="Arial"/>
          <w:color w:val="000000" w:themeColor="text1"/>
        </w:rPr>
        <w:t>posibilidad de evaluar</w:t>
      </w:r>
      <w:r w:rsidRPr="000E0F90">
        <w:rPr>
          <w:rFonts w:ascii="Arial" w:hAnsi="Arial" w:cs="Arial"/>
          <w:color w:val="000000" w:themeColor="text1"/>
        </w:rPr>
        <w:t xml:space="preserve"> alternativas </w:t>
      </w:r>
      <w:r w:rsidR="007A4D62" w:rsidRPr="000E0F90">
        <w:rPr>
          <w:rFonts w:ascii="Arial" w:hAnsi="Arial" w:cs="Arial"/>
          <w:color w:val="000000" w:themeColor="text1"/>
        </w:rPr>
        <w:t>al</w:t>
      </w:r>
      <w:r w:rsidRPr="000E0F90">
        <w:rPr>
          <w:rFonts w:ascii="Arial" w:hAnsi="Arial" w:cs="Arial"/>
          <w:color w:val="000000" w:themeColor="text1"/>
        </w:rPr>
        <w:t xml:space="preserve"> proyecto</w:t>
      </w:r>
      <w:r w:rsidR="007A4D62" w:rsidRPr="000E0F90">
        <w:rPr>
          <w:rFonts w:ascii="Arial" w:hAnsi="Arial" w:cs="Arial"/>
          <w:color w:val="000000" w:themeColor="text1"/>
        </w:rPr>
        <w:t xml:space="preserve"> (i.e. </w:t>
      </w:r>
      <w:r w:rsidRPr="000E0F90">
        <w:rPr>
          <w:rFonts w:ascii="Arial" w:hAnsi="Arial" w:cs="Arial"/>
          <w:color w:val="000000" w:themeColor="text1"/>
        </w:rPr>
        <w:t>modifica</w:t>
      </w:r>
      <w:r w:rsidR="007A4D62" w:rsidRPr="000E0F90">
        <w:rPr>
          <w:rFonts w:ascii="Arial" w:hAnsi="Arial" w:cs="Arial"/>
          <w:color w:val="000000" w:themeColor="text1"/>
        </w:rPr>
        <w:t>ción de</w:t>
      </w:r>
      <w:r w:rsidRPr="000E0F90">
        <w:rPr>
          <w:rFonts w:ascii="Arial" w:hAnsi="Arial" w:cs="Arial"/>
          <w:color w:val="000000" w:themeColor="text1"/>
        </w:rPr>
        <w:t xml:space="preserve"> trazados</w:t>
      </w:r>
      <w:r w:rsidR="007A4D62" w:rsidRPr="000E0F90">
        <w:rPr>
          <w:rFonts w:ascii="Arial" w:hAnsi="Arial" w:cs="Arial"/>
          <w:color w:val="000000" w:themeColor="text1"/>
        </w:rPr>
        <w:t>). Por ley, se debe generar otra línea base, por tanto no tienen cabida ese tipo de modificaciones. S</w:t>
      </w:r>
      <w:r w:rsidR="00B56C6E" w:rsidRPr="000E0F90">
        <w:rPr>
          <w:rFonts w:ascii="Arial" w:hAnsi="Arial" w:cs="Arial"/>
          <w:color w:val="000000" w:themeColor="text1"/>
        </w:rPr>
        <w:t xml:space="preserve">e señala incluso que si bien la </w:t>
      </w:r>
      <w:r w:rsidR="007A4D62" w:rsidRPr="000E0F90">
        <w:rPr>
          <w:rFonts w:ascii="Arial" w:hAnsi="Arial" w:cs="Arial"/>
          <w:color w:val="000000" w:themeColor="text1"/>
        </w:rPr>
        <w:t xml:space="preserve">evaluación ambiental permite modificaciones sustantivas, estas serían finalmente modificaciones menores. De ahí la importancia de realizar los procesos de participación ciudadana o consulta indígena en forma anticipada, antes de que el proyecto ingrese al sistema de evaluación. Sin embargo, dichas instancias hasta el momento son voluntarias. </w:t>
      </w:r>
    </w:p>
    <w:p w:rsidR="00DF0935" w:rsidRPr="000E0F90" w:rsidRDefault="00B56C6E" w:rsidP="00702D9A">
      <w:pPr>
        <w:spacing w:before="240" w:line="360" w:lineRule="auto"/>
        <w:rPr>
          <w:rFonts w:ascii="Arial" w:hAnsi="Arial" w:cs="Arial"/>
          <w:color w:val="000000" w:themeColor="text1"/>
        </w:rPr>
      </w:pPr>
      <w:r w:rsidRPr="000E0F90">
        <w:rPr>
          <w:rFonts w:ascii="Arial" w:hAnsi="Arial" w:cs="Arial"/>
          <w:color w:val="000000" w:themeColor="text1"/>
        </w:rPr>
        <w:t>Otro aspecto relevante es la</w:t>
      </w:r>
      <w:r w:rsidR="00486084" w:rsidRPr="000E0F90">
        <w:rPr>
          <w:rFonts w:ascii="Arial" w:hAnsi="Arial" w:cs="Arial"/>
          <w:color w:val="000000" w:themeColor="text1"/>
        </w:rPr>
        <w:t xml:space="preserve"> </w:t>
      </w:r>
      <w:r w:rsidRPr="000E0F90">
        <w:rPr>
          <w:rFonts w:ascii="Arial" w:hAnsi="Arial" w:cs="Arial"/>
          <w:color w:val="000000" w:themeColor="text1"/>
        </w:rPr>
        <w:t xml:space="preserve">mayor consideración que presenta el </w:t>
      </w:r>
      <w:r w:rsidR="00486084" w:rsidRPr="000E0F90">
        <w:rPr>
          <w:rFonts w:ascii="Arial" w:hAnsi="Arial" w:cs="Arial"/>
          <w:color w:val="000000" w:themeColor="text1"/>
        </w:rPr>
        <w:t>S</w:t>
      </w:r>
      <w:r w:rsidR="009C6466" w:rsidRPr="000E0F90">
        <w:rPr>
          <w:rFonts w:ascii="Arial" w:hAnsi="Arial" w:cs="Arial"/>
          <w:color w:val="000000" w:themeColor="text1"/>
        </w:rPr>
        <w:t xml:space="preserve">EA </w:t>
      </w:r>
      <w:r w:rsidR="003A0793" w:rsidRPr="000E0F90">
        <w:rPr>
          <w:rFonts w:ascii="Arial" w:hAnsi="Arial" w:cs="Arial"/>
          <w:color w:val="000000" w:themeColor="text1"/>
        </w:rPr>
        <w:t xml:space="preserve">en los procesos de evaluación ambiental, a las comunidades indígenas </w:t>
      </w:r>
      <w:r w:rsidR="00BF6379" w:rsidRPr="000E0F90">
        <w:rPr>
          <w:rFonts w:ascii="Arial" w:hAnsi="Arial" w:cs="Arial"/>
          <w:color w:val="000000" w:themeColor="text1"/>
        </w:rPr>
        <w:t>por sobre</w:t>
      </w:r>
      <w:r w:rsidR="003A0793" w:rsidRPr="000E0F90">
        <w:rPr>
          <w:rFonts w:ascii="Arial" w:hAnsi="Arial" w:cs="Arial"/>
          <w:color w:val="000000" w:themeColor="text1"/>
        </w:rPr>
        <w:t xml:space="preserve"> la ciudadanía en general</w:t>
      </w:r>
      <w:r w:rsidRPr="000E0F90">
        <w:rPr>
          <w:rFonts w:ascii="Arial" w:hAnsi="Arial" w:cs="Arial"/>
          <w:color w:val="000000" w:themeColor="text1"/>
        </w:rPr>
        <w:t xml:space="preserve"> (</w:t>
      </w:r>
      <w:r w:rsidR="009C6466" w:rsidRPr="000E0F90">
        <w:rPr>
          <w:rFonts w:ascii="Arial" w:hAnsi="Arial" w:cs="Arial"/>
          <w:color w:val="000000" w:themeColor="text1"/>
        </w:rPr>
        <w:t xml:space="preserve">i.e. </w:t>
      </w:r>
      <w:r w:rsidRPr="000E0F90">
        <w:rPr>
          <w:rFonts w:ascii="Arial" w:hAnsi="Arial" w:cs="Arial"/>
          <w:color w:val="000000" w:themeColor="text1"/>
        </w:rPr>
        <w:t>períodos de consulta, aspectos no materi</w:t>
      </w:r>
      <w:r w:rsidR="00487198" w:rsidRPr="000E0F90">
        <w:rPr>
          <w:rFonts w:ascii="Arial" w:hAnsi="Arial" w:cs="Arial"/>
          <w:color w:val="000000" w:themeColor="text1"/>
        </w:rPr>
        <w:t>ales, cosmovisión, entre otros)</w:t>
      </w:r>
      <w:r w:rsidR="00B42129" w:rsidRPr="000E0F90">
        <w:rPr>
          <w:rFonts w:ascii="Arial" w:hAnsi="Arial" w:cs="Arial"/>
          <w:color w:val="000000" w:themeColor="text1"/>
        </w:rPr>
        <w:t xml:space="preserve">. </w:t>
      </w:r>
      <w:r w:rsidR="00487198" w:rsidRPr="000E0F90">
        <w:rPr>
          <w:rFonts w:ascii="Arial" w:hAnsi="Arial" w:cs="Arial"/>
          <w:color w:val="000000" w:themeColor="text1"/>
        </w:rPr>
        <w:t xml:space="preserve">Otorgando incluso </w:t>
      </w:r>
      <w:r w:rsidR="00B42129" w:rsidRPr="000E0F90">
        <w:rPr>
          <w:rFonts w:ascii="Arial" w:hAnsi="Arial" w:cs="Arial"/>
          <w:color w:val="000000" w:themeColor="text1"/>
        </w:rPr>
        <w:t>más garantías a los pueblos aborígenes</w:t>
      </w:r>
      <w:r w:rsidR="00487198" w:rsidRPr="000E0F90">
        <w:rPr>
          <w:rFonts w:ascii="Arial" w:hAnsi="Arial" w:cs="Arial"/>
          <w:color w:val="000000" w:themeColor="text1"/>
        </w:rPr>
        <w:t xml:space="preserve"> en los fallos de la corte suprema</w:t>
      </w:r>
      <w:r w:rsidR="00B74FEE" w:rsidRPr="000E0F90">
        <w:rPr>
          <w:rFonts w:ascii="Arial" w:hAnsi="Arial" w:cs="Arial"/>
          <w:color w:val="000000" w:themeColor="text1"/>
        </w:rPr>
        <w:t>.</w:t>
      </w:r>
      <w:r w:rsidR="00B42129" w:rsidRPr="000E0F90">
        <w:rPr>
          <w:rFonts w:ascii="Arial" w:hAnsi="Arial" w:cs="Arial"/>
          <w:color w:val="000000" w:themeColor="text1"/>
        </w:rPr>
        <w:t xml:space="preserve"> A</w:t>
      </w:r>
      <w:r w:rsidR="00487198" w:rsidRPr="000E0F90">
        <w:rPr>
          <w:rFonts w:ascii="Arial" w:hAnsi="Arial" w:cs="Arial"/>
          <w:color w:val="000000" w:themeColor="text1"/>
        </w:rPr>
        <w:t>l respecto</w:t>
      </w:r>
      <w:r w:rsidR="00B42129" w:rsidRPr="000E0F90">
        <w:rPr>
          <w:rFonts w:ascii="Arial" w:hAnsi="Arial" w:cs="Arial"/>
          <w:color w:val="000000" w:themeColor="text1"/>
        </w:rPr>
        <w:t>, se plantea que se debe equiparar las condiciones</w:t>
      </w:r>
      <w:r w:rsidR="00DF0935" w:rsidRPr="000E0F90">
        <w:rPr>
          <w:rFonts w:ascii="Arial" w:hAnsi="Arial" w:cs="Arial"/>
          <w:color w:val="000000" w:themeColor="text1"/>
        </w:rPr>
        <w:t xml:space="preserve"> (</w:t>
      </w:r>
      <w:r w:rsidR="00B42129" w:rsidRPr="000E0F90">
        <w:rPr>
          <w:rFonts w:ascii="Arial" w:hAnsi="Arial" w:cs="Arial"/>
          <w:color w:val="000000" w:themeColor="text1"/>
        </w:rPr>
        <w:t>Pablo Rossel</w:t>
      </w:r>
      <w:r w:rsidR="00487198" w:rsidRPr="000E0F90">
        <w:rPr>
          <w:rFonts w:ascii="Arial" w:hAnsi="Arial" w:cs="Arial"/>
          <w:color w:val="000000" w:themeColor="text1"/>
        </w:rPr>
        <w:t>, SEA).</w:t>
      </w:r>
    </w:p>
    <w:p w:rsidR="0033552B" w:rsidRPr="000E0F90" w:rsidRDefault="0033552B" w:rsidP="00B42129">
      <w:pPr>
        <w:spacing w:before="240"/>
        <w:rPr>
          <w:rFonts w:ascii="Arial" w:hAnsi="Arial" w:cs="Arial"/>
          <w:color w:val="000000" w:themeColor="text1"/>
        </w:rPr>
      </w:pPr>
      <w:r w:rsidRPr="000E0F90">
        <w:rPr>
          <w:rFonts w:ascii="Arial" w:hAnsi="Arial" w:cs="Arial"/>
          <w:noProof/>
          <w:color w:val="000000" w:themeColor="text1"/>
          <w:lang w:eastAsia="es-CL"/>
        </w:rPr>
        <w:lastRenderedPageBreak/>
        <w:drawing>
          <wp:inline distT="0" distB="0" distL="0" distR="0" wp14:anchorId="16C9659B" wp14:editId="474BBC3B">
            <wp:extent cx="5434641" cy="3545133"/>
            <wp:effectExtent l="0" t="0" r="0" b="17780"/>
            <wp:docPr id="62" name="Diagrama 6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2" r:lo="rId33" r:qs="rId34" r:cs="rId35"/>
              </a:graphicData>
            </a:graphic>
          </wp:inline>
        </w:drawing>
      </w:r>
    </w:p>
    <w:p w:rsidR="0033552B" w:rsidRPr="000E0F90" w:rsidRDefault="0033552B" w:rsidP="00D835C0">
      <w:pPr>
        <w:spacing w:before="240" w:after="0"/>
        <w:rPr>
          <w:rFonts w:ascii="Arial" w:hAnsi="Arial" w:cs="Arial"/>
          <w:color w:val="000000" w:themeColor="text1"/>
        </w:rPr>
      </w:pPr>
      <w:r w:rsidRPr="000E0F90">
        <w:rPr>
          <w:rFonts w:ascii="Arial" w:hAnsi="Arial" w:cs="Arial"/>
          <w:noProof/>
          <w:color w:val="000000" w:themeColor="text1"/>
          <w:lang w:eastAsia="es-CL"/>
        </w:rPr>
        <w:drawing>
          <wp:inline distT="0" distB="0" distL="0" distR="0" wp14:anchorId="3F8103DE" wp14:editId="537E2CB8">
            <wp:extent cx="5439104" cy="3767959"/>
            <wp:effectExtent l="0" t="0" r="0" b="23495"/>
            <wp:docPr id="63" name="Diagrama 6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7" r:lo="rId38" r:qs="rId39" r:cs="rId40"/>
              </a:graphicData>
            </a:graphic>
          </wp:inline>
        </w:drawing>
      </w:r>
    </w:p>
    <w:p w:rsidR="00D835C0" w:rsidRPr="000E0F90" w:rsidRDefault="00D835C0" w:rsidP="00B35339">
      <w:pPr>
        <w:spacing w:before="240"/>
        <w:jc w:val="center"/>
        <w:rPr>
          <w:rFonts w:ascii="Arial" w:hAnsi="Arial" w:cs="Arial"/>
          <w:color w:val="000000" w:themeColor="text1"/>
        </w:rPr>
      </w:pPr>
      <w:r w:rsidRPr="000E0F90">
        <w:rPr>
          <w:rFonts w:ascii="Arial" w:hAnsi="Arial" w:cs="Arial"/>
          <w:color w:val="000000" w:themeColor="text1"/>
        </w:rPr>
        <w:t xml:space="preserve">Figura </w:t>
      </w:r>
      <w:r w:rsidRPr="000E0F90">
        <w:rPr>
          <w:rFonts w:ascii="Arial" w:hAnsi="Arial" w:cs="Arial"/>
          <w:color w:val="000000" w:themeColor="text1"/>
        </w:rPr>
        <w:fldChar w:fldCharType="begin"/>
      </w:r>
      <w:r w:rsidRPr="000E0F90">
        <w:rPr>
          <w:rFonts w:ascii="Arial" w:hAnsi="Arial" w:cs="Arial"/>
          <w:color w:val="000000" w:themeColor="text1"/>
        </w:rPr>
        <w:instrText xml:space="preserve"> SEQ Figura \* ARABIC </w:instrText>
      </w:r>
      <w:r w:rsidRPr="000E0F90">
        <w:rPr>
          <w:rFonts w:ascii="Arial" w:hAnsi="Arial" w:cs="Arial"/>
          <w:color w:val="000000" w:themeColor="text1"/>
        </w:rPr>
        <w:fldChar w:fldCharType="separate"/>
      </w:r>
      <w:r w:rsidR="00225844">
        <w:rPr>
          <w:rFonts w:ascii="Arial" w:hAnsi="Arial" w:cs="Arial"/>
          <w:noProof/>
          <w:color w:val="000000" w:themeColor="text1"/>
        </w:rPr>
        <w:t>26</w:t>
      </w:r>
      <w:r w:rsidRPr="000E0F90">
        <w:rPr>
          <w:rFonts w:ascii="Arial" w:hAnsi="Arial" w:cs="Arial"/>
          <w:noProof/>
          <w:color w:val="000000" w:themeColor="text1"/>
        </w:rPr>
        <w:fldChar w:fldCharType="end"/>
      </w:r>
      <w:r w:rsidRPr="000E0F90">
        <w:rPr>
          <w:rFonts w:ascii="Arial" w:hAnsi="Arial" w:cs="Arial"/>
          <w:noProof/>
          <w:color w:val="000000" w:themeColor="text1"/>
        </w:rPr>
        <w:t xml:space="preserve"> :</w:t>
      </w:r>
      <w:r w:rsidRPr="000E0F90">
        <w:rPr>
          <w:rFonts w:ascii="Arial" w:hAnsi="Arial" w:cs="Arial"/>
          <w:color w:val="000000" w:themeColor="text1"/>
        </w:rPr>
        <w:t xml:space="preserve"> Temas relevantes identificados por los actores locales de los territorios de la Región de Atacama: Tierra Amarilla y Alto del Carmen</w:t>
      </w:r>
    </w:p>
    <w:p w:rsidR="0033552B" w:rsidRPr="000E0F90" w:rsidRDefault="00D835C0" w:rsidP="00B42129">
      <w:pPr>
        <w:spacing w:before="240"/>
        <w:rPr>
          <w:rFonts w:ascii="Arial" w:hAnsi="Arial" w:cs="Arial"/>
          <w:color w:val="000000" w:themeColor="text1"/>
        </w:rPr>
      </w:pPr>
      <w:r w:rsidRPr="000E0F90">
        <w:rPr>
          <w:rFonts w:ascii="Arial" w:hAnsi="Arial" w:cs="Arial"/>
          <w:noProof/>
          <w:color w:val="000000" w:themeColor="text1"/>
          <w:lang w:eastAsia="es-CL"/>
        </w:rPr>
        <w:lastRenderedPageBreak/>
        <w:drawing>
          <wp:inline distT="0" distB="0" distL="0" distR="0" wp14:anchorId="2A867D37" wp14:editId="047E6FD1">
            <wp:extent cx="5434641" cy="5113631"/>
            <wp:effectExtent l="0" t="38100" r="0" b="11430"/>
            <wp:docPr id="290" name="Diagrama 29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2" r:lo="rId43" r:qs="rId44" r:cs="rId45"/>
              </a:graphicData>
            </a:graphic>
          </wp:inline>
        </w:drawing>
      </w:r>
    </w:p>
    <w:p w:rsidR="005D1F00" w:rsidRPr="000E0F90" w:rsidRDefault="005D1F00" w:rsidP="005D1F00">
      <w:pPr>
        <w:jc w:val="center"/>
        <w:rPr>
          <w:rFonts w:ascii="Arial" w:hAnsi="Arial" w:cs="Arial"/>
          <w:color w:val="000000" w:themeColor="text1"/>
        </w:rPr>
      </w:pPr>
      <w:r w:rsidRPr="000E0F90">
        <w:rPr>
          <w:rFonts w:ascii="Arial" w:hAnsi="Arial" w:cs="Arial"/>
          <w:color w:val="000000" w:themeColor="text1"/>
        </w:rPr>
        <w:t xml:space="preserve">Figura </w:t>
      </w:r>
      <w:r w:rsidRPr="000E0F90">
        <w:rPr>
          <w:rFonts w:ascii="Arial" w:hAnsi="Arial" w:cs="Arial"/>
          <w:color w:val="000000" w:themeColor="text1"/>
        </w:rPr>
        <w:fldChar w:fldCharType="begin"/>
      </w:r>
      <w:r w:rsidRPr="000E0F90">
        <w:rPr>
          <w:rFonts w:ascii="Arial" w:hAnsi="Arial" w:cs="Arial"/>
          <w:color w:val="000000" w:themeColor="text1"/>
        </w:rPr>
        <w:instrText xml:space="preserve"> SEQ Figura \* ARABIC </w:instrText>
      </w:r>
      <w:r w:rsidRPr="000E0F90">
        <w:rPr>
          <w:rFonts w:ascii="Arial" w:hAnsi="Arial" w:cs="Arial"/>
          <w:color w:val="000000" w:themeColor="text1"/>
        </w:rPr>
        <w:fldChar w:fldCharType="separate"/>
      </w:r>
      <w:r w:rsidR="00225844">
        <w:rPr>
          <w:rFonts w:ascii="Arial" w:hAnsi="Arial" w:cs="Arial"/>
          <w:noProof/>
          <w:color w:val="000000" w:themeColor="text1"/>
        </w:rPr>
        <w:t>27</w:t>
      </w:r>
      <w:r w:rsidRPr="000E0F90">
        <w:rPr>
          <w:rFonts w:ascii="Arial" w:hAnsi="Arial" w:cs="Arial"/>
          <w:noProof/>
          <w:color w:val="000000" w:themeColor="text1"/>
        </w:rPr>
        <w:fldChar w:fldCharType="end"/>
      </w:r>
      <w:r w:rsidRPr="000E0F90">
        <w:rPr>
          <w:rFonts w:ascii="Arial" w:hAnsi="Arial" w:cs="Arial"/>
          <w:noProof/>
          <w:color w:val="000000" w:themeColor="text1"/>
        </w:rPr>
        <w:t xml:space="preserve"> :</w:t>
      </w:r>
      <w:r w:rsidRPr="000E0F90">
        <w:rPr>
          <w:rFonts w:ascii="Arial" w:hAnsi="Arial" w:cs="Arial"/>
          <w:color w:val="000000" w:themeColor="text1"/>
        </w:rPr>
        <w:t xml:space="preserve"> Temas relevantes identificados por los actores locales de los territorios de la Región de Atacama: Tierra Amarilla y Alto del Carmen (Continuación)</w:t>
      </w:r>
    </w:p>
    <w:p w:rsidR="00740D3D" w:rsidRPr="000E0F90" w:rsidRDefault="00740D3D" w:rsidP="00740D3D">
      <w:pPr>
        <w:pStyle w:val="Epgrafe"/>
        <w:rPr>
          <w:rFonts w:ascii="Arial" w:hAnsi="Arial" w:cs="Arial"/>
          <w:color w:val="000000" w:themeColor="text1"/>
        </w:rPr>
      </w:pPr>
    </w:p>
    <w:p w:rsidR="004F1EF8" w:rsidRPr="000E0F90" w:rsidRDefault="004F1EF8" w:rsidP="00740D3D">
      <w:pPr>
        <w:spacing w:after="360"/>
        <w:jc w:val="left"/>
        <w:rPr>
          <w:rFonts w:ascii="Arial" w:hAnsi="Arial" w:cs="Arial"/>
          <w:b/>
          <w:color w:val="000000" w:themeColor="text1"/>
        </w:rPr>
      </w:pPr>
      <w:r w:rsidRPr="000E0F90">
        <w:rPr>
          <w:rFonts w:ascii="Arial" w:eastAsiaTheme="majorEastAsia" w:hAnsi="Arial" w:cs="Arial"/>
          <w:b/>
          <w:bCs/>
          <w:color w:val="000000" w:themeColor="text1"/>
        </w:rPr>
        <w:br w:type="page"/>
      </w:r>
    </w:p>
    <w:p w:rsidR="00827605" w:rsidRPr="000E0F90" w:rsidRDefault="00827605" w:rsidP="00702D9A">
      <w:pPr>
        <w:pStyle w:val="Ttulo4"/>
        <w:spacing w:line="360" w:lineRule="auto"/>
        <w:rPr>
          <w:rFonts w:ascii="Arial" w:hAnsi="Arial" w:cs="Arial"/>
          <w:color w:val="000000" w:themeColor="text1"/>
        </w:rPr>
      </w:pPr>
      <w:r w:rsidRPr="000E0F90">
        <w:rPr>
          <w:rFonts w:ascii="Arial" w:hAnsi="Arial" w:cs="Arial"/>
          <w:color w:val="000000" w:themeColor="text1"/>
        </w:rPr>
        <w:lastRenderedPageBreak/>
        <w:t>CUARTA REGIÓN</w:t>
      </w:r>
      <w:r w:rsidR="007B59B4" w:rsidRPr="000E0F90">
        <w:rPr>
          <w:rFonts w:ascii="Arial" w:hAnsi="Arial" w:cs="Arial"/>
          <w:color w:val="000000" w:themeColor="text1"/>
        </w:rPr>
        <w:t>: Comuna de Salamanca y La Higuera</w:t>
      </w:r>
    </w:p>
    <w:p w:rsidR="009E0E5A" w:rsidRPr="000E0F90" w:rsidRDefault="00D86B0B" w:rsidP="00702D9A">
      <w:pPr>
        <w:spacing w:before="240" w:after="0" w:line="360" w:lineRule="auto"/>
        <w:rPr>
          <w:rFonts w:ascii="Arial" w:hAnsi="Arial" w:cs="Arial"/>
          <w:b/>
          <w:color w:val="000000" w:themeColor="text1"/>
        </w:rPr>
      </w:pPr>
      <w:r w:rsidRPr="000E0F90">
        <w:rPr>
          <w:rFonts w:ascii="Arial" w:hAnsi="Arial" w:cs="Arial"/>
          <w:b/>
          <w:color w:val="000000" w:themeColor="text1"/>
        </w:rPr>
        <w:t>1</w:t>
      </w:r>
      <w:r w:rsidR="004E395E" w:rsidRPr="000E0F90">
        <w:rPr>
          <w:rFonts w:ascii="Arial" w:hAnsi="Arial" w:cs="Arial"/>
          <w:b/>
          <w:color w:val="000000" w:themeColor="text1"/>
        </w:rPr>
        <w:t>. Territorialidad Hi</w:t>
      </w:r>
      <w:r w:rsidR="00335374" w:rsidRPr="000E0F90">
        <w:rPr>
          <w:rFonts w:ascii="Arial" w:hAnsi="Arial" w:cs="Arial"/>
          <w:b/>
          <w:color w:val="000000" w:themeColor="text1"/>
        </w:rPr>
        <w:t xml:space="preserve">stórica </w:t>
      </w:r>
    </w:p>
    <w:p w:rsidR="002144A9" w:rsidRPr="000E0F90" w:rsidRDefault="002144A9" w:rsidP="00F7220D">
      <w:pPr>
        <w:spacing w:line="360" w:lineRule="auto"/>
        <w:rPr>
          <w:rFonts w:ascii="Arial" w:hAnsi="Arial" w:cs="Arial"/>
          <w:i/>
          <w:color w:val="000000" w:themeColor="text1"/>
          <w:highlight w:val="yellow"/>
        </w:rPr>
      </w:pPr>
      <w:r w:rsidRPr="000E0F90">
        <w:rPr>
          <w:rFonts w:ascii="Arial" w:hAnsi="Arial" w:cs="Arial"/>
          <w:color w:val="000000" w:themeColor="text1"/>
        </w:rPr>
        <w:t xml:space="preserve">Dentro de las transformaciones territoriales provenientes de las acciones humanas, en </w:t>
      </w:r>
      <w:r w:rsidR="007B59B4" w:rsidRPr="000E0F90">
        <w:rPr>
          <w:rFonts w:ascii="Arial" w:hAnsi="Arial" w:cs="Arial"/>
          <w:color w:val="000000" w:themeColor="text1"/>
        </w:rPr>
        <w:t xml:space="preserve">las </w:t>
      </w:r>
      <w:r w:rsidR="003B1881" w:rsidRPr="000E0F90">
        <w:rPr>
          <w:rFonts w:ascii="Arial" w:hAnsi="Arial" w:cs="Arial"/>
          <w:color w:val="000000" w:themeColor="text1"/>
        </w:rPr>
        <w:t>comuna</w:t>
      </w:r>
      <w:r w:rsidR="007B59B4" w:rsidRPr="000E0F90">
        <w:rPr>
          <w:rFonts w:ascii="Arial" w:hAnsi="Arial" w:cs="Arial"/>
          <w:color w:val="000000" w:themeColor="text1"/>
        </w:rPr>
        <w:t>s</w:t>
      </w:r>
      <w:r w:rsidR="003B1881" w:rsidRPr="000E0F90">
        <w:rPr>
          <w:rFonts w:ascii="Arial" w:hAnsi="Arial" w:cs="Arial"/>
          <w:color w:val="000000" w:themeColor="text1"/>
        </w:rPr>
        <w:t xml:space="preserve"> de Salamanca </w:t>
      </w:r>
      <w:r w:rsidR="007D48A1" w:rsidRPr="000E0F90">
        <w:rPr>
          <w:rFonts w:ascii="Arial" w:hAnsi="Arial" w:cs="Arial"/>
          <w:color w:val="000000" w:themeColor="text1"/>
        </w:rPr>
        <w:t xml:space="preserve">y La Higuera, </w:t>
      </w:r>
      <w:r w:rsidR="00F57A54" w:rsidRPr="000E0F90">
        <w:rPr>
          <w:rFonts w:ascii="Arial" w:hAnsi="Arial" w:cs="Arial"/>
          <w:color w:val="000000" w:themeColor="text1"/>
        </w:rPr>
        <w:t xml:space="preserve">se identifican </w:t>
      </w:r>
      <w:r w:rsidRPr="000E0F90">
        <w:rPr>
          <w:rFonts w:ascii="Arial" w:hAnsi="Arial" w:cs="Arial"/>
          <w:color w:val="000000" w:themeColor="text1"/>
        </w:rPr>
        <w:t xml:space="preserve">actividades mineras, agrícolas y hacia la costa la pesca, como las que han contribuido mayormente a la construcción del territorio. </w:t>
      </w:r>
      <w:r w:rsidR="007D48A1" w:rsidRPr="000E0F90">
        <w:rPr>
          <w:rFonts w:ascii="Arial" w:hAnsi="Arial" w:cs="Arial"/>
          <w:color w:val="000000" w:themeColor="text1"/>
        </w:rPr>
        <w:t xml:space="preserve">No obstante, ha sido la actividad minera la que ha impulsado </w:t>
      </w:r>
      <w:r w:rsidRPr="000E0F90">
        <w:rPr>
          <w:rFonts w:ascii="Arial" w:hAnsi="Arial" w:cs="Arial"/>
          <w:color w:val="000000" w:themeColor="text1"/>
        </w:rPr>
        <w:t xml:space="preserve">la </w:t>
      </w:r>
      <w:r w:rsidR="008E7CC4" w:rsidRPr="000E0F90">
        <w:rPr>
          <w:rFonts w:ascii="Arial" w:hAnsi="Arial" w:cs="Arial"/>
          <w:color w:val="000000" w:themeColor="text1"/>
        </w:rPr>
        <w:t xml:space="preserve">vasta </w:t>
      </w:r>
      <w:r w:rsidRPr="000E0F90">
        <w:rPr>
          <w:rFonts w:ascii="Arial" w:hAnsi="Arial" w:cs="Arial"/>
          <w:color w:val="000000" w:themeColor="text1"/>
        </w:rPr>
        <w:t>apropiación territorial</w:t>
      </w:r>
      <w:r w:rsidR="00F57A54" w:rsidRPr="000E0F90">
        <w:rPr>
          <w:rFonts w:ascii="Arial" w:hAnsi="Arial" w:cs="Arial"/>
          <w:color w:val="000000" w:themeColor="text1"/>
        </w:rPr>
        <w:t xml:space="preserve"> y a su vez el desarrollo de otros usos territoriales.</w:t>
      </w:r>
    </w:p>
    <w:p w:rsidR="00B45B0F" w:rsidRPr="000E0F90" w:rsidRDefault="00CA0B4D" w:rsidP="00702D9A">
      <w:pPr>
        <w:spacing w:before="240" w:line="360" w:lineRule="auto"/>
        <w:rPr>
          <w:rFonts w:ascii="Arial" w:hAnsi="Arial" w:cs="Arial"/>
          <w:color w:val="000000" w:themeColor="text1"/>
        </w:rPr>
      </w:pPr>
      <w:r w:rsidRPr="000E0F90">
        <w:rPr>
          <w:rFonts w:ascii="Arial" w:hAnsi="Arial" w:cs="Arial"/>
          <w:color w:val="000000" w:themeColor="text1"/>
        </w:rPr>
        <w:t>E</w:t>
      </w:r>
      <w:r w:rsidR="00CC0353" w:rsidRPr="000E0F90">
        <w:rPr>
          <w:rFonts w:ascii="Arial" w:hAnsi="Arial" w:cs="Arial"/>
          <w:color w:val="000000" w:themeColor="text1"/>
        </w:rPr>
        <w:t>n relación a la territorialidad histórica</w:t>
      </w:r>
      <w:r w:rsidR="007A555A" w:rsidRPr="000E0F90">
        <w:rPr>
          <w:rFonts w:ascii="Arial" w:hAnsi="Arial" w:cs="Arial"/>
          <w:color w:val="000000" w:themeColor="text1"/>
        </w:rPr>
        <w:t xml:space="preserve"> de la comuna de Higuera</w:t>
      </w:r>
      <w:r w:rsidR="00892FB7" w:rsidRPr="000E0F90">
        <w:rPr>
          <w:rFonts w:ascii="Arial" w:hAnsi="Arial" w:cs="Arial"/>
          <w:color w:val="000000" w:themeColor="text1"/>
        </w:rPr>
        <w:t xml:space="preserve">, </w:t>
      </w:r>
      <w:r w:rsidR="00CC0353" w:rsidRPr="000E0F90">
        <w:rPr>
          <w:rFonts w:ascii="Arial" w:hAnsi="Arial" w:cs="Arial"/>
          <w:color w:val="000000" w:themeColor="text1"/>
        </w:rPr>
        <w:t>se evidencia una primera transformación desde la época precolombina derivada de la ocupación de pueblos indígenas</w:t>
      </w:r>
      <w:r w:rsidRPr="000E0F90">
        <w:rPr>
          <w:rFonts w:ascii="Arial" w:hAnsi="Arial" w:cs="Arial"/>
          <w:color w:val="000000" w:themeColor="text1"/>
        </w:rPr>
        <w:t xml:space="preserve"> </w:t>
      </w:r>
      <w:sdt>
        <w:sdtPr>
          <w:rPr>
            <w:rFonts w:ascii="Arial" w:hAnsi="Arial" w:cs="Arial"/>
            <w:color w:val="000000" w:themeColor="text1"/>
          </w:rPr>
          <w:id w:val="235128205"/>
          <w:citation/>
        </w:sdtPr>
        <w:sdtEndPr/>
        <w:sdtContent>
          <w:r w:rsidRPr="000E0F90">
            <w:rPr>
              <w:rFonts w:ascii="Arial" w:hAnsi="Arial" w:cs="Arial"/>
              <w:color w:val="000000" w:themeColor="text1"/>
            </w:rPr>
            <w:fldChar w:fldCharType="begin"/>
          </w:r>
          <w:r w:rsidR="00CB35EB" w:rsidRPr="000E0F90">
            <w:rPr>
              <w:rFonts w:ascii="Arial" w:hAnsi="Arial" w:cs="Arial"/>
              <w:color w:val="000000" w:themeColor="text1"/>
            </w:rPr>
            <w:instrText xml:space="preserve">CITATION MarcadorDePosición1 \t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(Arellano, Gastó, Gálvez, Subercauseaux, Toledo, &amp; Miranda, 2013)</w:t>
          </w:r>
          <w:r w:rsidRPr="000E0F90">
            <w:rPr>
              <w:rFonts w:ascii="Arial" w:hAnsi="Arial" w:cs="Arial"/>
              <w:color w:val="000000" w:themeColor="text1"/>
            </w:rPr>
            <w:fldChar w:fldCharType="end"/>
          </w:r>
        </w:sdtContent>
      </w:sdt>
      <w:r w:rsidR="005E3AA7" w:rsidRPr="000E0F90">
        <w:rPr>
          <w:rFonts w:ascii="Arial" w:hAnsi="Arial" w:cs="Arial"/>
          <w:color w:val="000000" w:themeColor="text1"/>
        </w:rPr>
        <w:t>.</w:t>
      </w:r>
      <w:r w:rsidR="00CC0353" w:rsidRPr="000E0F90">
        <w:rPr>
          <w:rFonts w:ascii="Arial" w:hAnsi="Arial" w:cs="Arial"/>
          <w:color w:val="000000" w:themeColor="text1"/>
        </w:rPr>
        <w:t xml:space="preserve"> </w:t>
      </w:r>
      <w:r w:rsidR="005E3AA7" w:rsidRPr="000E0F90">
        <w:rPr>
          <w:rFonts w:ascii="Arial" w:hAnsi="Arial" w:cs="Arial"/>
          <w:color w:val="000000" w:themeColor="text1"/>
        </w:rPr>
        <w:t>Dichas las i</w:t>
      </w:r>
      <w:r w:rsidR="00F20606" w:rsidRPr="000E0F90">
        <w:rPr>
          <w:rFonts w:ascii="Arial" w:hAnsi="Arial" w:cs="Arial"/>
          <w:color w:val="000000" w:themeColor="text1"/>
        </w:rPr>
        <w:t>nfluencias</w:t>
      </w:r>
      <w:r w:rsidR="005E3AA7" w:rsidRPr="000E0F90">
        <w:rPr>
          <w:rFonts w:ascii="Arial" w:hAnsi="Arial" w:cs="Arial"/>
          <w:color w:val="000000" w:themeColor="text1"/>
        </w:rPr>
        <w:t xml:space="preserve"> se registran tanto en los valles como en la costa, evidenciándose vestigios de las culturas diaguitas, changos e incas. En la costa particularmente, se señala la presencia de restos de flechas, fragmentos de cántaros, conchales, </w:t>
      </w:r>
      <w:r w:rsidR="005E3AA7" w:rsidRPr="000E0F90">
        <w:rPr>
          <w:rFonts w:ascii="Arial" w:hAnsi="Arial" w:cs="Arial"/>
          <w:i/>
          <w:color w:val="000000" w:themeColor="text1"/>
        </w:rPr>
        <w:t>tambetá</w:t>
      </w:r>
      <w:r w:rsidR="005E3AA7" w:rsidRPr="000E0F90">
        <w:rPr>
          <w:rFonts w:ascii="Arial" w:hAnsi="Arial" w:cs="Arial"/>
          <w:color w:val="000000" w:themeColor="text1"/>
        </w:rPr>
        <w:t>, entre otros hallazgos; igualmente, en el valle</w:t>
      </w:r>
      <w:r w:rsidR="004949F3" w:rsidRPr="000E0F90">
        <w:rPr>
          <w:rFonts w:ascii="Arial" w:hAnsi="Arial" w:cs="Arial"/>
          <w:color w:val="000000" w:themeColor="text1"/>
        </w:rPr>
        <w:t>,</w:t>
      </w:r>
      <w:r w:rsidR="005E3AA7" w:rsidRPr="000E0F90">
        <w:rPr>
          <w:rFonts w:ascii="Arial" w:hAnsi="Arial" w:cs="Arial"/>
          <w:color w:val="000000" w:themeColor="text1"/>
        </w:rPr>
        <w:t xml:space="preserve"> infraestructura y arte rupestre son identificados </w:t>
      </w:r>
      <w:sdt>
        <w:sdtPr>
          <w:rPr>
            <w:rFonts w:ascii="Arial" w:hAnsi="Arial" w:cs="Arial"/>
            <w:color w:val="000000" w:themeColor="text1"/>
          </w:rPr>
          <w:id w:val="1474484295"/>
          <w:citation/>
        </w:sdtPr>
        <w:sdtEndPr/>
        <w:sdtContent>
          <w:r w:rsidR="005E3AA7" w:rsidRPr="000E0F90">
            <w:rPr>
              <w:rFonts w:ascii="Arial" w:hAnsi="Arial" w:cs="Arial"/>
              <w:color w:val="000000" w:themeColor="text1"/>
            </w:rPr>
            <w:fldChar w:fldCharType="begin"/>
          </w:r>
          <w:r w:rsidR="004949F3" w:rsidRPr="000E0F90">
            <w:rPr>
              <w:rFonts w:ascii="Arial" w:hAnsi="Arial" w:cs="Arial"/>
              <w:color w:val="000000" w:themeColor="text1"/>
            </w:rPr>
            <w:instrText xml:space="preserve">CITATION Are13 \t  \l 13322 </w:instrText>
          </w:r>
          <w:r w:rsidR="005E3AA7" w:rsidRPr="000E0F90">
            <w:rPr>
              <w:rFonts w:ascii="Arial" w:hAnsi="Arial" w:cs="Arial"/>
              <w:color w:val="000000" w:themeColor="text1"/>
            </w:rPr>
            <w:fldChar w:fldCharType="separate"/>
          </w:r>
          <w:r w:rsidR="008D0261" w:rsidRPr="000E0F90">
            <w:rPr>
              <w:rFonts w:ascii="Arial" w:hAnsi="Arial" w:cs="Arial"/>
              <w:noProof/>
              <w:color w:val="000000" w:themeColor="text1"/>
            </w:rPr>
            <w:t>(Arellano, Gastó, Gálvez, Subercauseaux, Toledo, &amp; Miranda, 2013)</w:t>
          </w:r>
          <w:r w:rsidR="005E3AA7" w:rsidRPr="000E0F90">
            <w:rPr>
              <w:rFonts w:ascii="Arial" w:hAnsi="Arial" w:cs="Arial"/>
              <w:color w:val="000000" w:themeColor="text1"/>
            </w:rPr>
            <w:fldChar w:fldCharType="end"/>
          </w:r>
        </w:sdtContent>
      </w:sdt>
      <w:r w:rsidR="005E3AA7" w:rsidRPr="000E0F90">
        <w:rPr>
          <w:rFonts w:ascii="Arial" w:hAnsi="Arial" w:cs="Arial"/>
          <w:color w:val="000000" w:themeColor="text1"/>
        </w:rPr>
        <w:t>.</w:t>
      </w:r>
      <w:r w:rsidR="00B45B0F" w:rsidRPr="000E0F90">
        <w:rPr>
          <w:rFonts w:ascii="Arial" w:hAnsi="Arial" w:cs="Arial"/>
          <w:color w:val="000000" w:themeColor="text1"/>
        </w:rPr>
        <w:t xml:space="preserve"> </w:t>
      </w:r>
    </w:p>
    <w:p w:rsidR="00146DCA" w:rsidRPr="000E0F90" w:rsidRDefault="000E0A44" w:rsidP="00702D9A">
      <w:pPr>
        <w:tabs>
          <w:tab w:val="left" w:pos="5529"/>
        </w:tabs>
        <w:spacing w:before="240" w:line="360" w:lineRule="auto"/>
        <w:rPr>
          <w:rFonts w:ascii="Arial" w:hAnsi="Arial" w:cs="Arial"/>
          <w:color w:val="000000" w:themeColor="text1"/>
        </w:rPr>
      </w:pPr>
      <w:r w:rsidRPr="000E0F90">
        <w:rPr>
          <w:rFonts w:ascii="Arial" w:hAnsi="Arial" w:cs="Arial"/>
          <w:color w:val="000000" w:themeColor="text1"/>
        </w:rPr>
        <w:t xml:space="preserve">En relación a la territorialidad histórica de la comuna de Salamanca, </w:t>
      </w:r>
      <w:r w:rsidR="00077634" w:rsidRPr="000E0F90">
        <w:rPr>
          <w:rFonts w:ascii="Arial" w:hAnsi="Arial" w:cs="Arial"/>
          <w:color w:val="000000" w:themeColor="text1"/>
        </w:rPr>
        <w:t xml:space="preserve">a diferencia de La Higuera, no se identifica una influencia indígena, sino que </w:t>
      </w:r>
      <w:r w:rsidRPr="000E0F90">
        <w:rPr>
          <w:rFonts w:ascii="Arial" w:hAnsi="Arial" w:cs="Arial"/>
          <w:color w:val="000000" w:themeColor="text1"/>
        </w:rPr>
        <w:t>se destaca un fuerte arraigo por la actividad agrícola</w:t>
      </w:r>
      <w:r w:rsidR="00146DCA" w:rsidRPr="000E0F90">
        <w:rPr>
          <w:rFonts w:ascii="Arial" w:hAnsi="Arial" w:cs="Arial"/>
          <w:color w:val="000000" w:themeColor="text1"/>
        </w:rPr>
        <w:t xml:space="preserve">. </w:t>
      </w:r>
      <w:r w:rsidR="00077634" w:rsidRPr="000E0F90">
        <w:rPr>
          <w:rFonts w:ascii="Arial" w:hAnsi="Arial" w:cs="Arial"/>
          <w:color w:val="000000" w:themeColor="text1"/>
        </w:rPr>
        <w:t xml:space="preserve">Este fuerte carácter agrícola que se instaura en los territorios, proviene de la necesidad de alimentos y animales que se originan de los destacamentos mineros del valle, los cuales a su vez reubican a los indígenas de sus asentamientos naturales para emplearlos en las faenas mineras y agrícolas. </w:t>
      </w:r>
      <w:r w:rsidR="00146DCA" w:rsidRPr="000E0F90">
        <w:rPr>
          <w:rFonts w:ascii="Arial" w:hAnsi="Arial" w:cs="Arial"/>
          <w:color w:val="000000" w:themeColor="text1"/>
        </w:rPr>
        <w:t>Esta vinculación se explica</w:t>
      </w:r>
      <w:r w:rsidR="00077634" w:rsidRPr="000E0F90">
        <w:rPr>
          <w:rFonts w:ascii="Arial" w:hAnsi="Arial" w:cs="Arial"/>
          <w:color w:val="000000" w:themeColor="text1"/>
        </w:rPr>
        <w:t xml:space="preserve"> también</w:t>
      </w:r>
      <w:r w:rsidR="00146DCA" w:rsidRPr="000E0F90">
        <w:rPr>
          <w:rFonts w:ascii="Arial" w:hAnsi="Arial" w:cs="Arial"/>
          <w:color w:val="000000" w:themeColor="text1"/>
        </w:rPr>
        <w:t>, dad</w:t>
      </w:r>
      <w:r w:rsidR="00077634" w:rsidRPr="000E0F90">
        <w:rPr>
          <w:rFonts w:ascii="Arial" w:hAnsi="Arial" w:cs="Arial"/>
          <w:color w:val="000000" w:themeColor="text1"/>
        </w:rPr>
        <w:t>o que</w:t>
      </w:r>
      <w:r w:rsidR="00146DCA" w:rsidRPr="000E0F90">
        <w:rPr>
          <w:rFonts w:ascii="Arial" w:hAnsi="Arial" w:cs="Arial"/>
          <w:color w:val="000000" w:themeColor="text1"/>
        </w:rPr>
        <w:t xml:space="preserve"> los primeros asentamientos humanos </w:t>
      </w:r>
      <w:r w:rsidR="00077634" w:rsidRPr="000E0F90">
        <w:rPr>
          <w:rFonts w:ascii="Arial" w:hAnsi="Arial" w:cs="Arial"/>
          <w:color w:val="000000" w:themeColor="text1"/>
        </w:rPr>
        <w:t>derivan</w:t>
      </w:r>
      <w:r w:rsidR="00146DCA" w:rsidRPr="000E0F90">
        <w:rPr>
          <w:rFonts w:ascii="Arial" w:hAnsi="Arial" w:cs="Arial"/>
          <w:color w:val="000000" w:themeColor="text1"/>
        </w:rPr>
        <w:t xml:space="preserve"> de la Reforma Agrícola, con la entrega de terrenos pertenecientes del Estado</w:t>
      </w:r>
      <w:r w:rsidR="00077634" w:rsidRPr="000E0F90">
        <w:rPr>
          <w:rFonts w:ascii="Arial" w:hAnsi="Arial" w:cs="Arial"/>
          <w:color w:val="000000" w:themeColor="text1"/>
        </w:rPr>
        <w:t xml:space="preserve"> para el desarroll</w:t>
      </w:r>
      <w:r w:rsidR="00342BBA" w:rsidRPr="000E0F90">
        <w:rPr>
          <w:rFonts w:ascii="Arial" w:hAnsi="Arial" w:cs="Arial"/>
          <w:color w:val="000000" w:themeColor="text1"/>
        </w:rPr>
        <w:t>o</w:t>
      </w:r>
      <w:r w:rsidR="00077634" w:rsidRPr="000E0F90">
        <w:rPr>
          <w:rFonts w:ascii="Arial" w:hAnsi="Arial" w:cs="Arial"/>
          <w:color w:val="000000" w:themeColor="text1"/>
        </w:rPr>
        <w:t xml:space="preserve"> agrícola</w:t>
      </w:r>
      <w:r w:rsidR="00146DCA" w:rsidRPr="000E0F90">
        <w:rPr>
          <w:rFonts w:ascii="Arial" w:hAnsi="Arial" w:cs="Arial"/>
          <w:color w:val="000000" w:themeColor="text1"/>
        </w:rPr>
        <w:t xml:space="preserve"> (Manuel Farías, ex Fundación Minera Los Pelambres). </w:t>
      </w:r>
    </w:p>
    <w:p w:rsidR="00827605" w:rsidRPr="000E0F90" w:rsidRDefault="001D0CD3" w:rsidP="00F7220D">
      <w:pPr>
        <w:spacing w:after="0" w:line="360" w:lineRule="auto"/>
        <w:rPr>
          <w:rFonts w:ascii="Arial" w:hAnsi="Arial" w:cs="Arial"/>
          <w:b/>
          <w:color w:val="000000" w:themeColor="text1"/>
        </w:rPr>
      </w:pPr>
      <w:r w:rsidRPr="000E0F90">
        <w:rPr>
          <w:rFonts w:ascii="Arial" w:hAnsi="Arial" w:cs="Arial"/>
          <w:b/>
          <w:color w:val="000000" w:themeColor="text1"/>
        </w:rPr>
        <w:t>2</w:t>
      </w:r>
      <w:r w:rsidR="009E0E5A" w:rsidRPr="000E0F90">
        <w:rPr>
          <w:rFonts w:ascii="Arial" w:hAnsi="Arial" w:cs="Arial"/>
          <w:b/>
          <w:color w:val="000000" w:themeColor="text1"/>
        </w:rPr>
        <w:t>. Desarrollo Local</w:t>
      </w:r>
    </w:p>
    <w:p w:rsidR="00146DCA" w:rsidRPr="000E0F90" w:rsidRDefault="00ED621C" w:rsidP="00F7220D">
      <w:pPr>
        <w:spacing w:line="360" w:lineRule="auto"/>
        <w:rPr>
          <w:rFonts w:ascii="Arial" w:hAnsi="Arial" w:cs="Arial"/>
          <w:color w:val="000000" w:themeColor="text1"/>
        </w:rPr>
      </w:pPr>
      <w:r w:rsidRPr="000E0F90">
        <w:rPr>
          <w:rFonts w:ascii="Arial" w:hAnsi="Arial" w:cs="Arial"/>
          <w:color w:val="000000" w:themeColor="text1"/>
        </w:rPr>
        <w:t>En la comuna de Salamanca, a</w:t>
      </w:r>
      <w:r w:rsidR="0004234D" w:rsidRPr="000E0F90">
        <w:rPr>
          <w:rFonts w:ascii="Arial" w:hAnsi="Arial" w:cs="Arial"/>
          <w:color w:val="000000" w:themeColor="text1"/>
        </w:rPr>
        <w:t>ntes de la llegada de las mineras, el desarrollo local se ha basado principalmente en la actividad agrícola, la cual si bien era considerada una actividad de subsistencia, permitió el desarrollo del valle alto del Choapa</w:t>
      </w:r>
      <w:r w:rsidR="00770747" w:rsidRPr="000E0F90">
        <w:rPr>
          <w:rFonts w:ascii="Arial" w:hAnsi="Arial" w:cs="Arial"/>
          <w:color w:val="000000" w:themeColor="text1"/>
        </w:rPr>
        <w:t xml:space="preserve"> y a la vez</w:t>
      </w:r>
      <w:r w:rsidR="00227366" w:rsidRPr="000E0F90">
        <w:rPr>
          <w:rFonts w:ascii="Arial" w:hAnsi="Arial" w:cs="Arial"/>
          <w:color w:val="000000" w:themeColor="text1"/>
        </w:rPr>
        <w:t xml:space="preserve"> contribuyó la identidad local</w:t>
      </w:r>
      <w:r w:rsidR="00146DCA" w:rsidRPr="000E0F90">
        <w:rPr>
          <w:rFonts w:ascii="Arial" w:hAnsi="Arial" w:cs="Arial"/>
          <w:color w:val="000000" w:themeColor="text1"/>
        </w:rPr>
        <w:t xml:space="preserve">. </w:t>
      </w:r>
    </w:p>
    <w:p w:rsidR="00146DCA" w:rsidRPr="000E0F90" w:rsidRDefault="00146DCA" w:rsidP="00702D9A">
      <w:pPr>
        <w:spacing w:before="240" w:line="360" w:lineRule="auto"/>
        <w:rPr>
          <w:rFonts w:ascii="Arial" w:hAnsi="Arial" w:cs="Arial"/>
          <w:i/>
          <w:color w:val="000000" w:themeColor="text1"/>
        </w:rPr>
      </w:pPr>
      <w:r w:rsidRPr="000E0F90">
        <w:rPr>
          <w:rFonts w:ascii="Arial" w:hAnsi="Arial" w:cs="Arial"/>
          <w:i/>
          <w:color w:val="000000" w:themeColor="text1"/>
        </w:rPr>
        <w:lastRenderedPageBreak/>
        <w:t>-“En años de servicio, la agricultura, todo eso. Nosotros vivíamos de eso. De la agricultura, ¡ahora la agricultura no vale! (Sonia Tapia, Cuncumén).</w:t>
      </w:r>
    </w:p>
    <w:p w:rsidR="00146DCA" w:rsidRPr="000E0F90" w:rsidRDefault="00146DCA" w:rsidP="00702D9A">
      <w:pPr>
        <w:spacing w:before="240" w:line="360" w:lineRule="auto"/>
        <w:rPr>
          <w:rFonts w:ascii="Arial" w:hAnsi="Arial" w:cs="Arial"/>
          <w:color w:val="000000" w:themeColor="text1"/>
        </w:rPr>
      </w:pPr>
      <w:r w:rsidRPr="000E0F90">
        <w:rPr>
          <w:rFonts w:ascii="Arial" w:hAnsi="Arial" w:cs="Arial"/>
          <w:i/>
          <w:color w:val="000000" w:themeColor="text1"/>
        </w:rPr>
        <w:t>-De antes obviamente de la (minera)… antes Capel era la principal empresa y hasta que llegó la minera” (Marcelo Gomolán, Salamanca).</w:t>
      </w:r>
    </w:p>
    <w:p w:rsidR="00FC37D8" w:rsidRPr="000E0F90" w:rsidRDefault="00FC37D8" w:rsidP="00702D9A">
      <w:pPr>
        <w:spacing w:before="240" w:line="360" w:lineRule="auto"/>
        <w:rPr>
          <w:rFonts w:ascii="Arial" w:hAnsi="Arial" w:cs="Arial"/>
          <w:color w:val="000000" w:themeColor="text1"/>
        </w:rPr>
      </w:pPr>
      <w:r w:rsidRPr="000E0F90">
        <w:rPr>
          <w:rFonts w:ascii="Arial" w:hAnsi="Arial" w:cs="Arial"/>
          <w:color w:val="000000" w:themeColor="text1"/>
        </w:rPr>
        <w:t>En la actualidad, d</w:t>
      </w:r>
      <w:r w:rsidR="00910D1A" w:rsidRPr="000E0F90">
        <w:rPr>
          <w:rFonts w:ascii="Arial" w:hAnsi="Arial" w:cs="Arial"/>
          <w:color w:val="000000" w:themeColor="text1"/>
        </w:rPr>
        <w:t>e acuerdo a lo expresado por los entrevistados, en las localidade</w:t>
      </w:r>
      <w:r w:rsidR="00663596" w:rsidRPr="000E0F90">
        <w:rPr>
          <w:rFonts w:ascii="Arial" w:hAnsi="Arial" w:cs="Arial"/>
          <w:color w:val="000000" w:themeColor="text1"/>
        </w:rPr>
        <w:t>s rurales del valle del Choapa</w:t>
      </w:r>
      <w:r w:rsidRPr="000E0F90">
        <w:rPr>
          <w:rFonts w:ascii="Arial" w:hAnsi="Arial" w:cs="Arial"/>
          <w:color w:val="000000" w:themeColor="text1"/>
        </w:rPr>
        <w:t>, la actividad minera ha penetrado fuertemente en el territorio, tanto por la propia faena minera como por la instalación de empresas de servicios asociados a la minería que han generado un cambio en las condiciones socioeconómicas locales</w:t>
      </w:r>
      <w:r w:rsidR="00663596" w:rsidRPr="000E0F90">
        <w:rPr>
          <w:rFonts w:ascii="Arial" w:hAnsi="Arial" w:cs="Arial"/>
          <w:color w:val="000000" w:themeColor="text1"/>
        </w:rPr>
        <w:t xml:space="preserve"> </w:t>
      </w:r>
    </w:p>
    <w:p w:rsidR="009602A5" w:rsidRPr="000E0F90" w:rsidRDefault="00663596" w:rsidP="00702D9A">
      <w:pPr>
        <w:spacing w:before="240" w:line="360" w:lineRule="auto"/>
        <w:rPr>
          <w:rFonts w:ascii="Arial" w:hAnsi="Arial" w:cs="Arial"/>
          <w:color w:val="000000" w:themeColor="text1"/>
        </w:rPr>
      </w:pPr>
      <w:r w:rsidRPr="000E0F90">
        <w:rPr>
          <w:rFonts w:ascii="Arial" w:hAnsi="Arial" w:cs="Arial"/>
          <w:color w:val="000000" w:themeColor="text1"/>
        </w:rPr>
        <w:t>Exist</w:t>
      </w:r>
      <w:r w:rsidR="00146DCA" w:rsidRPr="000E0F90">
        <w:rPr>
          <w:rFonts w:ascii="Arial" w:hAnsi="Arial" w:cs="Arial"/>
          <w:color w:val="000000" w:themeColor="text1"/>
        </w:rPr>
        <w:t xml:space="preserve">iendo </w:t>
      </w:r>
      <w:r w:rsidRPr="000E0F90">
        <w:rPr>
          <w:rFonts w:ascii="Arial" w:hAnsi="Arial" w:cs="Arial"/>
          <w:color w:val="000000" w:themeColor="text1"/>
        </w:rPr>
        <w:t xml:space="preserve">diversas situaciones con la llegada de la </w:t>
      </w:r>
      <w:r w:rsidR="009602A5" w:rsidRPr="000E0F90">
        <w:rPr>
          <w:rFonts w:ascii="Arial" w:hAnsi="Arial" w:cs="Arial"/>
          <w:color w:val="000000" w:themeColor="text1"/>
        </w:rPr>
        <w:t xml:space="preserve">gran </w:t>
      </w:r>
      <w:r w:rsidRPr="000E0F90">
        <w:rPr>
          <w:rFonts w:ascii="Arial" w:hAnsi="Arial" w:cs="Arial"/>
          <w:color w:val="000000" w:themeColor="text1"/>
        </w:rPr>
        <w:t>minera al territorio, algunos actores sociales han logrado beneficiarse con la llegada de la minera, mediante la prestación de servicios a las mineras y empresas contratistas</w:t>
      </w:r>
      <w:r w:rsidR="009602A5" w:rsidRPr="000E0F90">
        <w:rPr>
          <w:rFonts w:ascii="Arial" w:hAnsi="Arial" w:cs="Arial"/>
          <w:color w:val="000000" w:themeColor="text1"/>
        </w:rPr>
        <w:t>, como es el servicio de hospedaj</w:t>
      </w:r>
      <w:r w:rsidR="00D829A6" w:rsidRPr="000E0F90">
        <w:rPr>
          <w:rFonts w:ascii="Arial" w:hAnsi="Arial" w:cs="Arial"/>
          <w:color w:val="000000" w:themeColor="text1"/>
        </w:rPr>
        <w:t xml:space="preserve">e, construcción, arriendo, etc., </w:t>
      </w:r>
      <w:r w:rsidR="009602A5" w:rsidRPr="000E0F90">
        <w:rPr>
          <w:rFonts w:ascii="Arial" w:hAnsi="Arial" w:cs="Arial"/>
          <w:color w:val="000000" w:themeColor="text1"/>
        </w:rPr>
        <w:t>lo que ha contribuido fuertemente al mejoramiento de las condiciones socioeconómicas</w:t>
      </w:r>
      <w:r w:rsidR="00B526B1" w:rsidRPr="000E0F90">
        <w:rPr>
          <w:rFonts w:ascii="Arial" w:hAnsi="Arial" w:cs="Arial"/>
          <w:color w:val="000000" w:themeColor="text1"/>
        </w:rPr>
        <w:t xml:space="preserve">, incluso se señala que los agricultores </w:t>
      </w:r>
      <w:r w:rsidR="00B526B1" w:rsidRPr="000E0F90">
        <w:rPr>
          <w:rFonts w:ascii="Arial" w:hAnsi="Arial" w:cs="Arial"/>
          <w:i/>
          <w:color w:val="000000" w:themeColor="text1"/>
        </w:rPr>
        <w:t>“viven ahora más de su relación con la minería, que de lo que le aporta la agricultura</w:t>
      </w:r>
      <w:r w:rsidR="0004234D" w:rsidRPr="000E0F90">
        <w:rPr>
          <w:rFonts w:ascii="Arial" w:hAnsi="Arial" w:cs="Arial"/>
          <w:color w:val="000000" w:themeColor="text1"/>
        </w:rPr>
        <w:t>”(Marcelo Gomolán, Salamanca)</w:t>
      </w:r>
      <w:r w:rsidR="009602A5" w:rsidRPr="000E0F90">
        <w:rPr>
          <w:rFonts w:ascii="Arial" w:hAnsi="Arial" w:cs="Arial"/>
          <w:color w:val="000000" w:themeColor="text1"/>
        </w:rPr>
        <w:t xml:space="preserve">. </w:t>
      </w:r>
    </w:p>
    <w:p w:rsidR="0056737A" w:rsidRPr="000E0F90" w:rsidRDefault="009602A5" w:rsidP="00702D9A">
      <w:pPr>
        <w:spacing w:before="240" w:line="360" w:lineRule="auto"/>
        <w:rPr>
          <w:rFonts w:ascii="Arial" w:hAnsi="Arial" w:cs="Arial"/>
          <w:color w:val="000000" w:themeColor="text1"/>
        </w:rPr>
      </w:pPr>
      <w:r w:rsidRPr="000E0F90">
        <w:rPr>
          <w:rFonts w:ascii="Arial" w:hAnsi="Arial" w:cs="Arial"/>
          <w:color w:val="000000" w:themeColor="text1"/>
        </w:rPr>
        <w:t>Por otra parte</w:t>
      </w:r>
      <w:r w:rsidR="0016098B" w:rsidRPr="000E0F90">
        <w:rPr>
          <w:rFonts w:ascii="Arial" w:hAnsi="Arial" w:cs="Arial"/>
          <w:color w:val="000000" w:themeColor="text1"/>
        </w:rPr>
        <w:t>,</w:t>
      </w:r>
      <w:r w:rsidRPr="000E0F90">
        <w:rPr>
          <w:rFonts w:ascii="Arial" w:hAnsi="Arial" w:cs="Arial"/>
          <w:color w:val="000000" w:themeColor="text1"/>
        </w:rPr>
        <w:t xml:space="preserve"> </w:t>
      </w:r>
      <w:r w:rsidR="00663596" w:rsidRPr="000E0F90">
        <w:rPr>
          <w:rFonts w:ascii="Arial" w:hAnsi="Arial" w:cs="Arial"/>
          <w:color w:val="000000" w:themeColor="text1"/>
        </w:rPr>
        <w:t xml:space="preserve">ha habido una mayor contratación de trabajadores, principalmente por las empresas contratistas que requieren mano sin mucha </w:t>
      </w:r>
      <w:r w:rsidR="008E7CC4" w:rsidRPr="000E0F90">
        <w:rPr>
          <w:rFonts w:ascii="Arial" w:hAnsi="Arial" w:cs="Arial"/>
          <w:color w:val="000000" w:themeColor="text1"/>
        </w:rPr>
        <w:t>calificación</w:t>
      </w:r>
      <w:r w:rsidR="00ED621C" w:rsidRPr="000E0F90">
        <w:rPr>
          <w:rFonts w:ascii="Arial" w:hAnsi="Arial" w:cs="Arial"/>
          <w:color w:val="000000" w:themeColor="text1"/>
        </w:rPr>
        <w:t xml:space="preserve"> </w:t>
      </w:r>
      <w:r w:rsidR="00663596" w:rsidRPr="000E0F90">
        <w:rPr>
          <w:rFonts w:ascii="Arial" w:hAnsi="Arial" w:cs="Arial"/>
          <w:color w:val="000000" w:themeColor="text1"/>
        </w:rPr>
        <w:t xml:space="preserve">al momento de realizar la </w:t>
      </w:r>
      <w:r w:rsidR="00784E98" w:rsidRPr="000E0F90">
        <w:rPr>
          <w:rFonts w:ascii="Arial" w:hAnsi="Arial" w:cs="Arial"/>
          <w:color w:val="000000" w:themeColor="text1"/>
        </w:rPr>
        <w:t xml:space="preserve">parada de planta </w:t>
      </w:r>
      <w:r w:rsidR="00663596" w:rsidRPr="000E0F90">
        <w:rPr>
          <w:rFonts w:ascii="Arial" w:hAnsi="Arial" w:cs="Arial"/>
          <w:color w:val="000000" w:themeColor="text1"/>
        </w:rPr>
        <w:t>de las faenas mineras</w:t>
      </w:r>
      <w:r w:rsidR="00636D29" w:rsidRPr="000E0F90">
        <w:rPr>
          <w:rFonts w:ascii="Arial" w:hAnsi="Arial" w:cs="Arial"/>
          <w:color w:val="000000" w:themeColor="text1"/>
        </w:rPr>
        <w:t>.</w:t>
      </w:r>
      <w:r w:rsidR="00663596" w:rsidRPr="000E0F90">
        <w:rPr>
          <w:rFonts w:ascii="Arial" w:hAnsi="Arial" w:cs="Arial"/>
          <w:color w:val="000000" w:themeColor="text1"/>
        </w:rPr>
        <w:t xml:space="preserve"> </w:t>
      </w:r>
      <w:r w:rsidR="00784E98" w:rsidRPr="000E0F90">
        <w:rPr>
          <w:rFonts w:ascii="Arial" w:hAnsi="Arial" w:cs="Arial"/>
          <w:color w:val="000000" w:themeColor="text1"/>
        </w:rPr>
        <w:t>P</w:t>
      </w:r>
      <w:r w:rsidR="00B526B1" w:rsidRPr="000E0F90">
        <w:rPr>
          <w:rFonts w:ascii="Arial" w:hAnsi="Arial" w:cs="Arial"/>
          <w:color w:val="000000" w:themeColor="text1"/>
        </w:rPr>
        <w:t>rovocado el incremento del costo de la mano de obra, contribuye</w:t>
      </w:r>
      <w:r w:rsidR="00784E98" w:rsidRPr="000E0F90">
        <w:rPr>
          <w:rFonts w:ascii="Arial" w:hAnsi="Arial" w:cs="Arial"/>
          <w:color w:val="000000" w:themeColor="text1"/>
        </w:rPr>
        <w:t>ndo</w:t>
      </w:r>
      <w:r w:rsidR="00B526B1" w:rsidRPr="000E0F90">
        <w:rPr>
          <w:rFonts w:ascii="Arial" w:hAnsi="Arial" w:cs="Arial"/>
          <w:color w:val="000000" w:themeColor="text1"/>
        </w:rPr>
        <w:t xml:space="preserve"> a mejorar la calidad de vida de las personas. </w:t>
      </w:r>
      <w:r w:rsidR="00784E98" w:rsidRPr="000E0F90">
        <w:rPr>
          <w:rFonts w:ascii="Arial" w:hAnsi="Arial" w:cs="Arial"/>
          <w:color w:val="000000" w:themeColor="text1"/>
        </w:rPr>
        <w:t>Respecto al aumento de la contratación de personas locales Marcel Gomolán señala: (que los trabajadores locales se contratan)…</w:t>
      </w:r>
      <w:r w:rsidR="00784E98" w:rsidRPr="000E0F90">
        <w:rPr>
          <w:rFonts w:ascii="Arial" w:hAnsi="Arial" w:cs="Arial"/>
          <w:i/>
          <w:color w:val="000000" w:themeColor="text1"/>
        </w:rPr>
        <w:t>para la minería, construcciones, empresas de servicios menores. Entonces eso ha elevado los costos de la mano de obra.</w:t>
      </w:r>
    </w:p>
    <w:p w:rsidR="009602A5" w:rsidRPr="000E0F90" w:rsidRDefault="0056737A" w:rsidP="00702D9A">
      <w:pPr>
        <w:spacing w:before="240" w:line="360" w:lineRule="auto"/>
        <w:rPr>
          <w:rFonts w:ascii="Arial" w:hAnsi="Arial" w:cs="Arial"/>
          <w:color w:val="000000" w:themeColor="text1"/>
        </w:rPr>
      </w:pPr>
      <w:r w:rsidRPr="000E0F90">
        <w:rPr>
          <w:rFonts w:ascii="Arial" w:hAnsi="Arial" w:cs="Arial"/>
          <w:color w:val="000000" w:themeColor="text1"/>
        </w:rPr>
        <w:t xml:space="preserve">De acuerdo a lo manifestado por los entrevistados, los empleos mineros </w:t>
      </w:r>
      <w:r w:rsidR="009602A5" w:rsidRPr="000E0F90">
        <w:rPr>
          <w:rFonts w:ascii="Arial" w:hAnsi="Arial" w:cs="Arial"/>
          <w:color w:val="000000" w:themeColor="text1"/>
        </w:rPr>
        <w:t>se vislumbra</w:t>
      </w:r>
      <w:r w:rsidR="00A10115" w:rsidRPr="000E0F90">
        <w:rPr>
          <w:rFonts w:ascii="Arial" w:hAnsi="Arial" w:cs="Arial"/>
          <w:color w:val="000000" w:themeColor="text1"/>
        </w:rPr>
        <w:t>n</w:t>
      </w:r>
      <w:r w:rsidR="009602A5" w:rsidRPr="000E0F90">
        <w:rPr>
          <w:rFonts w:ascii="Arial" w:hAnsi="Arial" w:cs="Arial"/>
          <w:color w:val="000000" w:themeColor="text1"/>
        </w:rPr>
        <w:t xml:space="preserve"> como una alternativa que puede mejorar la situación socioeconómica, mediante la contratación de mano de obra local en forma permanente.</w:t>
      </w:r>
      <w:r w:rsidR="00B526B1" w:rsidRPr="000E0F90">
        <w:rPr>
          <w:rFonts w:ascii="Arial" w:hAnsi="Arial" w:cs="Arial"/>
          <w:color w:val="000000" w:themeColor="text1"/>
        </w:rPr>
        <w:t xml:space="preserve"> </w:t>
      </w:r>
      <w:r w:rsidR="002740F2" w:rsidRPr="000E0F90">
        <w:rPr>
          <w:rFonts w:ascii="Arial" w:hAnsi="Arial" w:cs="Arial"/>
          <w:color w:val="000000" w:themeColor="text1"/>
        </w:rPr>
        <w:t>En la actualidad la</w:t>
      </w:r>
      <w:r w:rsidR="00B526B1" w:rsidRPr="000E0F90">
        <w:rPr>
          <w:rFonts w:ascii="Arial" w:hAnsi="Arial" w:cs="Arial"/>
          <w:color w:val="000000" w:themeColor="text1"/>
        </w:rPr>
        <w:t xml:space="preserve"> minera contrata un porcentaje mínimo de trabajadores en forma directa, sólo choferes de camiones y profesionales, siendo el grueso de la plana laboral proveniente de otros sectores y regiones</w:t>
      </w:r>
      <w:r w:rsidR="00880A5C" w:rsidRPr="000E0F90">
        <w:rPr>
          <w:rFonts w:ascii="Arial" w:hAnsi="Arial" w:cs="Arial"/>
          <w:color w:val="000000" w:themeColor="text1"/>
        </w:rPr>
        <w:t xml:space="preserve"> (Marcelo Gomolán, Salamanca)</w:t>
      </w:r>
      <w:r w:rsidR="00B526B1" w:rsidRPr="000E0F90">
        <w:rPr>
          <w:rFonts w:ascii="Arial" w:hAnsi="Arial" w:cs="Arial"/>
          <w:color w:val="000000" w:themeColor="text1"/>
        </w:rPr>
        <w:t>.</w:t>
      </w:r>
    </w:p>
    <w:p w:rsidR="009602A5" w:rsidRPr="000E0F90" w:rsidRDefault="009602A5" w:rsidP="00702D9A">
      <w:pPr>
        <w:spacing w:before="240" w:line="360" w:lineRule="auto"/>
        <w:rPr>
          <w:rFonts w:ascii="Arial" w:hAnsi="Arial" w:cs="Arial"/>
          <w:color w:val="000000" w:themeColor="text1"/>
        </w:rPr>
      </w:pPr>
      <w:r w:rsidRPr="000E0F90">
        <w:rPr>
          <w:rFonts w:ascii="Arial" w:hAnsi="Arial" w:cs="Arial"/>
          <w:color w:val="000000" w:themeColor="text1"/>
        </w:rPr>
        <w:lastRenderedPageBreak/>
        <w:t xml:space="preserve">Sin embargo, existen situaciones donde la situación se precariza aún más debido a que no tienen capital para invertir en emprendimientos que se puedan conectar con la minera, y no pueden ser contratados por las mineras y empresas contratistas, evidenciándose un estancamiento de las condiciones locales, dado que existen pocas oportunidades laborales para personas que desarrollan oficios o bien viven de la agricultura. De ahí </w:t>
      </w:r>
      <w:r w:rsidR="00B526B1" w:rsidRPr="000E0F90">
        <w:rPr>
          <w:rFonts w:ascii="Arial" w:hAnsi="Arial" w:cs="Arial"/>
          <w:color w:val="000000" w:themeColor="text1"/>
        </w:rPr>
        <w:t>que algunas personas vislumbren a la minera como una posibilidad mejorar su condición socioeconómica mediante la entrega de ayuda</w:t>
      </w:r>
      <w:r w:rsidR="00227366" w:rsidRPr="000E0F90">
        <w:rPr>
          <w:rFonts w:ascii="Arial" w:hAnsi="Arial" w:cs="Arial"/>
          <w:color w:val="000000" w:themeColor="text1"/>
        </w:rPr>
        <w:t>s sociales (S</w:t>
      </w:r>
      <w:r w:rsidR="008E7CC4" w:rsidRPr="000E0F90">
        <w:rPr>
          <w:rFonts w:ascii="Arial" w:hAnsi="Arial" w:cs="Arial"/>
          <w:color w:val="000000" w:themeColor="text1"/>
        </w:rPr>
        <w:t>onia Tapia</w:t>
      </w:r>
      <w:r w:rsidR="00227366" w:rsidRPr="000E0F90">
        <w:rPr>
          <w:rFonts w:ascii="Arial" w:hAnsi="Arial" w:cs="Arial"/>
          <w:color w:val="000000" w:themeColor="text1"/>
        </w:rPr>
        <w:t xml:space="preserve">, </w:t>
      </w:r>
      <w:r w:rsidR="00ED621C" w:rsidRPr="000E0F90">
        <w:rPr>
          <w:rFonts w:ascii="Arial" w:hAnsi="Arial" w:cs="Arial"/>
          <w:color w:val="000000" w:themeColor="text1"/>
        </w:rPr>
        <w:t>Cuncumén</w:t>
      </w:r>
      <w:r w:rsidR="008E7CC4" w:rsidRPr="000E0F90">
        <w:rPr>
          <w:rFonts w:ascii="Arial" w:hAnsi="Arial" w:cs="Arial"/>
          <w:color w:val="000000" w:themeColor="text1"/>
        </w:rPr>
        <w:t xml:space="preserve">) </w:t>
      </w:r>
    </w:p>
    <w:p w:rsidR="00B762A0" w:rsidRPr="000E0F90" w:rsidRDefault="00B762A0" w:rsidP="00702D9A">
      <w:pPr>
        <w:spacing w:line="360" w:lineRule="auto"/>
        <w:rPr>
          <w:rFonts w:ascii="Arial" w:hAnsi="Arial" w:cs="Arial"/>
          <w:color w:val="000000" w:themeColor="text1"/>
        </w:rPr>
      </w:pPr>
      <w:r w:rsidRPr="000E0F90">
        <w:rPr>
          <w:rFonts w:ascii="Arial" w:hAnsi="Arial" w:cs="Arial"/>
          <w:color w:val="000000" w:themeColor="text1"/>
        </w:rPr>
        <w:t xml:space="preserve">Cabe mencionar, el </w:t>
      </w:r>
      <w:r w:rsidR="008E7CC4" w:rsidRPr="000E0F90">
        <w:rPr>
          <w:rFonts w:ascii="Arial" w:hAnsi="Arial" w:cs="Arial"/>
          <w:color w:val="000000" w:themeColor="text1"/>
        </w:rPr>
        <w:t xml:space="preserve">limitado </w:t>
      </w:r>
      <w:r w:rsidRPr="000E0F90">
        <w:rPr>
          <w:rFonts w:ascii="Arial" w:hAnsi="Arial" w:cs="Arial"/>
          <w:color w:val="000000" w:themeColor="text1"/>
        </w:rPr>
        <w:t xml:space="preserve">desarrollo comercial observado en la comuna de la Higuera, particularmente en las zonas del interior del valle y </w:t>
      </w:r>
      <w:r w:rsidR="0000375A" w:rsidRPr="000E0F90">
        <w:rPr>
          <w:rFonts w:ascii="Arial" w:hAnsi="Arial" w:cs="Arial"/>
          <w:color w:val="000000" w:themeColor="text1"/>
        </w:rPr>
        <w:t xml:space="preserve">de </w:t>
      </w:r>
      <w:r w:rsidRPr="000E0F90">
        <w:rPr>
          <w:rFonts w:ascii="Arial" w:hAnsi="Arial" w:cs="Arial"/>
          <w:color w:val="000000" w:themeColor="text1"/>
        </w:rPr>
        <w:t>pre</w:t>
      </w:r>
      <w:r w:rsidR="0000375A" w:rsidRPr="000E0F90">
        <w:rPr>
          <w:rFonts w:ascii="Arial" w:hAnsi="Arial" w:cs="Arial"/>
          <w:color w:val="000000" w:themeColor="text1"/>
        </w:rPr>
        <w:t xml:space="preserve"> </w:t>
      </w:r>
      <w:r w:rsidRPr="000E0F90">
        <w:rPr>
          <w:rFonts w:ascii="Arial" w:hAnsi="Arial" w:cs="Arial"/>
          <w:color w:val="000000" w:themeColor="text1"/>
        </w:rPr>
        <w:t xml:space="preserve">cordillera. </w:t>
      </w:r>
      <w:sdt>
        <w:sdtPr>
          <w:rPr>
            <w:rFonts w:ascii="Arial" w:hAnsi="Arial" w:cs="Arial"/>
            <w:color w:val="000000" w:themeColor="text1"/>
          </w:rPr>
          <w:id w:val="757565380"/>
          <w:citation/>
        </w:sdtPr>
        <w:sdtEndPr/>
        <w:sdtContent>
          <w:r w:rsidRPr="000E0F90">
            <w:rPr>
              <w:rFonts w:ascii="Arial" w:hAnsi="Arial" w:cs="Arial"/>
              <w:color w:val="000000" w:themeColor="text1"/>
            </w:rPr>
            <w:fldChar w:fldCharType="begin"/>
          </w:r>
          <w:r w:rsidR="00880A5C" w:rsidRPr="000E0F90">
            <w:rPr>
              <w:rFonts w:ascii="Arial" w:hAnsi="Arial" w:cs="Arial"/>
              <w:color w:val="000000" w:themeColor="text1"/>
            </w:rPr>
            <w:instrText xml:space="preserve">CITATION Are13 \t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(Arellano, Gastó, Gálvez, Subercauseaux, Toledo, &amp; Miranda, 2013)</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w:t>
      </w:r>
      <w:proofErr w:type="gramStart"/>
      <w:r w:rsidRPr="000E0F90">
        <w:rPr>
          <w:rFonts w:ascii="Arial" w:hAnsi="Arial" w:cs="Arial"/>
          <w:color w:val="000000" w:themeColor="text1"/>
        </w:rPr>
        <w:t>señalan</w:t>
      </w:r>
      <w:proofErr w:type="gramEnd"/>
      <w:r w:rsidRPr="000E0F90">
        <w:rPr>
          <w:rFonts w:ascii="Arial" w:hAnsi="Arial" w:cs="Arial"/>
          <w:color w:val="000000" w:themeColor="text1"/>
        </w:rPr>
        <w:t xml:space="preserve"> que el desarrollo comercial ha sido escaso, respondiendo principalmente a las necesidades de consumo básicas, a través de almacenes, pequeños mercados y vehículos que comercializan mercaderías a domicilio. Realizando la adquisición de bienes más específicos en la ciudad de la Serena en las quincena o fines de mes. </w:t>
      </w:r>
      <w:r w:rsidR="00FC1986" w:rsidRPr="000E0F90">
        <w:rPr>
          <w:rFonts w:ascii="Arial" w:hAnsi="Arial" w:cs="Arial"/>
          <w:color w:val="000000" w:themeColor="text1"/>
        </w:rPr>
        <w:t>Si bien, esta</w:t>
      </w:r>
      <w:r w:rsidR="00417F51" w:rsidRPr="000E0F90">
        <w:rPr>
          <w:rFonts w:ascii="Arial" w:hAnsi="Arial" w:cs="Arial"/>
          <w:color w:val="000000" w:themeColor="text1"/>
        </w:rPr>
        <w:t xml:space="preserve"> situación </w:t>
      </w:r>
      <w:r w:rsidR="00FC1986" w:rsidRPr="000E0F90">
        <w:rPr>
          <w:rFonts w:ascii="Arial" w:hAnsi="Arial" w:cs="Arial"/>
          <w:color w:val="000000" w:themeColor="text1"/>
        </w:rPr>
        <w:t xml:space="preserve">no </w:t>
      </w:r>
      <w:r w:rsidR="00417F51" w:rsidRPr="000E0F90">
        <w:rPr>
          <w:rFonts w:ascii="Arial" w:hAnsi="Arial" w:cs="Arial"/>
          <w:color w:val="000000" w:themeColor="text1"/>
        </w:rPr>
        <w:t>se evidencia en la</w:t>
      </w:r>
      <w:r w:rsidR="00FC1986" w:rsidRPr="000E0F90">
        <w:rPr>
          <w:rFonts w:ascii="Arial" w:hAnsi="Arial" w:cs="Arial"/>
          <w:color w:val="000000" w:themeColor="text1"/>
        </w:rPr>
        <w:t xml:space="preserve"> zona más urbanizada de la</w:t>
      </w:r>
      <w:r w:rsidR="00417F51" w:rsidRPr="000E0F90">
        <w:rPr>
          <w:rFonts w:ascii="Arial" w:hAnsi="Arial" w:cs="Arial"/>
          <w:color w:val="000000" w:themeColor="text1"/>
        </w:rPr>
        <w:t xml:space="preserve"> comuna de Salamanca, </w:t>
      </w:r>
      <w:r w:rsidR="00FC1986" w:rsidRPr="000E0F90">
        <w:rPr>
          <w:rFonts w:ascii="Arial" w:hAnsi="Arial" w:cs="Arial"/>
          <w:color w:val="000000" w:themeColor="text1"/>
        </w:rPr>
        <w:t xml:space="preserve">donde existe gran diversidad y disponibilidad de servicios, es en </w:t>
      </w:r>
      <w:r w:rsidR="00417F51" w:rsidRPr="000E0F90">
        <w:rPr>
          <w:rFonts w:ascii="Arial" w:hAnsi="Arial" w:cs="Arial"/>
          <w:color w:val="000000" w:themeColor="text1"/>
        </w:rPr>
        <w:t>los sectores más alejados del centro comunal,</w:t>
      </w:r>
      <w:r w:rsidR="00FC1986" w:rsidRPr="000E0F90">
        <w:rPr>
          <w:rFonts w:ascii="Arial" w:hAnsi="Arial" w:cs="Arial"/>
          <w:color w:val="000000" w:themeColor="text1"/>
        </w:rPr>
        <w:t xml:space="preserve"> donde se evidencia ausencia de servicios comerciales y complementarios.</w:t>
      </w:r>
      <w:r w:rsidR="00417F51" w:rsidRPr="000E0F90">
        <w:rPr>
          <w:rFonts w:ascii="Arial" w:hAnsi="Arial" w:cs="Arial"/>
          <w:color w:val="000000" w:themeColor="text1"/>
        </w:rPr>
        <w:t xml:space="preserve"> </w:t>
      </w:r>
    </w:p>
    <w:p w:rsidR="00B762A0" w:rsidRPr="000E0F90" w:rsidRDefault="00B762A0" w:rsidP="00702D9A">
      <w:pPr>
        <w:spacing w:line="360" w:lineRule="auto"/>
        <w:rPr>
          <w:rFonts w:ascii="Arial" w:hAnsi="Arial" w:cs="Arial"/>
          <w:color w:val="000000" w:themeColor="text1"/>
        </w:rPr>
      </w:pPr>
      <w:r w:rsidRPr="000E0F90">
        <w:rPr>
          <w:rFonts w:ascii="Arial" w:hAnsi="Arial" w:cs="Arial"/>
          <w:color w:val="000000" w:themeColor="text1"/>
        </w:rPr>
        <w:t xml:space="preserve">Dentro de las actividades ausentes de la zona interior y precordillerana, el turismo </w:t>
      </w:r>
      <w:r w:rsidR="000A2A53" w:rsidRPr="000E0F90">
        <w:rPr>
          <w:rFonts w:ascii="Arial" w:hAnsi="Arial" w:cs="Arial"/>
          <w:color w:val="000000" w:themeColor="text1"/>
        </w:rPr>
        <w:t xml:space="preserve">no se menciona como actividad relevante, a pesar de las oportunidades que manifiestan estos territorios. </w:t>
      </w:r>
      <w:sdt>
        <w:sdtPr>
          <w:rPr>
            <w:rFonts w:ascii="Arial" w:hAnsi="Arial" w:cs="Arial"/>
            <w:color w:val="000000" w:themeColor="text1"/>
          </w:rPr>
          <w:id w:val="-150139488"/>
          <w:citation/>
        </w:sdtPr>
        <w:sdtEndPr/>
        <w:sdtContent>
          <w:r w:rsidR="000A2A53" w:rsidRPr="000E0F90">
            <w:rPr>
              <w:rFonts w:ascii="Arial" w:hAnsi="Arial" w:cs="Arial"/>
              <w:color w:val="000000" w:themeColor="text1"/>
            </w:rPr>
            <w:fldChar w:fldCharType="begin"/>
          </w:r>
          <w:r w:rsidR="00D204E1" w:rsidRPr="000E0F90">
            <w:rPr>
              <w:rFonts w:ascii="Arial" w:hAnsi="Arial" w:cs="Arial"/>
              <w:color w:val="000000" w:themeColor="text1"/>
            </w:rPr>
            <w:instrText xml:space="preserve">CITATION Are13 \t  \l 13322 </w:instrText>
          </w:r>
          <w:r w:rsidR="000A2A53" w:rsidRPr="000E0F90">
            <w:rPr>
              <w:rFonts w:ascii="Arial" w:hAnsi="Arial" w:cs="Arial"/>
              <w:color w:val="000000" w:themeColor="text1"/>
            </w:rPr>
            <w:fldChar w:fldCharType="separate"/>
          </w:r>
          <w:r w:rsidR="008D0261" w:rsidRPr="000E0F90">
            <w:rPr>
              <w:rFonts w:ascii="Arial" w:hAnsi="Arial" w:cs="Arial"/>
              <w:noProof/>
              <w:color w:val="000000" w:themeColor="text1"/>
            </w:rPr>
            <w:t>(Arellano, Gastó, Gálvez, Subercauseaux, Toledo, &amp; Miranda, 2013)</w:t>
          </w:r>
          <w:r w:rsidR="000A2A53" w:rsidRPr="000E0F90">
            <w:rPr>
              <w:rFonts w:ascii="Arial" w:hAnsi="Arial" w:cs="Arial"/>
              <w:color w:val="000000" w:themeColor="text1"/>
            </w:rPr>
            <w:fldChar w:fldCharType="end"/>
          </w:r>
        </w:sdtContent>
      </w:sdt>
      <w:r w:rsidR="000A2A53" w:rsidRPr="000E0F90">
        <w:rPr>
          <w:rFonts w:ascii="Arial" w:hAnsi="Arial" w:cs="Arial"/>
          <w:color w:val="000000" w:themeColor="text1"/>
        </w:rPr>
        <w:t xml:space="preserve"> plantean posibilidades de: turismo indígena (existencia de sitios arqueológicos), el turismo minero (antiguos asentamientos mineros), condiciones favorables para actividades astronómicas, flora y fauna de interés (loros,  guanacos,  vegetación  xerófita  y  períodos  de desierto florido), turismo patrimonial (fiestas religiosas, costumbristas, pircas en distintas partes de la comuna, los sistemas de cultivo en Los Choros, estancia El Maray y Quebrada Honda, el sistema de vida de los crianceros, entre varias actividades</w:t>
      </w:r>
    </w:p>
    <w:p w:rsidR="00D829A6" w:rsidRPr="000E0F90" w:rsidRDefault="00366DE0" w:rsidP="00702D9A">
      <w:pPr>
        <w:spacing w:before="240" w:after="0" w:line="360" w:lineRule="auto"/>
        <w:rPr>
          <w:rFonts w:ascii="Arial" w:hAnsi="Arial" w:cs="Arial"/>
          <w:b/>
          <w:color w:val="000000" w:themeColor="text1"/>
        </w:rPr>
      </w:pPr>
      <w:r w:rsidRPr="000E0F90">
        <w:rPr>
          <w:rFonts w:ascii="Arial" w:hAnsi="Arial" w:cs="Arial"/>
          <w:b/>
          <w:color w:val="000000" w:themeColor="text1"/>
        </w:rPr>
        <w:t>3</w:t>
      </w:r>
      <w:r w:rsidR="000A2A53" w:rsidRPr="000E0F90">
        <w:rPr>
          <w:rFonts w:ascii="Arial" w:hAnsi="Arial" w:cs="Arial"/>
          <w:b/>
          <w:color w:val="000000" w:themeColor="text1"/>
        </w:rPr>
        <w:t xml:space="preserve">. </w:t>
      </w:r>
      <w:r w:rsidR="00297164" w:rsidRPr="000E0F90">
        <w:rPr>
          <w:rFonts w:ascii="Arial" w:hAnsi="Arial" w:cs="Arial"/>
          <w:b/>
          <w:color w:val="000000" w:themeColor="text1"/>
        </w:rPr>
        <w:t>Servicios Públicos</w:t>
      </w:r>
      <w:r w:rsidR="00D829A6" w:rsidRPr="000E0F90">
        <w:rPr>
          <w:rFonts w:ascii="Arial" w:hAnsi="Arial" w:cs="Arial"/>
          <w:b/>
          <w:color w:val="000000" w:themeColor="text1"/>
        </w:rPr>
        <w:t xml:space="preserve"> e Infraestructura</w:t>
      </w:r>
      <w:r w:rsidR="00297164" w:rsidRPr="000E0F90">
        <w:rPr>
          <w:rFonts w:ascii="Arial" w:hAnsi="Arial" w:cs="Arial"/>
          <w:b/>
          <w:color w:val="000000" w:themeColor="text1"/>
        </w:rPr>
        <w:t xml:space="preserve">: </w:t>
      </w:r>
    </w:p>
    <w:p w:rsidR="0000375A" w:rsidRPr="000E0F90" w:rsidRDefault="0000375A" w:rsidP="00702D9A">
      <w:pPr>
        <w:spacing w:line="360" w:lineRule="auto"/>
        <w:rPr>
          <w:rFonts w:ascii="Arial" w:hAnsi="Arial" w:cs="Arial"/>
          <w:color w:val="000000" w:themeColor="text1"/>
        </w:rPr>
      </w:pPr>
      <w:r w:rsidRPr="000E0F90">
        <w:rPr>
          <w:rFonts w:ascii="Arial" w:hAnsi="Arial" w:cs="Arial"/>
          <w:color w:val="000000" w:themeColor="text1"/>
        </w:rPr>
        <w:t>Se evidencia la escasa presencia de servicios en localidades más rurales de La Higuera</w:t>
      </w:r>
      <w:r w:rsidR="003C554B" w:rsidRPr="000E0F90">
        <w:rPr>
          <w:rFonts w:ascii="Arial" w:hAnsi="Arial" w:cs="Arial"/>
          <w:color w:val="000000" w:themeColor="text1"/>
        </w:rPr>
        <w:t xml:space="preserve"> y Salamanca</w:t>
      </w:r>
      <w:r w:rsidRPr="000E0F90">
        <w:rPr>
          <w:rFonts w:ascii="Arial" w:hAnsi="Arial" w:cs="Arial"/>
          <w:color w:val="000000" w:themeColor="text1"/>
        </w:rPr>
        <w:t xml:space="preserve">, donde diversos servicios que son necesarios para el funcionamiento y desarrollo de la comunidad, se encuentran solamente en los grandes </w:t>
      </w:r>
      <w:r w:rsidRPr="000E0F90">
        <w:rPr>
          <w:rFonts w:ascii="Arial" w:hAnsi="Arial" w:cs="Arial"/>
          <w:color w:val="000000" w:themeColor="text1"/>
        </w:rPr>
        <w:lastRenderedPageBreak/>
        <w:t xml:space="preserve">centros urbanos. Entre estos, se señalan: bencineras, bancos  y  cajeros  automáticos, bomberos, carabineros, alcantarillado. </w:t>
      </w:r>
    </w:p>
    <w:p w:rsidR="0000375A" w:rsidRPr="000E0F90" w:rsidRDefault="0000375A" w:rsidP="00702D9A">
      <w:pPr>
        <w:spacing w:before="240" w:line="360" w:lineRule="auto"/>
        <w:rPr>
          <w:rFonts w:ascii="Arial" w:hAnsi="Arial" w:cs="Arial"/>
          <w:color w:val="000000" w:themeColor="text1"/>
        </w:rPr>
      </w:pPr>
      <w:r w:rsidRPr="000E0F90">
        <w:rPr>
          <w:rFonts w:ascii="Arial" w:hAnsi="Arial" w:cs="Arial"/>
          <w:b/>
          <w:color w:val="000000" w:themeColor="text1"/>
        </w:rPr>
        <w:t>Conectividad:</w:t>
      </w:r>
      <w:r w:rsidRPr="000E0F90">
        <w:rPr>
          <w:rFonts w:ascii="Arial" w:hAnsi="Arial" w:cs="Arial"/>
          <w:color w:val="000000" w:themeColor="text1"/>
        </w:rPr>
        <w:t xml:space="preserve"> Se establece también la precariedad del sistema de transporte, el cual es insuficiente en conectar las diversas localidades dentro de la comuna, al igual que entre comunas. </w:t>
      </w:r>
      <w:sdt>
        <w:sdtPr>
          <w:rPr>
            <w:rFonts w:ascii="Arial" w:hAnsi="Arial" w:cs="Arial"/>
            <w:color w:val="000000" w:themeColor="text1"/>
          </w:rPr>
          <w:id w:val="2084410934"/>
          <w:citation/>
        </w:sdtPr>
        <w:sdtEndPr/>
        <w:sdtContent>
          <w:r w:rsidRPr="000E0F90">
            <w:rPr>
              <w:rFonts w:ascii="Arial" w:hAnsi="Arial" w:cs="Arial"/>
              <w:color w:val="000000" w:themeColor="text1"/>
            </w:rPr>
            <w:fldChar w:fldCharType="begin"/>
          </w:r>
          <w:r w:rsidR="00D204E1" w:rsidRPr="000E0F90">
            <w:rPr>
              <w:rFonts w:ascii="Arial" w:hAnsi="Arial" w:cs="Arial"/>
              <w:color w:val="000000" w:themeColor="text1"/>
            </w:rPr>
            <w:instrText xml:space="preserve">CITATION Are13 \t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(Arellano, Gastó, Gálvez, Subercauseaux, Toledo, &amp; Miranda, 2013)</w:t>
          </w:r>
          <w:r w:rsidRPr="000E0F90">
            <w:rPr>
              <w:rFonts w:ascii="Arial" w:hAnsi="Arial" w:cs="Arial"/>
              <w:color w:val="000000" w:themeColor="text1"/>
            </w:rPr>
            <w:fldChar w:fldCharType="end"/>
          </w:r>
        </w:sdtContent>
      </w:sdt>
    </w:p>
    <w:p w:rsidR="00B762A0" w:rsidRPr="000E0F90" w:rsidRDefault="00D829A6" w:rsidP="00702D9A">
      <w:pPr>
        <w:spacing w:before="240" w:line="360" w:lineRule="auto"/>
        <w:rPr>
          <w:rFonts w:ascii="Arial" w:hAnsi="Arial" w:cs="Arial"/>
          <w:color w:val="000000" w:themeColor="text1"/>
        </w:rPr>
      </w:pPr>
      <w:r w:rsidRPr="000E0F90">
        <w:rPr>
          <w:rFonts w:ascii="Arial" w:hAnsi="Arial" w:cs="Arial"/>
          <w:b/>
          <w:color w:val="000000" w:themeColor="text1"/>
        </w:rPr>
        <w:t>Salud:</w:t>
      </w:r>
      <w:r w:rsidRPr="000E0F90">
        <w:rPr>
          <w:rFonts w:ascii="Arial" w:hAnsi="Arial" w:cs="Arial"/>
          <w:color w:val="000000" w:themeColor="text1"/>
        </w:rPr>
        <w:t xml:space="preserve"> </w:t>
      </w:r>
      <w:r w:rsidR="009602A5" w:rsidRPr="000E0F90">
        <w:rPr>
          <w:rFonts w:ascii="Arial" w:hAnsi="Arial" w:cs="Arial"/>
          <w:color w:val="000000" w:themeColor="text1"/>
        </w:rPr>
        <w:t>Los servicios de salud, son también sindicalizados como insuficientes, dado por la reducida atención que se realiza en las zonas rurales, sin contar con un servicio que cubra las nec</w:t>
      </w:r>
      <w:r w:rsidR="00227366" w:rsidRPr="000E0F90">
        <w:rPr>
          <w:rFonts w:ascii="Arial" w:hAnsi="Arial" w:cs="Arial"/>
          <w:color w:val="000000" w:themeColor="text1"/>
        </w:rPr>
        <w:t xml:space="preserve">esidades de salud las 24 horas </w:t>
      </w:r>
      <w:r w:rsidR="00B762A0" w:rsidRPr="000E0F90">
        <w:rPr>
          <w:rFonts w:ascii="Arial" w:hAnsi="Arial" w:cs="Arial"/>
          <w:color w:val="000000" w:themeColor="text1"/>
        </w:rPr>
        <w:t xml:space="preserve">(Sonia Tapia, Cuncumén). </w:t>
      </w:r>
      <w:r w:rsidR="009602A5" w:rsidRPr="000E0F90">
        <w:rPr>
          <w:rFonts w:ascii="Arial" w:hAnsi="Arial" w:cs="Arial"/>
          <w:color w:val="000000" w:themeColor="text1"/>
        </w:rPr>
        <w:t>Así como también, la dificultad de elaborar diagnósticos más certeros de enfermedades, obligando a los usuarios a buscar alternativas, en otras ciudades.</w:t>
      </w:r>
      <w:r w:rsidR="00B526B1" w:rsidRPr="000E0F90">
        <w:rPr>
          <w:rFonts w:ascii="Arial" w:hAnsi="Arial" w:cs="Arial"/>
          <w:color w:val="000000" w:themeColor="text1"/>
        </w:rPr>
        <w:t xml:space="preserve"> </w:t>
      </w:r>
      <w:r w:rsidR="00B762A0" w:rsidRPr="000E0F90">
        <w:rPr>
          <w:rFonts w:ascii="Arial" w:hAnsi="Arial" w:cs="Arial"/>
          <w:color w:val="000000" w:themeColor="text1"/>
        </w:rPr>
        <w:t xml:space="preserve">Situación similar se evidencia en la comuna de La Higuera, donde las enfermedades más complejas deben ser derivadas a los centros de salud de la Serena </w:t>
      </w:r>
      <w:sdt>
        <w:sdtPr>
          <w:rPr>
            <w:rFonts w:ascii="Arial" w:hAnsi="Arial" w:cs="Arial"/>
            <w:color w:val="000000" w:themeColor="text1"/>
          </w:rPr>
          <w:id w:val="-411078091"/>
          <w:citation/>
        </w:sdtPr>
        <w:sdtEndPr/>
        <w:sdtContent>
          <w:r w:rsidR="00B762A0" w:rsidRPr="000E0F90">
            <w:rPr>
              <w:rFonts w:ascii="Arial" w:hAnsi="Arial" w:cs="Arial"/>
              <w:color w:val="000000" w:themeColor="text1"/>
            </w:rPr>
            <w:fldChar w:fldCharType="begin"/>
          </w:r>
          <w:r w:rsidR="00880A5C" w:rsidRPr="000E0F90">
            <w:rPr>
              <w:rFonts w:ascii="Arial" w:hAnsi="Arial" w:cs="Arial"/>
              <w:color w:val="000000" w:themeColor="text1"/>
            </w:rPr>
            <w:instrText xml:space="preserve">CITATION Are13 \t  \l 13322 </w:instrText>
          </w:r>
          <w:r w:rsidR="00B762A0" w:rsidRPr="000E0F90">
            <w:rPr>
              <w:rFonts w:ascii="Arial" w:hAnsi="Arial" w:cs="Arial"/>
              <w:color w:val="000000" w:themeColor="text1"/>
            </w:rPr>
            <w:fldChar w:fldCharType="separate"/>
          </w:r>
          <w:r w:rsidR="008D0261" w:rsidRPr="000E0F90">
            <w:rPr>
              <w:rFonts w:ascii="Arial" w:hAnsi="Arial" w:cs="Arial"/>
              <w:noProof/>
              <w:color w:val="000000" w:themeColor="text1"/>
            </w:rPr>
            <w:t>(Arellano, Gastó, Gálvez, Subercauseaux, Toledo, &amp; Miranda, 2013)</w:t>
          </w:r>
          <w:r w:rsidR="00B762A0" w:rsidRPr="000E0F90">
            <w:rPr>
              <w:rFonts w:ascii="Arial" w:hAnsi="Arial" w:cs="Arial"/>
              <w:color w:val="000000" w:themeColor="text1"/>
            </w:rPr>
            <w:fldChar w:fldCharType="end"/>
          </w:r>
        </w:sdtContent>
      </w:sdt>
      <w:r w:rsidR="00B762A0" w:rsidRPr="000E0F90">
        <w:rPr>
          <w:rFonts w:ascii="Arial" w:hAnsi="Arial" w:cs="Arial"/>
          <w:color w:val="000000" w:themeColor="text1"/>
        </w:rPr>
        <w:t>.</w:t>
      </w:r>
    </w:p>
    <w:p w:rsidR="00910D1A" w:rsidRPr="000E0F90" w:rsidRDefault="00D829A6" w:rsidP="00702D9A">
      <w:pPr>
        <w:spacing w:before="240" w:line="360" w:lineRule="auto"/>
        <w:rPr>
          <w:rFonts w:ascii="Arial" w:hAnsi="Arial" w:cs="Arial"/>
          <w:color w:val="000000" w:themeColor="text1"/>
        </w:rPr>
      </w:pPr>
      <w:r w:rsidRPr="000E0F90">
        <w:rPr>
          <w:rFonts w:ascii="Arial" w:hAnsi="Arial" w:cs="Arial"/>
          <w:b/>
          <w:color w:val="000000" w:themeColor="text1"/>
        </w:rPr>
        <w:t>Educación:</w:t>
      </w:r>
      <w:r w:rsidRPr="000E0F90">
        <w:rPr>
          <w:rFonts w:ascii="Arial" w:hAnsi="Arial" w:cs="Arial"/>
          <w:color w:val="000000" w:themeColor="text1"/>
        </w:rPr>
        <w:t xml:space="preserve"> </w:t>
      </w:r>
      <w:r w:rsidR="00910D1A" w:rsidRPr="000E0F90">
        <w:rPr>
          <w:rFonts w:ascii="Arial" w:hAnsi="Arial" w:cs="Arial"/>
          <w:color w:val="000000" w:themeColor="text1"/>
        </w:rPr>
        <w:t>En cuanto a la educación</w:t>
      </w:r>
      <w:r w:rsidR="00880A5C" w:rsidRPr="000E0F90">
        <w:rPr>
          <w:rFonts w:ascii="Arial" w:hAnsi="Arial" w:cs="Arial"/>
          <w:color w:val="000000" w:themeColor="text1"/>
        </w:rPr>
        <w:t xml:space="preserve"> en Salamanca</w:t>
      </w:r>
      <w:r w:rsidR="00910D1A" w:rsidRPr="000E0F90">
        <w:rPr>
          <w:rFonts w:ascii="Arial" w:hAnsi="Arial" w:cs="Arial"/>
          <w:color w:val="000000" w:themeColor="text1"/>
        </w:rPr>
        <w:t xml:space="preserve"> </w:t>
      </w:r>
      <w:r w:rsidR="002E7EBC" w:rsidRPr="000E0F90">
        <w:rPr>
          <w:rFonts w:ascii="Arial" w:hAnsi="Arial" w:cs="Arial"/>
          <w:color w:val="000000" w:themeColor="text1"/>
        </w:rPr>
        <w:t xml:space="preserve">se considera de mala calidad, incluso se señala que ha </w:t>
      </w:r>
      <w:r w:rsidR="00910D1A" w:rsidRPr="000E0F90">
        <w:rPr>
          <w:rFonts w:ascii="Arial" w:hAnsi="Arial" w:cs="Arial"/>
          <w:color w:val="000000" w:themeColor="text1"/>
        </w:rPr>
        <w:t>empeor</w:t>
      </w:r>
      <w:r w:rsidR="002E7EBC" w:rsidRPr="000E0F90">
        <w:rPr>
          <w:rFonts w:ascii="Arial" w:hAnsi="Arial" w:cs="Arial"/>
          <w:color w:val="000000" w:themeColor="text1"/>
        </w:rPr>
        <w:t>a</w:t>
      </w:r>
      <w:r w:rsidR="00077634" w:rsidRPr="000E0F90">
        <w:rPr>
          <w:rFonts w:ascii="Arial" w:hAnsi="Arial" w:cs="Arial"/>
          <w:color w:val="000000" w:themeColor="text1"/>
        </w:rPr>
        <w:t>do.</w:t>
      </w:r>
      <w:r w:rsidR="00910D1A" w:rsidRPr="000E0F90">
        <w:rPr>
          <w:rFonts w:ascii="Arial" w:hAnsi="Arial" w:cs="Arial"/>
          <w:color w:val="000000" w:themeColor="text1"/>
        </w:rPr>
        <w:t xml:space="preserve"> </w:t>
      </w:r>
      <w:r w:rsidRPr="000E0F90">
        <w:rPr>
          <w:rFonts w:ascii="Arial" w:hAnsi="Arial" w:cs="Arial"/>
          <w:color w:val="000000" w:themeColor="text1"/>
        </w:rPr>
        <w:t xml:space="preserve">Se manifiesta también la calidad de los profesores como un factor importante. </w:t>
      </w:r>
      <w:r w:rsidR="002E7EBC" w:rsidRPr="000E0F90">
        <w:rPr>
          <w:rFonts w:ascii="Arial" w:hAnsi="Arial" w:cs="Arial"/>
          <w:color w:val="000000" w:themeColor="text1"/>
        </w:rPr>
        <w:t>Respecto a lo evidenciado en la comuna de La Higuera, la educación debiese mejorar en calidad y en continuidad</w:t>
      </w:r>
      <w:r w:rsidR="00880A5C" w:rsidRPr="000E0F90">
        <w:rPr>
          <w:rFonts w:ascii="Arial" w:hAnsi="Arial" w:cs="Arial"/>
          <w:color w:val="000000" w:themeColor="text1"/>
        </w:rPr>
        <w:t>, d</w:t>
      </w:r>
      <w:r w:rsidR="002E7EBC" w:rsidRPr="000E0F90">
        <w:rPr>
          <w:rFonts w:ascii="Arial" w:hAnsi="Arial" w:cs="Arial"/>
          <w:color w:val="000000" w:themeColor="text1"/>
        </w:rPr>
        <w:t>ado que la educación primaria es local, sin embargo la secundaria es regional</w:t>
      </w:r>
      <w:r w:rsidR="00B920D2" w:rsidRPr="000E0F90">
        <w:rPr>
          <w:rFonts w:ascii="Arial" w:hAnsi="Arial" w:cs="Arial"/>
          <w:color w:val="000000" w:themeColor="text1"/>
        </w:rPr>
        <w:t>.</w:t>
      </w:r>
      <w:r w:rsidRPr="000E0F90">
        <w:rPr>
          <w:rFonts w:ascii="Arial" w:hAnsi="Arial" w:cs="Arial"/>
          <w:color w:val="000000" w:themeColor="text1"/>
        </w:rPr>
        <w:t xml:space="preserve"> Se señala también </w:t>
      </w:r>
      <w:r w:rsidR="00B920D2" w:rsidRPr="000E0F90">
        <w:rPr>
          <w:rFonts w:ascii="Arial" w:hAnsi="Arial" w:cs="Arial"/>
          <w:color w:val="000000" w:themeColor="text1"/>
        </w:rPr>
        <w:t xml:space="preserve">la necesidad de mejorar los programas, el capital humano, así como la infraestructura </w:t>
      </w:r>
      <w:sdt>
        <w:sdtPr>
          <w:rPr>
            <w:rFonts w:ascii="Arial" w:hAnsi="Arial" w:cs="Arial"/>
            <w:color w:val="000000" w:themeColor="text1"/>
          </w:rPr>
          <w:id w:val="373125401"/>
          <w:citation/>
        </w:sdtPr>
        <w:sdtEndPr/>
        <w:sdtContent>
          <w:r w:rsidR="00B920D2" w:rsidRPr="000E0F90">
            <w:rPr>
              <w:rFonts w:ascii="Arial" w:hAnsi="Arial" w:cs="Arial"/>
              <w:color w:val="000000" w:themeColor="text1"/>
            </w:rPr>
            <w:fldChar w:fldCharType="begin"/>
          </w:r>
          <w:r w:rsidR="00880A5C" w:rsidRPr="000E0F90">
            <w:rPr>
              <w:rFonts w:ascii="Arial" w:hAnsi="Arial" w:cs="Arial"/>
              <w:color w:val="000000" w:themeColor="text1"/>
            </w:rPr>
            <w:instrText xml:space="preserve">CITATION Are13 \t  \l 13322 </w:instrText>
          </w:r>
          <w:r w:rsidR="00B920D2" w:rsidRPr="000E0F90">
            <w:rPr>
              <w:rFonts w:ascii="Arial" w:hAnsi="Arial" w:cs="Arial"/>
              <w:color w:val="000000" w:themeColor="text1"/>
            </w:rPr>
            <w:fldChar w:fldCharType="separate"/>
          </w:r>
          <w:r w:rsidR="008D0261" w:rsidRPr="000E0F90">
            <w:rPr>
              <w:rFonts w:ascii="Arial" w:hAnsi="Arial" w:cs="Arial"/>
              <w:noProof/>
              <w:color w:val="000000" w:themeColor="text1"/>
            </w:rPr>
            <w:t>(Arellano, Gastó, Gálvez, Subercauseaux, Toledo, &amp; Miranda, 2013)</w:t>
          </w:r>
          <w:r w:rsidR="00B920D2" w:rsidRPr="000E0F90">
            <w:rPr>
              <w:rFonts w:ascii="Arial" w:hAnsi="Arial" w:cs="Arial"/>
              <w:color w:val="000000" w:themeColor="text1"/>
            </w:rPr>
            <w:fldChar w:fldCharType="end"/>
          </w:r>
        </w:sdtContent>
      </w:sdt>
      <w:r w:rsidR="00B920D2" w:rsidRPr="000E0F90">
        <w:rPr>
          <w:rFonts w:ascii="Arial" w:hAnsi="Arial" w:cs="Arial"/>
          <w:color w:val="000000" w:themeColor="text1"/>
        </w:rPr>
        <w:t xml:space="preserve">. </w:t>
      </w:r>
    </w:p>
    <w:p w:rsidR="00AB13C8" w:rsidRPr="000E0F90" w:rsidRDefault="006C6A4A" w:rsidP="00702D9A">
      <w:pPr>
        <w:spacing w:before="240" w:after="0" w:line="360" w:lineRule="auto"/>
        <w:rPr>
          <w:rFonts w:ascii="Arial" w:hAnsi="Arial" w:cs="Arial"/>
          <w:b/>
          <w:color w:val="000000" w:themeColor="text1"/>
        </w:rPr>
      </w:pPr>
      <w:r w:rsidRPr="000E0F90">
        <w:rPr>
          <w:rFonts w:ascii="Arial" w:hAnsi="Arial" w:cs="Arial"/>
          <w:b/>
          <w:color w:val="000000" w:themeColor="text1"/>
        </w:rPr>
        <w:t>4</w:t>
      </w:r>
      <w:r w:rsidR="00AB13C8" w:rsidRPr="000E0F90">
        <w:rPr>
          <w:rFonts w:ascii="Arial" w:hAnsi="Arial" w:cs="Arial"/>
          <w:b/>
          <w:color w:val="000000" w:themeColor="text1"/>
        </w:rPr>
        <w:t>.</w:t>
      </w:r>
      <w:r w:rsidR="00880A5C" w:rsidRPr="000E0F90">
        <w:rPr>
          <w:rFonts w:ascii="Arial" w:hAnsi="Arial" w:cs="Arial"/>
          <w:b/>
          <w:color w:val="000000" w:themeColor="text1"/>
        </w:rPr>
        <w:t xml:space="preserve"> Patrimonio/Identidad Cultural</w:t>
      </w:r>
    </w:p>
    <w:p w:rsidR="00AB13C8" w:rsidRPr="000E0F90" w:rsidRDefault="00AB13C8" w:rsidP="00702D9A">
      <w:pPr>
        <w:spacing w:line="360" w:lineRule="auto"/>
        <w:rPr>
          <w:rFonts w:ascii="Arial" w:hAnsi="Arial" w:cs="Arial"/>
          <w:color w:val="000000" w:themeColor="text1"/>
        </w:rPr>
      </w:pPr>
      <w:r w:rsidRPr="000E0F90">
        <w:rPr>
          <w:rFonts w:ascii="Arial" w:hAnsi="Arial" w:cs="Arial"/>
          <w:color w:val="000000" w:themeColor="text1"/>
        </w:rPr>
        <w:t xml:space="preserve">En relación al patrimonio cultural, los entrevistados de la comuna de Salamanca se encuentran muy vinculados al desarrollo agrícola del territorio, lo cual participa a su vez, en la identidad cultural local. En tanto en la comuna de La Higuera, el patrimonio se relaciona con sus recursos no renovables, a su clima e historia de asentamientos </w:t>
      </w:r>
      <w:sdt>
        <w:sdtPr>
          <w:rPr>
            <w:rFonts w:ascii="Arial" w:hAnsi="Arial" w:cs="Arial"/>
            <w:color w:val="000000" w:themeColor="text1"/>
          </w:rPr>
          <w:id w:val="-1123221327"/>
          <w:citation/>
        </w:sdtPr>
        <w:sdtEndPr/>
        <w:sdtContent>
          <w:r w:rsidRPr="000E0F90">
            <w:rPr>
              <w:rFonts w:ascii="Arial" w:hAnsi="Arial" w:cs="Arial"/>
              <w:color w:val="000000" w:themeColor="text1"/>
            </w:rPr>
            <w:fldChar w:fldCharType="begin"/>
          </w:r>
          <w:r w:rsidR="00880A5C" w:rsidRPr="000E0F90">
            <w:rPr>
              <w:rFonts w:ascii="Arial" w:hAnsi="Arial" w:cs="Arial"/>
              <w:color w:val="000000" w:themeColor="text1"/>
            </w:rPr>
            <w:instrText xml:space="preserve">CITATION Are13 \t  \l 13322 </w:instrText>
          </w:r>
          <w:r w:rsidRPr="000E0F90">
            <w:rPr>
              <w:rFonts w:ascii="Arial" w:hAnsi="Arial" w:cs="Arial"/>
              <w:color w:val="000000" w:themeColor="text1"/>
            </w:rPr>
            <w:fldChar w:fldCharType="separate"/>
          </w:r>
          <w:r w:rsidR="008D0261" w:rsidRPr="000E0F90">
            <w:rPr>
              <w:rFonts w:ascii="Arial" w:hAnsi="Arial" w:cs="Arial"/>
              <w:noProof/>
              <w:color w:val="000000" w:themeColor="text1"/>
            </w:rPr>
            <w:t>(Arellano, Gastó, Gálvez, Subercauseaux, Toledo, &amp; Miranda, 2013)</w:t>
          </w:r>
          <w:r w:rsidRPr="000E0F90">
            <w:rPr>
              <w:rFonts w:ascii="Arial" w:hAnsi="Arial" w:cs="Arial"/>
              <w:color w:val="000000" w:themeColor="text1"/>
            </w:rPr>
            <w:fldChar w:fldCharType="end"/>
          </w:r>
        </w:sdtContent>
      </w:sdt>
      <w:r w:rsidRPr="000E0F90">
        <w:rPr>
          <w:rFonts w:ascii="Arial" w:hAnsi="Arial" w:cs="Arial"/>
          <w:color w:val="000000" w:themeColor="text1"/>
        </w:rPr>
        <w:t xml:space="preserve">. </w:t>
      </w:r>
    </w:p>
    <w:p w:rsidR="00AB13C8" w:rsidRPr="000E0F90" w:rsidRDefault="00AB13C8" w:rsidP="00702D9A">
      <w:pPr>
        <w:spacing w:before="240" w:line="360" w:lineRule="auto"/>
        <w:rPr>
          <w:rFonts w:ascii="Arial" w:hAnsi="Arial" w:cs="Arial"/>
          <w:i/>
          <w:color w:val="000000" w:themeColor="text1"/>
          <w:highlight w:val="yellow"/>
        </w:rPr>
      </w:pPr>
      <w:r w:rsidRPr="000E0F90">
        <w:rPr>
          <w:rFonts w:ascii="Arial" w:hAnsi="Arial" w:cs="Arial"/>
          <w:color w:val="000000" w:themeColor="text1"/>
        </w:rPr>
        <w:t>Dentro de los elementos culturales identificados en La Higuera, que contribuyen al patrimonio cultural, destacan las festividades religiosas, las cuales son una expresión de la identidad cultural local</w:t>
      </w:r>
      <w:r w:rsidR="00B45B0F" w:rsidRPr="000E0F90">
        <w:rPr>
          <w:rFonts w:ascii="Arial" w:hAnsi="Arial" w:cs="Arial"/>
          <w:color w:val="000000" w:themeColor="text1"/>
        </w:rPr>
        <w:t>.</w:t>
      </w:r>
      <w:r w:rsidRPr="000E0F90">
        <w:rPr>
          <w:rFonts w:ascii="Arial" w:hAnsi="Arial" w:cs="Arial"/>
          <w:color w:val="000000" w:themeColor="text1"/>
        </w:rPr>
        <w:t xml:space="preserve"> Cabe señalar que se señala como ausente, infraestructura para desarrollar y/o potenciar el patrimonio cultural, dado que no existen museos ni </w:t>
      </w:r>
      <w:r w:rsidRPr="000E0F90">
        <w:rPr>
          <w:rFonts w:ascii="Arial" w:hAnsi="Arial" w:cs="Arial"/>
          <w:color w:val="000000" w:themeColor="text1"/>
        </w:rPr>
        <w:lastRenderedPageBreak/>
        <w:t xml:space="preserve">bibliotecas en la comuna de La Higuera </w:t>
      </w:r>
      <w:sdt>
        <w:sdtPr>
          <w:rPr>
            <w:rFonts w:ascii="Arial" w:hAnsi="Arial" w:cs="Arial"/>
            <w:color w:val="000000" w:themeColor="text1"/>
          </w:rPr>
          <w:id w:val="-665317099"/>
          <w:citation/>
        </w:sdtPr>
        <w:sdtEndPr/>
        <w:sdtContent>
          <w:r w:rsidR="00B45B0F" w:rsidRPr="000E0F90">
            <w:rPr>
              <w:rFonts w:ascii="Arial" w:hAnsi="Arial" w:cs="Arial"/>
              <w:color w:val="000000" w:themeColor="text1"/>
            </w:rPr>
            <w:fldChar w:fldCharType="begin"/>
          </w:r>
          <w:r w:rsidR="00B45B0F" w:rsidRPr="000E0F90">
            <w:rPr>
              <w:rFonts w:ascii="Arial" w:hAnsi="Arial" w:cs="Arial"/>
              <w:color w:val="000000" w:themeColor="text1"/>
            </w:rPr>
            <w:instrText xml:space="preserve">CITATION Are13 \t  \l 13322 </w:instrText>
          </w:r>
          <w:r w:rsidR="00B45B0F" w:rsidRPr="000E0F90">
            <w:rPr>
              <w:rFonts w:ascii="Arial" w:hAnsi="Arial" w:cs="Arial"/>
              <w:color w:val="000000" w:themeColor="text1"/>
            </w:rPr>
            <w:fldChar w:fldCharType="separate"/>
          </w:r>
          <w:r w:rsidR="008D0261" w:rsidRPr="000E0F90">
            <w:rPr>
              <w:rFonts w:ascii="Arial" w:hAnsi="Arial" w:cs="Arial"/>
              <w:noProof/>
              <w:color w:val="000000" w:themeColor="text1"/>
            </w:rPr>
            <w:t>(Arellano, Gastó, Gálvez, Subercauseaux, Toledo, &amp; Miranda, 2013)</w:t>
          </w:r>
          <w:r w:rsidR="00B45B0F" w:rsidRPr="000E0F90">
            <w:rPr>
              <w:rFonts w:ascii="Arial" w:hAnsi="Arial" w:cs="Arial"/>
              <w:color w:val="000000" w:themeColor="text1"/>
            </w:rPr>
            <w:fldChar w:fldCharType="end"/>
          </w:r>
        </w:sdtContent>
      </w:sdt>
      <w:r w:rsidR="00B45B0F" w:rsidRPr="000E0F90">
        <w:rPr>
          <w:rFonts w:ascii="Arial" w:hAnsi="Arial" w:cs="Arial"/>
          <w:color w:val="000000" w:themeColor="text1"/>
        </w:rPr>
        <w:t>.</w:t>
      </w:r>
    </w:p>
    <w:p w:rsidR="009D43FD" w:rsidRPr="000E0F90" w:rsidRDefault="006C6A4A" w:rsidP="00702D9A">
      <w:pPr>
        <w:spacing w:after="0" w:line="360" w:lineRule="auto"/>
        <w:rPr>
          <w:rFonts w:ascii="Arial" w:hAnsi="Arial" w:cs="Arial"/>
          <w:b/>
          <w:color w:val="000000" w:themeColor="text1"/>
        </w:rPr>
      </w:pPr>
      <w:r w:rsidRPr="000E0F90">
        <w:rPr>
          <w:rFonts w:ascii="Arial" w:hAnsi="Arial" w:cs="Arial"/>
          <w:b/>
          <w:color w:val="000000" w:themeColor="text1"/>
        </w:rPr>
        <w:t>5</w:t>
      </w:r>
      <w:r w:rsidR="009D43FD" w:rsidRPr="000E0F90">
        <w:rPr>
          <w:rFonts w:ascii="Arial" w:hAnsi="Arial" w:cs="Arial"/>
          <w:b/>
          <w:color w:val="000000" w:themeColor="text1"/>
        </w:rPr>
        <w:t xml:space="preserve">. Agricultura  </w:t>
      </w:r>
      <w:r w:rsidR="004225D4" w:rsidRPr="000E0F90">
        <w:rPr>
          <w:rFonts w:ascii="Arial" w:hAnsi="Arial" w:cs="Arial"/>
          <w:b/>
          <w:color w:val="000000" w:themeColor="text1"/>
        </w:rPr>
        <w:t>y Ganadería</w:t>
      </w:r>
    </w:p>
    <w:p w:rsidR="00C41855" w:rsidRPr="000E0F90" w:rsidRDefault="009D43FD" w:rsidP="00702D9A">
      <w:pPr>
        <w:spacing w:line="360" w:lineRule="auto"/>
        <w:rPr>
          <w:rFonts w:ascii="Arial" w:hAnsi="Arial" w:cs="Arial"/>
          <w:color w:val="000000" w:themeColor="text1"/>
        </w:rPr>
      </w:pPr>
      <w:r w:rsidRPr="000E0F90">
        <w:rPr>
          <w:rFonts w:ascii="Arial" w:hAnsi="Arial" w:cs="Arial"/>
          <w:color w:val="000000" w:themeColor="text1"/>
        </w:rPr>
        <w:t>La agricultura es considerada una actividad importante en el territorio, la c</w:t>
      </w:r>
      <w:r w:rsidR="00B33B74" w:rsidRPr="000E0F90">
        <w:rPr>
          <w:rFonts w:ascii="Arial" w:hAnsi="Arial" w:cs="Arial"/>
          <w:color w:val="000000" w:themeColor="text1"/>
        </w:rPr>
        <w:t>ual ha sustentado el desarrollo local</w:t>
      </w:r>
      <w:r w:rsidR="00C41855" w:rsidRPr="000E0F90">
        <w:rPr>
          <w:rFonts w:ascii="Arial" w:hAnsi="Arial" w:cs="Arial"/>
          <w:color w:val="000000" w:themeColor="text1"/>
        </w:rPr>
        <w:t xml:space="preserve">. Desde la ocupación indígena, </w:t>
      </w:r>
      <w:r w:rsidR="00297164" w:rsidRPr="000E0F90">
        <w:rPr>
          <w:rFonts w:ascii="Arial" w:hAnsi="Arial" w:cs="Arial"/>
          <w:color w:val="000000" w:themeColor="text1"/>
        </w:rPr>
        <w:t xml:space="preserve">pasando por </w:t>
      </w:r>
      <w:r w:rsidR="00C41855" w:rsidRPr="000E0F90">
        <w:rPr>
          <w:rFonts w:ascii="Arial" w:hAnsi="Arial" w:cs="Arial"/>
          <w:color w:val="000000" w:themeColor="text1"/>
        </w:rPr>
        <w:t xml:space="preserve">la llegada de la minería en el siglo XIX y su rol abastecedor de los asentamientos mineros, a la actualidad, donde gran parte de las localidades se han desarrollado gracias a </w:t>
      </w:r>
      <w:r w:rsidR="004225D4" w:rsidRPr="000E0F90">
        <w:rPr>
          <w:rFonts w:ascii="Arial" w:hAnsi="Arial" w:cs="Arial"/>
          <w:color w:val="000000" w:themeColor="text1"/>
        </w:rPr>
        <w:t xml:space="preserve">esta actividad. </w:t>
      </w:r>
      <w:r w:rsidR="00C41855" w:rsidRPr="000E0F90">
        <w:rPr>
          <w:rFonts w:ascii="Arial" w:hAnsi="Arial" w:cs="Arial"/>
          <w:color w:val="000000" w:themeColor="text1"/>
        </w:rPr>
        <w:t xml:space="preserve">  </w:t>
      </w:r>
    </w:p>
    <w:p w:rsidR="004225D4" w:rsidRPr="000E0F90" w:rsidRDefault="004225D4" w:rsidP="00702D9A">
      <w:pPr>
        <w:spacing w:before="240" w:line="360" w:lineRule="auto"/>
        <w:rPr>
          <w:rFonts w:ascii="Arial" w:hAnsi="Arial" w:cs="Arial"/>
          <w:color w:val="000000" w:themeColor="text1"/>
        </w:rPr>
      </w:pPr>
      <w:r w:rsidRPr="000E0F90">
        <w:rPr>
          <w:rFonts w:ascii="Arial" w:hAnsi="Arial" w:cs="Arial"/>
          <w:color w:val="000000" w:themeColor="text1"/>
        </w:rPr>
        <w:t>En el Valle del Choapa, e</w:t>
      </w:r>
      <w:r w:rsidR="009D43FD" w:rsidRPr="000E0F90">
        <w:rPr>
          <w:rFonts w:ascii="Arial" w:hAnsi="Arial" w:cs="Arial"/>
          <w:color w:val="000000" w:themeColor="text1"/>
        </w:rPr>
        <w:t xml:space="preserve">xiste una gran diversidad de productores, donde predomina la agricultura de subsistencia, dada las reducidas superficies prediales de alrededor de 3 hectáreas. </w:t>
      </w:r>
      <w:r w:rsidRPr="000E0F90">
        <w:rPr>
          <w:rFonts w:ascii="Arial" w:hAnsi="Arial" w:cs="Arial"/>
          <w:color w:val="000000" w:themeColor="text1"/>
        </w:rPr>
        <w:t>En general la producción de p</w:t>
      </w:r>
      <w:r w:rsidR="005F3477" w:rsidRPr="000E0F90">
        <w:rPr>
          <w:rFonts w:ascii="Arial" w:hAnsi="Arial" w:cs="Arial"/>
          <w:color w:val="000000" w:themeColor="text1"/>
        </w:rPr>
        <w:t>arrones es la predominante, p</w:t>
      </w:r>
      <w:r w:rsidR="008632E5" w:rsidRPr="000E0F90">
        <w:rPr>
          <w:rFonts w:ascii="Arial" w:hAnsi="Arial" w:cs="Arial"/>
          <w:color w:val="000000" w:themeColor="text1"/>
        </w:rPr>
        <w:t>roducto de la existencia de la C</w:t>
      </w:r>
      <w:r w:rsidRPr="000E0F90">
        <w:rPr>
          <w:rFonts w:ascii="Arial" w:hAnsi="Arial" w:cs="Arial"/>
          <w:color w:val="000000" w:themeColor="text1"/>
        </w:rPr>
        <w:t xml:space="preserve">ooperativa </w:t>
      </w:r>
      <w:r w:rsidR="008632E5" w:rsidRPr="000E0F90">
        <w:rPr>
          <w:rFonts w:ascii="Arial" w:hAnsi="Arial" w:cs="Arial"/>
          <w:color w:val="000000" w:themeColor="text1"/>
        </w:rPr>
        <w:t>P</w:t>
      </w:r>
      <w:r w:rsidRPr="000E0F90">
        <w:rPr>
          <w:rFonts w:ascii="Arial" w:hAnsi="Arial" w:cs="Arial"/>
          <w:color w:val="000000" w:themeColor="text1"/>
        </w:rPr>
        <w:t>isquera Capel</w:t>
      </w:r>
      <w:r w:rsidR="00B45B0F" w:rsidRPr="000E0F90">
        <w:rPr>
          <w:rFonts w:ascii="Arial" w:hAnsi="Arial" w:cs="Arial"/>
          <w:color w:val="000000" w:themeColor="text1"/>
        </w:rPr>
        <w:t xml:space="preserve"> (Marcelo Gomolán, Salamanca)</w:t>
      </w:r>
      <w:r w:rsidR="002144A9" w:rsidRPr="000E0F90">
        <w:rPr>
          <w:rFonts w:ascii="Arial" w:hAnsi="Arial" w:cs="Arial"/>
          <w:color w:val="000000" w:themeColor="text1"/>
        </w:rPr>
        <w:t>.</w:t>
      </w:r>
      <w:r w:rsidRPr="000E0F90">
        <w:rPr>
          <w:rFonts w:ascii="Arial" w:hAnsi="Arial" w:cs="Arial"/>
          <w:color w:val="000000" w:themeColor="text1"/>
        </w:rPr>
        <w:t xml:space="preserve"> </w:t>
      </w:r>
    </w:p>
    <w:p w:rsidR="00D829A6" w:rsidRPr="000E0F90" w:rsidRDefault="005F3477" w:rsidP="00702D9A">
      <w:pPr>
        <w:spacing w:before="240" w:line="360" w:lineRule="auto"/>
        <w:rPr>
          <w:rFonts w:ascii="Arial" w:hAnsi="Arial" w:cs="Arial"/>
          <w:color w:val="000000" w:themeColor="text1"/>
        </w:rPr>
      </w:pPr>
      <w:r w:rsidRPr="000E0F90">
        <w:rPr>
          <w:rFonts w:ascii="Arial" w:hAnsi="Arial" w:cs="Arial"/>
          <w:color w:val="000000" w:themeColor="text1"/>
        </w:rPr>
        <w:t xml:space="preserve">En la actualidad, </w:t>
      </w:r>
      <w:r w:rsidR="00342BBA" w:rsidRPr="000E0F90">
        <w:rPr>
          <w:rFonts w:ascii="Arial" w:hAnsi="Arial" w:cs="Arial"/>
          <w:color w:val="000000" w:themeColor="text1"/>
        </w:rPr>
        <w:t xml:space="preserve">en la comuna de La Higuera </w:t>
      </w:r>
      <w:r w:rsidRPr="000E0F90">
        <w:rPr>
          <w:rFonts w:ascii="Arial" w:hAnsi="Arial" w:cs="Arial"/>
          <w:color w:val="000000" w:themeColor="text1"/>
        </w:rPr>
        <w:t>se ha redirigido la producción hacia la producción de aceitunas  y  aceite  de oliva, con una superficie de 1.500 ha orientada a dicha actividad, desarrollando en menor magnitud el cultivo de hortalizas, frutas y flores</w:t>
      </w:r>
      <w:sdt>
        <w:sdtPr>
          <w:rPr>
            <w:rFonts w:ascii="Arial" w:hAnsi="Arial" w:cs="Arial"/>
            <w:color w:val="000000" w:themeColor="text1"/>
          </w:rPr>
          <w:id w:val="1793789063"/>
          <w:citation/>
        </w:sdtPr>
        <w:sdtEndPr/>
        <w:sdtContent>
          <w:r w:rsidR="00CA5F1E" w:rsidRPr="000E0F90">
            <w:rPr>
              <w:rFonts w:ascii="Arial" w:hAnsi="Arial" w:cs="Arial"/>
              <w:color w:val="000000" w:themeColor="text1"/>
            </w:rPr>
            <w:fldChar w:fldCharType="begin"/>
          </w:r>
          <w:r w:rsidR="00077634" w:rsidRPr="000E0F90">
            <w:rPr>
              <w:rFonts w:ascii="Arial" w:hAnsi="Arial" w:cs="Arial"/>
              <w:color w:val="000000" w:themeColor="text1"/>
            </w:rPr>
            <w:instrText xml:space="preserve">CITATION Are13 \t  \l 13322 </w:instrText>
          </w:r>
          <w:r w:rsidR="00CA5F1E" w:rsidRPr="000E0F90">
            <w:rPr>
              <w:rFonts w:ascii="Arial" w:hAnsi="Arial" w:cs="Arial"/>
              <w:color w:val="000000" w:themeColor="text1"/>
            </w:rPr>
            <w:fldChar w:fldCharType="separate"/>
          </w:r>
          <w:r w:rsidR="008D0261" w:rsidRPr="000E0F90">
            <w:rPr>
              <w:rFonts w:ascii="Arial" w:hAnsi="Arial" w:cs="Arial"/>
              <w:noProof/>
              <w:color w:val="000000" w:themeColor="text1"/>
            </w:rPr>
            <w:t xml:space="preserve"> (Arellano, Gastó, Gálvez, Subercauseaux, Toledo, &amp; Miranda, 2013)</w:t>
          </w:r>
          <w:r w:rsidR="00CA5F1E" w:rsidRPr="000E0F90">
            <w:rPr>
              <w:rFonts w:ascii="Arial" w:hAnsi="Arial" w:cs="Arial"/>
              <w:color w:val="000000" w:themeColor="text1"/>
            </w:rPr>
            <w:fldChar w:fldCharType="end"/>
          </w:r>
        </w:sdtContent>
      </w:sdt>
      <w:r w:rsidRPr="000E0F90">
        <w:rPr>
          <w:rFonts w:ascii="Arial" w:hAnsi="Arial" w:cs="Arial"/>
          <w:color w:val="000000" w:themeColor="text1"/>
        </w:rPr>
        <w:t>.</w:t>
      </w:r>
      <w:r w:rsidR="00D829A6" w:rsidRPr="000E0F90">
        <w:rPr>
          <w:rFonts w:ascii="Arial" w:hAnsi="Arial" w:cs="Arial"/>
          <w:color w:val="000000" w:themeColor="text1"/>
        </w:rPr>
        <w:t xml:space="preserve"> </w:t>
      </w:r>
    </w:p>
    <w:p w:rsidR="00D829A6" w:rsidRPr="000E0F90" w:rsidRDefault="004225D4" w:rsidP="00702D9A">
      <w:pPr>
        <w:spacing w:before="240" w:line="360" w:lineRule="auto"/>
        <w:rPr>
          <w:rFonts w:ascii="Arial" w:hAnsi="Arial" w:cs="Arial"/>
          <w:color w:val="000000" w:themeColor="text1"/>
        </w:rPr>
      </w:pPr>
      <w:r w:rsidRPr="000E0F90">
        <w:rPr>
          <w:rFonts w:ascii="Arial" w:hAnsi="Arial" w:cs="Arial"/>
          <w:color w:val="000000" w:themeColor="text1"/>
        </w:rPr>
        <w:t xml:space="preserve">En relación a la </w:t>
      </w:r>
      <w:r w:rsidR="008632E5" w:rsidRPr="000E0F90">
        <w:rPr>
          <w:rFonts w:ascii="Arial" w:hAnsi="Arial" w:cs="Arial"/>
          <w:color w:val="000000" w:themeColor="text1"/>
        </w:rPr>
        <w:t>g</w:t>
      </w:r>
      <w:r w:rsidRPr="000E0F90">
        <w:rPr>
          <w:rFonts w:ascii="Arial" w:hAnsi="Arial" w:cs="Arial"/>
          <w:color w:val="000000" w:themeColor="text1"/>
        </w:rPr>
        <w:t xml:space="preserve">anadería, los estudios de la comuna de La Higuera indican que esta actividad se desarrolla mayormente en sectores cordilleranos </w:t>
      </w:r>
      <w:r w:rsidR="00721867" w:rsidRPr="000E0F90">
        <w:rPr>
          <w:rFonts w:ascii="Arial" w:hAnsi="Arial" w:cs="Arial"/>
          <w:color w:val="000000" w:themeColor="text1"/>
        </w:rPr>
        <w:t xml:space="preserve">en base a </w:t>
      </w:r>
      <w:r w:rsidRPr="000E0F90">
        <w:rPr>
          <w:rFonts w:ascii="Arial" w:hAnsi="Arial" w:cs="Arial"/>
          <w:color w:val="000000" w:themeColor="text1"/>
        </w:rPr>
        <w:t>ganado caprino</w:t>
      </w:r>
      <w:r w:rsidR="0049498D" w:rsidRPr="000E0F90">
        <w:rPr>
          <w:rFonts w:ascii="Arial" w:hAnsi="Arial" w:cs="Arial"/>
          <w:color w:val="000000" w:themeColor="text1"/>
        </w:rPr>
        <w:t xml:space="preserve"> en for</w:t>
      </w:r>
      <w:r w:rsidR="00077634" w:rsidRPr="000E0F90">
        <w:rPr>
          <w:rFonts w:ascii="Arial" w:hAnsi="Arial" w:cs="Arial"/>
          <w:color w:val="000000" w:themeColor="text1"/>
        </w:rPr>
        <w:t>m</w:t>
      </w:r>
      <w:r w:rsidR="0049498D" w:rsidRPr="000E0F90">
        <w:rPr>
          <w:rFonts w:ascii="Arial" w:hAnsi="Arial" w:cs="Arial"/>
          <w:color w:val="000000" w:themeColor="text1"/>
        </w:rPr>
        <w:t>a trashumante</w:t>
      </w:r>
      <w:r w:rsidRPr="000E0F90">
        <w:rPr>
          <w:rFonts w:ascii="Arial" w:hAnsi="Arial" w:cs="Arial"/>
          <w:color w:val="000000" w:themeColor="text1"/>
        </w:rPr>
        <w:t xml:space="preserve">, </w:t>
      </w:r>
      <w:r w:rsidR="00721867" w:rsidRPr="000E0F90">
        <w:rPr>
          <w:rFonts w:ascii="Arial" w:hAnsi="Arial" w:cs="Arial"/>
          <w:color w:val="000000" w:themeColor="text1"/>
        </w:rPr>
        <w:t xml:space="preserve">dirigida hacia la elaboración de queso de cabra o venta de cabritos, rubros que son </w:t>
      </w:r>
      <w:r w:rsidRPr="000E0F90">
        <w:rPr>
          <w:rFonts w:ascii="Arial" w:hAnsi="Arial" w:cs="Arial"/>
          <w:color w:val="000000" w:themeColor="text1"/>
        </w:rPr>
        <w:t xml:space="preserve">muy dependientes de la  disponibilidad  de  agua  en  el  </w:t>
      </w:r>
      <w:r w:rsidR="00CA5F1E" w:rsidRPr="000E0F90">
        <w:rPr>
          <w:rFonts w:ascii="Arial" w:hAnsi="Arial" w:cs="Arial"/>
          <w:color w:val="000000" w:themeColor="text1"/>
        </w:rPr>
        <w:t xml:space="preserve">año </w:t>
      </w:r>
      <w:sdt>
        <w:sdtPr>
          <w:rPr>
            <w:rFonts w:ascii="Arial" w:hAnsi="Arial" w:cs="Arial"/>
            <w:color w:val="000000" w:themeColor="text1"/>
          </w:rPr>
          <w:id w:val="1664356025"/>
          <w:citation/>
        </w:sdtPr>
        <w:sdtEndPr/>
        <w:sdtContent>
          <w:r w:rsidR="00CA5F1E" w:rsidRPr="000E0F90">
            <w:rPr>
              <w:rFonts w:ascii="Arial" w:hAnsi="Arial" w:cs="Arial"/>
              <w:color w:val="000000" w:themeColor="text1"/>
            </w:rPr>
            <w:fldChar w:fldCharType="begin"/>
          </w:r>
          <w:r w:rsidR="0049498D" w:rsidRPr="000E0F90">
            <w:rPr>
              <w:rFonts w:ascii="Arial" w:hAnsi="Arial" w:cs="Arial"/>
              <w:color w:val="000000" w:themeColor="text1"/>
            </w:rPr>
            <w:instrText xml:space="preserve">CITATION Are13 \t  \l 13322 </w:instrText>
          </w:r>
          <w:r w:rsidR="00CA5F1E" w:rsidRPr="000E0F90">
            <w:rPr>
              <w:rFonts w:ascii="Arial" w:hAnsi="Arial" w:cs="Arial"/>
              <w:color w:val="000000" w:themeColor="text1"/>
            </w:rPr>
            <w:fldChar w:fldCharType="separate"/>
          </w:r>
          <w:r w:rsidR="008D0261" w:rsidRPr="000E0F90">
            <w:rPr>
              <w:rFonts w:ascii="Arial" w:hAnsi="Arial" w:cs="Arial"/>
              <w:noProof/>
              <w:color w:val="000000" w:themeColor="text1"/>
            </w:rPr>
            <w:t>(Arellano, Gastó, Gálvez, Subercauseaux, Toledo, &amp; Miranda, 2013)</w:t>
          </w:r>
          <w:r w:rsidR="00CA5F1E" w:rsidRPr="000E0F90">
            <w:rPr>
              <w:rFonts w:ascii="Arial" w:hAnsi="Arial" w:cs="Arial"/>
              <w:color w:val="000000" w:themeColor="text1"/>
            </w:rPr>
            <w:fldChar w:fldCharType="end"/>
          </w:r>
        </w:sdtContent>
      </w:sdt>
      <w:r w:rsidR="00CA5F1E" w:rsidRPr="000E0F90">
        <w:rPr>
          <w:rFonts w:ascii="Arial" w:hAnsi="Arial" w:cs="Arial"/>
          <w:color w:val="000000" w:themeColor="text1"/>
        </w:rPr>
        <w:t>.</w:t>
      </w:r>
      <w:r w:rsidR="00D829A6" w:rsidRPr="000E0F90">
        <w:rPr>
          <w:rFonts w:ascii="Arial" w:hAnsi="Arial" w:cs="Arial"/>
          <w:color w:val="000000" w:themeColor="text1"/>
        </w:rPr>
        <w:t xml:space="preserve"> </w:t>
      </w:r>
      <w:r w:rsidR="00721867" w:rsidRPr="000E0F90">
        <w:rPr>
          <w:rFonts w:ascii="Arial" w:hAnsi="Arial" w:cs="Arial"/>
          <w:color w:val="000000" w:themeColor="text1"/>
        </w:rPr>
        <w:t xml:space="preserve">Producto del cambio de propietarios en el territorio, </w:t>
      </w:r>
      <w:r w:rsidR="00D829A6" w:rsidRPr="000E0F90">
        <w:rPr>
          <w:rFonts w:ascii="Arial" w:hAnsi="Arial" w:cs="Arial"/>
          <w:color w:val="000000" w:themeColor="text1"/>
        </w:rPr>
        <w:t xml:space="preserve">por </w:t>
      </w:r>
      <w:r w:rsidR="00721867" w:rsidRPr="000E0F90">
        <w:rPr>
          <w:rFonts w:ascii="Arial" w:hAnsi="Arial" w:cs="Arial"/>
          <w:color w:val="000000" w:themeColor="text1"/>
        </w:rPr>
        <w:t xml:space="preserve">uso turístico y minero, se ha </w:t>
      </w:r>
      <w:r w:rsidR="0049498D" w:rsidRPr="000E0F90">
        <w:rPr>
          <w:rFonts w:ascii="Arial" w:hAnsi="Arial" w:cs="Arial"/>
          <w:color w:val="000000" w:themeColor="text1"/>
        </w:rPr>
        <w:t>limitado</w:t>
      </w:r>
      <w:r w:rsidR="00721867" w:rsidRPr="000E0F90">
        <w:rPr>
          <w:rFonts w:ascii="Arial" w:hAnsi="Arial" w:cs="Arial"/>
          <w:color w:val="000000" w:themeColor="text1"/>
        </w:rPr>
        <w:t xml:space="preserve"> el desplazamiento natural de los rebaños, dificultando el desarrollo de la actividad </w:t>
      </w:r>
      <w:sdt>
        <w:sdtPr>
          <w:rPr>
            <w:rFonts w:ascii="Arial" w:hAnsi="Arial" w:cs="Arial"/>
            <w:color w:val="000000" w:themeColor="text1"/>
          </w:rPr>
          <w:id w:val="-450940056"/>
          <w:citation/>
        </w:sdtPr>
        <w:sdtEndPr/>
        <w:sdtContent>
          <w:r w:rsidR="00D829A6" w:rsidRPr="000E0F90">
            <w:rPr>
              <w:rFonts w:ascii="Arial" w:hAnsi="Arial" w:cs="Arial"/>
              <w:color w:val="000000" w:themeColor="text1"/>
            </w:rPr>
            <w:fldChar w:fldCharType="begin"/>
          </w:r>
          <w:r w:rsidR="0049498D" w:rsidRPr="000E0F90">
            <w:rPr>
              <w:rFonts w:ascii="Arial" w:hAnsi="Arial" w:cs="Arial"/>
              <w:color w:val="000000" w:themeColor="text1"/>
            </w:rPr>
            <w:instrText xml:space="preserve">CITATION Are13 \t  \l 13322 </w:instrText>
          </w:r>
          <w:r w:rsidR="00D829A6" w:rsidRPr="000E0F90">
            <w:rPr>
              <w:rFonts w:ascii="Arial" w:hAnsi="Arial" w:cs="Arial"/>
              <w:color w:val="000000" w:themeColor="text1"/>
            </w:rPr>
            <w:fldChar w:fldCharType="separate"/>
          </w:r>
          <w:r w:rsidR="008D0261" w:rsidRPr="000E0F90">
            <w:rPr>
              <w:rFonts w:ascii="Arial" w:hAnsi="Arial" w:cs="Arial"/>
              <w:noProof/>
              <w:color w:val="000000" w:themeColor="text1"/>
            </w:rPr>
            <w:t>(Arellano, Gastó, Gálvez, Subercauseaux, Toledo, &amp; Miranda, 2013)</w:t>
          </w:r>
          <w:r w:rsidR="00D829A6" w:rsidRPr="000E0F90">
            <w:rPr>
              <w:rFonts w:ascii="Arial" w:hAnsi="Arial" w:cs="Arial"/>
              <w:color w:val="000000" w:themeColor="text1"/>
            </w:rPr>
            <w:fldChar w:fldCharType="end"/>
          </w:r>
        </w:sdtContent>
      </w:sdt>
      <w:r w:rsidR="00227366" w:rsidRPr="000E0F90">
        <w:rPr>
          <w:rFonts w:ascii="Arial" w:hAnsi="Arial" w:cs="Arial"/>
          <w:color w:val="000000" w:themeColor="text1"/>
        </w:rPr>
        <w:t>.</w:t>
      </w:r>
      <w:r w:rsidR="0049498D" w:rsidRPr="000E0F90">
        <w:rPr>
          <w:rFonts w:ascii="Arial" w:hAnsi="Arial" w:cs="Arial"/>
          <w:color w:val="000000" w:themeColor="text1"/>
        </w:rPr>
        <w:t xml:space="preserve"> </w:t>
      </w:r>
      <w:r w:rsidR="00D829A6" w:rsidRPr="000E0F90">
        <w:rPr>
          <w:rFonts w:ascii="Arial" w:hAnsi="Arial" w:cs="Arial"/>
          <w:color w:val="000000" w:themeColor="text1"/>
        </w:rPr>
        <w:t>Cabe mencionar</w:t>
      </w:r>
      <w:r w:rsidR="00227366" w:rsidRPr="000E0F90">
        <w:rPr>
          <w:rFonts w:ascii="Arial" w:hAnsi="Arial" w:cs="Arial"/>
          <w:color w:val="000000" w:themeColor="text1"/>
        </w:rPr>
        <w:t>, en forma adicional</w:t>
      </w:r>
      <w:r w:rsidR="00D829A6" w:rsidRPr="000E0F90">
        <w:rPr>
          <w:rFonts w:ascii="Arial" w:hAnsi="Arial" w:cs="Arial"/>
          <w:color w:val="000000" w:themeColor="text1"/>
        </w:rPr>
        <w:t xml:space="preserve"> que ambas actividades tienen canales de comercialización bastante débiles, principalmente comercio informal o a través de intermediarios, lo cual ha dificultado un mayor auge de la actividad en la zona.</w:t>
      </w:r>
    </w:p>
    <w:p w:rsidR="0049498D" w:rsidRPr="000E0F90" w:rsidRDefault="0049498D" w:rsidP="00702D9A">
      <w:pPr>
        <w:spacing w:before="240" w:line="360" w:lineRule="auto"/>
        <w:rPr>
          <w:rFonts w:ascii="Arial" w:hAnsi="Arial" w:cs="Arial"/>
          <w:color w:val="000000" w:themeColor="text1"/>
        </w:rPr>
      </w:pPr>
      <w:r w:rsidRPr="000E0F90">
        <w:rPr>
          <w:rFonts w:ascii="Arial" w:hAnsi="Arial" w:cs="Arial"/>
          <w:color w:val="000000" w:themeColor="text1"/>
        </w:rPr>
        <w:t xml:space="preserve">En la comuna de Salmanca se han evidenciado </w:t>
      </w:r>
      <w:r w:rsidR="009D43FD" w:rsidRPr="000E0F90">
        <w:rPr>
          <w:rFonts w:ascii="Arial" w:hAnsi="Arial" w:cs="Arial"/>
          <w:color w:val="000000" w:themeColor="text1"/>
        </w:rPr>
        <w:t xml:space="preserve">impactos </w:t>
      </w:r>
      <w:r w:rsidRPr="000E0F90">
        <w:rPr>
          <w:rFonts w:ascii="Arial" w:hAnsi="Arial" w:cs="Arial"/>
          <w:color w:val="000000" w:themeColor="text1"/>
        </w:rPr>
        <w:t xml:space="preserve">en </w:t>
      </w:r>
      <w:r w:rsidR="009D43FD" w:rsidRPr="000E0F90">
        <w:rPr>
          <w:rFonts w:ascii="Arial" w:hAnsi="Arial" w:cs="Arial"/>
          <w:color w:val="000000" w:themeColor="text1"/>
        </w:rPr>
        <w:t>la agricultura producto de la llegada de la minería,</w:t>
      </w:r>
      <w:r w:rsidR="003C554B" w:rsidRPr="000E0F90">
        <w:rPr>
          <w:rFonts w:ascii="Arial" w:hAnsi="Arial" w:cs="Arial"/>
          <w:color w:val="000000" w:themeColor="text1"/>
        </w:rPr>
        <w:t xml:space="preserve"> </w:t>
      </w:r>
      <w:r w:rsidR="009D43FD" w:rsidRPr="000E0F90">
        <w:rPr>
          <w:rFonts w:ascii="Arial" w:hAnsi="Arial" w:cs="Arial"/>
          <w:color w:val="000000" w:themeColor="text1"/>
        </w:rPr>
        <w:t>se señala</w:t>
      </w:r>
      <w:r w:rsidRPr="000E0F90">
        <w:rPr>
          <w:rFonts w:ascii="Arial" w:hAnsi="Arial" w:cs="Arial"/>
          <w:color w:val="000000" w:themeColor="text1"/>
        </w:rPr>
        <w:t>ndose</w:t>
      </w:r>
      <w:r w:rsidR="009D43FD" w:rsidRPr="000E0F90">
        <w:rPr>
          <w:rFonts w:ascii="Arial" w:hAnsi="Arial" w:cs="Arial"/>
          <w:color w:val="000000" w:themeColor="text1"/>
        </w:rPr>
        <w:t xml:space="preserve"> la</w:t>
      </w:r>
      <w:r w:rsidR="009D43FD" w:rsidRPr="000E0F90">
        <w:rPr>
          <w:rFonts w:ascii="Arial" w:hAnsi="Arial" w:cs="Arial"/>
          <w:b/>
          <w:color w:val="000000" w:themeColor="text1"/>
        </w:rPr>
        <w:t xml:space="preserve"> presencia de polvo</w:t>
      </w:r>
      <w:r w:rsidR="009D43FD" w:rsidRPr="000E0F90">
        <w:rPr>
          <w:rFonts w:ascii="Arial" w:hAnsi="Arial" w:cs="Arial"/>
          <w:color w:val="000000" w:themeColor="text1"/>
        </w:rPr>
        <w:t xml:space="preserve"> como uno de los mayores efectos en la actividad. El polvo se atribuye a la mortalidad de árboles </w:t>
      </w:r>
      <w:r w:rsidR="009D43FD" w:rsidRPr="000E0F90">
        <w:rPr>
          <w:rFonts w:ascii="Arial" w:hAnsi="Arial" w:cs="Arial"/>
          <w:color w:val="000000" w:themeColor="text1"/>
        </w:rPr>
        <w:lastRenderedPageBreak/>
        <w:t>frutales, al incremento de plagas, finalmente a la mayor dificulta</w:t>
      </w:r>
      <w:r w:rsidR="00227366" w:rsidRPr="000E0F90">
        <w:rPr>
          <w:rFonts w:ascii="Arial" w:hAnsi="Arial" w:cs="Arial"/>
          <w:color w:val="000000" w:themeColor="text1"/>
        </w:rPr>
        <w:t>d para realizar la agricultura</w:t>
      </w:r>
      <w:r w:rsidRPr="000E0F90">
        <w:rPr>
          <w:rFonts w:ascii="Arial" w:hAnsi="Arial" w:cs="Arial"/>
          <w:color w:val="000000" w:themeColor="text1"/>
        </w:rPr>
        <w:t xml:space="preserve">, un cambio en relación a las prácticas tradicionales que se realizaban en el pasado (subsistencia y autoconsumo). </w:t>
      </w:r>
    </w:p>
    <w:p w:rsidR="0049498D" w:rsidRPr="000E0F90" w:rsidRDefault="0049498D" w:rsidP="00702D9A">
      <w:pPr>
        <w:spacing w:before="240" w:line="360" w:lineRule="auto"/>
        <w:rPr>
          <w:rFonts w:ascii="Arial" w:hAnsi="Arial" w:cs="Arial"/>
          <w:color w:val="000000" w:themeColor="text1"/>
        </w:rPr>
      </w:pPr>
      <w:r w:rsidRPr="000E0F90">
        <w:rPr>
          <w:rFonts w:ascii="Arial" w:hAnsi="Arial" w:cs="Arial"/>
          <w:color w:val="000000" w:themeColor="text1"/>
        </w:rPr>
        <w:t>- “</w:t>
      </w:r>
      <w:r w:rsidRPr="000E0F90">
        <w:rPr>
          <w:rFonts w:ascii="Arial" w:hAnsi="Arial" w:cs="Arial"/>
          <w:i/>
          <w:color w:val="000000" w:themeColor="text1"/>
        </w:rPr>
        <w:t>Por el polvo de la mina. Por ejemplo mi marido puso una plantación nogal, así del bolsillo de nosotros no más. Se nos secaron todos”… “No se puede hacer, porque usted por ejemplo siembra porotos y ya cuando los va a cosechar para… Están llenos de gorgojos”</w:t>
      </w:r>
      <w:r w:rsidRPr="000E0F90">
        <w:rPr>
          <w:rFonts w:ascii="Arial" w:hAnsi="Arial" w:cs="Arial"/>
          <w:color w:val="000000" w:themeColor="text1"/>
        </w:rPr>
        <w:t xml:space="preserve"> (Sonia Tapia, Cuncumén).</w:t>
      </w:r>
    </w:p>
    <w:p w:rsidR="0049498D" w:rsidRPr="000E0F90" w:rsidRDefault="0049498D" w:rsidP="00702D9A">
      <w:pPr>
        <w:spacing w:before="240" w:line="360" w:lineRule="auto"/>
        <w:rPr>
          <w:rFonts w:ascii="Arial" w:hAnsi="Arial" w:cs="Arial"/>
          <w:i/>
          <w:color w:val="000000" w:themeColor="text1"/>
        </w:rPr>
      </w:pPr>
      <w:r w:rsidRPr="000E0F90">
        <w:rPr>
          <w:rFonts w:ascii="Arial" w:hAnsi="Arial" w:cs="Arial"/>
          <w:color w:val="000000" w:themeColor="text1"/>
        </w:rPr>
        <w:t xml:space="preserve">- </w:t>
      </w:r>
      <w:r w:rsidRPr="000E0F90">
        <w:rPr>
          <w:rFonts w:ascii="Arial" w:hAnsi="Arial" w:cs="Arial"/>
          <w:i/>
          <w:color w:val="000000" w:themeColor="text1"/>
        </w:rPr>
        <w:t xml:space="preserve">Lo que si, como te digo, el efecto del polvo, eso es real. O sea…Ya y ¿qué ocurre con el polvo? Que aumenta la proliferación de arañita roja ¿ya? O sea, supongamos, este valle antes de la minería por condiciones de temperatura básicamente, era un valle virgen, si podríamos decirlo así, que no tenía, que no tenía prácticamente </w:t>
      </w:r>
      <w:r w:rsidR="00601252" w:rsidRPr="000E0F90">
        <w:rPr>
          <w:rFonts w:ascii="Arial" w:hAnsi="Arial" w:cs="Arial"/>
          <w:i/>
          <w:color w:val="000000" w:themeColor="text1"/>
        </w:rPr>
        <w:t xml:space="preserve">plaga así, plaga, enfermedades </w:t>
      </w:r>
      <w:r w:rsidRPr="000E0F90">
        <w:rPr>
          <w:rFonts w:ascii="Arial" w:hAnsi="Arial" w:cs="Arial"/>
          <w:color w:val="000000" w:themeColor="text1"/>
        </w:rPr>
        <w:t>(Marcelo Gomolán, Salamanca)</w:t>
      </w:r>
      <w:r w:rsidRPr="000E0F90">
        <w:rPr>
          <w:rFonts w:ascii="Arial" w:hAnsi="Arial" w:cs="Arial"/>
          <w:i/>
          <w:color w:val="000000" w:themeColor="text1"/>
        </w:rPr>
        <w:t>.</w:t>
      </w:r>
    </w:p>
    <w:p w:rsidR="00CA5F1E" w:rsidRPr="000E0F90" w:rsidRDefault="00D829A6" w:rsidP="00702D9A">
      <w:pPr>
        <w:spacing w:before="240" w:line="360" w:lineRule="auto"/>
        <w:rPr>
          <w:rFonts w:ascii="Arial" w:hAnsi="Arial" w:cs="Arial"/>
          <w:color w:val="000000" w:themeColor="text1"/>
        </w:rPr>
      </w:pPr>
      <w:r w:rsidRPr="000E0F90">
        <w:rPr>
          <w:rFonts w:ascii="Arial" w:hAnsi="Arial" w:cs="Arial"/>
          <w:color w:val="000000" w:themeColor="text1"/>
        </w:rPr>
        <w:t xml:space="preserve">Producto de la llegada de la actividad minera a la comuna </w:t>
      </w:r>
      <w:r w:rsidR="009D43FD" w:rsidRPr="000E0F90">
        <w:rPr>
          <w:rFonts w:ascii="Arial" w:hAnsi="Arial" w:cs="Arial"/>
          <w:color w:val="000000" w:themeColor="text1"/>
        </w:rPr>
        <w:t xml:space="preserve">se evidencia el </w:t>
      </w:r>
      <w:r w:rsidR="009D43FD" w:rsidRPr="000E0F90">
        <w:rPr>
          <w:rFonts w:ascii="Arial" w:hAnsi="Arial" w:cs="Arial"/>
          <w:b/>
          <w:color w:val="000000" w:themeColor="text1"/>
        </w:rPr>
        <w:t>encarecimiento de la mano de obra</w:t>
      </w:r>
      <w:r w:rsidRPr="000E0F90">
        <w:rPr>
          <w:rFonts w:ascii="Arial" w:hAnsi="Arial" w:cs="Arial"/>
          <w:b/>
          <w:color w:val="000000" w:themeColor="text1"/>
        </w:rPr>
        <w:t xml:space="preserve"> agrícola</w:t>
      </w:r>
      <w:r w:rsidR="009D43FD" w:rsidRPr="000E0F90">
        <w:rPr>
          <w:rFonts w:ascii="Arial" w:hAnsi="Arial" w:cs="Arial"/>
          <w:color w:val="000000" w:themeColor="text1"/>
        </w:rPr>
        <w:t>, producto de las mayores remuneraciones que reciben los trabajadores en las faenas mineras y en servicios asociados a la minería</w:t>
      </w:r>
      <w:r w:rsidR="00227366" w:rsidRPr="000E0F90">
        <w:rPr>
          <w:rFonts w:ascii="Arial" w:hAnsi="Arial" w:cs="Arial"/>
          <w:color w:val="000000" w:themeColor="text1"/>
        </w:rPr>
        <w:t>, lo cual se señala ha afectado la rentabilidad de la agricultura</w:t>
      </w:r>
      <w:r w:rsidR="009D43FD" w:rsidRPr="000E0F90">
        <w:rPr>
          <w:rFonts w:ascii="Arial" w:hAnsi="Arial" w:cs="Arial"/>
          <w:color w:val="000000" w:themeColor="text1"/>
        </w:rPr>
        <w:t xml:space="preserve"> (e.g. constru</w:t>
      </w:r>
      <w:r w:rsidR="00227366" w:rsidRPr="000E0F90">
        <w:rPr>
          <w:rFonts w:ascii="Arial" w:hAnsi="Arial" w:cs="Arial"/>
          <w:color w:val="000000" w:themeColor="text1"/>
        </w:rPr>
        <w:t>cción de cabañas, alojamiento) (</w:t>
      </w:r>
      <w:r w:rsidR="009D43FD" w:rsidRPr="000E0F90">
        <w:rPr>
          <w:rFonts w:ascii="Arial" w:hAnsi="Arial" w:cs="Arial"/>
          <w:color w:val="000000" w:themeColor="text1"/>
        </w:rPr>
        <w:t>Marcelo Gomolán</w:t>
      </w:r>
      <w:r w:rsidR="00227366" w:rsidRPr="000E0F90">
        <w:rPr>
          <w:rFonts w:ascii="Arial" w:hAnsi="Arial" w:cs="Arial"/>
          <w:color w:val="000000" w:themeColor="text1"/>
        </w:rPr>
        <w:t xml:space="preserve">, Salamanca). </w:t>
      </w:r>
      <w:r w:rsidRPr="000E0F90">
        <w:rPr>
          <w:rFonts w:ascii="Arial" w:hAnsi="Arial" w:cs="Arial"/>
          <w:color w:val="000000" w:themeColor="text1"/>
        </w:rPr>
        <w:t>Esta situación se ha evidenciado igualmente en la comuna de la Higuera, no obstante el efe</w:t>
      </w:r>
      <w:r w:rsidR="00E74372" w:rsidRPr="000E0F90">
        <w:rPr>
          <w:rFonts w:ascii="Arial" w:hAnsi="Arial" w:cs="Arial"/>
          <w:color w:val="000000" w:themeColor="text1"/>
        </w:rPr>
        <w:t xml:space="preserve">cto observado en la zona es la </w:t>
      </w:r>
      <w:r w:rsidRPr="000E0F90">
        <w:rPr>
          <w:rFonts w:ascii="Arial" w:hAnsi="Arial" w:cs="Arial"/>
          <w:color w:val="000000" w:themeColor="text1"/>
        </w:rPr>
        <w:t>escasez de mano de obra</w:t>
      </w:r>
      <w:r w:rsidR="000F0F12" w:rsidRPr="000E0F90">
        <w:rPr>
          <w:rFonts w:ascii="Arial" w:hAnsi="Arial" w:cs="Arial"/>
          <w:color w:val="000000" w:themeColor="text1"/>
        </w:rPr>
        <w:t>, más que el aumento en el costo de ésta</w:t>
      </w:r>
      <w:sdt>
        <w:sdtPr>
          <w:rPr>
            <w:rFonts w:ascii="Arial" w:hAnsi="Arial" w:cs="Arial"/>
            <w:color w:val="000000" w:themeColor="text1"/>
          </w:rPr>
          <w:id w:val="769437528"/>
          <w:citation/>
        </w:sdtPr>
        <w:sdtEndPr/>
        <w:sdtContent>
          <w:r w:rsidR="00CA5F1E" w:rsidRPr="000E0F90">
            <w:rPr>
              <w:rFonts w:ascii="Arial" w:hAnsi="Arial" w:cs="Arial"/>
              <w:color w:val="000000" w:themeColor="text1"/>
            </w:rPr>
            <w:fldChar w:fldCharType="begin"/>
          </w:r>
          <w:r w:rsidR="0049498D" w:rsidRPr="000E0F90">
            <w:rPr>
              <w:rFonts w:ascii="Arial" w:hAnsi="Arial" w:cs="Arial"/>
              <w:color w:val="000000" w:themeColor="text1"/>
            </w:rPr>
            <w:instrText xml:space="preserve">CITATION Are13 \t  \l 13322 </w:instrText>
          </w:r>
          <w:r w:rsidR="00CA5F1E" w:rsidRPr="000E0F90">
            <w:rPr>
              <w:rFonts w:ascii="Arial" w:hAnsi="Arial" w:cs="Arial"/>
              <w:color w:val="000000" w:themeColor="text1"/>
            </w:rPr>
            <w:fldChar w:fldCharType="separate"/>
          </w:r>
          <w:r w:rsidR="008D0261" w:rsidRPr="000E0F90">
            <w:rPr>
              <w:rFonts w:ascii="Arial" w:hAnsi="Arial" w:cs="Arial"/>
              <w:noProof/>
              <w:color w:val="000000" w:themeColor="text1"/>
            </w:rPr>
            <w:t xml:space="preserve"> (Arellano, Gastó, Gálvez, Subercauseaux, Toledo, &amp; Miranda, 2013)</w:t>
          </w:r>
          <w:r w:rsidR="00CA5F1E" w:rsidRPr="000E0F90">
            <w:rPr>
              <w:rFonts w:ascii="Arial" w:hAnsi="Arial" w:cs="Arial"/>
              <w:color w:val="000000" w:themeColor="text1"/>
            </w:rPr>
            <w:fldChar w:fldCharType="end"/>
          </w:r>
        </w:sdtContent>
      </w:sdt>
      <w:r w:rsidRPr="000E0F90">
        <w:rPr>
          <w:rFonts w:ascii="Arial" w:hAnsi="Arial" w:cs="Arial"/>
          <w:color w:val="000000" w:themeColor="text1"/>
        </w:rPr>
        <w:t>.</w:t>
      </w:r>
    </w:p>
    <w:p w:rsidR="009D43FD" w:rsidRPr="000E0F90" w:rsidRDefault="009D43FD" w:rsidP="00702D9A">
      <w:pPr>
        <w:spacing w:before="240" w:line="360" w:lineRule="auto"/>
        <w:rPr>
          <w:rFonts w:ascii="Arial" w:hAnsi="Arial" w:cs="Arial"/>
          <w:bCs/>
          <w:color w:val="000000" w:themeColor="text1"/>
        </w:rPr>
      </w:pPr>
      <w:r w:rsidRPr="000E0F90">
        <w:rPr>
          <w:rFonts w:ascii="Arial" w:hAnsi="Arial" w:cs="Arial"/>
          <w:color w:val="000000" w:themeColor="text1"/>
        </w:rPr>
        <w:t>Cabe destacar que la minera ha impulsado iniciativas de fomento productivo para los agricultores del Valle del Choapa, formando cooperativas dirigidas a la exportación, cofinanciando proyectos de riego, entrega de capacitaciones, realizando fumigaciones para controlar las plagas en cultivos y frutales. Lo cual ha mejorado las condiciones locales del valle, en temáticas agrícolas</w:t>
      </w:r>
      <w:r w:rsidR="00601252" w:rsidRPr="000E0F90">
        <w:rPr>
          <w:rFonts w:ascii="Arial" w:hAnsi="Arial" w:cs="Arial"/>
          <w:color w:val="000000" w:themeColor="text1"/>
        </w:rPr>
        <w:t xml:space="preserve">. </w:t>
      </w:r>
      <w:r w:rsidRPr="000E0F90">
        <w:rPr>
          <w:rFonts w:ascii="Arial" w:hAnsi="Arial" w:cs="Arial"/>
          <w:color w:val="000000" w:themeColor="text1"/>
        </w:rPr>
        <w:t>Por otro lado</w:t>
      </w:r>
      <w:r w:rsidR="00601252" w:rsidRPr="000E0F90">
        <w:rPr>
          <w:rFonts w:ascii="Arial" w:hAnsi="Arial" w:cs="Arial"/>
          <w:color w:val="000000" w:themeColor="text1"/>
        </w:rPr>
        <w:t>,</w:t>
      </w:r>
      <w:r w:rsidRPr="000E0F90">
        <w:rPr>
          <w:rFonts w:ascii="Arial" w:hAnsi="Arial" w:cs="Arial"/>
          <w:color w:val="000000" w:themeColor="text1"/>
        </w:rPr>
        <w:t xml:space="preserve"> se señala los aportes que se realizaron en materias de riego, donde en conjunto con la Junta de Vigilancia de Aguas del Choapa, </w:t>
      </w:r>
      <w:r w:rsidR="00077634" w:rsidRPr="000E0F90">
        <w:rPr>
          <w:rFonts w:ascii="Arial" w:hAnsi="Arial" w:cs="Arial"/>
          <w:color w:val="000000" w:themeColor="text1"/>
        </w:rPr>
        <w:t>ha facilitado</w:t>
      </w:r>
      <w:r w:rsidRPr="000E0F90">
        <w:rPr>
          <w:rFonts w:ascii="Arial" w:hAnsi="Arial" w:cs="Arial"/>
          <w:color w:val="000000" w:themeColor="text1"/>
        </w:rPr>
        <w:t xml:space="preserve"> la construcción de obras de riego de los regantes del valle</w:t>
      </w:r>
      <w:r w:rsidR="00601252" w:rsidRPr="000E0F90">
        <w:rPr>
          <w:rFonts w:ascii="Arial" w:hAnsi="Arial" w:cs="Arial"/>
          <w:bCs/>
          <w:color w:val="000000" w:themeColor="text1"/>
        </w:rPr>
        <w:t xml:space="preserve"> (Manuel Farías, MLP)</w:t>
      </w:r>
      <w:r w:rsidRPr="000E0F90">
        <w:rPr>
          <w:rFonts w:ascii="Arial" w:hAnsi="Arial" w:cs="Arial"/>
          <w:bCs/>
          <w:color w:val="000000" w:themeColor="text1"/>
        </w:rPr>
        <w:t xml:space="preserve">. </w:t>
      </w:r>
    </w:p>
    <w:p w:rsidR="00F7220D" w:rsidRDefault="00F7220D" w:rsidP="00702D9A">
      <w:pPr>
        <w:spacing w:after="0" w:line="360" w:lineRule="auto"/>
        <w:rPr>
          <w:rFonts w:ascii="Arial" w:hAnsi="Arial" w:cs="Arial"/>
          <w:b/>
          <w:color w:val="000000" w:themeColor="text1"/>
        </w:rPr>
      </w:pPr>
    </w:p>
    <w:p w:rsidR="00F7220D" w:rsidRDefault="00F7220D" w:rsidP="00702D9A">
      <w:pPr>
        <w:spacing w:after="0" w:line="360" w:lineRule="auto"/>
        <w:rPr>
          <w:rFonts w:ascii="Arial" w:hAnsi="Arial" w:cs="Arial"/>
          <w:b/>
          <w:color w:val="000000" w:themeColor="text1"/>
        </w:rPr>
      </w:pPr>
    </w:p>
    <w:p w:rsidR="008E7CC4" w:rsidRPr="000E0F90" w:rsidRDefault="008E7CC4" w:rsidP="00702D9A">
      <w:pPr>
        <w:spacing w:after="0" w:line="360" w:lineRule="auto"/>
        <w:rPr>
          <w:rFonts w:ascii="Arial" w:hAnsi="Arial" w:cs="Arial"/>
          <w:b/>
          <w:color w:val="000000" w:themeColor="text1"/>
        </w:rPr>
      </w:pPr>
      <w:r w:rsidRPr="000E0F90">
        <w:rPr>
          <w:rFonts w:ascii="Arial" w:hAnsi="Arial" w:cs="Arial"/>
          <w:b/>
          <w:color w:val="000000" w:themeColor="text1"/>
        </w:rPr>
        <w:lastRenderedPageBreak/>
        <w:t>6. Medio Ambiente</w:t>
      </w:r>
    </w:p>
    <w:p w:rsidR="008E7CC4" w:rsidRPr="000E0F90" w:rsidRDefault="008E7CC4" w:rsidP="00702D9A">
      <w:pPr>
        <w:spacing w:line="360" w:lineRule="auto"/>
        <w:rPr>
          <w:rFonts w:ascii="Arial" w:hAnsi="Arial" w:cs="Arial"/>
          <w:color w:val="000000" w:themeColor="text1"/>
        </w:rPr>
      </w:pPr>
      <w:r w:rsidRPr="000E0F90">
        <w:rPr>
          <w:rFonts w:ascii="Arial" w:hAnsi="Arial" w:cs="Arial"/>
          <w:color w:val="000000" w:themeColor="text1"/>
        </w:rPr>
        <w:t xml:space="preserve">De acuerdo a lo expresado por los entrevistados, los principales impactos de la actividad minera son </w:t>
      </w:r>
      <w:r w:rsidRPr="000E0F90">
        <w:rPr>
          <w:rFonts w:ascii="Arial" w:hAnsi="Arial" w:cs="Arial"/>
          <w:b/>
          <w:color w:val="000000" w:themeColor="text1"/>
        </w:rPr>
        <w:t>el polvo</w:t>
      </w:r>
      <w:r w:rsidRPr="000E0F90">
        <w:rPr>
          <w:rFonts w:ascii="Arial" w:hAnsi="Arial" w:cs="Arial"/>
          <w:color w:val="000000" w:themeColor="text1"/>
        </w:rPr>
        <w:t xml:space="preserve"> que se genera producto de la actividad minera, la </w:t>
      </w:r>
      <w:r w:rsidRPr="000E0F90">
        <w:rPr>
          <w:rFonts w:ascii="Arial" w:hAnsi="Arial" w:cs="Arial"/>
          <w:b/>
          <w:color w:val="000000" w:themeColor="text1"/>
        </w:rPr>
        <w:t>contaminación del agua</w:t>
      </w:r>
      <w:r w:rsidRPr="000E0F90">
        <w:rPr>
          <w:rFonts w:ascii="Arial" w:hAnsi="Arial" w:cs="Arial"/>
          <w:color w:val="000000" w:themeColor="text1"/>
        </w:rPr>
        <w:t xml:space="preserve"> y la </w:t>
      </w:r>
      <w:r w:rsidRPr="000E0F90">
        <w:rPr>
          <w:rFonts w:ascii="Arial" w:hAnsi="Arial" w:cs="Arial"/>
          <w:b/>
          <w:color w:val="000000" w:themeColor="text1"/>
        </w:rPr>
        <w:t>contaminación de los suelos</w:t>
      </w:r>
      <w:r w:rsidRPr="000E0F90">
        <w:rPr>
          <w:rFonts w:ascii="Arial" w:hAnsi="Arial" w:cs="Arial"/>
          <w:color w:val="000000" w:themeColor="text1"/>
        </w:rPr>
        <w:t xml:space="preserve">. </w:t>
      </w:r>
    </w:p>
    <w:p w:rsidR="00601252" w:rsidRPr="000E0F90" w:rsidRDefault="008E7CC4" w:rsidP="00702D9A">
      <w:pPr>
        <w:spacing w:before="240" w:line="360" w:lineRule="auto"/>
        <w:rPr>
          <w:rFonts w:ascii="Arial" w:hAnsi="Arial" w:cs="Arial"/>
          <w:color w:val="000000" w:themeColor="text1"/>
        </w:rPr>
      </w:pPr>
      <w:r w:rsidRPr="000E0F90">
        <w:rPr>
          <w:rFonts w:ascii="Arial" w:hAnsi="Arial" w:cs="Arial"/>
          <w:b/>
          <w:color w:val="000000" w:themeColor="text1"/>
        </w:rPr>
        <w:t>El polvo que se levanta</w:t>
      </w:r>
      <w:r w:rsidRPr="000E0F90">
        <w:rPr>
          <w:rFonts w:ascii="Arial" w:hAnsi="Arial" w:cs="Arial"/>
          <w:color w:val="000000" w:themeColor="text1"/>
        </w:rPr>
        <w:t xml:space="preserve"> producto de la actividad minera, es uno de los principales impactos señalados por los actores sociales entrevistados. El cual es un problema permanente de la actividad, especulándose incluso que estaría contaminado, producto del fuerte impacto que ha tenido en la agricultura local</w:t>
      </w:r>
      <w:r w:rsidR="00601252" w:rsidRPr="000E0F90">
        <w:rPr>
          <w:rFonts w:ascii="Arial" w:hAnsi="Arial" w:cs="Arial"/>
          <w:color w:val="000000" w:themeColor="text1"/>
        </w:rPr>
        <w:t xml:space="preserve">. </w:t>
      </w:r>
      <w:r w:rsidR="000E2A26" w:rsidRPr="000E0F90">
        <w:rPr>
          <w:rFonts w:ascii="Arial" w:hAnsi="Arial" w:cs="Arial"/>
          <w:color w:val="000000" w:themeColor="text1"/>
        </w:rPr>
        <w:t>Al respecto</w:t>
      </w:r>
      <w:r w:rsidR="00601252" w:rsidRPr="000E0F90">
        <w:rPr>
          <w:rFonts w:ascii="Arial" w:hAnsi="Arial" w:cs="Arial"/>
          <w:color w:val="000000" w:themeColor="text1"/>
        </w:rPr>
        <w:t xml:space="preserve">, Sonia Tapia manifiesta que: </w:t>
      </w:r>
      <w:proofErr w:type="gramStart"/>
      <w:r w:rsidR="00601252" w:rsidRPr="000E0F90">
        <w:rPr>
          <w:rFonts w:ascii="Arial" w:hAnsi="Arial" w:cs="Arial"/>
          <w:color w:val="000000" w:themeColor="text1"/>
        </w:rPr>
        <w:t xml:space="preserve">“ </w:t>
      </w:r>
      <w:r w:rsidR="00601252" w:rsidRPr="000E0F90">
        <w:rPr>
          <w:rFonts w:ascii="Arial" w:hAnsi="Arial" w:cs="Arial"/>
          <w:i/>
          <w:color w:val="000000" w:themeColor="text1"/>
        </w:rPr>
        <w:t>(</w:t>
      </w:r>
      <w:proofErr w:type="gramEnd"/>
      <w:r w:rsidR="00601252" w:rsidRPr="000E0F90">
        <w:rPr>
          <w:rFonts w:ascii="Arial" w:hAnsi="Arial" w:cs="Arial"/>
          <w:i/>
          <w:color w:val="000000" w:themeColor="text1"/>
        </w:rPr>
        <w:t>Oiga ¿y qué hay de eso, de la contaminación a la tierra?) No, la tierra está totalmente contaminada, porque los árboles se secan poh…Por el polvo de la mina. Por ejemplo mi marido puso una plantación nogal, así del bolsillo de nosotros no más. Se nos secaron todos”</w:t>
      </w:r>
      <w:r w:rsidR="00601252" w:rsidRPr="000E0F90">
        <w:rPr>
          <w:rFonts w:ascii="Arial" w:hAnsi="Arial" w:cs="Arial"/>
          <w:color w:val="000000" w:themeColor="text1"/>
        </w:rPr>
        <w:t>. Por otro lado Marcelo Gomolán señala respecto al polvo que</w:t>
      </w:r>
      <w:r w:rsidR="00601252" w:rsidRPr="000E0F90">
        <w:rPr>
          <w:rFonts w:ascii="Arial" w:hAnsi="Arial" w:cs="Arial"/>
          <w:i/>
          <w:color w:val="000000" w:themeColor="text1"/>
        </w:rPr>
        <w:t>: “…obviamente es por la explotación, se forman nubes y… Es polvo básicamente de la remoción de los estériles. Que haya contaminación, yo no…”.</w:t>
      </w:r>
      <w:r w:rsidR="00601252" w:rsidRPr="000E0F90">
        <w:rPr>
          <w:rFonts w:ascii="Arial" w:hAnsi="Arial" w:cs="Arial"/>
          <w:color w:val="000000" w:themeColor="text1"/>
        </w:rPr>
        <w:t xml:space="preserve"> </w:t>
      </w:r>
    </w:p>
    <w:p w:rsidR="008E7CC4" w:rsidRPr="000E0F90" w:rsidRDefault="008E7CC4" w:rsidP="00702D9A">
      <w:pPr>
        <w:spacing w:before="240" w:line="360" w:lineRule="auto"/>
        <w:rPr>
          <w:rFonts w:ascii="Arial" w:hAnsi="Arial" w:cs="Arial"/>
          <w:i/>
          <w:color w:val="000000" w:themeColor="text1"/>
        </w:rPr>
      </w:pPr>
      <w:r w:rsidRPr="000E0F90">
        <w:rPr>
          <w:rFonts w:ascii="Arial" w:hAnsi="Arial" w:cs="Arial"/>
          <w:color w:val="000000" w:themeColor="text1"/>
        </w:rPr>
        <w:t>Cabe destacar que se han establecido instancias entre la minera y las comunidades resolver la problemática del polvo, la “Mesa del Polvo”, que ha resultado en medidas de mitigación por parte de la minera</w:t>
      </w:r>
      <w:r w:rsidR="00856B8A" w:rsidRPr="000E0F90">
        <w:rPr>
          <w:rFonts w:ascii="Arial" w:hAnsi="Arial" w:cs="Arial"/>
          <w:color w:val="000000" w:themeColor="text1"/>
        </w:rPr>
        <w:t>,</w:t>
      </w:r>
      <w:r w:rsidRPr="000E0F90">
        <w:rPr>
          <w:rFonts w:ascii="Arial" w:hAnsi="Arial" w:cs="Arial"/>
          <w:color w:val="000000" w:themeColor="text1"/>
        </w:rPr>
        <w:t xml:space="preserve"> como ha sido la instalación de una turbina que reduce el polvo en suspensión, así como el monitoreo por parte de las comunidades de las acciones propuestas</w:t>
      </w:r>
      <w:r w:rsidR="00E4496C" w:rsidRPr="000E0F90">
        <w:rPr>
          <w:rFonts w:ascii="Arial" w:hAnsi="Arial" w:cs="Arial"/>
          <w:color w:val="000000" w:themeColor="text1"/>
        </w:rPr>
        <w:t xml:space="preserve"> para la mitigación</w:t>
      </w:r>
      <w:r w:rsidRPr="000E0F90">
        <w:rPr>
          <w:rFonts w:ascii="Arial" w:hAnsi="Arial" w:cs="Arial"/>
          <w:color w:val="000000" w:themeColor="text1"/>
        </w:rPr>
        <w:t>. Sin embargo, la problemática del polvo aún continua (i.e. se percibe como un problema activo).</w:t>
      </w:r>
      <w:r w:rsidRPr="000E0F90">
        <w:rPr>
          <w:rFonts w:ascii="Arial" w:hAnsi="Arial" w:cs="Arial"/>
          <w:i/>
          <w:color w:val="000000" w:themeColor="text1"/>
        </w:rPr>
        <w:t xml:space="preserve"> </w:t>
      </w:r>
    </w:p>
    <w:p w:rsidR="008E7CC4" w:rsidRPr="000E0F90" w:rsidRDefault="008E7CC4" w:rsidP="00702D9A">
      <w:pPr>
        <w:spacing w:before="240" w:line="360" w:lineRule="auto"/>
        <w:rPr>
          <w:rFonts w:ascii="Arial" w:hAnsi="Arial" w:cs="Arial"/>
          <w:color w:val="000000" w:themeColor="text1"/>
        </w:rPr>
      </w:pPr>
      <w:r w:rsidRPr="000E0F90">
        <w:rPr>
          <w:rFonts w:ascii="Arial" w:hAnsi="Arial" w:cs="Arial"/>
          <w:color w:val="000000" w:themeColor="text1"/>
        </w:rPr>
        <w:t xml:space="preserve">Otro problema evidenciado por los entrevistados </w:t>
      </w:r>
      <w:r w:rsidR="006C6A4A" w:rsidRPr="000E0F90">
        <w:rPr>
          <w:rFonts w:ascii="Arial" w:hAnsi="Arial" w:cs="Arial"/>
          <w:color w:val="000000" w:themeColor="text1"/>
        </w:rPr>
        <w:t>es la</w:t>
      </w:r>
      <w:r w:rsidR="00AB13C8" w:rsidRPr="000E0F90">
        <w:rPr>
          <w:rFonts w:ascii="Arial" w:hAnsi="Arial" w:cs="Arial"/>
          <w:color w:val="000000" w:themeColor="text1"/>
        </w:rPr>
        <w:t xml:space="preserve"> </w:t>
      </w:r>
      <w:r w:rsidR="00AB13C8" w:rsidRPr="000E0F90">
        <w:rPr>
          <w:rFonts w:ascii="Arial" w:hAnsi="Arial" w:cs="Arial"/>
          <w:b/>
          <w:color w:val="000000" w:themeColor="text1"/>
        </w:rPr>
        <w:t xml:space="preserve">niebla </w:t>
      </w:r>
      <w:r w:rsidR="00601252" w:rsidRPr="000E0F90">
        <w:rPr>
          <w:rFonts w:ascii="Arial" w:hAnsi="Arial" w:cs="Arial"/>
          <w:b/>
          <w:color w:val="000000" w:themeColor="text1"/>
        </w:rPr>
        <w:t>irritante</w:t>
      </w:r>
      <w:r w:rsidR="00601252" w:rsidRPr="000E0F90">
        <w:rPr>
          <w:rFonts w:ascii="Arial" w:hAnsi="Arial" w:cs="Arial"/>
          <w:color w:val="000000" w:themeColor="text1"/>
        </w:rPr>
        <w:t xml:space="preserve"> que</w:t>
      </w:r>
      <w:r w:rsidR="00AB13C8" w:rsidRPr="000E0F90">
        <w:rPr>
          <w:rFonts w:ascii="Arial" w:hAnsi="Arial" w:cs="Arial"/>
          <w:color w:val="000000" w:themeColor="text1"/>
        </w:rPr>
        <w:t xml:space="preserve"> se percibe </w:t>
      </w:r>
      <w:r w:rsidRPr="000E0F90">
        <w:rPr>
          <w:rFonts w:ascii="Arial" w:hAnsi="Arial" w:cs="Arial"/>
          <w:color w:val="000000" w:themeColor="text1"/>
        </w:rPr>
        <w:t>cuando las condiciones medioambientales favorecen su desplazamiento hacia las zonas pobladas (i.e. cuando el viento baja de la cordillera), el cual proviene tanto del movimiento de camiones como del relave, por lo que podría contener componentes tóxicos, dado la irritación que provoca en las vías respiratorias y ojos, lo que podría afectar a la salud human</w:t>
      </w:r>
      <w:r w:rsidR="00AB13C8" w:rsidRPr="000E0F90">
        <w:rPr>
          <w:rFonts w:ascii="Arial" w:hAnsi="Arial" w:cs="Arial"/>
          <w:color w:val="000000" w:themeColor="text1"/>
        </w:rPr>
        <w:t xml:space="preserve">a dada la exposición frecuente (Marcelo Gomolán, Salamanca). </w:t>
      </w:r>
    </w:p>
    <w:p w:rsidR="008E7CC4" w:rsidRPr="000E0F90" w:rsidRDefault="008E7CC4" w:rsidP="00702D9A">
      <w:pPr>
        <w:spacing w:before="240" w:line="360" w:lineRule="auto"/>
        <w:rPr>
          <w:rFonts w:ascii="Arial" w:hAnsi="Arial" w:cs="Arial"/>
          <w:color w:val="000000" w:themeColor="text1"/>
        </w:rPr>
      </w:pPr>
      <w:r w:rsidRPr="000E0F90">
        <w:rPr>
          <w:rFonts w:ascii="Arial" w:hAnsi="Arial" w:cs="Arial"/>
          <w:color w:val="000000" w:themeColor="text1"/>
        </w:rPr>
        <w:t xml:space="preserve">La </w:t>
      </w:r>
      <w:r w:rsidRPr="000E0F90">
        <w:rPr>
          <w:rFonts w:ascii="Arial" w:hAnsi="Arial" w:cs="Arial"/>
          <w:b/>
          <w:color w:val="000000" w:themeColor="text1"/>
        </w:rPr>
        <w:t>contaminación del agua</w:t>
      </w:r>
      <w:r w:rsidRPr="000E0F90">
        <w:rPr>
          <w:rFonts w:ascii="Arial" w:hAnsi="Arial" w:cs="Arial"/>
          <w:color w:val="000000" w:themeColor="text1"/>
        </w:rPr>
        <w:t xml:space="preserve"> producto de la actividad minera, es otro aspecto que se considera preocupante. De acuerdo a los entrevistados existe preocupación de que el agua se encuentre contaminada con metales pesados, como arsénico, producto del elevado número de enfermos de cáncer al estómago que habitan en la localidad de </w:t>
      </w:r>
      <w:r w:rsidRPr="000E0F90">
        <w:rPr>
          <w:rFonts w:ascii="Arial" w:hAnsi="Arial" w:cs="Arial"/>
          <w:color w:val="000000" w:themeColor="text1"/>
        </w:rPr>
        <w:lastRenderedPageBreak/>
        <w:t>Cuncumén, próximo al relave de la Minera Los Pelambres. A partir de ello, se han realizado estudios para establecer el contenido de metales en el agua, los cuales se encontrarían dentro de los rangos normales, sin embargo la preocupación es latente, lo que induce a consumir agua cocida para reducir la posibilidad de ingerir los componentes tóxicos.</w:t>
      </w:r>
    </w:p>
    <w:p w:rsidR="00601252" w:rsidRPr="000E0F90" w:rsidRDefault="008E7CC4" w:rsidP="00702D9A">
      <w:pPr>
        <w:spacing w:before="240" w:line="360" w:lineRule="auto"/>
        <w:rPr>
          <w:rFonts w:ascii="Arial" w:hAnsi="Arial" w:cs="Arial"/>
          <w:color w:val="000000" w:themeColor="text1"/>
        </w:rPr>
      </w:pPr>
      <w:r w:rsidRPr="000E0F90">
        <w:rPr>
          <w:rFonts w:ascii="Arial" w:hAnsi="Arial" w:cs="Arial"/>
          <w:color w:val="000000" w:themeColor="text1"/>
        </w:rPr>
        <w:t xml:space="preserve">Por otra parte existe </w:t>
      </w:r>
      <w:r w:rsidR="00E4496C" w:rsidRPr="000E0F90">
        <w:rPr>
          <w:rFonts w:ascii="Arial" w:hAnsi="Arial" w:cs="Arial"/>
          <w:color w:val="000000" w:themeColor="text1"/>
        </w:rPr>
        <w:t>certeza</w:t>
      </w:r>
      <w:r w:rsidRPr="000E0F90">
        <w:rPr>
          <w:rFonts w:ascii="Arial" w:hAnsi="Arial" w:cs="Arial"/>
          <w:color w:val="000000" w:themeColor="text1"/>
        </w:rPr>
        <w:t xml:space="preserve"> de que existe </w:t>
      </w:r>
      <w:r w:rsidRPr="000E0F90">
        <w:rPr>
          <w:rFonts w:ascii="Arial" w:hAnsi="Arial" w:cs="Arial"/>
          <w:b/>
          <w:color w:val="000000" w:themeColor="text1"/>
        </w:rPr>
        <w:t>contaminación de las aguas del valle</w:t>
      </w:r>
      <w:r w:rsidRPr="000E0F90">
        <w:rPr>
          <w:rFonts w:ascii="Arial" w:hAnsi="Arial" w:cs="Arial"/>
          <w:color w:val="000000" w:themeColor="text1"/>
        </w:rPr>
        <w:t xml:space="preserve">, a raíz del </w:t>
      </w:r>
      <w:r w:rsidR="00E4496C" w:rsidRPr="000E0F90">
        <w:rPr>
          <w:rFonts w:ascii="Arial" w:hAnsi="Arial" w:cs="Arial"/>
          <w:color w:val="000000" w:themeColor="text1"/>
        </w:rPr>
        <w:t xml:space="preserve">defectuoso </w:t>
      </w:r>
      <w:r w:rsidRPr="000E0F90">
        <w:rPr>
          <w:rFonts w:ascii="Arial" w:hAnsi="Arial" w:cs="Arial"/>
          <w:color w:val="000000" w:themeColor="text1"/>
        </w:rPr>
        <w:t>funcionamiento/instalación de</w:t>
      </w:r>
      <w:r w:rsidR="00AB13C8" w:rsidRPr="000E0F90">
        <w:rPr>
          <w:rFonts w:ascii="Arial" w:hAnsi="Arial" w:cs="Arial"/>
          <w:color w:val="000000" w:themeColor="text1"/>
        </w:rPr>
        <w:t>l relave El Mauro</w:t>
      </w:r>
      <w:r w:rsidRPr="000E0F90">
        <w:rPr>
          <w:rFonts w:ascii="Arial" w:hAnsi="Arial" w:cs="Arial"/>
          <w:color w:val="000000" w:themeColor="text1"/>
        </w:rPr>
        <w:t xml:space="preserve">, los cuales han contaminados las napas y cursos de agua. </w:t>
      </w:r>
      <w:r w:rsidR="00601252" w:rsidRPr="000E0F90">
        <w:rPr>
          <w:rFonts w:ascii="Arial" w:hAnsi="Arial" w:cs="Arial"/>
          <w:color w:val="000000" w:themeColor="text1"/>
        </w:rPr>
        <w:t>Esto queda en manifiesto con la entrevista de Marcelo Gomolán: “</w:t>
      </w:r>
      <w:r w:rsidR="00601252" w:rsidRPr="000E0F90">
        <w:rPr>
          <w:rFonts w:ascii="Arial" w:hAnsi="Arial" w:cs="Arial"/>
          <w:i/>
          <w:color w:val="000000" w:themeColor="text1"/>
        </w:rPr>
        <w:t>No, en el Mauro, ahí sí que era otro cuento. Ahí el tema, yo lo que sé, que ahí es grave. O sea, ahí hay contaminación de las napas y todo. Muy, muy grave</w:t>
      </w:r>
      <w:r w:rsidR="00601252" w:rsidRPr="000E0F90">
        <w:rPr>
          <w:rFonts w:ascii="Arial" w:hAnsi="Arial" w:cs="Arial"/>
          <w:color w:val="000000" w:themeColor="text1"/>
        </w:rPr>
        <w:t xml:space="preserve">”. </w:t>
      </w:r>
    </w:p>
    <w:p w:rsidR="00601252" w:rsidRPr="000E0F90" w:rsidRDefault="008E7CC4" w:rsidP="00702D9A">
      <w:pPr>
        <w:spacing w:before="240" w:line="360" w:lineRule="auto"/>
        <w:rPr>
          <w:rFonts w:ascii="Arial" w:hAnsi="Arial" w:cs="Arial"/>
          <w:color w:val="000000" w:themeColor="text1"/>
        </w:rPr>
      </w:pPr>
      <w:r w:rsidRPr="000E0F90">
        <w:rPr>
          <w:rFonts w:ascii="Arial" w:hAnsi="Arial" w:cs="Arial"/>
          <w:color w:val="000000" w:themeColor="text1"/>
        </w:rPr>
        <w:t xml:space="preserve">En cuanto a los relaves, la ubicación tan próxima a las localidades, conlleva un riesgo inminente y probable de derrumbe de la cortina que contiene el material, </w:t>
      </w:r>
      <w:r w:rsidR="00AB13C8" w:rsidRPr="000E0F90">
        <w:rPr>
          <w:rFonts w:ascii="Arial" w:hAnsi="Arial" w:cs="Arial"/>
          <w:color w:val="000000" w:themeColor="text1"/>
        </w:rPr>
        <w:t xml:space="preserve">al estar tan cerca de las loclaidades, </w:t>
      </w:r>
      <w:r w:rsidRPr="000E0F90">
        <w:rPr>
          <w:rFonts w:ascii="Arial" w:hAnsi="Arial" w:cs="Arial"/>
          <w:color w:val="000000" w:themeColor="text1"/>
        </w:rPr>
        <w:t>así como el peligro de que se contaminen las aguas superficiales.</w:t>
      </w:r>
      <w:r w:rsidR="00601252" w:rsidRPr="000E0F90">
        <w:rPr>
          <w:rFonts w:ascii="Arial" w:hAnsi="Arial" w:cs="Arial"/>
          <w:color w:val="000000" w:themeColor="text1"/>
        </w:rPr>
        <w:t xml:space="preserve"> Lo cual queda expresado en la entrevista de Marcelo Gomolán </w:t>
      </w:r>
      <w:r w:rsidR="00601252" w:rsidRPr="000E0F90">
        <w:rPr>
          <w:rFonts w:ascii="Arial" w:hAnsi="Arial" w:cs="Arial"/>
          <w:i/>
          <w:color w:val="000000" w:themeColor="text1"/>
        </w:rPr>
        <w:t>“(Respecto al relave El Mauro) Pero es muy cerca de donde está la cortina, a donde está el pueblo. Yo creo que es casi lo mismo como Cuncumén y la cortina ésta…”</w:t>
      </w:r>
      <w:r w:rsidR="00601252" w:rsidRPr="000E0F90">
        <w:rPr>
          <w:rFonts w:ascii="Arial" w:hAnsi="Arial" w:cs="Arial"/>
          <w:color w:val="000000" w:themeColor="text1"/>
        </w:rPr>
        <w:t xml:space="preserve">. </w:t>
      </w:r>
    </w:p>
    <w:p w:rsidR="00AA42FA" w:rsidRPr="000E0F90" w:rsidRDefault="000A2A53" w:rsidP="00702D9A">
      <w:pPr>
        <w:spacing w:before="240" w:after="0" w:line="360" w:lineRule="auto"/>
        <w:rPr>
          <w:rFonts w:ascii="Arial" w:hAnsi="Arial" w:cs="Arial"/>
          <w:b/>
          <w:color w:val="000000" w:themeColor="text1"/>
        </w:rPr>
      </w:pPr>
      <w:r w:rsidRPr="000E0F90">
        <w:rPr>
          <w:rFonts w:ascii="Arial" w:hAnsi="Arial" w:cs="Arial"/>
          <w:b/>
          <w:color w:val="000000" w:themeColor="text1"/>
        </w:rPr>
        <w:t>7</w:t>
      </w:r>
      <w:r w:rsidR="004E395E" w:rsidRPr="000E0F90">
        <w:rPr>
          <w:rFonts w:ascii="Arial" w:hAnsi="Arial" w:cs="Arial"/>
          <w:b/>
          <w:color w:val="000000" w:themeColor="text1"/>
        </w:rPr>
        <w:t xml:space="preserve">. </w:t>
      </w:r>
      <w:r w:rsidR="00EE5557" w:rsidRPr="000E0F90">
        <w:rPr>
          <w:rFonts w:ascii="Arial" w:hAnsi="Arial" w:cs="Arial"/>
          <w:b/>
          <w:color w:val="000000" w:themeColor="text1"/>
        </w:rPr>
        <w:t>Agua</w:t>
      </w:r>
    </w:p>
    <w:p w:rsidR="00001E04" w:rsidRPr="000E0F90" w:rsidRDefault="00EE5557" w:rsidP="00702D9A">
      <w:pPr>
        <w:spacing w:line="360" w:lineRule="auto"/>
        <w:rPr>
          <w:rFonts w:ascii="Arial" w:hAnsi="Arial" w:cs="Arial"/>
          <w:color w:val="000000" w:themeColor="text1"/>
        </w:rPr>
      </w:pPr>
      <w:r w:rsidRPr="000E0F90">
        <w:rPr>
          <w:rFonts w:ascii="Arial" w:hAnsi="Arial" w:cs="Arial"/>
          <w:color w:val="000000" w:themeColor="text1"/>
        </w:rPr>
        <w:t>El agua es un elemento fundamental</w:t>
      </w:r>
      <w:r w:rsidR="00A512C8" w:rsidRPr="000E0F90">
        <w:rPr>
          <w:rFonts w:ascii="Arial" w:hAnsi="Arial" w:cs="Arial"/>
          <w:color w:val="000000" w:themeColor="text1"/>
        </w:rPr>
        <w:t xml:space="preserve"> y a la vez limitante</w:t>
      </w:r>
      <w:r w:rsidRPr="000E0F90">
        <w:rPr>
          <w:rFonts w:ascii="Arial" w:hAnsi="Arial" w:cs="Arial"/>
          <w:color w:val="000000" w:themeColor="text1"/>
        </w:rPr>
        <w:t xml:space="preserve"> para el desarrollo de divers</w:t>
      </w:r>
      <w:r w:rsidR="00601252" w:rsidRPr="000E0F90">
        <w:rPr>
          <w:rFonts w:ascii="Arial" w:hAnsi="Arial" w:cs="Arial"/>
          <w:color w:val="000000" w:themeColor="text1"/>
        </w:rPr>
        <w:t>o</w:t>
      </w:r>
      <w:r w:rsidRPr="000E0F90">
        <w:rPr>
          <w:rFonts w:ascii="Arial" w:hAnsi="Arial" w:cs="Arial"/>
          <w:color w:val="000000" w:themeColor="text1"/>
        </w:rPr>
        <w:t>s usos territori</w:t>
      </w:r>
      <w:r w:rsidR="00601252" w:rsidRPr="000E0F90">
        <w:rPr>
          <w:rFonts w:ascii="Arial" w:hAnsi="Arial" w:cs="Arial"/>
          <w:color w:val="000000" w:themeColor="text1"/>
        </w:rPr>
        <w:t>ales</w:t>
      </w:r>
      <w:r w:rsidRPr="000E0F90">
        <w:rPr>
          <w:rFonts w:ascii="Arial" w:hAnsi="Arial" w:cs="Arial"/>
          <w:color w:val="000000" w:themeColor="text1"/>
        </w:rPr>
        <w:t>.</w:t>
      </w:r>
      <w:r w:rsidR="00001E04" w:rsidRPr="000E0F90">
        <w:rPr>
          <w:rFonts w:ascii="Arial" w:hAnsi="Arial" w:cs="Arial"/>
          <w:color w:val="000000" w:themeColor="text1"/>
        </w:rPr>
        <w:t xml:space="preserve"> </w:t>
      </w:r>
      <w:r w:rsidR="00817B39" w:rsidRPr="000E0F90">
        <w:rPr>
          <w:rFonts w:ascii="Arial" w:hAnsi="Arial" w:cs="Arial"/>
          <w:color w:val="000000" w:themeColor="text1"/>
        </w:rPr>
        <w:t xml:space="preserve">Dentro de las actividades </w:t>
      </w:r>
      <w:r w:rsidR="00601252" w:rsidRPr="000E0F90">
        <w:rPr>
          <w:rFonts w:ascii="Arial" w:hAnsi="Arial" w:cs="Arial"/>
          <w:color w:val="000000" w:themeColor="text1"/>
        </w:rPr>
        <w:t>que compiten</w:t>
      </w:r>
      <w:r w:rsidR="00817B39" w:rsidRPr="000E0F90">
        <w:rPr>
          <w:rFonts w:ascii="Arial" w:hAnsi="Arial" w:cs="Arial"/>
          <w:color w:val="000000" w:themeColor="text1"/>
        </w:rPr>
        <w:t xml:space="preserve"> por el uso del recurso </w:t>
      </w:r>
      <w:r w:rsidR="00DB2C5F" w:rsidRPr="000E0F90">
        <w:rPr>
          <w:rFonts w:ascii="Arial" w:hAnsi="Arial" w:cs="Arial"/>
          <w:color w:val="000000" w:themeColor="text1"/>
        </w:rPr>
        <w:t xml:space="preserve">en las comunas estudiadas, </w:t>
      </w:r>
      <w:r w:rsidR="00817B39" w:rsidRPr="000E0F90">
        <w:rPr>
          <w:rFonts w:ascii="Arial" w:hAnsi="Arial" w:cs="Arial"/>
          <w:color w:val="000000" w:themeColor="text1"/>
        </w:rPr>
        <w:t>se señala la agricultura, la ganadería, la minería y los asentamientos humanos. Cabe señalar, que</w:t>
      </w:r>
      <w:r w:rsidR="00A512C8" w:rsidRPr="000E0F90">
        <w:rPr>
          <w:rFonts w:ascii="Arial" w:hAnsi="Arial" w:cs="Arial"/>
          <w:color w:val="000000" w:themeColor="text1"/>
        </w:rPr>
        <w:t xml:space="preserve"> l</w:t>
      </w:r>
      <w:r w:rsidR="00001E04" w:rsidRPr="000E0F90">
        <w:rPr>
          <w:rFonts w:ascii="Arial" w:hAnsi="Arial" w:cs="Arial"/>
          <w:color w:val="000000" w:themeColor="text1"/>
        </w:rPr>
        <w:t xml:space="preserve">a escasez </w:t>
      </w:r>
      <w:r w:rsidR="00D91A3E" w:rsidRPr="000E0F90">
        <w:rPr>
          <w:rFonts w:ascii="Arial" w:hAnsi="Arial" w:cs="Arial"/>
          <w:color w:val="000000" w:themeColor="text1"/>
        </w:rPr>
        <w:t xml:space="preserve">del recurso </w:t>
      </w:r>
      <w:r w:rsidR="00001E04" w:rsidRPr="000E0F90">
        <w:rPr>
          <w:rFonts w:ascii="Arial" w:hAnsi="Arial" w:cs="Arial"/>
          <w:color w:val="000000" w:themeColor="text1"/>
        </w:rPr>
        <w:t xml:space="preserve">se evidencia con mayor preocupación en los sectores precordilleranos, donde el único acceso a este recurso proviene de la cuenca, la cual suministra agua a los asentamientos, agricultura (y ganadería) y a la actividad minera.  </w:t>
      </w:r>
    </w:p>
    <w:p w:rsidR="00817B39" w:rsidRPr="000E0F90" w:rsidRDefault="00001E04" w:rsidP="00702D9A">
      <w:pPr>
        <w:spacing w:before="240" w:line="360" w:lineRule="auto"/>
        <w:rPr>
          <w:rFonts w:ascii="Arial" w:hAnsi="Arial" w:cs="Arial"/>
          <w:color w:val="000000" w:themeColor="text1"/>
        </w:rPr>
      </w:pPr>
      <w:r w:rsidRPr="000E0F90">
        <w:rPr>
          <w:rFonts w:ascii="Arial" w:hAnsi="Arial" w:cs="Arial"/>
          <w:color w:val="000000" w:themeColor="text1"/>
        </w:rPr>
        <w:t>De acuerdo a lo expuesto por los entrevistados</w:t>
      </w:r>
      <w:r w:rsidR="00A512C8" w:rsidRPr="000E0F90">
        <w:rPr>
          <w:rFonts w:ascii="Arial" w:hAnsi="Arial" w:cs="Arial"/>
          <w:color w:val="000000" w:themeColor="text1"/>
        </w:rPr>
        <w:t xml:space="preserve"> de la comuna de Salamanca</w:t>
      </w:r>
      <w:r w:rsidRPr="000E0F90">
        <w:rPr>
          <w:rFonts w:ascii="Arial" w:hAnsi="Arial" w:cs="Arial"/>
          <w:color w:val="000000" w:themeColor="text1"/>
        </w:rPr>
        <w:t xml:space="preserve">, </w:t>
      </w:r>
      <w:r w:rsidR="00817B39" w:rsidRPr="000E0F90">
        <w:rPr>
          <w:rFonts w:ascii="Arial" w:hAnsi="Arial" w:cs="Arial"/>
          <w:color w:val="000000" w:themeColor="text1"/>
        </w:rPr>
        <w:t xml:space="preserve">existe una apreciación que la minera es la que está provocando las sequias en el valle. Situación similar se aprecia en la comuna de la Higuera, donde la escasez de agua se ha relacionado con la actividad minera, puesto en evidencia a través de la prolongación de ciclos secos, llegando incluso a la desaparición de algunos ríos </w:t>
      </w:r>
      <w:sdt>
        <w:sdtPr>
          <w:rPr>
            <w:rFonts w:ascii="Arial" w:hAnsi="Arial" w:cs="Arial"/>
            <w:color w:val="000000" w:themeColor="text1"/>
          </w:rPr>
          <w:id w:val="-1543426678"/>
          <w:citation/>
        </w:sdtPr>
        <w:sdtEndPr/>
        <w:sdtContent>
          <w:r w:rsidR="00817B39" w:rsidRPr="000E0F90">
            <w:rPr>
              <w:rFonts w:ascii="Arial" w:hAnsi="Arial" w:cs="Arial"/>
              <w:color w:val="000000" w:themeColor="text1"/>
            </w:rPr>
            <w:fldChar w:fldCharType="begin"/>
          </w:r>
          <w:r w:rsidR="00601252" w:rsidRPr="000E0F90">
            <w:rPr>
              <w:rFonts w:ascii="Arial" w:hAnsi="Arial" w:cs="Arial"/>
              <w:color w:val="000000" w:themeColor="text1"/>
            </w:rPr>
            <w:instrText xml:space="preserve">CITATION Are13 \t  \l 13322 </w:instrText>
          </w:r>
          <w:r w:rsidR="00817B39" w:rsidRPr="000E0F90">
            <w:rPr>
              <w:rFonts w:ascii="Arial" w:hAnsi="Arial" w:cs="Arial"/>
              <w:color w:val="000000" w:themeColor="text1"/>
            </w:rPr>
            <w:fldChar w:fldCharType="separate"/>
          </w:r>
          <w:r w:rsidR="008D0261" w:rsidRPr="000E0F90">
            <w:rPr>
              <w:rFonts w:ascii="Arial" w:hAnsi="Arial" w:cs="Arial"/>
              <w:noProof/>
              <w:color w:val="000000" w:themeColor="text1"/>
            </w:rPr>
            <w:t>(Arellano, Gastó, Gálvez, Subercauseaux, Toledo, &amp; Miranda, 2013)</w:t>
          </w:r>
          <w:r w:rsidR="00817B39" w:rsidRPr="000E0F90">
            <w:rPr>
              <w:rFonts w:ascii="Arial" w:hAnsi="Arial" w:cs="Arial"/>
              <w:color w:val="000000" w:themeColor="text1"/>
            </w:rPr>
            <w:fldChar w:fldCharType="end"/>
          </w:r>
        </w:sdtContent>
      </w:sdt>
      <w:r w:rsidR="00817B39" w:rsidRPr="000E0F90">
        <w:rPr>
          <w:rFonts w:ascii="Arial" w:hAnsi="Arial" w:cs="Arial"/>
          <w:color w:val="000000" w:themeColor="text1"/>
        </w:rPr>
        <w:t xml:space="preserve">. No obstante, se debe señalar que </w:t>
      </w:r>
      <w:r w:rsidR="00817B39" w:rsidRPr="000E0F90">
        <w:rPr>
          <w:rFonts w:ascii="Arial" w:hAnsi="Arial" w:cs="Arial"/>
          <w:color w:val="000000" w:themeColor="text1"/>
        </w:rPr>
        <w:lastRenderedPageBreak/>
        <w:t>se ha identificado</w:t>
      </w:r>
      <w:r w:rsidR="00DB2C5F" w:rsidRPr="000E0F90">
        <w:rPr>
          <w:rFonts w:ascii="Arial" w:hAnsi="Arial" w:cs="Arial"/>
          <w:color w:val="000000" w:themeColor="text1"/>
        </w:rPr>
        <w:t xml:space="preserve"> igualmente</w:t>
      </w:r>
      <w:r w:rsidR="00817B39" w:rsidRPr="000E0F90">
        <w:rPr>
          <w:rFonts w:ascii="Arial" w:hAnsi="Arial" w:cs="Arial"/>
          <w:color w:val="000000" w:themeColor="text1"/>
        </w:rPr>
        <w:t xml:space="preserve"> a la agricultura intensiva como un agente que contribuye a la sequía de la zona (i.e. parronales).</w:t>
      </w:r>
    </w:p>
    <w:p w:rsidR="00601252" w:rsidRPr="000E0F90" w:rsidRDefault="00AA42FA" w:rsidP="00702D9A">
      <w:pPr>
        <w:spacing w:before="240" w:line="360" w:lineRule="auto"/>
        <w:rPr>
          <w:rFonts w:ascii="Arial" w:hAnsi="Arial" w:cs="Arial"/>
          <w:i/>
          <w:color w:val="000000" w:themeColor="text1"/>
        </w:rPr>
      </w:pPr>
      <w:r w:rsidRPr="000E0F90">
        <w:rPr>
          <w:rFonts w:ascii="Arial" w:hAnsi="Arial" w:cs="Arial"/>
          <w:color w:val="000000" w:themeColor="text1"/>
        </w:rPr>
        <w:t xml:space="preserve">Cabe destacar que la escasez del agua, se produce también por la venta de los derechos de </w:t>
      </w:r>
      <w:r w:rsidR="00E83C4B" w:rsidRPr="000E0F90">
        <w:rPr>
          <w:rFonts w:ascii="Arial" w:hAnsi="Arial" w:cs="Arial"/>
          <w:color w:val="000000" w:themeColor="text1"/>
        </w:rPr>
        <w:t xml:space="preserve">aprovechamiento de </w:t>
      </w:r>
      <w:r w:rsidRPr="000E0F90">
        <w:rPr>
          <w:rFonts w:ascii="Arial" w:hAnsi="Arial" w:cs="Arial"/>
          <w:color w:val="000000" w:themeColor="text1"/>
        </w:rPr>
        <w:t>agua a la minera, por los propios agricultores, los cuales no advirtieron las consecuencias que tendría dicha acción</w:t>
      </w:r>
      <w:r w:rsidR="00601252" w:rsidRPr="000E0F90">
        <w:rPr>
          <w:rFonts w:ascii="Arial" w:hAnsi="Arial" w:cs="Arial"/>
          <w:color w:val="000000" w:themeColor="text1"/>
        </w:rPr>
        <w:t xml:space="preserve">. Como manifiesta Marcelo Gomolán de Salamanca: </w:t>
      </w:r>
      <w:r w:rsidR="00601252" w:rsidRPr="000E0F90">
        <w:rPr>
          <w:rFonts w:ascii="Arial" w:hAnsi="Arial" w:cs="Arial"/>
          <w:i/>
          <w:color w:val="000000" w:themeColor="text1"/>
        </w:rPr>
        <w:t>“Claro, pero supongamos el tema del agua, hay mucha gente que reclama que Pelambres ocupa mucho agua, pero, mucha de esa agua que Pelambres ocupa se la compró a los mismos agricultores… (Minera Los Pelambres) Compró los derechos y ahora la gente quiere que Pelambres se los devuelva. Entonces, ahí yo creo que hay una, hay una…una discrepancia”.</w:t>
      </w:r>
    </w:p>
    <w:p w:rsidR="00601252" w:rsidRPr="000E0F90" w:rsidRDefault="005F3477" w:rsidP="00702D9A">
      <w:pPr>
        <w:spacing w:before="240" w:line="360" w:lineRule="auto"/>
        <w:rPr>
          <w:rFonts w:ascii="Arial" w:hAnsi="Arial" w:cs="Arial"/>
          <w:color w:val="000000" w:themeColor="text1"/>
        </w:rPr>
      </w:pPr>
      <w:r w:rsidRPr="000E0F90">
        <w:rPr>
          <w:rFonts w:ascii="Arial" w:hAnsi="Arial" w:cs="Arial"/>
          <w:color w:val="000000" w:themeColor="text1"/>
        </w:rPr>
        <w:t>N</w:t>
      </w:r>
      <w:r w:rsidR="004772CC" w:rsidRPr="000E0F90">
        <w:rPr>
          <w:rFonts w:ascii="Arial" w:hAnsi="Arial" w:cs="Arial"/>
          <w:color w:val="000000" w:themeColor="text1"/>
        </w:rPr>
        <w:t xml:space="preserve">o obstante de acuerdo a los derechos de agua que controla, esta situación no tendría cabida, incluso se establece que la actividad no utilizaría </w:t>
      </w:r>
      <w:r w:rsidR="004515C9" w:rsidRPr="000E0F90">
        <w:rPr>
          <w:rFonts w:ascii="Arial" w:hAnsi="Arial" w:cs="Arial"/>
          <w:color w:val="000000" w:themeColor="text1"/>
        </w:rPr>
        <w:t>mucha</w:t>
      </w:r>
      <w:r w:rsidR="004772CC" w:rsidRPr="000E0F90">
        <w:rPr>
          <w:rFonts w:ascii="Arial" w:hAnsi="Arial" w:cs="Arial"/>
          <w:color w:val="000000" w:themeColor="text1"/>
        </w:rPr>
        <w:t xml:space="preserve"> agua, </w:t>
      </w:r>
      <w:r w:rsidR="00AB13C8" w:rsidRPr="000E0F90">
        <w:rPr>
          <w:rFonts w:ascii="Arial" w:hAnsi="Arial" w:cs="Arial"/>
          <w:color w:val="000000" w:themeColor="text1"/>
        </w:rPr>
        <w:t>dado que reutilizarían el agua (Marcelo Gomolán, Salamanca)</w:t>
      </w:r>
      <w:r w:rsidR="00AB13C8" w:rsidRPr="000E0F90">
        <w:rPr>
          <w:rFonts w:ascii="Arial" w:hAnsi="Arial" w:cs="Arial"/>
          <w:i/>
          <w:color w:val="000000" w:themeColor="text1"/>
        </w:rPr>
        <w:t>.</w:t>
      </w:r>
      <w:r w:rsidR="00AB13C8" w:rsidRPr="000E0F90">
        <w:rPr>
          <w:rFonts w:ascii="Arial" w:hAnsi="Arial" w:cs="Arial"/>
          <w:color w:val="000000" w:themeColor="text1"/>
        </w:rPr>
        <w:t xml:space="preserve"> </w:t>
      </w:r>
      <w:r w:rsidR="00040081" w:rsidRPr="000E0F90">
        <w:rPr>
          <w:rFonts w:ascii="Arial" w:hAnsi="Arial" w:cs="Arial"/>
          <w:color w:val="000000" w:themeColor="text1"/>
        </w:rPr>
        <w:t xml:space="preserve"> </w:t>
      </w:r>
      <w:r w:rsidR="004772CC" w:rsidRPr="000E0F90">
        <w:rPr>
          <w:rFonts w:ascii="Arial" w:hAnsi="Arial" w:cs="Arial"/>
          <w:color w:val="000000" w:themeColor="text1"/>
        </w:rPr>
        <w:t>Ahor</w:t>
      </w:r>
      <w:r w:rsidR="000F68C7" w:rsidRPr="000E0F90">
        <w:rPr>
          <w:rFonts w:ascii="Arial" w:hAnsi="Arial" w:cs="Arial"/>
          <w:color w:val="000000" w:themeColor="text1"/>
        </w:rPr>
        <w:t>a bien,</w:t>
      </w:r>
      <w:r w:rsidRPr="000E0F90">
        <w:rPr>
          <w:rFonts w:ascii="Arial" w:hAnsi="Arial" w:cs="Arial"/>
          <w:color w:val="000000" w:themeColor="text1"/>
        </w:rPr>
        <w:t xml:space="preserve"> en la comuna de Salamanca</w:t>
      </w:r>
      <w:r w:rsidR="000F68C7" w:rsidRPr="000E0F90">
        <w:rPr>
          <w:rFonts w:ascii="Arial" w:hAnsi="Arial" w:cs="Arial"/>
          <w:color w:val="000000" w:themeColor="text1"/>
        </w:rPr>
        <w:t xml:space="preserve"> se evidencia también un</w:t>
      </w:r>
      <w:r w:rsidR="004772CC" w:rsidRPr="000E0F90">
        <w:rPr>
          <w:rFonts w:ascii="Arial" w:hAnsi="Arial" w:cs="Arial"/>
          <w:color w:val="000000" w:themeColor="text1"/>
        </w:rPr>
        <w:t>a escasa aplicación de tecnologías para reducir el consumo hídrico</w:t>
      </w:r>
      <w:r w:rsidR="000F68C7" w:rsidRPr="000E0F90">
        <w:rPr>
          <w:rFonts w:ascii="Arial" w:hAnsi="Arial" w:cs="Arial"/>
          <w:color w:val="000000" w:themeColor="text1"/>
        </w:rPr>
        <w:t xml:space="preserve"> por parte de los agricultores</w:t>
      </w:r>
      <w:r w:rsidR="004772CC" w:rsidRPr="000E0F90">
        <w:rPr>
          <w:rFonts w:ascii="Arial" w:hAnsi="Arial" w:cs="Arial"/>
          <w:color w:val="000000" w:themeColor="text1"/>
        </w:rPr>
        <w:t>, lo cual es probable haya contribuido a la disminución del recurso</w:t>
      </w:r>
      <w:r w:rsidR="00AB13C8" w:rsidRPr="000E0F90">
        <w:rPr>
          <w:rFonts w:ascii="Arial" w:hAnsi="Arial" w:cs="Arial"/>
          <w:color w:val="000000" w:themeColor="text1"/>
        </w:rPr>
        <w:t>, lo cual se atribuye a la reducida superficie de los predios</w:t>
      </w:r>
      <w:r w:rsidR="00601252" w:rsidRPr="000E0F90">
        <w:rPr>
          <w:rFonts w:ascii="Arial" w:hAnsi="Arial" w:cs="Arial"/>
          <w:color w:val="000000" w:themeColor="text1"/>
        </w:rPr>
        <w:t xml:space="preserve">. Al respecto,  Marcelo Gomolán señala que el riego: </w:t>
      </w:r>
      <w:r w:rsidR="00601252" w:rsidRPr="000E0F90">
        <w:rPr>
          <w:rFonts w:ascii="Arial" w:hAnsi="Arial" w:cs="Arial"/>
          <w:i/>
          <w:color w:val="000000" w:themeColor="text1"/>
        </w:rPr>
        <w:t xml:space="preserve">… el 80% es vía, como el 70% es vía surco. Claro y básicamente la gente acá tiene poco riego tecnificado, porque son predios muy chicos” </w:t>
      </w:r>
      <w:r w:rsidR="00601252" w:rsidRPr="000E0F90">
        <w:rPr>
          <w:rFonts w:ascii="Arial" w:hAnsi="Arial" w:cs="Arial"/>
          <w:color w:val="000000" w:themeColor="text1"/>
        </w:rPr>
        <w:t xml:space="preserve">(Marcelo Gomolán, Salamanca). </w:t>
      </w:r>
    </w:p>
    <w:p w:rsidR="006259D7" w:rsidRPr="000E0F90" w:rsidRDefault="000E2A26" w:rsidP="00702D9A">
      <w:pPr>
        <w:spacing w:before="240" w:line="360" w:lineRule="auto"/>
        <w:rPr>
          <w:rFonts w:ascii="Arial" w:hAnsi="Arial" w:cs="Arial"/>
          <w:color w:val="000000" w:themeColor="text1"/>
        </w:rPr>
      </w:pPr>
      <w:r w:rsidRPr="000E0F90">
        <w:rPr>
          <w:rFonts w:ascii="Arial" w:hAnsi="Arial" w:cs="Arial"/>
          <w:color w:val="000000" w:themeColor="text1"/>
        </w:rPr>
        <w:t>S</w:t>
      </w:r>
      <w:r w:rsidR="006259D7" w:rsidRPr="000E0F90">
        <w:rPr>
          <w:rFonts w:ascii="Arial" w:hAnsi="Arial" w:cs="Arial"/>
          <w:color w:val="000000" w:themeColor="text1"/>
        </w:rPr>
        <w:t>e destaca las tecnologías de eficiencia de agua que está impulsando Minera Los Pelambres, a través del encarpetado de tranques, tecnologías de riego tecnificado y revestimiento de canales</w:t>
      </w:r>
      <w:r w:rsidR="00AB13C8" w:rsidRPr="000E0F90">
        <w:rPr>
          <w:rFonts w:ascii="Arial" w:hAnsi="Arial" w:cs="Arial"/>
          <w:color w:val="000000" w:themeColor="text1"/>
        </w:rPr>
        <w:t>, con lo cual se aumenta la eficiencia y se reduce la pérdida de agua (</w:t>
      </w:r>
      <w:r w:rsidR="006259D7" w:rsidRPr="000E0F90">
        <w:rPr>
          <w:rFonts w:ascii="Arial" w:hAnsi="Arial" w:cs="Arial"/>
          <w:color w:val="000000" w:themeColor="text1"/>
        </w:rPr>
        <w:t>Manuel Farías,</w:t>
      </w:r>
      <w:r w:rsidR="00AB13C8" w:rsidRPr="000E0F90">
        <w:rPr>
          <w:rFonts w:ascii="Arial" w:hAnsi="Arial" w:cs="Arial"/>
          <w:color w:val="000000" w:themeColor="text1"/>
        </w:rPr>
        <w:t xml:space="preserve"> ex gerente FMLP)</w:t>
      </w:r>
      <w:r w:rsidR="006259D7" w:rsidRPr="000E0F90">
        <w:rPr>
          <w:rFonts w:ascii="Arial" w:hAnsi="Arial" w:cs="Arial"/>
          <w:color w:val="000000" w:themeColor="text1"/>
        </w:rPr>
        <w:t xml:space="preserve"> </w:t>
      </w:r>
    </w:p>
    <w:p w:rsidR="00040081" w:rsidRPr="000E0F90" w:rsidRDefault="00E83C4B" w:rsidP="00702D9A">
      <w:pPr>
        <w:spacing w:before="240" w:line="360" w:lineRule="auto"/>
        <w:rPr>
          <w:rFonts w:ascii="Arial" w:hAnsi="Arial" w:cs="Arial"/>
          <w:color w:val="000000" w:themeColor="text1"/>
        </w:rPr>
      </w:pPr>
      <w:r w:rsidRPr="000E0F90">
        <w:rPr>
          <w:rFonts w:ascii="Arial" w:hAnsi="Arial" w:cs="Arial"/>
          <w:color w:val="000000" w:themeColor="text1"/>
        </w:rPr>
        <w:t>En la comuna de la Hi</w:t>
      </w:r>
      <w:r w:rsidR="0026343B" w:rsidRPr="000E0F90">
        <w:rPr>
          <w:rFonts w:ascii="Arial" w:hAnsi="Arial" w:cs="Arial"/>
          <w:color w:val="000000" w:themeColor="text1"/>
        </w:rPr>
        <w:t xml:space="preserve">guera, las prácticas de eficiencia hídricas no son identificadas, </w:t>
      </w:r>
      <w:r w:rsidR="00DB2C5F" w:rsidRPr="000E0F90">
        <w:rPr>
          <w:rFonts w:ascii="Arial" w:hAnsi="Arial" w:cs="Arial"/>
          <w:color w:val="000000" w:themeColor="text1"/>
        </w:rPr>
        <w:t>ya sea l</w:t>
      </w:r>
      <w:r w:rsidR="0026343B" w:rsidRPr="000E0F90">
        <w:rPr>
          <w:rFonts w:ascii="Arial" w:hAnsi="Arial" w:cs="Arial"/>
          <w:color w:val="000000" w:themeColor="text1"/>
        </w:rPr>
        <w:t>a</w:t>
      </w:r>
      <w:r w:rsidR="00C41855" w:rsidRPr="000E0F90">
        <w:rPr>
          <w:rFonts w:ascii="Arial" w:hAnsi="Arial" w:cs="Arial"/>
          <w:color w:val="000000" w:themeColor="text1"/>
        </w:rPr>
        <w:t xml:space="preserve"> canalización o a través de la reutilización de las aguas, dado por una parte por la falta de incentivos para incrementar la eficiencia de utilización. Donde la municipalidad suministra agua a gran parte de las l</w:t>
      </w:r>
      <w:r w:rsidR="000F5891" w:rsidRPr="000E0F90">
        <w:rPr>
          <w:rFonts w:ascii="Arial" w:hAnsi="Arial" w:cs="Arial"/>
          <w:color w:val="000000" w:themeColor="text1"/>
        </w:rPr>
        <w:t>ocalidades y por otra parte el E</w:t>
      </w:r>
      <w:r w:rsidR="00C41855" w:rsidRPr="000E0F90">
        <w:rPr>
          <w:rFonts w:ascii="Arial" w:hAnsi="Arial" w:cs="Arial"/>
          <w:color w:val="000000" w:themeColor="text1"/>
        </w:rPr>
        <w:t>stado subsidia el consumo, mediante los Comités de Agua Potable Rural (Gasto et al., 2013).</w:t>
      </w:r>
      <w:r w:rsidR="00AB13C8" w:rsidRPr="000E0F90">
        <w:rPr>
          <w:rFonts w:ascii="Arial" w:hAnsi="Arial" w:cs="Arial"/>
          <w:color w:val="000000" w:themeColor="text1"/>
        </w:rPr>
        <w:t xml:space="preserve"> </w:t>
      </w:r>
      <w:r w:rsidR="005F3477" w:rsidRPr="000E0F90">
        <w:rPr>
          <w:rFonts w:ascii="Arial" w:hAnsi="Arial" w:cs="Arial"/>
          <w:color w:val="000000" w:themeColor="text1"/>
        </w:rPr>
        <w:t xml:space="preserve">Un aspecto que se señala ausente en la comuna de la Higuera, es la falta de asociación del recurso hídrico al territorio y a la cuenca, lo cual queda de manifiesto también en la comuna de Salamanca en la venta de derechos de agua por parte de los agricultores a </w:t>
      </w:r>
      <w:r w:rsidR="005F3477" w:rsidRPr="000E0F90">
        <w:rPr>
          <w:rFonts w:ascii="Arial" w:hAnsi="Arial" w:cs="Arial"/>
          <w:color w:val="000000" w:themeColor="text1"/>
        </w:rPr>
        <w:lastRenderedPageBreak/>
        <w:t>las mineras.</w:t>
      </w:r>
      <w:r w:rsidR="00040081" w:rsidRPr="000E0F90">
        <w:rPr>
          <w:rFonts w:ascii="Arial" w:hAnsi="Arial" w:cs="Arial"/>
          <w:color w:val="000000" w:themeColor="text1"/>
        </w:rPr>
        <w:t xml:space="preserve"> Cabe señalar que la venta de los derechos de agua a la minera, conlleva a una distorsión (especulación) de precios al momento que los productores quieran comprar los derechos vendidos a la minera. Situación que alteraría poderosamente la territorialidad local (usos de territorio), en caso que la compra de los derechos se torne inalcanzable.</w:t>
      </w:r>
    </w:p>
    <w:p w:rsidR="00EE5356" w:rsidRPr="000E0F90" w:rsidRDefault="005B48D5" w:rsidP="00702D9A">
      <w:pPr>
        <w:spacing w:after="0" w:line="360" w:lineRule="auto"/>
        <w:rPr>
          <w:rFonts w:ascii="Arial" w:hAnsi="Arial" w:cs="Arial"/>
          <w:b/>
          <w:color w:val="000000" w:themeColor="text1"/>
        </w:rPr>
      </w:pPr>
      <w:r w:rsidRPr="000E0F90">
        <w:rPr>
          <w:rFonts w:ascii="Arial" w:hAnsi="Arial" w:cs="Arial"/>
          <w:b/>
          <w:color w:val="000000" w:themeColor="text1"/>
        </w:rPr>
        <w:t>8</w:t>
      </w:r>
      <w:r w:rsidR="00EE5356" w:rsidRPr="000E0F90">
        <w:rPr>
          <w:rFonts w:ascii="Arial" w:hAnsi="Arial" w:cs="Arial"/>
          <w:b/>
          <w:color w:val="000000" w:themeColor="text1"/>
        </w:rPr>
        <w:t>. Salud y minería.</w:t>
      </w:r>
    </w:p>
    <w:p w:rsidR="002D4D9B" w:rsidRPr="000E0F90" w:rsidRDefault="00EE5356" w:rsidP="00702D9A">
      <w:pPr>
        <w:spacing w:line="360" w:lineRule="auto"/>
        <w:rPr>
          <w:rFonts w:ascii="Arial" w:hAnsi="Arial" w:cs="Arial"/>
          <w:color w:val="000000" w:themeColor="text1"/>
        </w:rPr>
      </w:pPr>
      <w:r w:rsidRPr="000E0F90">
        <w:rPr>
          <w:rFonts w:ascii="Arial" w:hAnsi="Arial" w:cs="Arial"/>
          <w:color w:val="000000" w:themeColor="text1"/>
        </w:rPr>
        <w:t xml:space="preserve">Los impactos de la minería en la salud se relacionan directamente con los impactos medioambientales del agua y el polvo tóxico en suspensión. Por una parte, se señala la preocupación de que el agua esté contaminada con metales pesados, como arsénico, y que dicha exposición este contribuyendo a la incidencia de enfermos de cáncer en la localidad de Cuncumén. </w:t>
      </w:r>
      <w:r w:rsidR="002D4D9B" w:rsidRPr="000E0F90">
        <w:rPr>
          <w:rFonts w:ascii="Arial" w:hAnsi="Arial" w:cs="Arial"/>
          <w:color w:val="000000" w:themeColor="text1"/>
        </w:rPr>
        <w:t xml:space="preserve">Al respecto Sonia Tapia señala: </w:t>
      </w:r>
      <w:r w:rsidR="002D4D9B" w:rsidRPr="000E0F90">
        <w:rPr>
          <w:rFonts w:ascii="Arial" w:hAnsi="Arial" w:cs="Arial"/>
          <w:i/>
          <w:color w:val="000000" w:themeColor="text1"/>
        </w:rPr>
        <w:t>Y el agua, que dicen que el agua tiene mucho ¿ay, cuánto se llama esta cuestión que…? Arsénico. Dicen…porque ha muerto mucha gente de cáncer al estómago.</w:t>
      </w:r>
    </w:p>
    <w:p w:rsidR="00EE5356" w:rsidRPr="000E0F90" w:rsidRDefault="00EE5356" w:rsidP="00702D9A">
      <w:pPr>
        <w:spacing w:line="360" w:lineRule="auto"/>
        <w:rPr>
          <w:rFonts w:ascii="Arial" w:hAnsi="Arial" w:cs="Arial"/>
          <w:color w:val="000000" w:themeColor="text1"/>
        </w:rPr>
      </w:pPr>
      <w:r w:rsidRPr="000E0F90">
        <w:rPr>
          <w:rFonts w:ascii="Arial" w:hAnsi="Arial" w:cs="Arial"/>
          <w:color w:val="000000" w:themeColor="text1"/>
        </w:rPr>
        <w:t xml:space="preserve">Por otro lado, la irritación de las vías respiratorias producto de la suspensión del polvo tóxico, es un impacto considerado relevante por los entrevistados, el cual estaría actuando en forma crónica en los habitantes de la zona alta de la cuenca. </w:t>
      </w:r>
      <w:r w:rsidR="002D4D9B" w:rsidRPr="000E0F90">
        <w:rPr>
          <w:rFonts w:ascii="Arial" w:hAnsi="Arial" w:cs="Arial"/>
          <w:color w:val="000000" w:themeColor="text1"/>
        </w:rPr>
        <w:t xml:space="preserve">Como lo manifiesta Marcelo Gomolán: </w:t>
      </w:r>
      <w:r w:rsidR="002D4D9B" w:rsidRPr="000E0F90">
        <w:rPr>
          <w:rFonts w:ascii="Arial" w:hAnsi="Arial" w:cs="Arial"/>
          <w:i/>
          <w:color w:val="000000" w:themeColor="text1"/>
        </w:rPr>
        <w:t>Claro, porque la nieve sulfurosa con el contacto te pasa a ser, es como un gas, te empieza a picar la garganta, duelen los ojos.</w:t>
      </w:r>
    </w:p>
    <w:p w:rsidR="00EE5356" w:rsidRPr="000E0F90" w:rsidRDefault="00EE5356" w:rsidP="00702D9A">
      <w:pPr>
        <w:spacing w:before="240" w:line="360" w:lineRule="auto"/>
        <w:rPr>
          <w:rFonts w:ascii="Arial" w:hAnsi="Arial" w:cs="Arial"/>
          <w:color w:val="000000" w:themeColor="text1"/>
        </w:rPr>
      </w:pPr>
      <w:r w:rsidRPr="000E0F90">
        <w:rPr>
          <w:rFonts w:ascii="Arial" w:hAnsi="Arial" w:cs="Arial"/>
          <w:color w:val="000000" w:themeColor="text1"/>
        </w:rPr>
        <w:t>Producto de la preocupación de que la contaminación de la minera afecte a la salud humana, se han realizado estudios de suelo y agua, los cuales han presentado resultados normales. Sin embargo, los estudios carecen de confianza puesto que son encargados por la propia minera y por otro lado, se considera que los rangos de normalidad son muy amplios</w:t>
      </w:r>
      <w:r w:rsidR="00AB13C8" w:rsidRPr="000E0F90">
        <w:rPr>
          <w:rFonts w:ascii="Arial" w:hAnsi="Arial" w:cs="Arial"/>
          <w:color w:val="000000" w:themeColor="text1"/>
        </w:rPr>
        <w:t xml:space="preserve"> (Marcelo Gomolán, Salamanca)</w:t>
      </w:r>
      <w:r w:rsidRPr="000E0F90">
        <w:rPr>
          <w:rFonts w:ascii="Arial" w:hAnsi="Arial" w:cs="Arial"/>
          <w:i/>
          <w:color w:val="000000" w:themeColor="text1"/>
        </w:rPr>
        <w:t xml:space="preserve">. </w:t>
      </w:r>
      <w:r w:rsidRPr="000E0F90">
        <w:rPr>
          <w:rFonts w:ascii="Arial" w:hAnsi="Arial" w:cs="Arial"/>
          <w:color w:val="000000" w:themeColor="text1"/>
        </w:rPr>
        <w:t xml:space="preserve">Por otra parte, desde la minería, se señala que: </w:t>
      </w:r>
      <w:r w:rsidRPr="000E0F90">
        <w:rPr>
          <w:rFonts w:ascii="Arial" w:hAnsi="Arial" w:cs="Arial"/>
          <w:i/>
          <w:color w:val="000000" w:themeColor="text1"/>
        </w:rPr>
        <w:t>“Nosotros cumplimos,  estamos  con creces debajo de lo que exige la norma y ¿qué se interpreta?: “ustedes manipulan las estaciones”</w:t>
      </w:r>
      <w:r w:rsidRPr="000E0F90">
        <w:rPr>
          <w:rFonts w:ascii="Arial" w:hAnsi="Arial" w:cs="Arial"/>
          <w:color w:val="000000" w:themeColor="text1"/>
        </w:rPr>
        <w:t xml:space="preserve"> (Manuel Farías</w:t>
      </w:r>
      <w:r w:rsidR="00227366" w:rsidRPr="000E0F90">
        <w:rPr>
          <w:rFonts w:ascii="Arial" w:hAnsi="Arial" w:cs="Arial"/>
          <w:color w:val="000000" w:themeColor="text1"/>
        </w:rPr>
        <w:t>,</w:t>
      </w:r>
      <w:r w:rsidRPr="000E0F90">
        <w:rPr>
          <w:rFonts w:ascii="Arial" w:hAnsi="Arial" w:cs="Arial"/>
          <w:color w:val="000000" w:themeColor="text1"/>
        </w:rPr>
        <w:t xml:space="preserve">).   </w:t>
      </w:r>
    </w:p>
    <w:p w:rsidR="00B3110A" w:rsidRPr="000E0F90" w:rsidRDefault="005B48D5" w:rsidP="00702D9A">
      <w:pPr>
        <w:spacing w:before="240" w:after="0" w:line="360" w:lineRule="auto"/>
        <w:rPr>
          <w:rFonts w:ascii="Arial" w:hAnsi="Arial" w:cs="Arial"/>
          <w:b/>
          <w:color w:val="000000" w:themeColor="text1"/>
        </w:rPr>
      </w:pPr>
      <w:r w:rsidRPr="000E0F90">
        <w:rPr>
          <w:rFonts w:ascii="Arial" w:hAnsi="Arial" w:cs="Arial"/>
          <w:b/>
          <w:color w:val="000000" w:themeColor="text1"/>
        </w:rPr>
        <w:t>9</w:t>
      </w:r>
      <w:r w:rsidR="004515C9" w:rsidRPr="000E0F90">
        <w:rPr>
          <w:rFonts w:ascii="Arial" w:hAnsi="Arial" w:cs="Arial"/>
          <w:b/>
          <w:color w:val="000000" w:themeColor="text1"/>
        </w:rPr>
        <w:t xml:space="preserve">. </w:t>
      </w:r>
      <w:r w:rsidR="00DF10DF" w:rsidRPr="000E0F90">
        <w:rPr>
          <w:rFonts w:ascii="Arial" w:hAnsi="Arial" w:cs="Arial"/>
          <w:b/>
          <w:color w:val="000000" w:themeColor="text1"/>
        </w:rPr>
        <w:t>Minería</w:t>
      </w:r>
    </w:p>
    <w:p w:rsidR="00B920D2" w:rsidRPr="000E0F90" w:rsidRDefault="00E9015B" w:rsidP="00702D9A">
      <w:pPr>
        <w:spacing w:line="360" w:lineRule="auto"/>
        <w:rPr>
          <w:rFonts w:ascii="Arial" w:hAnsi="Arial" w:cs="Arial"/>
          <w:color w:val="000000" w:themeColor="text1"/>
        </w:rPr>
      </w:pPr>
      <w:r w:rsidRPr="000E0F90">
        <w:rPr>
          <w:rFonts w:ascii="Arial" w:hAnsi="Arial" w:cs="Arial"/>
          <w:color w:val="000000" w:themeColor="text1"/>
        </w:rPr>
        <w:t>En el valle alto del Choapa, l</w:t>
      </w:r>
      <w:r w:rsidR="00A76EDF" w:rsidRPr="000E0F90">
        <w:rPr>
          <w:rFonts w:ascii="Arial" w:hAnsi="Arial" w:cs="Arial"/>
          <w:color w:val="000000" w:themeColor="text1"/>
        </w:rPr>
        <w:t xml:space="preserve">a minería se considera como una actividad territorial que se instala recientemente, lo cual ha generado diversas posiciones en relación a la forma en que se ha ido relacionando con los actores sociales y </w:t>
      </w:r>
      <w:r w:rsidR="0059323D" w:rsidRPr="000E0F90">
        <w:rPr>
          <w:rFonts w:ascii="Arial" w:hAnsi="Arial" w:cs="Arial"/>
          <w:color w:val="000000" w:themeColor="text1"/>
        </w:rPr>
        <w:t xml:space="preserve">con </w:t>
      </w:r>
      <w:r w:rsidR="00A76EDF" w:rsidRPr="000E0F90">
        <w:rPr>
          <w:rFonts w:ascii="Arial" w:hAnsi="Arial" w:cs="Arial"/>
          <w:color w:val="000000" w:themeColor="text1"/>
        </w:rPr>
        <w:t>la institucionalidad local.</w:t>
      </w:r>
      <w:r w:rsidR="00EF2C2B" w:rsidRPr="000E0F90">
        <w:rPr>
          <w:rFonts w:ascii="Arial" w:hAnsi="Arial" w:cs="Arial"/>
          <w:color w:val="000000" w:themeColor="text1"/>
        </w:rPr>
        <w:t xml:space="preserve"> </w:t>
      </w:r>
      <w:r w:rsidR="00482E08" w:rsidRPr="000E0F90">
        <w:rPr>
          <w:rFonts w:ascii="Arial" w:hAnsi="Arial" w:cs="Arial"/>
          <w:color w:val="000000" w:themeColor="text1"/>
        </w:rPr>
        <w:t>E</w:t>
      </w:r>
      <w:r w:rsidRPr="000E0F90">
        <w:rPr>
          <w:rFonts w:ascii="Arial" w:hAnsi="Arial" w:cs="Arial"/>
          <w:color w:val="000000" w:themeColor="text1"/>
        </w:rPr>
        <w:t xml:space="preserve">xiste la percepción de que a la minera no le interesa proteger el medioambiente, </w:t>
      </w:r>
      <w:r w:rsidRPr="000E0F90">
        <w:rPr>
          <w:rFonts w:ascii="Arial" w:hAnsi="Arial" w:cs="Arial"/>
          <w:color w:val="000000" w:themeColor="text1"/>
        </w:rPr>
        <w:lastRenderedPageBreak/>
        <w:t>lo cual se atribuye al incumplimiento o insuficiencia de las medidas de mitigación en las temáticas medioambientales, que finalmente repercuten en la vida de las comunidades.</w:t>
      </w:r>
    </w:p>
    <w:p w:rsidR="00F7220D" w:rsidRDefault="002E7EBC" w:rsidP="00702D9A">
      <w:pPr>
        <w:spacing w:before="240" w:line="360" w:lineRule="auto"/>
        <w:rPr>
          <w:rFonts w:ascii="Arial" w:hAnsi="Arial" w:cs="Arial"/>
          <w:color w:val="000000" w:themeColor="text1"/>
        </w:rPr>
      </w:pPr>
      <w:r w:rsidRPr="000E0F90">
        <w:rPr>
          <w:rFonts w:ascii="Arial" w:hAnsi="Arial" w:cs="Arial"/>
          <w:color w:val="000000" w:themeColor="text1"/>
        </w:rPr>
        <w:t>Respecto a la percepción de la actividad minera en la comuna de La Higuera, se percibe  como una actividad riesgosa, que genera desconfianza</w:t>
      </w:r>
      <w:r w:rsidR="00B920D2" w:rsidRPr="000E0F90">
        <w:rPr>
          <w:rFonts w:ascii="Arial" w:hAnsi="Arial" w:cs="Arial"/>
          <w:color w:val="000000" w:themeColor="text1"/>
        </w:rPr>
        <w:t xml:space="preserve">, con escasa </w:t>
      </w:r>
      <w:r w:rsidRPr="000E0F90">
        <w:rPr>
          <w:rFonts w:ascii="Arial" w:hAnsi="Arial" w:cs="Arial"/>
          <w:color w:val="000000" w:themeColor="text1"/>
        </w:rPr>
        <w:t xml:space="preserve">información, potencialmente  deteriorante  del  entorno,  </w:t>
      </w:r>
      <w:r w:rsidR="00B34E48" w:rsidRPr="000E0F90">
        <w:rPr>
          <w:rFonts w:ascii="Arial" w:hAnsi="Arial" w:cs="Arial"/>
          <w:color w:val="000000" w:themeColor="text1"/>
        </w:rPr>
        <w:t>no obstante se identifica</w:t>
      </w:r>
      <w:r w:rsidRPr="000E0F90">
        <w:rPr>
          <w:rFonts w:ascii="Arial" w:hAnsi="Arial" w:cs="Arial"/>
          <w:color w:val="000000" w:themeColor="text1"/>
        </w:rPr>
        <w:t xml:space="preserve"> como una oportunidad de tener trabajo y movimiento en sus localidades</w:t>
      </w:r>
      <w:r w:rsidR="00B34E48" w:rsidRPr="000E0F90">
        <w:rPr>
          <w:rFonts w:ascii="Arial" w:hAnsi="Arial" w:cs="Arial"/>
          <w:color w:val="000000" w:themeColor="text1"/>
        </w:rPr>
        <w:t xml:space="preserve"> y consiguiente mejoramiento de la calidad de vida</w:t>
      </w:r>
      <w:r w:rsidR="00E9015B" w:rsidRPr="000E0F90">
        <w:rPr>
          <w:rFonts w:ascii="Arial" w:hAnsi="Arial" w:cs="Arial"/>
          <w:color w:val="000000" w:themeColor="text1"/>
        </w:rPr>
        <w:t>; asimismo se señala como conflictiva entre la gran minería y la pequeña minería local</w:t>
      </w:r>
      <w:r w:rsidR="00F7220D">
        <w:rPr>
          <w:rFonts w:ascii="Arial" w:hAnsi="Arial" w:cs="Arial"/>
          <w:color w:val="000000" w:themeColor="text1"/>
        </w:rPr>
        <w:t xml:space="preserve"> (Arellano et al., 2013).</w:t>
      </w:r>
    </w:p>
    <w:p w:rsidR="00B920D2" w:rsidRPr="000E0F90" w:rsidRDefault="0059323D" w:rsidP="00702D9A">
      <w:pPr>
        <w:spacing w:before="240" w:line="360" w:lineRule="auto"/>
        <w:rPr>
          <w:rFonts w:ascii="Arial" w:hAnsi="Arial" w:cs="Arial"/>
          <w:color w:val="000000" w:themeColor="text1"/>
        </w:rPr>
      </w:pPr>
      <w:r w:rsidRPr="000E0F90">
        <w:rPr>
          <w:rFonts w:ascii="Arial" w:hAnsi="Arial" w:cs="Arial"/>
          <w:color w:val="000000" w:themeColor="text1"/>
        </w:rPr>
        <w:t>Por otro lado</w:t>
      </w:r>
      <w:r w:rsidR="00A76EDF" w:rsidRPr="000E0F90">
        <w:rPr>
          <w:rFonts w:ascii="Arial" w:hAnsi="Arial" w:cs="Arial"/>
          <w:color w:val="000000" w:themeColor="text1"/>
        </w:rPr>
        <w:t>, se pudiese señalar que la minera no se ha logrado vincular integralmente al territorio, dado que se visualiza que es un actor que sólo considera el valor económico del territorio. Esto queda de manifiesto co</w:t>
      </w:r>
      <w:r w:rsidR="0097723D" w:rsidRPr="000E0F90">
        <w:rPr>
          <w:rFonts w:ascii="Arial" w:hAnsi="Arial" w:cs="Arial"/>
          <w:color w:val="000000" w:themeColor="text1"/>
        </w:rPr>
        <w:t xml:space="preserve">n la entrevista de Sonia Tapia, donde relata: </w:t>
      </w:r>
      <w:r w:rsidR="0097723D" w:rsidRPr="000E0F90">
        <w:rPr>
          <w:rFonts w:ascii="Arial" w:hAnsi="Arial" w:cs="Arial"/>
          <w:i/>
          <w:color w:val="000000" w:themeColor="text1"/>
        </w:rPr>
        <w:t xml:space="preserve">“Ellos, quieren ganar ellos no más. No, no les importa. Porque yo he escuchado por ahí, que los dueños de Pelambre, </w:t>
      </w:r>
      <w:r w:rsidR="004515C9" w:rsidRPr="000E0F90">
        <w:rPr>
          <w:rFonts w:ascii="Arial" w:hAnsi="Arial" w:cs="Arial"/>
          <w:i/>
          <w:color w:val="000000" w:themeColor="text1"/>
        </w:rPr>
        <w:t>quieren comprar entero Cuncumé</w:t>
      </w:r>
      <w:r w:rsidR="0097723D" w:rsidRPr="000E0F90">
        <w:rPr>
          <w:rFonts w:ascii="Arial" w:hAnsi="Arial" w:cs="Arial"/>
          <w:i/>
          <w:color w:val="000000" w:themeColor="text1"/>
        </w:rPr>
        <w:t xml:space="preserve">n”. </w:t>
      </w:r>
      <w:r w:rsidR="00B920D2" w:rsidRPr="000E0F90">
        <w:rPr>
          <w:rFonts w:ascii="Arial" w:hAnsi="Arial" w:cs="Arial"/>
          <w:color w:val="000000" w:themeColor="text1"/>
        </w:rPr>
        <w:t>Esto se</w:t>
      </w:r>
      <w:r w:rsidR="00B762A0" w:rsidRPr="000E0F90">
        <w:rPr>
          <w:rFonts w:ascii="Arial" w:hAnsi="Arial" w:cs="Arial"/>
          <w:color w:val="000000" w:themeColor="text1"/>
        </w:rPr>
        <w:t xml:space="preserve"> ajusta a</w:t>
      </w:r>
      <w:r w:rsidR="00B920D2" w:rsidRPr="000E0F90">
        <w:rPr>
          <w:rFonts w:ascii="Arial" w:hAnsi="Arial" w:cs="Arial"/>
          <w:color w:val="000000" w:themeColor="text1"/>
        </w:rPr>
        <w:t xml:space="preserve"> lo que expone </w:t>
      </w:r>
      <w:sdt>
        <w:sdtPr>
          <w:rPr>
            <w:rFonts w:ascii="Arial" w:hAnsi="Arial" w:cs="Arial"/>
            <w:color w:val="000000" w:themeColor="text1"/>
          </w:rPr>
          <w:id w:val="787859177"/>
          <w:citation/>
        </w:sdtPr>
        <w:sdtEndPr/>
        <w:sdtContent>
          <w:r w:rsidR="00B762A0" w:rsidRPr="000E0F90">
            <w:rPr>
              <w:rFonts w:ascii="Arial" w:hAnsi="Arial" w:cs="Arial"/>
              <w:color w:val="000000" w:themeColor="text1"/>
            </w:rPr>
            <w:fldChar w:fldCharType="begin"/>
          </w:r>
          <w:r w:rsidR="00482E08" w:rsidRPr="000E0F90">
            <w:rPr>
              <w:rFonts w:ascii="Arial" w:hAnsi="Arial" w:cs="Arial"/>
              <w:color w:val="000000" w:themeColor="text1"/>
            </w:rPr>
            <w:instrText xml:space="preserve">CITATION Are13 \t  \l 13322 </w:instrText>
          </w:r>
          <w:r w:rsidR="00B762A0" w:rsidRPr="000E0F90">
            <w:rPr>
              <w:rFonts w:ascii="Arial" w:hAnsi="Arial" w:cs="Arial"/>
              <w:color w:val="000000" w:themeColor="text1"/>
            </w:rPr>
            <w:fldChar w:fldCharType="separate"/>
          </w:r>
          <w:r w:rsidR="008D0261" w:rsidRPr="000E0F90">
            <w:rPr>
              <w:rFonts w:ascii="Arial" w:hAnsi="Arial" w:cs="Arial"/>
              <w:noProof/>
              <w:color w:val="000000" w:themeColor="text1"/>
            </w:rPr>
            <w:t>(Arellano, Gastó, Gálvez, Subercauseaux, Toledo, &amp; Miranda, 2013)</w:t>
          </w:r>
          <w:r w:rsidR="00B762A0" w:rsidRPr="000E0F90">
            <w:rPr>
              <w:rFonts w:ascii="Arial" w:hAnsi="Arial" w:cs="Arial"/>
              <w:color w:val="000000" w:themeColor="text1"/>
            </w:rPr>
            <w:fldChar w:fldCharType="end"/>
          </w:r>
        </w:sdtContent>
      </w:sdt>
      <w:r w:rsidR="00B762A0" w:rsidRPr="000E0F90">
        <w:rPr>
          <w:rFonts w:ascii="Arial" w:hAnsi="Arial" w:cs="Arial"/>
          <w:color w:val="000000" w:themeColor="text1"/>
        </w:rPr>
        <w:t xml:space="preserve"> </w:t>
      </w:r>
      <w:r w:rsidR="00B920D2" w:rsidRPr="000E0F90">
        <w:rPr>
          <w:rFonts w:ascii="Arial" w:hAnsi="Arial" w:cs="Arial"/>
          <w:color w:val="000000" w:themeColor="text1"/>
        </w:rPr>
        <w:t xml:space="preserve">en relación la imagen que proyecta la minería, la cual no se considera como un agente que puede ser un conductor de cambio de la comuna hacia un estado mejor y </w:t>
      </w:r>
      <w:r w:rsidR="00F35BB8" w:rsidRPr="000E0F90">
        <w:rPr>
          <w:rFonts w:ascii="Arial" w:hAnsi="Arial" w:cs="Arial"/>
          <w:color w:val="000000" w:themeColor="text1"/>
        </w:rPr>
        <w:t>sostenible</w:t>
      </w:r>
      <w:r w:rsidR="00B920D2" w:rsidRPr="000E0F90">
        <w:rPr>
          <w:rFonts w:ascii="Arial" w:hAnsi="Arial" w:cs="Arial"/>
          <w:color w:val="000000" w:themeColor="text1"/>
        </w:rPr>
        <w:t>.</w:t>
      </w:r>
    </w:p>
    <w:p w:rsidR="00A76EDF" w:rsidRPr="000E0F90" w:rsidRDefault="00A66196" w:rsidP="00702D9A">
      <w:pPr>
        <w:spacing w:before="240" w:after="0" w:line="360" w:lineRule="auto"/>
        <w:rPr>
          <w:rFonts w:ascii="Arial" w:hAnsi="Arial" w:cs="Arial"/>
          <w:b/>
          <w:color w:val="000000" w:themeColor="text1"/>
        </w:rPr>
      </w:pPr>
      <w:r w:rsidRPr="000E0F90">
        <w:rPr>
          <w:rFonts w:ascii="Arial" w:hAnsi="Arial" w:cs="Arial"/>
          <w:b/>
          <w:color w:val="000000" w:themeColor="text1"/>
        </w:rPr>
        <w:t>Relación</w:t>
      </w:r>
      <w:r w:rsidR="00A76EDF" w:rsidRPr="000E0F90">
        <w:rPr>
          <w:rFonts w:ascii="Arial" w:hAnsi="Arial" w:cs="Arial"/>
          <w:b/>
          <w:color w:val="000000" w:themeColor="text1"/>
        </w:rPr>
        <w:t xml:space="preserve"> Minera – Comunidades/Minera - Empresas</w:t>
      </w:r>
    </w:p>
    <w:p w:rsidR="002C771E" w:rsidRPr="000E0F90" w:rsidRDefault="009821DE" w:rsidP="00702D9A">
      <w:pPr>
        <w:spacing w:line="360" w:lineRule="auto"/>
        <w:rPr>
          <w:rFonts w:ascii="Arial" w:hAnsi="Arial" w:cs="Arial"/>
          <w:color w:val="000000" w:themeColor="text1"/>
        </w:rPr>
      </w:pPr>
      <w:r w:rsidRPr="000E0F90">
        <w:rPr>
          <w:rFonts w:ascii="Arial" w:hAnsi="Arial" w:cs="Arial"/>
          <w:color w:val="000000" w:themeColor="text1"/>
        </w:rPr>
        <w:t>De acuerdo a lo señalado por los entrevistados, las mineras se relacionan con la comunidad mediante la entrega de ayudas</w:t>
      </w:r>
      <w:r w:rsidR="004515C9" w:rsidRPr="000E0F90">
        <w:rPr>
          <w:rFonts w:ascii="Arial" w:hAnsi="Arial" w:cs="Arial"/>
          <w:color w:val="000000" w:themeColor="text1"/>
        </w:rPr>
        <w:t xml:space="preserve"> </w:t>
      </w:r>
      <w:r w:rsidR="002C771E" w:rsidRPr="000E0F90">
        <w:rPr>
          <w:rFonts w:ascii="Arial" w:hAnsi="Arial" w:cs="Arial"/>
          <w:color w:val="000000" w:themeColor="text1"/>
        </w:rPr>
        <w:t xml:space="preserve">sociales, como describe Sonia Tapia: </w:t>
      </w:r>
      <w:r w:rsidR="002C771E" w:rsidRPr="000E0F90">
        <w:rPr>
          <w:rFonts w:ascii="Arial" w:hAnsi="Arial" w:cs="Arial"/>
          <w:i/>
          <w:color w:val="000000" w:themeColor="text1"/>
        </w:rPr>
        <w:t>Aquí, en la escuela renovaron unos baños, hicieron el techado, creo que lo hicieron con escenario…Si piden ayuda de algún vehículo pa’ transportar los niños también lo hacen. O sea, por ejemplo, fin de semana, un bus</w:t>
      </w:r>
      <w:r w:rsidR="002C771E" w:rsidRPr="000E0F90">
        <w:rPr>
          <w:rFonts w:ascii="Arial" w:hAnsi="Arial" w:cs="Arial"/>
          <w:color w:val="000000" w:themeColor="text1"/>
        </w:rPr>
        <w:t xml:space="preserve"> (Sonia Tapía, Cuncumen)</w:t>
      </w:r>
      <w:r w:rsidR="00DB2C5F" w:rsidRPr="000E0F90">
        <w:rPr>
          <w:rFonts w:ascii="Arial" w:hAnsi="Arial" w:cs="Arial"/>
          <w:color w:val="000000" w:themeColor="text1"/>
        </w:rPr>
        <w:t xml:space="preserve">. </w:t>
      </w:r>
      <w:r w:rsidR="002C771E" w:rsidRPr="000E0F90">
        <w:rPr>
          <w:rFonts w:ascii="Arial" w:hAnsi="Arial" w:cs="Arial"/>
          <w:color w:val="000000" w:themeColor="text1"/>
        </w:rPr>
        <w:t>Situación que se señala, ha ido desencadenando una dependencia monetaria con la minera, como lo manifiesta acertadamente Marcelo Gomolán, “</w:t>
      </w:r>
      <w:r w:rsidR="002C771E" w:rsidRPr="000E0F90">
        <w:rPr>
          <w:rFonts w:ascii="Arial" w:hAnsi="Arial" w:cs="Arial"/>
          <w:i/>
          <w:color w:val="000000" w:themeColor="text1"/>
        </w:rPr>
        <w:t>la gente aquí se ha metalizado</w:t>
      </w:r>
      <w:r w:rsidR="002C771E" w:rsidRPr="000E0F90">
        <w:rPr>
          <w:rFonts w:ascii="Arial" w:hAnsi="Arial" w:cs="Arial"/>
          <w:color w:val="000000" w:themeColor="text1"/>
        </w:rPr>
        <w:t xml:space="preserve">”,  lo cual se refiere a un acostumbramiento a no esforzarse para obtener beneficios, dado por una política netamente asistencialista. </w:t>
      </w:r>
    </w:p>
    <w:p w:rsidR="002C771E" w:rsidRPr="000E0F90" w:rsidRDefault="002C771E" w:rsidP="00702D9A">
      <w:pPr>
        <w:spacing w:line="360" w:lineRule="auto"/>
        <w:rPr>
          <w:rFonts w:ascii="Arial" w:hAnsi="Arial" w:cs="Arial"/>
          <w:color w:val="000000" w:themeColor="text1"/>
        </w:rPr>
      </w:pPr>
      <w:r w:rsidRPr="000E0F90">
        <w:rPr>
          <w:rFonts w:ascii="Arial" w:hAnsi="Arial" w:cs="Arial"/>
          <w:color w:val="000000" w:themeColor="text1"/>
        </w:rPr>
        <w:t xml:space="preserve">En la comuna de Salamanca Fundación Minera Los Pelambres, enfoca su trabajo en tres áreas: Desarrollo Productivo, Riego y Educación (Manuel Farías). Apoyando al </w:t>
      </w:r>
      <w:r w:rsidR="004515C9" w:rsidRPr="000E0F90">
        <w:rPr>
          <w:rFonts w:ascii="Arial" w:hAnsi="Arial" w:cs="Arial"/>
          <w:color w:val="000000" w:themeColor="text1"/>
        </w:rPr>
        <w:t>fomento productivo agrícola mediante</w:t>
      </w:r>
      <w:r w:rsidRPr="000E0F90">
        <w:rPr>
          <w:rFonts w:ascii="Arial" w:hAnsi="Arial" w:cs="Arial"/>
          <w:color w:val="000000" w:themeColor="text1"/>
        </w:rPr>
        <w:t xml:space="preserve"> el establecimiento de Cooperativas de fomento productivo (i.e. Cooperativa de Desarrollo Sustentable). Las cuales entregan ayuda en </w:t>
      </w:r>
      <w:r w:rsidRPr="000E0F90">
        <w:rPr>
          <w:rFonts w:ascii="Arial" w:hAnsi="Arial" w:cs="Arial"/>
          <w:color w:val="000000" w:themeColor="text1"/>
        </w:rPr>
        <w:lastRenderedPageBreak/>
        <w:t>fertilizantes, agroquímicos, así como el cofinanciamiento de proyectos de tecnologías de riego a través, capacitaciones, entre otros aportes (Marcel Gomolán, Salamanca).</w:t>
      </w:r>
    </w:p>
    <w:p w:rsidR="002C771E" w:rsidRPr="000E0F90" w:rsidRDefault="002C771E" w:rsidP="00702D9A">
      <w:pPr>
        <w:spacing w:line="360" w:lineRule="auto"/>
        <w:rPr>
          <w:rFonts w:ascii="Arial" w:hAnsi="Arial" w:cs="Arial"/>
          <w:i/>
          <w:color w:val="000000" w:themeColor="text1"/>
        </w:rPr>
      </w:pPr>
      <w:r w:rsidRPr="000E0F90">
        <w:rPr>
          <w:rFonts w:ascii="Arial" w:hAnsi="Arial" w:cs="Arial"/>
          <w:color w:val="000000" w:themeColor="text1"/>
        </w:rPr>
        <w:t xml:space="preserve">Además de las cooperativas se han creado mesas con carácter resolutivo, de los principales impactos que se perciben en la comunidad, como ha sido la Mesa del Polvo, en donde el monitoreo se realiza por parte de las comunidades, sin embargo, éste no se ha podido realizar cabalmente dado la dificultad para realizar monitoreos en forma permanente. Como lo señala Marcel Gomolán: </w:t>
      </w:r>
      <w:r w:rsidRPr="000E0F90">
        <w:rPr>
          <w:rFonts w:ascii="Arial" w:hAnsi="Arial" w:cs="Arial"/>
          <w:i/>
          <w:color w:val="000000" w:themeColor="text1"/>
        </w:rPr>
        <w:t>“Hay una mesa “Del Polvo” que se llama, que hay una agrupación de gente de Tranquilla, de Cuncumén, de Batuco, de los sectores. Supuestamente ellos deberían, entre comillas, subir en la noche y monitorear. Pero se han encontrado que en la noche hay cero opción de</w:t>
      </w:r>
      <w:proofErr w:type="gramStart"/>
      <w:r w:rsidRPr="000E0F90">
        <w:rPr>
          <w:rFonts w:ascii="Arial" w:hAnsi="Arial" w:cs="Arial"/>
          <w:i/>
          <w:color w:val="000000" w:themeColor="text1"/>
        </w:rPr>
        <w:t>…(</w:t>
      </w:r>
      <w:proofErr w:type="gramEnd"/>
      <w:r w:rsidRPr="000E0F90">
        <w:rPr>
          <w:rFonts w:ascii="Arial" w:hAnsi="Arial" w:cs="Arial"/>
          <w:i/>
          <w:color w:val="000000" w:themeColor="text1"/>
        </w:rPr>
        <w:t>monitorear)”</w:t>
      </w:r>
    </w:p>
    <w:p w:rsidR="002C771E" w:rsidRPr="000E0F90" w:rsidRDefault="002C771E" w:rsidP="00702D9A">
      <w:pPr>
        <w:spacing w:line="360" w:lineRule="auto"/>
        <w:rPr>
          <w:rFonts w:ascii="Arial" w:hAnsi="Arial" w:cs="Arial"/>
          <w:color w:val="000000" w:themeColor="text1"/>
          <w:sz w:val="24"/>
          <w:szCs w:val="24"/>
        </w:rPr>
      </w:pPr>
      <w:r w:rsidRPr="000E0F90">
        <w:rPr>
          <w:rFonts w:ascii="Arial" w:hAnsi="Arial" w:cs="Arial"/>
          <w:color w:val="000000" w:themeColor="text1"/>
        </w:rPr>
        <w:t>Sin embargo, aspectos verdaderamente relevantes para la comunidad, como es la contratación de mano de obra local por parte de la minera, no ha logrado ser abordado por la minera. Lo que se evidencia con la toma y corte de caminos recurrente hacia la minera.</w:t>
      </w:r>
    </w:p>
    <w:p w:rsidR="002C771E" w:rsidRPr="000E0F90" w:rsidRDefault="002C771E" w:rsidP="00702D9A">
      <w:pPr>
        <w:spacing w:line="360" w:lineRule="auto"/>
        <w:rPr>
          <w:rFonts w:ascii="Arial" w:hAnsi="Arial" w:cs="Arial"/>
          <w:color w:val="000000" w:themeColor="text1"/>
        </w:rPr>
      </w:pPr>
      <w:r w:rsidRPr="000E0F90">
        <w:rPr>
          <w:rFonts w:ascii="Arial" w:hAnsi="Arial" w:cs="Arial"/>
          <w:color w:val="000000" w:themeColor="text1"/>
        </w:rPr>
        <w:t>Esta</w:t>
      </w:r>
      <w:r w:rsidR="00052F26" w:rsidRPr="000E0F90">
        <w:rPr>
          <w:rFonts w:ascii="Arial" w:hAnsi="Arial" w:cs="Arial"/>
          <w:color w:val="000000" w:themeColor="text1"/>
        </w:rPr>
        <w:t xml:space="preserve"> forma </w:t>
      </w:r>
      <w:r w:rsidRPr="000E0F90">
        <w:rPr>
          <w:rFonts w:ascii="Arial" w:hAnsi="Arial" w:cs="Arial"/>
          <w:color w:val="000000" w:themeColor="text1"/>
        </w:rPr>
        <w:t>de</w:t>
      </w:r>
      <w:r w:rsidR="00052F26" w:rsidRPr="000E0F90">
        <w:rPr>
          <w:rFonts w:ascii="Arial" w:hAnsi="Arial" w:cs="Arial"/>
          <w:color w:val="000000" w:themeColor="text1"/>
        </w:rPr>
        <w:t xml:space="preserve"> relacionarse</w:t>
      </w:r>
      <w:r w:rsidRPr="000E0F90">
        <w:rPr>
          <w:rFonts w:ascii="Arial" w:hAnsi="Arial" w:cs="Arial"/>
          <w:color w:val="000000" w:themeColor="text1"/>
        </w:rPr>
        <w:t>,</w:t>
      </w:r>
      <w:r w:rsidR="00052F26" w:rsidRPr="000E0F90">
        <w:rPr>
          <w:rFonts w:ascii="Arial" w:hAnsi="Arial" w:cs="Arial"/>
          <w:color w:val="000000" w:themeColor="text1"/>
        </w:rPr>
        <w:t xml:space="preserve"> se manifiesta que la relación de las mineras es únicamente con los pobladores que no generan conflicto, dejando de lado a las personas con las que se mantienen conflictos</w:t>
      </w:r>
      <w:r w:rsidR="00482E08" w:rsidRPr="000E0F90">
        <w:rPr>
          <w:rFonts w:ascii="Arial" w:hAnsi="Arial" w:cs="Arial"/>
          <w:color w:val="000000" w:themeColor="text1"/>
        </w:rPr>
        <w:t xml:space="preserve">. Como lo plantea Sonia Tapia: </w:t>
      </w:r>
      <w:r w:rsidR="00482E08" w:rsidRPr="000E0F90">
        <w:rPr>
          <w:rFonts w:ascii="Arial" w:hAnsi="Arial" w:cs="Arial"/>
          <w:i/>
          <w:color w:val="000000" w:themeColor="text1"/>
        </w:rPr>
        <w:t>“Mire, lo que pasa que aquí con Pelambres, eso es lo malo que yo hayo. Tanto la comunidad, como a los jefes de Pelambres, porque citan a algunas personas a reunión no más. Cuando hay reunión. No citan a todas…Con los que se llevan bien, los que están a favor a ellos. Pero yo por lo menos, a mí nunca me han citado a una reunión con Pelambre, ni nada. Yo no estoy…”</w:t>
      </w:r>
      <w:r w:rsidRPr="000E0F90">
        <w:rPr>
          <w:rFonts w:ascii="Arial" w:hAnsi="Arial" w:cs="Arial"/>
          <w:i/>
          <w:color w:val="000000" w:themeColor="text1"/>
        </w:rPr>
        <w:t xml:space="preserve"> </w:t>
      </w:r>
      <w:r w:rsidR="00052F26" w:rsidRPr="000E0F90">
        <w:rPr>
          <w:rFonts w:ascii="Arial" w:hAnsi="Arial" w:cs="Arial"/>
          <w:color w:val="000000" w:themeColor="text1"/>
        </w:rPr>
        <w:t xml:space="preserve">Por otra parte, se señala </w:t>
      </w:r>
      <w:r w:rsidR="00C914D1" w:rsidRPr="000E0F90">
        <w:rPr>
          <w:rFonts w:ascii="Arial" w:hAnsi="Arial" w:cs="Arial"/>
          <w:color w:val="000000" w:themeColor="text1"/>
        </w:rPr>
        <w:t xml:space="preserve">la falta de igualdad en la entrega de los beneficios, señalando que las ayudas siempre benefician a las mismas personas. </w:t>
      </w:r>
      <w:r w:rsidR="00A66196" w:rsidRPr="000E0F90">
        <w:rPr>
          <w:rFonts w:ascii="Arial" w:hAnsi="Arial" w:cs="Arial"/>
          <w:color w:val="000000" w:themeColor="text1"/>
        </w:rPr>
        <w:t>O bien las ayudas que se entregan no concuerdan con las necesidades de la comunidad lo que va generando un desgaste en la confianza y desinterés en participar en estas organizaciones de fomento</w:t>
      </w:r>
      <w:r w:rsidR="00922D3E" w:rsidRPr="000E0F90">
        <w:rPr>
          <w:rFonts w:ascii="Arial" w:hAnsi="Arial" w:cs="Arial"/>
          <w:color w:val="000000" w:themeColor="text1"/>
        </w:rPr>
        <w:t xml:space="preserve"> (Sonia Tapia, Cuncumén)</w:t>
      </w:r>
      <w:r w:rsidR="00A66196" w:rsidRPr="000E0F90">
        <w:rPr>
          <w:rFonts w:ascii="Arial" w:hAnsi="Arial" w:cs="Arial"/>
          <w:color w:val="000000" w:themeColor="text1"/>
        </w:rPr>
        <w:t xml:space="preserve">. </w:t>
      </w:r>
    </w:p>
    <w:p w:rsidR="00052F26" w:rsidRPr="000E0F90" w:rsidRDefault="00CE5DDA" w:rsidP="00702D9A">
      <w:pPr>
        <w:spacing w:line="360" w:lineRule="auto"/>
        <w:rPr>
          <w:rFonts w:ascii="Arial" w:hAnsi="Arial" w:cs="Arial"/>
          <w:color w:val="000000" w:themeColor="text1"/>
        </w:rPr>
      </w:pPr>
      <w:r w:rsidRPr="000E0F90">
        <w:rPr>
          <w:rFonts w:ascii="Arial" w:hAnsi="Arial" w:cs="Arial"/>
          <w:color w:val="000000" w:themeColor="text1"/>
        </w:rPr>
        <w:t>Esta situación se puede explicar, en parte, por lo expuesto por Manuel Farías, el cual señala como una crítica al relacionamiento con las</w:t>
      </w:r>
      <w:r w:rsidR="00922D3E" w:rsidRPr="000E0F90">
        <w:rPr>
          <w:rFonts w:ascii="Arial" w:hAnsi="Arial" w:cs="Arial"/>
          <w:color w:val="000000" w:themeColor="text1"/>
        </w:rPr>
        <w:t xml:space="preserve"> comunidades que estableció La F</w:t>
      </w:r>
      <w:r w:rsidRPr="000E0F90">
        <w:rPr>
          <w:rFonts w:ascii="Arial" w:hAnsi="Arial" w:cs="Arial"/>
          <w:color w:val="000000" w:themeColor="text1"/>
        </w:rPr>
        <w:t>undación, la falta de un proceso inclusivo al momento de identificar las prioridades locales, lo cual se realizó desde la mirada de las mineras únicamente</w:t>
      </w:r>
      <w:r w:rsidR="00922D3E" w:rsidRPr="000E0F90">
        <w:rPr>
          <w:rFonts w:ascii="Arial" w:hAnsi="Arial" w:cs="Arial"/>
          <w:color w:val="000000" w:themeColor="text1"/>
        </w:rPr>
        <w:t>.</w:t>
      </w:r>
    </w:p>
    <w:p w:rsidR="00922D3E" w:rsidRPr="000E0F90" w:rsidRDefault="003C20AA" w:rsidP="00702D9A">
      <w:pPr>
        <w:spacing w:line="360" w:lineRule="auto"/>
        <w:rPr>
          <w:rFonts w:ascii="Arial" w:hAnsi="Arial" w:cs="Arial"/>
          <w:bCs/>
          <w:color w:val="000000" w:themeColor="text1"/>
        </w:rPr>
      </w:pPr>
      <w:r w:rsidRPr="000E0F90">
        <w:rPr>
          <w:rFonts w:ascii="Arial" w:hAnsi="Arial" w:cs="Arial"/>
          <w:bCs/>
          <w:color w:val="000000" w:themeColor="text1"/>
        </w:rPr>
        <w:lastRenderedPageBreak/>
        <w:t xml:space="preserve">Un punto relevante en la relación con de las mineras con las comunidades, es la generación de confianzas entre las partes, lo cual se ha evidenciado como una dificultad recurrente en dicha relación. En particular, demostrar que la minera cumple las normas o compromisos en materia medioambiental, dado que se asume que la minera manipula la información cuando cumple las normas. </w:t>
      </w:r>
      <w:r w:rsidR="00CA0B4D" w:rsidRPr="000E0F90">
        <w:rPr>
          <w:rFonts w:ascii="Arial" w:hAnsi="Arial" w:cs="Arial"/>
          <w:bCs/>
          <w:color w:val="000000" w:themeColor="text1"/>
        </w:rPr>
        <w:t>Para ello</w:t>
      </w:r>
      <w:r w:rsidRPr="000E0F90">
        <w:rPr>
          <w:rFonts w:ascii="Arial" w:hAnsi="Arial" w:cs="Arial"/>
          <w:bCs/>
          <w:color w:val="000000" w:themeColor="text1"/>
        </w:rPr>
        <w:t xml:space="preserve"> se requiere que la comunidad se involucre activamente</w:t>
      </w:r>
      <w:r w:rsidR="00922D3E" w:rsidRPr="000E0F90">
        <w:rPr>
          <w:rFonts w:ascii="Arial" w:hAnsi="Arial" w:cs="Arial"/>
          <w:bCs/>
          <w:color w:val="000000" w:themeColor="text1"/>
        </w:rPr>
        <w:t xml:space="preserve"> mediante mayor participación y entrega de capacitación para ello (</w:t>
      </w:r>
      <w:r w:rsidRPr="000E0F90">
        <w:rPr>
          <w:rFonts w:ascii="Arial" w:hAnsi="Arial" w:cs="Arial"/>
          <w:bCs/>
          <w:color w:val="000000" w:themeColor="text1"/>
        </w:rPr>
        <w:t>Manuel Farías</w:t>
      </w:r>
      <w:r w:rsidR="00922D3E" w:rsidRPr="000E0F90">
        <w:rPr>
          <w:rFonts w:ascii="Arial" w:hAnsi="Arial" w:cs="Arial"/>
          <w:bCs/>
          <w:color w:val="000000" w:themeColor="text1"/>
        </w:rPr>
        <w:t>, ex gerente FMLP).</w:t>
      </w:r>
    </w:p>
    <w:p w:rsidR="009821DE" w:rsidRPr="000E0F90" w:rsidRDefault="00CA0B4D" w:rsidP="00702D9A">
      <w:pPr>
        <w:spacing w:line="360" w:lineRule="auto"/>
        <w:rPr>
          <w:rFonts w:ascii="Arial" w:hAnsi="Arial" w:cs="Arial"/>
          <w:color w:val="000000" w:themeColor="text1"/>
        </w:rPr>
      </w:pPr>
      <w:r w:rsidRPr="000E0F90">
        <w:rPr>
          <w:rFonts w:ascii="Arial" w:hAnsi="Arial" w:cs="Arial"/>
          <w:color w:val="000000" w:themeColor="text1"/>
        </w:rPr>
        <w:t>Por otra parte, s</w:t>
      </w:r>
      <w:r w:rsidR="00C1022F" w:rsidRPr="000E0F90">
        <w:rPr>
          <w:rFonts w:ascii="Arial" w:hAnsi="Arial" w:cs="Arial"/>
          <w:color w:val="000000" w:themeColor="text1"/>
        </w:rPr>
        <w:t xml:space="preserve">e ha manifestado </w:t>
      </w:r>
      <w:r w:rsidR="00A66196" w:rsidRPr="000E0F90">
        <w:rPr>
          <w:rFonts w:ascii="Arial" w:hAnsi="Arial" w:cs="Arial"/>
          <w:color w:val="000000" w:themeColor="text1"/>
        </w:rPr>
        <w:t xml:space="preserve">interés </w:t>
      </w:r>
      <w:r w:rsidR="00C1022F" w:rsidRPr="000E0F90">
        <w:rPr>
          <w:rFonts w:ascii="Arial" w:hAnsi="Arial" w:cs="Arial"/>
          <w:color w:val="000000" w:themeColor="text1"/>
        </w:rPr>
        <w:t xml:space="preserve">por parte de las comunidades que se integren otros actores en la relación minera-comunidades, como son asesores y otras empresas locales, que puedan apoyar a las comunidades </w:t>
      </w:r>
      <w:r w:rsidR="00A66196" w:rsidRPr="000E0F90">
        <w:rPr>
          <w:rFonts w:ascii="Arial" w:hAnsi="Arial" w:cs="Arial"/>
          <w:color w:val="000000" w:themeColor="text1"/>
        </w:rPr>
        <w:t>en ámbitos más técnicos</w:t>
      </w:r>
      <w:r w:rsidR="00C1022F" w:rsidRPr="000E0F90">
        <w:rPr>
          <w:rFonts w:ascii="Arial" w:hAnsi="Arial" w:cs="Arial"/>
          <w:color w:val="000000" w:themeColor="text1"/>
        </w:rPr>
        <w:t>, sin embargo no ha existido voluntad por parte de las mineras</w:t>
      </w:r>
      <w:r w:rsidR="00922D3E" w:rsidRPr="000E0F90">
        <w:rPr>
          <w:rFonts w:ascii="Arial" w:hAnsi="Arial" w:cs="Arial"/>
          <w:color w:val="000000" w:themeColor="text1"/>
        </w:rPr>
        <w:t xml:space="preserve">. </w:t>
      </w:r>
      <w:r w:rsidR="00175026" w:rsidRPr="000E0F90">
        <w:rPr>
          <w:rFonts w:ascii="Arial" w:hAnsi="Arial" w:cs="Arial"/>
          <w:color w:val="000000" w:themeColor="text1"/>
        </w:rPr>
        <w:t xml:space="preserve">No obstante, </w:t>
      </w:r>
      <w:r w:rsidR="00101D43" w:rsidRPr="000E0F90">
        <w:rPr>
          <w:rFonts w:ascii="Arial" w:hAnsi="Arial" w:cs="Arial"/>
          <w:color w:val="000000" w:themeColor="text1"/>
        </w:rPr>
        <w:t>por parte de la F</w:t>
      </w:r>
      <w:r w:rsidR="00175026" w:rsidRPr="000E0F90">
        <w:rPr>
          <w:rFonts w:ascii="Arial" w:hAnsi="Arial" w:cs="Arial"/>
          <w:color w:val="000000" w:themeColor="text1"/>
        </w:rPr>
        <w:t xml:space="preserve">undación se ha declarado que la relación que buscan establecer con la comunidad, incluiría el </w:t>
      </w:r>
      <w:r w:rsidR="000F5891" w:rsidRPr="000E0F90">
        <w:rPr>
          <w:rFonts w:ascii="Arial" w:hAnsi="Arial" w:cs="Arial"/>
          <w:color w:val="000000" w:themeColor="text1"/>
        </w:rPr>
        <w:t>E</w:t>
      </w:r>
      <w:r w:rsidR="00175026" w:rsidRPr="000E0F90">
        <w:rPr>
          <w:rFonts w:ascii="Arial" w:hAnsi="Arial" w:cs="Arial"/>
          <w:color w:val="000000" w:themeColor="text1"/>
        </w:rPr>
        <w:t>stado al igual que un organismo neutral, como son los centros de estudios y universidades.</w:t>
      </w:r>
    </w:p>
    <w:p w:rsidR="00D541A5" w:rsidRPr="000E0F90" w:rsidRDefault="00CA0B4D" w:rsidP="00702D9A">
      <w:pPr>
        <w:spacing w:line="360" w:lineRule="auto"/>
        <w:rPr>
          <w:rFonts w:ascii="Arial" w:hAnsi="Arial" w:cs="Arial"/>
          <w:color w:val="000000" w:themeColor="text1"/>
        </w:rPr>
      </w:pPr>
      <w:r w:rsidRPr="000E0F90">
        <w:rPr>
          <w:rFonts w:ascii="Arial" w:hAnsi="Arial" w:cs="Arial"/>
          <w:color w:val="000000" w:themeColor="text1"/>
        </w:rPr>
        <w:t>C</w:t>
      </w:r>
      <w:r w:rsidR="00D541A5" w:rsidRPr="000E0F90">
        <w:rPr>
          <w:rFonts w:ascii="Arial" w:hAnsi="Arial" w:cs="Arial"/>
          <w:color w:val="000000" w:themeColor="text1"/>
        </w:rPr>
        <w:t xml:space="preserve">abe señalar las apreciaciones del Servicio de Evaluación, desde donde se señala que en general la minera establece una relación con la comunidad que le permita únicamente iniciar las operaciones, </w:t>
      </w:r>
      <w:r w:rsidR="006C6A4A" w:rsidRPr="000E0F90">
        <w:rPr>
          <w:rFonts w:ascii="Arial" w:hAnsi="Arial" w:cs="Arial"/>
          <w:color w:val="000000" w:themeColor="text1"/>
        </w:rPr>
        <w:t xml:space="preserve">particularmente para la aprobación del Estudio de Impacto Ambiental, </w:t>
      </w:r>
      <w:r w:rsidR="00D541A5" w:rsidRPr="000E0F90">
        <w:rPr>
          <w:rFonts w:ascii="Arial" w:hAnsi="Arial" w:cs="Arial"/>
          <w:color w:val="000000" w:themeColor="text1"/>
        </w:rPr>
        <w:t xml:space="preserve">sin considerar la ejecución y cierre del proyecto. </w:t>
      </w:r>
      <w:r w:rsidR="00DB2C5F" w:rsidRPr="000E0F90">
        <w:rPr>
          <w:rFonts w:ascii="Arial" w:hAnsi="Arial" w:cs="Arial"/>
          <w:color w:val="000000" w:themeColor="text1"/>
        </w:rPr>
        <w:t xml:space="preserve">Sin embargo se requieren relaciones reales con la comunidad, puesto que dicha relación </w:t>
      </w:r>
      <w:r w:rsidR="00D541A5" w:rsidRPr="000E0F90">
        <w:rPr>
          <w:rFonts w:ascii="Arial" w:hAnsi="Arial" w:cs="Arial"/>
          <w:color w:val="000000" w:themeColor="text1"/>
        </w:rPr>
        <w:t>está en constante cambio y evolución</w:t>
      </w:r>
      <w:r w:rsidRPr="000E0F90">
        <w:rPr>
          <w:rFonts w:ascii="Arial" w:hAnsi="Arial" w:cs="Arial"/>
          <w:color w:val="000000" w:themeColor="text1"/>
        </w:rPr>
        <w:t xml:space="preserve"> (Pablo Rossel, SEA).</w:t>
      </w:r>
    </w:p>
    <w:p w:rsidR="000A2A53" w:rsidRPr="000E0F90" w:rsidRDefault="000A2A53" w:rsidP="00702D9A">
      <w:pPr>
        <w:spacing w:after="0" w:line="360" w:lineRule="auto"/>
        <w:rPr>
          <w:rFonts w:ascii="Arial" w:hAnsi="Arial" w:cs="Arial"/>
          <w:b/>
          <w:color w:val="000000" w:themeColor="text1"/>
        </w:rPr>
      </w:pPr>
      <w:r w:rsidRPr="000E0F90">
        <w:rPr>
          <w:rFonts w:ascii="Arial" w:hAnsi="Arial" w:cs="Arial"/>
          <w:b/>
          <w:color w:val="000000" w:themeColor="text1"/>
        </w:rPr>
        <w:t>10. Capitalización</w:t>
      </w:r>
    </w:p>
    <w:p w:rsidR="00F7220D" w:rsidRDefault="000A2A53" w:rsidP="00702D9A">
      <w:pPr>
        <w:spacing w:line="360" w:lineRule="auto"/>
        <w:rPr>
          <w:rFonts w:ascii="Arial" w:hAnsi="Arial" w:cs="Arial"/>
          <w:color w:val="000000" w:themeColor="text1"/>
        </w:rPr>
      </w:pPr>
      <w:r w:rsidRPr="000E0F90">
        <w:rPr>
          <w:rFonts w:ascii="Arial" w:hAnsi="Arial" w:cs="Arial"/>
          <w:color w:val="000000" w:themeColor="text1"/>
        </w:rPr>
        <w:t xml:space="preserve">Un tema ausente en las entrevistas, tanto de la comuna de La Higuera como en la comuna de Salamanca es la capitalización de los recursos existentes en el territorio, hacia el propio desarrollo local. </w:t>
      </w:r>
      <w:r w:rsidR="003B1904" w:rsidRPr="000E0F90">
        <w:rPr>
          <w:rFonts w:ascii="Arial" w:hAnsi="Arial" w:cs="Arial"/>
          <w:color w:val="000000" w:themeColor="text1"/>
        </w:rPr>
        <w:t>Como se evidencia en la comuna de La Higuera no existe una visión de generar bienes capitales de las actividades que se desarrollan en el territorio, implicando una visión a corto plazo</w:t>
      </w:r>
      <w:r w:rsidR="00F7220D">
        <w:rPr>
          <w:rFonts w:ascii="Arial" w:hAnsi="Arial" w:cs="Arial"/>
          <w:color w:val="000000" w:themeColor="text1"/>
        </w:rPr>
        <w:t xml:space="preserve"> (Arellano et al., 2013).</w:t>
      </w:r>
    </w:p>
    <w:p w:rsidR="00CA0B4D" w:rsidRPr="000E0F90" w:rsidRDefault="004460F4" w:rsidP="00702D9A">
      <w:pPr>
        <w:spacing w:line="360" w:lineRule="auto"/>
        <w:rPr>
          <w:rFonts w:ascii="Arial" w:hAnsi="Arial" w:cs="Arial"/>
          <w:color w:val="000000" w:themeColor="text1"/>
        </w:rPr>
      </w:pPr>
      <w:r w:rsidRPr="000E0F90">
        <w:rPr>
          <w:rFonts w:ascii="Arial" w:hAnsi="Arial" w:cs="Arial"/>
          <w:color w:val="000000" w:themeColor="text1"/>
        </w:rPr>
        <w:t xml:space="preserve">Por otra parte se manifiesta que </w:t>
      </w:r>
      <w:r w:rsidRPr="000E0F90">
        <w:rPr>
          <w:rFonts w:ascii="Arial" w:hAnsi="Arial" w:cs="Arial"/>
          <w:b/>
          <w:color w:val="000000" w:themeColor="text1"/>
        </w:rPr>
        <w:t>el royalty minero</w:t>
      </w:r>
      <w:r w:rsidRPr="000E0F90">
        <w:rPr>
          <w:rFonts w:ascii="Arial" w:hAnsi="Arial" w:cs="Arial"/>
          <w:color w:val="000000" w:themeColor="text1"/>
        </w:rPr>
        <w:t xml:space="preserve"> debiese actuar como un mecanismo de compensación dirigido principalmente hacia las comunidades afectadas, dado que actualmente </w:t>
      </w:r>
      <w:r w:rsidR="00DB2C5F" w:rsidRPr="000E0F90">
        <w:rPr>
          <w:rFonts w:ascii="Arial" w:hAnsi="Arial" w:cs="Arial"/>
          <w:color w:val="000000" w:themeColor="text1"/>
        </w:rPr>
        <w:t xml:space="preserve">no </w:t>
      </w:r>
      <w:r w:rsidRPr="000E0F90">
        <w:rPr>
          <w:rFonts w:ascii="Arial" w:hAnsi="Arial" w:cs="Arial"/>
          <w:color w:val="000000" w:themeColor="text1"/>
        </w:rPr>
        <w:t xml:space="preserve">se distribuye en las zonas afectadas </w:t>
      </w:r>
      <w:r w:rsidR="00DB2C5F" w:rsidRPr="000E0F90">
        <w:rPr>
          <w:rFonts w:ascii="Arial" w:hAnsi="Arial" w:cs="Arial"/>
          <w:color w:val="000000" w:themeColor="text1"/>
        </w:rPr>
        <w:t>sin</w:t>
      </w:r>
      <w:r w:rsidRPr="000E0F90">
        <w:rPr>
          <w:rFonts w:ascii="Arial" w:hAnsi="Arial" w:cs="Arial"/>
          <w:color w:val="000000" w:themeColor="text1"/>
        </w:rPr>
        <w:t xml:space="preserve"> aborda</w:t>
      </w:r>
      <w:r w:rsidR="00DB2C5F" w:rsidRPr="000E0F90">
        <w:rPr>
          <w:rFonts w:ascii="Arial" w:hAnsi="Arial" w:cs="Arial"/>
          <w:color w:val="000000" w:themeColor="text1"/>
        </w:rPr>
        <w:t>r</w:t>
      </w:r>
      <w:r w:rsidRPr="000E0F90">
        <w:rPr>
          <w:rFonts w:ascii="Arial" w:hAnsi="Arial" w:cs="Arial"/>
          <w:color w:val="000000" w:themeColor="text1"/>
        </w:rPr>
        <w:t xml:space="preserve"> las externalidades negativas locales</w:t>
      </w:r>
      <w:r w:rsidR="00CA0B4D" w:rsidRPr="000E0F90">
        <w:rPr>
          <w:rFonts w:ascii="Arial" w:hAnsi="Arial" w:cs="Arial"/>
          <w:color w:val="000000" w:themeColor="text1"/>
        </w:rPr>
        <w:t xml:space="preserve">. Como lo expone Manuel Farías: </w:t>
      </w:r>
      <w:r w:rsidR="00CA0B4D" w:rsidRPr="000E0F90">
        <w:rPr>
          <w:rFonts w:ascii="Arial" w:hAnsi="Arial" w:cs="Arial"/>
          <w:i/>
          <w:color w:val="000000" w:themeColor="text1"/>
        </w:rPr>
        <w:t xml:space="preserve">(el royalty minero) es un impuesto que pagan las compañías mineras y ese impuesto  va a este fondo  al poder central </w:t>
      </w:r>
      <w:r w:rsidR="00CA0B4D" w:rsidRPr="000E0F90">
        <w:rPr>
          <w:rFonts w:ascii="Arial" w:hAnsi="Arial" w:cs="Arial"/>
          <w:i/>
          <w:color w:val="000000" w:themeColor="text1"/>
        </w:rPr>
        <w:lastRenderedPageBreak/>
        <w:t>para que se asigne a las regiones a través de proyectos</w:t>
      </w:r>
      <w:proofErr w:type="gramStart"/>
      <w:r w:rsidR="00CA0B4D" w:rsidRPr="000E0F90">
        <w:rPr>
          <w:rFonts w:ascii="Arial" w:hAnsi="Arial" w:cs="Arial"/>
          <w:i/>
          <w:color w:val="000000" w:themeColor="text1"/>
        </w:rPr>
        <w:t>…(</w:t>
      </w:r>
      <w:proofErr w:type="gramEnd"/>
      <w:r w:rsidR="00CA0B4D" w:rsidRPr="000E0F90">
        <w:rPr>
          <w:rFonts w:ascii="Arial" w:hAnsi="Arial" w:cs="Arial"/>
          <w:i/>
          <w:color w:val="000000" w:themeColor="text1"/>
        </w:rPr>
        <w:t>sin embargo) las comunas mineras no recibían directamente los beneficios de los proyectos que se ejecutaban con cargo a ese fondo, porque eran proyectos que presentaban universidades, institutos de investigación, y se ejecutaban en  La Serena en  Coquimbo</w:t>
      </w:r>
      <w:r w:rsidR="00CA0B4D" w:rsidRPr="000E0F90">
        <w:rPr>
          <w:rFonts w:ascii="Arial" w:hAnsi="Arial" w:cs="Arial"/>
          <w:color w:val="000000" w:themeColor="text1"/>
        </w:rPr>
        <w:t>”.</w:t>
      </w:r>
    </w:p>
    <w:p w:rsidR="00F418FF" w:rsidRPr="000E0F90" w:rsidRDefault="004E395E" w:rsidP="00702D9A">
      <w:pPr>
        <w:spacing w:after="0" w:line="360" w:lineRule="auto"/>
        <w:rPr>
          <w:rFonts w:ascii="Arial" w:hAnsi="Arial" w:cs="Arial"/>
          <w:b/>
          <w:color w:val="000000" w:themeColor="text1"/>
        </w:rPr>
      </w:pPr>
      <w:r w:rsidRPr="000E0F90">
        <w:rPr>
          <w:rFonts w:ascii="Arial" w:hAnsi="Arial" w:cs="Arial"/>
          <w:b/>
          <w:color w:val="000000" w:themeColor="text1"/>
        </w:rPr>
        <w:t>1</w:t>
      </w:r>
      <w:r w:rsidR="000A2A53" w:rsidRPr="000E0F90">
        <w:rPr>
          <w:rFonts w:ascii="Arial" w:hAnsi="Arial" w:cs="Arial"/>
          <w:b/>
          <w:color w:val="000000" w:themeColor="text1"/>
        </w:rPr>
        <w:t>1</w:t>
      </w:r>
      <w:r w:rsidR="004515C9" w:rsidRPr="000E0F90">
        <w:rPr>
          <w:rFonts w:ascii="Arial" w:hAnsi="Arial" w:cs="Arial"/>
          <w:b/>
          <w:color w:val="000000" w:themeColor="text1"/>
        </w:rPr>
        <w:t xml:space="preserve">. </w:t>
      </w:r>
      <w:r w:rsidR="0097723D" w:rsidRPr="000E0F90">
        <w:rPr>
          <w:rFonts w:ascii="Arial" w:hAnsi="Arial" w:cs="Arial"/>
          <w:b/>
          <w:color w:val="000000" w:themeColor="text1"/>
        </w:rPr>
        <w:t>Institucionalidad</w:t>
      </w:r>
    </w:p>
    <w:p w:rsidR="00EF2C2B" w:rsidRPr="000E0F90" w:rsidRDefault="003C20AA" w:rsidP="00702D9A">
      <w:pPr>
        <w:spacing w:line="360" w:lineRule="auto"/>
        <w:rPr>
          <w:rFonts w:ascii="Arial" w:hAnsi="Arial" w:cs="Arial"/>
          <w:color w:val="000000" w:themeColor="text1"/>
        </w:rPr>
      </w:pPr>
      <w:r w:rsidRPr="000E0F90">
        <w:rPr>
          <w:rFonts w:ascii="Arial" w:hAnsi="Arial" w:cs="Arial"/>
          <w:color w:val="000000" w:themeColor="text1"/>
        </w:rPr>
        <w:t xml:space="preserve">En relación a la institucionalidad, </w:t>
      </w:r>
      <w:r w:rsidR="00EF2C2B" w:rsidRPr="000E0F90">
        <w:rPr>
          <w:rFonts w:ascii="Arial" w:hAnsi="Arial" w:cs="Arial"/>
          <w:color w:val="000000" w:themeColor="text1"/>
        </w:rPr>
        <w:t>se señala que se requiere mayor involucramiento</w:t>
      </w:r>
      <w:r w:rsidR="00DB2C5F" w:rsidRPr="000E0F90">
        <w:rPr>
          <w:rFonts w:ascii="Arial" w:hAnsi="Arial" w:cs="Arial"/>
          <w:color w:val="000000" w:themeColor="text1"/>
        </w:rPr>
        <w:t xml:space="preserve"> y</w:t>
      </w:r>
      <w:r w:rsidR="00EF2C2B" w:rsidRPr="000E0F90">
        <w:rPr>
          <w:rFonts w:ascii="Arial" w:hAnsi="Arial" w:cs="Arial"/>
          <w:color w:val="000000" w:themeColor="text1"/>
        </w:rPr>
        <w:t xml:space="preserve"> </w:t>
      </w:r>
      <w:r w:rsidR="00DB2C5F" w:rsidRPr="000E0F90">
        <w:rPr>
          <w:rFonts w:ascii="Arial" w:hAnsi="Arial" w:cs="Arial"/>
          <w:color w:val="000000" w:themeColor="text1"/>
        </w:rPr>
        <w:t xml:space="preserve">exigencia </w:t>
      </w:r>
      <w:r w:rsidR="00EF2C2B" w:rsidRPr="000E0F90">
        <w:rPr>
          <w:rFonts w:ascii="Arial" w:hAnsi="Arial" w:cs="Arial"/>
          <w:color w:val="000000" w:themeColor="text1"/>
        </w:rPr>
        <w:t xml:space="preserve">en materia medioambiental, particularmente en los niveles de contaminantes permitidos en agua y suelo para garantizar la salud humana. </w:t>
      </w:r>
    </w:p>
    <w:p w:rsidR="003C20AA" w:rsidRPr="000E0F90" w:rsidRDefault="003C20AA" w:rsidP="00702D9A">
      <w:pPr>
        <w:spacing w:before="240" w:line="360" w:lineRule="auto"/>
        <w:rPr>
          <w:rFonts w:ascii="Arial" w:hAnsi="Arial" w:cs="Arial"/>
          <w:color w:val="000000" w:themeColor="text1"/>
        </w:rPr>
      </w:pPr>
      <w:r w:rsidRPr="000E0F90">
        <w:rPr>
          <w:rFonts w:ascii="Arial" w:hAnsi="Arial" w:cs="Arial"/>
          <w:color w:val="000000" w:themeColor="text1"/>
        </w:rPr>
        <w:t>Por</w:t>
      </w:r>
      <w:r w:rsidR="000F5891" w:rsidRPr="000E0F90">
        <w:rPr>
          <w:rFonts w:ascii="Arial" w:hAnsi="Arial" w:cs="Arial"/>
          <w:color w:val="000000" w:themeColor="text1"/>
        </w:rPr>
        <w:t xml:space="preserve"> otra parte se requiere que el E</w:t>
      </w:r>
      <w:r w:rsidRPr="000E0F90">
        <w:rPr>
          <w:rFonts w:ascii="Arial" w:hAnsi="Arial" w:cs="Arial"/>
          <w:color w:val="000000" w:themeColor="text1"/>
        </w:rPr>
        <w:t>stado o algún organismo neutral</w:t>
      </w:r>
      <w:r w:rsidR="000513B2" w:rsidRPr="000E0F90">
        <w:rPr>
          <w:rFonts w:ascii="Arial" w:hAnsi="Arial" w:cs="Arial"/>
          <w:color w:val="000000" w:themeColor="text1"/>
        </w:rPr>
        <w:t>,</w:t>
      </w:r>
      <w:r w:rsidRPr="000E0F90">
        <w:rPr>
          <w:rFonts w:ascii="Arial" w:hAnsi="Arial" w:cs="Arial"/>
          <w:color w:val="000000" w:themeColor="text1"/>
        </w:rPr>
        <w:t xml:space="preserve"> entregue la información sensible, en relación a normas y estudios, de forma que no exista desconfianza en los resultados de estudios solicitados por las mineras, y asimismo por las comunidades. </w:t>
      </w:r>
      <w:r w:rsidR="00CA0B4D" w:rsidRPr="000E0F90">
        <w:rPr>
          <w:rFonts w:ascii="Arial" w:hAnsi="Arial" w:cs="Arial"/>
          <w:color w:val="000000" w:themeColor="text1"/>
        </w:rPr>
        <w:t>S</w:t>
      </w:r>
      <w:r w:rsidR="000513B2" w:rsidRPr="000E0F90">
        <w:rPr>
          <w:rFonts w:ascii="Arial" w:hAnsi="Arial" w:cs="Arial"/>
          <w:color w:val="000000" w:themeColor="text1"/>
        </w:rPr>
        <w:t xml:space="preserve">e señala como una medida positiva que el </w:t>
      </w:r>
      <w:r w:rsidR="000F5891" w:rsidRPr="000E0F90">
        <w:rPr>
          <w:rFonts w:ascii="Arial" w:hAnsi="Arial" w:cs="Arial"/>
          <w:color w:val="000000" w:themeColor="text1"/>
        </w:rPr>
        <w:t>E</w:t>
      </w:r>
      <w:r w:rsidR="000513B2" w:rsidRPr="000E0F90">
        <w:rPr>
          <w:rFonts w:ascii="Arial" w:hAnsi="Arial" w:cs="Arial"/>
          <w:color w:val="000000" w:themeColor="text1"/>
        </w:rPr>
        <w:t>stado realice en conjunto con las comunidades afectadas</w:t>
      </w:r>
      <w:r w:rsidR="00CA02C4" w:rsidRPr="000E0F90">
        <w:rPr>
          <w:rFonts w:ascii="Arial" w:hAnsi="Arial" w:cs="Arial"/>
          <w:color w:val="000000" w:themeColor="text1"/>
        </w:rPr>
        <w:t>,</w:t>
      </w:r>
      <w:r w:rsidR="000513B2" w:rsidRPr="000E0F90">
        <w:rPr>
          <w:rFonts w:ascii="Arial" w:hAnsi="Arial" w:cs="Arial"/>
          <w:color w:val="000000" w:themeColor="text1"/>
        </w:rPr>
        <w:t xml:space="preserve"> los monitoreos de los impactos, donde la información sea entregada directamente a las comunidades</w:t>
      </w:r>
      <w:r w:rsidR="00CA02C4" w:rsidRPr="000E0F90">
        <w:rPr>
          <w:rFonts w:ascii="Arial" w:hAnsi="Arial" w:cs="Arial"/>
          <w:color w:val="000000" w:themeColor="text1"/>
        </w:rPr>
        <w:t>. S</w:t>
      </w:r>
      <w:r w:rsidR="000513B2" w:rsidRPr="000E0F90">
        <w:rPr>
          <w:rFonts w:ascii="Arial" w:hAnsi="Arial" w:cs="Arial"/>
          <w:color w:val="000000" w:themeColor="text1"/>
        </w:rPr>
        <w:t>e plantea que habría mayor legitimidad en al sistema de evaluación y una mejor fiscalización, al igual que un mayor empoderamiento de la comunidad (Pablo Rossel</w:t>
      </w:r>
      <w:r w:rsidR="00036B31" w:rsidRPr="000E0F90">
        <w:rPr>
          <w:rFonts w:ascii="Arial" w:hAnsi="Arial" w:cs="Arial"/>
          <w:color w:val="000000" w:themeColor="text1"/>
        </w:rPr>
        <w:t>, SEA</w:t>
      </w:r>
      <w:r w:rsidR="000513B2" w:rsidRPr="000E0F90">
        <w:rPr>
          <w:rFonts w:ascii="Arial" w:hAnsi="Arial" w:cs="Arial"/>
          <w:color w:val="000000" w:themeColor="text1"/>
        </w:rPr>
        <w:t>)</w:t>
      </w:r>
      <w:r w:rsidR="00725BB8" w:rsidRPr="000E0F90">
        <w:rPr>
          <w:rFonts w:ascii="Arial" w:hAnsi="Arial" w:cs="Arial"/>
          <w:color w:val="000000" w:themeColor="text1"/>
        </w:rPr>
        <w:t>.</w:t>
      </w:r>
      <w:r w:rsidR="000513B2" w:rsidRPr="000E0F90">
        <w:rPr>
          <w:rFonts w:ascii="Arial" w:hAnsi="Arial" w:cs="Arial"/>
          <w:color w:val="000000" w:themeColor="text1"/>
        </w:rPr>
        <w:t xml:space="preserve"> </w:t>
      </w:r>
    </w:p>
    <w:p w:rsidR="00FD725F" w:rsidRPr="000E0F90" w:rsidRDefault="000F5891" w:rsidP="00702D9A">
      <w:pPr>
        <w:spacing w:line="360" w:lineRule="auto"/>
        <w:rPr>
          <w:rFonts w:ascii="Arial" w:hAnsi="Arial" w:cs="Arial"/>
          <w:color w:val="000000" w:themeColor="text1"/>
        </w:rPr>
      </w:pPr>
      <w:r w:rsidRPr="000E0F90">
        <w:rPr>
          <w:rFonts w:ascii="Arial" w:hAnsi="Arial" w:cs="Arial"/>
          <w:color w:val="000000" w:themeColor="text1"/>
        </w:rPr>
        <w:t>Se señala también que el E</w:t>
      </w:r>
      <w:r w:rsidR="00FD725F" w:rsidRPr="000E0F90">
        <w:rPr>
          <w:rFonts w:ascii="Arial" w:hAnsi="Arial" w:cs="Arial"/>
          <w:color w:val="000000" w:themeColor="text1"/>
        </w:rPr>
        <w:t>stado debiese tener un rol más activo en la relación que se establece entre comunidades y las empresas mineras, dado que quedan muchos aspectos si</w:t>
      </w:r>
      <w:r w:rsidR="004B2C15" w:rsidRPr="000E0F90">
        <w:rPr>
          <w:rFonts w:ascii="Arial" w:hAnsi="Arial" w:cs="Arial"/>
          <w:color w:val="000000" w:themeColor="text1"/>
        </w:rPr>
        <w:t>n</w:t>
      </w:r>
      <w:r w:rsidR="00FD725F" w:rsidRPr="000E0F90">
        <w:rPr>
          <w:rFonts w:ascii="Arial" w:hAnsi="Arial" w:cs="Arial"/>
          <w:color w:val="000000" w:themeColor="text1"/>
        </w:rPr>
        <w:t xml:space="preserve"> regular en la relación entre mineras y comunidades. </w:t>
      </w:r>
      <w:r w:rsidR="00CA0B4D" w:rsidRPr="000E0F90">
        <w:rPr>
          <w:rFonts w:ascii="Arial" w:hAnsi="Arial" w:cs="Arial"/>
          <w:color w:val="000000" w:themeColor="text1"/>
        </w:rPr>
        <w:t xml:space="preserve">Se </w:t>
      </w:r>
      <w:r w:rsidR="00DB2C5F" w:rsidRPr="000E0F90">
        <w:rPr>
          <w:rFonts w:ascii="Arial" w:hAnsi="Arial" w:cs="Arial"/>
          <w:color w:val="000000" w:themeColor="text1"/>
        </w:rPr>
        <w:t>re</w:t>
      </w:r>
      <w:r w:rsidR="00CA02C4" w:rsidRPr="000E0F90">
        <w:rPr>
          <w:rFonts w:ascii="Arial" w:hAnsi="Arial" w:cs="Arial"/>
          <w:color w:val="000000" w:themeColor="text1"/>
        </w:rPr>
        <w:t>q</w:t>
      </w:r>
      <w:r w:rsidR="00DB2C5F" w:rsidRPr="000E0F90">
        <w:rPr>
          <w:rFonts w:ascii="Arial" w:hAnsi="Arial" w:cs="Arial"/>
          <w:color w:val="000000" w:themeColor="text1"/>
        </w:rPr>
        <w:t xml:space="preserve">uiere </w:t>
      </w:r>
      <w:r w:rsidR="00FD725F" w:rsidRPr="000E0F90">
        <w:rPr>
          <w:rFonts w:ascii="Arial" w:hAnsi="Arial" w:cs="Arial"/>
          <w:color w:val="000000" w:themeColor="text1"/>
        </w:rPr>
        <w:t xml:space="preserve">regular con mayor </w:t>
      </w:r>
      <w:r w:rsidR="00DB2C5F" w:rsidRPr="000E0F90">
        <w:rPr>
          <w:rFonts w:ascii="Arial" w:hAnsi="Arial" w:cs="Arial"/>
          <w:color w:val="000000" w:themeColor="text1"/>
        </w:rPr>
        <w:t xml:space="preserve">escrutinio </w:t>
      </w:r>
      <w:r w:rsidR="00FD725F" w:rsidRPr="000E0F90">
        <w:rPr>
          <w:rFonts w:ascii="Arial" w:hAnsi="Arial" w:cs="Arial"/>
          <w:color w:val="000000" w:themeColor="text1"/>
        </w:rPr>
        <w:t xml:space="preserve">los aportes que realiza la minera a las comunidades (i.e. los montos, vía de entrega). </w:t>
      </w:r>
      <w:r w:rsidR="00DA0C0C" w:rsidRPr="000E0F90">
        <w:rPr>
          <w:rFonts w:ascii="Arial" w:hAnsi="Arial" w:cs="Arial"/>
          <w:color w:val="000000" w:themeColor="text1"/>
        </w:rPr>
        <w:t>Cabe señalar que en las entrevistas queda de manifiesto que es la propia minera que busca el apoyo del estado para hacer entrega de beneficios a la comunidad</w:t>
      </w:r>
      <w:r w:rsidR="00922D3E" w:rsidRPr="000E0F90">
        <w:rPr>
          <w:rFonts w:ascii="Arial" w:hAnsi="Arial" w:cs="Arial"/>
          <w:color w:val="000000" w:themeColor="text1"/>
        </w:rPr>
        <w:t xml:space="preserve"> (Manuel Farías, ex gerente FMLP)</w:t>
      </w:r>
    </w:p>
    <w:p w:rsidR="006C1F3C" w:rsidRPr="000E0F90" w:rsidRDefault="00CA02C4" w:rsidP="00702D9A">
      <w:pPr>
        <w:spacing w:line="360" w:lineRule="auto"/>
        <w:rPr>
          <w:rFonts w:ascii="Arial" w:eastAsia="Times New Roman" w:hAnsi="Arial" w:cs="Arial"/>
          <w:color w:val="000000" w:themeColor="text1"/>
          <w:lang w:eastAsia="es-CL"/>
        </w:rPr>
      </w:pPr>
      <w:r w:rsidRPr="000E0F90">
        <w:rPr>
          <w:rFonts w:ascii="Arial" w:hAnsi="Arial" w:cs="Arial"/>
          <w:color w:val="000000" w:themeColor="text1"/>
        </w:rPr>
        <w:t>Por otra parte, desde las</w:t>
      </w:r>
      <w:r w:rsidR="00CA0B4D" w:rsidRPr="000E0F90">
        <w:rPr>
          <w:rFonts w:ascii="Arial" w:hAnsi="Arial" w:cs="Arial"/>
          <w:color w:val="000000" w:themeColor="text1"/>
        </w:rPr>
        <w:t xml:space="preserve"> mineras</w:t>
      </w:r>
      <w:r w:rsidR="00DA0C0C" w:rsidRPr="000E0F90">
        <w:rPr>
          <w:rFonts w:ascii="Arial" w:hAnsi="Arial" w:cs="Arial"/>
          <w:color w:val="000000" w:themeColor="text1"/>
        </w:rPr>
        <w:t xml:space="preserve">, se </w:t>
      </w:r>
      <w:r w:rsidRPr="000E0F90">
        <w:rPr>
          <w:rFonts w:ascii="Arial" w:hAnsi="Arial" w:cs="Arial"/>
          <w:color w:val="000000" w:themeColor="text1"/>
        </w:rPr>
        <w:t xml:space="preserve">solicita que el Estado participe en forma </w:t>
      </w:r>
      <w:r w:rsidR="00040081" w:rsidRPr="000E0F90">
        <w:rPr>
          <w:rFonts w:ascii="Arial" w:hAnsi="Arial" w:cs="Arial"/>
          <w:color w:val="000000" w:themeColor="text1"/>
        </w:rPr>
        <w:t>m</w:t>
      </w:r>
      <w:r w:rsidRPr="000E0F90">
        <w:rPr>
          <w:rFonts w:ascii="Arial" w:hAnsi="Arial" w:cs="Arial"/>
          <w:color w:val="000000" w:themeColor="text1"/>
        </w:rPr>
        <w:t>ás enérgica en el desarrollo local de los territorios, particularmente en el establecimi</w:t>
      </w:r>
      <w:r w:rsidR="002A16DC" w:rsidRPr="000E0F90">
        <w:rPr>
          <w:rFonts w:ascii="Arial" w:hAnsi="Arial" w:cs="Arial"/>
          <w:color w:val="000000" w:themeColor="text1"/>
        </w:rPr>
        <w:t>e</w:t>
      </w:r>
      <w:r w:rsidRPr="000E0F90">
        <w:rPr>
          <w:rFonts w:ascii="Arial" w:hAnsi="Arial" w:cs="Arial"/>
          <w:color w:val="000000" w:themeColor="text1"/>
        </w:rPr>
        <w:t>nto de</w:t>
      </w:r>
      <w:r w:rsidRPr="000E0F90">
        <w:rPr>
          <w:rFonts w:ascii="Arial" w:eastAsia="Times New Roman" w:hAnsi="Arial" w:cs="Arial"/>
          <w:color w:val="000000" w:themeColor="text1"/>
          <w:lang w:eastAsia="es-CL"/>
        </w:rPr>
        <w:t xml:space="preserve"> proyectos industriales</w:t>
      </w:r>
      <w:r w:rsidR="006C6A4A" w:rsidRPr="000E0F90">
        <w:rPr>
          <w:rFonts w:ascii="Arial" w:eastAsia="Times New Roman" w:hAnsi="Arial" w:cs="Arial"/>
          <w:color w:val="000000" w:themeColor="text1"/>
          <w:lang w:eastAsia="es-CL"/>
        </w:rPr>
        <w:t>,</w:t>
      </w:r>
      <w:r w:rsidRPr="000E0F90">
        <w:rPr>
          <w:rFonts w:ascii="Arial" w:eastAsia="Times New Roman" w:hAnsi="Arial" w:cs="Arial"/>
          <w:color w:val="000000" w:themeColor="text1"/>
          <w:lang w:eastAsia="es-CL"/>
        </w:rPr>
        <w:t xml:space="preserve"> contribuyendo a la resolución de los conflictos para evitar llegar a instancias legales, dado que</w:t>
      </w:r>
      <w:r w:rsidR="006C6A4A" w:rsidRPr="000E0F90">
        <w:rPr>
          <w:rFonts w:ascii="Arial" w:eastAsia="Times New Roman" w:hAnsi="Arial" w:cs="Arial"/>
          <w:color w:val="000000" w:themeColor="text1"/>
          <w:lang w:eastAsia="es-CL"/>
        </w:rPr>
        <w:t xml:space="preserve"> son considerados un facto</w:t>
      </w:r>
      <w:r w:rsidRPr="000E0F90">
        <w:rPr>
          <w:rFonts w:ascii="Arial" w:eastAsia="Times New Roman" w:hAnsi="Arial" w:cs="Arial"/>
          <w:color w:val="000000" w:themeColor="text1"/>
          <w:lang w:eastAsia="es-CL"/>
        </w:rPr>
        <w:t>r de desarrollo económico local</w:t>
      </w:r>
      <w:r w:rsidR="006C6A4A" w:rsidRPr="000E0F90">
        <w:rPr>
          <w:rFonts w:ascii="Arial" w:eastAsia="Times New Roman" w:hAnsi="Arial" w:cs="Arial"/>
          <w:color w:val="000000" w:themeColor="text1"/>
          <w:lang w:eastAsia="es-CL"/>
        </w:rPr>
        <w:t>.</w:t>
      </w:r>
      <w:r w:rsidR="00CA0B4D" w:rsidRPr="000E0F90">
        <w:rPr>
          <w:rFonts w:ascii="Arial" w:hAnsi="Arial" w:cs="Arial"/>
          <w:color w:val="000000" w:themeColor="text1"/>
        </w:rPr>
        <w:t xml:space="preserve"> Por otra parte, s</w:t>
      </w:r>
      <w:r w:rsidR="00443F03" w:rsidRPr="000E0F90">
        <w:rPr>
          <w:rFonts w:ascii="Arial" w:hAnsi="Arial" w:cs="Arial"/>
          <w:color w:val="000000" w:themeColor="text1"/>
        </w:rPr>
        <w:t xml:space="preserve">e requiere de </w:t>
      </w:r>
      <w:r w:rsidR="00DA0C0C" w:rsidRPr="000E0F90">
        <w:rPr>
          <w:rFonts w:ascii="Arial" w:eastAsia="Times New Roman" w:hAnsi="Arial" w:cs="Arial"/>
          <w:color w:val="000000" w:themeColor="text1"/>
          <w:lang w:eastAsia="es-CL"/>
        </w:rPr>
        <w:t>dotar de mayor atribución a</w:t>
      </w:r>
      <w:r w:rsidR="00FD725F" w:rsidRPr="000E0F90">
        <w:rPr>
          <w:rFonts w:ascii="Arial" w:eastAsia="Times New Roman" w:hAnsi="Arial" w:cs="Arial"/>
          <w:color w:val="000000" w:themeColor="text1"/>
          <w:lang w:eastAsia="es-CL"/>
        </w:rPr>
        <w:t xml:space="preserve"> las autoridades locales (i.e. municipios), </w:t>
      </w:r>
      <w:r w:rsidR="00DA0C0C" w:rsidRPr="000E0F90">
        <w:rPr>
          <w:rFonts w:ascii="Arial" w:eastAsia="Times New Roman" w:hAnsi="Arial" w:cs="Arial"/>
          <w:color w:val="000000" w:themeColor="text1"/>
          <w:lang w:eastAsia="es-CL"/>
        </w:rPr>
        <w:t>de forma que  participen activamente</w:t>
      </w:r>
      <w:r w:rsidR="00FD725F" w:rsidRPr="000E0F90">
        <w:rPr>
          <w:rFonts w:ascii="Arial" w:eastAsia="Times New Roman" w:hAnsi="Arial" w:cs="Arial"/>
          <w:color w:val="000000" w:themeColor="text1"/>
          <w:lang w:eastAsia="es-CL"/>
        </w:rPr>
        <w:t xml:space="preserve"> en la toma de decisiones que tienen que ver sus territorios</w:t>
      </w:r>
      <w:r w:rsidR="00DA0C0C" w:rsidRPr="000E0F90">
        <w:rPr>
          <w:rFonts w:ascii="Arial" w:eastAsia="Times New Roman" w:hAnsi="Arial" w:cs="Arial"/>
          <w:color w:val="000000" w:themeColor="text1"/>
          <w:lang w:eastAsia="es-CL"/>
        </w:rPr>
        <w:t>.</w:t>
      </w:r>
      <w:r w:rsidR="00FD725F" w:rsidRPr="000E0F90">
        <w:rPr>
          <w:rFonts w:ascii="Arial" w:eastAsia="Times New Roman" w:hAnsi="Arial" w:cs="Arial"/>
          <w:color w:val="000000" w:themeColor="text1"/>
          <w:lang w:eastAsia="es-CL"/>
        </w:rPr>
        <w:t xml:space="preserve"> </w:t>
      </w:r>
    </w:p>
    <w:p w:rsidR="00F40CDB" w:rsidRPr="000E0F90" w:rsidRDefault="00735673" w:rsidP="00B35339">
      <w:pPr>
        <w:spacing w:before="360" w:after="360"/>
        <w:rPr>
          <w:rFonts w:ascii="Arial" w:eastAsiaTheme="majorEastAsia" w:hAnsi="Arial" w:cs="Arial"/>
          <w:b/>
          <w:bCs/>
          <w:color w:val="000000" w:themeColor="text1"/>
        </w:rPr>
      </w:pPr>
      <w:r w:rsidRPr="000E0F90">
        <w:rPr>
          <w:rFonts w:ascii="Arial" w:eastAsiaTheme="majorEastAsia" w:hAnsi="Arial" w:cs="Arial"/>
          <w:b/>
          <w:bCs/>
          <w:noProof/>
          <w:color w:val="000000" w:themeColor="text1"/>
          <w:lang w:eastAsia="es-CL"/>
        </w:rPr>
        <w:lastRenderedPageBreak/>
        <w:drawing>
          <wp:inline distT="0" distB="0" distL="0" distR="0" wp14:anchorId="01944752" wp14:editId="3080D694">
            <wp:extent cx="5546785" cy="5865963"/>
            <wp:effectExtent l="0" t="0" r="0" b="20955"/>
            <wp:docPr id="45" name="Diagrama 4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7" r:lo="rId48" r:qs="rId49" r:cs="rId50"/>
              </a:graphicData>
            </a:graphic>
          </wp:inline>
        </w:drawing>
      </w:r>
      <w:r w:rsidR="00740D3D" w:rsidRPr="000E0F90">
        <w:rPr>
          <w:rFonts w:ascii="Arial" w:hAnsi="Arial" w:cs="Arial"/>
          <w:color w:val="000000" w:themeColor="text1"/>
        </w:rPr>
        <w:t xml:space="preserve">Figura </w:t>
      </w:r>
      <w:r w:rsidR="00047152" w:rsidRPr="000E0F90">
        <w:rPr>
          <w:rFonts w:ascii="Arial" w:hAnsi="Arial" w:cs="Arial"/>
          <w:color w:val="000000" w:themeColor="text1"/>
        </w:rPr>
        <w:fldChar w:fldCharType="begin"/>
      </w:r>
      <w:r w:rsidR="00047152" w:rsidRPr="000E0F90">
        <w:rPr>
          <w:rFonts w:ascii="Arial" w:hAnsi="Arial" w:cs="Arial"/>
          <w:color w:val="000000" w:themeColor="text1"/>
        </w:rPr>
        <w:instrText xml:space="preserve"> SEQ Figura \* ARABIC </w:instrText>
      </w:r>
      <w:r w:rsidR="00047152" w:rsidRPr="000E0F90">
        <w:rPr>
          <w:rFonts w:ascii="Arial" w:hAnsi="Arial" w:cs="Arial"/>
          <w:color w:val="000000" w:themeColor="text1"/>
        </w:rPr>
        <w:fldChar w:fldCharType="separate"/>
      </w:r>
      <w:r w:rsidR="00225844">
        <w:rPr>
          <w:rFonts w:ascii="Arial" w:hAnsi="Arial" w:cs="Arial"/>
          <w:noProof/>
          <w:color w:val="000000" w:themeColor="text1"/>
        </w:rPr>
        <w:t>28</w:t>
      </w:r>
      <w:r w:rsidR="00047152" w:rsidRPr="000E0F90">
        <w:rPr>
          <w:rFonts w:ascii="Arial" w:hAnsi="Arial" w:cs="Arial"/>
          <w:noProof/>
          <w:color w:val="000000" w:themeColor="text1"/>
        </w:rPr>
        <w:fldChar w:fldCharType="end"/>
      </w:r>
      <w:r w:rsidR="00F40CDB" w:rsidRPr="000E0F90">
        <w:rPr>
          <w:rFonts w:ascii="Arial" w:hAnsi="Arial" w:cs="Arial"/>
          <w:noProof/>
          <w:color w:val="000000" w:themeColor="text1"/>
        </w:rPr>
        <w:t xml:space="preserve">: </w:t>
      </w:r>
      <w:r w:rsidR="00F40CDB" w:rsidRPr="000E0F90">
        <w:rPr>
          <w:rFonts w:ascii="Arial" w:hAnsi="Arial" w:cs="Arial"/>
          <w:color w:val="000000" w:themeColor="text1"/>
        </w:rPr>
        <w:t>Temas relevantes identificados por los actores locales de los territorios de la Región de Coquimbo: La Higuera y Salamanca</w:t>
      </w:r>
    </w:p>
    <w:p w:rsidR="00740D3D" w:rsidRPr="000E0F90" w:rsidRDefault="00740D3D" w:rsidP="00740D3D">
      <w:pPr>
        <w:pStyle w:val="Epgrafe"/>
        <w:rPr>
          <w:rFonts w:ascii="Arial" w:hAnsi="Arial" w:cs="Arial"/>
          <w:color w:val="000000" w:themeColor="text1"/>
        </w:rPr>
      </w:pPr>
    </w:p>
    <w:p w:rsidR="00D35D60" w:rsidRPr="000E0F90" w:rsidRDefault="002A16DC" w:rsidP="00253F8B">
      <w:pPr>
        <w:jc w:val="left"/>
        <w:rPr>
          <w:rFonts w:ascii="Arial" w:hAnsi="Arial" w:cs="Arial"/>
          <w:b/>
          <w:color w:val="000000" w:themeColor="text1"/>
        </w:rPr>
      </w:pPr>
      <w:r w:rsidRPr="000E0F90">
        <w:rPr>
          <w:rFonts w:ascii="Arial" w:hAnsi="Arial" w:cs="Arial"/>
          <w:b/>
          <w:noProof/>
          <w:color w:val="000000" w:themeColor="text1"/>
          <w:lang w:eastAsia="es-CL"/>
        </w:rPr>
        <w:lastRenderedPageBreak/>
        <w:drawing>
          <wp:inline distT="0" distB="0" distL="0" distR="0" wp14:anchorId="59B4B1AC" wp14:editId="04110AE3">
            <wp:extent cx="5423338" cy="4035973"/>
            <wp:effectExtent l="0" t="0" r="0" b="22225"/>
            <wp:docPr id="49" name="Diagrama 4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2" r:lo="rId53" r:qs="rId54" r:cs="rId55"/>
              </a:graphicData>
            </a:graphic>
          </wp:inline>
        </w:drawing>
      </w:r>
    </w:p>
    <w:p w:rsidR="00BC358A" w:rsidRPr="000E0F90" w:rsidRDefault="00D35D60" w:rsidP="00253F8B">
      <w:pPr>
        <w:jc w:val="left"/>
        <w:rPr>
          <w:rFonts w:ascii="Arial" w:hAnsi="Arial" w:cs="Arial"/>
          <w:b/>
          <w:color w:val="000000" w:themeColor="text1"/>
        </w:rPr>
      </w:pPr>
      <w:r w:rsidRPr="000E0F90">
        <w:rPr>
          <w:rFonts w:ascii="Arial" w:hAnsi="Arial" w:cs="Arial"/>
          <w:b/>
          <w:noProof/>
          <w:color w:val="000000" w:themeColor="text1"/>
          <w:lang w:eastAsia="es-CL"/>
        </w:rPr>
        <w:drawing>
          <wp:inline distT="0" distB="0" distL="0" distR="0" wp14:anchorId="1CDB57D8" wp14:editId="25C5C7D8">
            <wp:extent cx="5434641" cy="3364302"/>
            <wp:effectExtent l="0" t="0" r="0" b="26670"/>
            <wp:docPr id="56" name="Diagrama 5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7" r:lo="rId58" r:qs="rId59" r:cs="rId60"/>
              </a:graphicData>
            </a:graphic>
          </wp:inline>
        </w:drawing>
      </w:r>
    </w:p>
    <w:p w:rsidR="00740D3D" w:rsidRPr="000E0F90" w:rsidRDefault="00BC358A" w:rsidP="00740D3D">
      <w:pPr>
        <w:pStyle w:val="Epgrafe"/>
        <w:rPr>
          <w:rFonts w:ascii="Arial" w:hAnsi="Arial" w:cs="Arial"/>
          <w:b w:val="0"/>
          <w:color w:val="000000" w:themeColor="text1"/>
          <w:sz w:val="22"/>
        </w:rPr>
      </w:pPr>
      <w:r w:rsidRPr="000E0F90">
        <w:rPr>
          <w:rFonts w:ascii="Arial" w:hAnsi="Arial" w:cs="Arial"/>
          <w:b w:val="0"/>
          <w:color w:val="000000" w:themeColor="text1"/>
          <w:sz w:val="22"/>
        </w:rPr>
        <w:t xml:space="preserve">Figura </w:t>
      </w:r>
      <w:r w:rsidRPr="000E0F90">
        <w:rPr>
          <w:rFonts w:ascii="Arial" w:hAnsi="Arial" w:cs="Arial"/>
          <w:b w:val="0"/>
          <w:color w:val="000000" w:themeColor="text1"/>
          <w:sz w:val="22"/>
        </w:rPr>
        <w:fldChar w:fldCharType="begin"/>
      </w:r>
      <w:r w:rsidRPr="000E0F90">
        <w:rPr>
          <w:rFonts w:ascii="Arial" w:hAnsi="Arial" w:cs="Arial"/>
          <w:b w:val="0"/>
          <w:color w:val="000000" w:themeColor="text1"/>
          <w:sz w:val="22"/>
        </w:rPr>
        <w:instrText xml:space="preserve"> SEQ Figura \* ARABIC </w:instrText>
      </w:r>
      <w:r w:rsidRPr="000E0F90">
        <w:rPr>
          <w:rFonts w:ascii="Arial" w:hAnsi="Arial" w:cs="Arial"/>
          <w:b w:val="0"/>
          <w:color w:val="000000" w:themeColor="text1"/>
          <w:sz w:val="22"/>
        </w:rPr>
        <w:fldChar w:fldCharType="separate"/>
      </w:r>
      <w:r w:rsidR="00225844">
        <w:rPr>
          <w:rFonts w:ascii="Arial" w:hAnsi="Arial" w:cs="Arial"/>
          <w:b w:val="0"/>
          <w:noProof/>
          <w:color w:val="000000" w:themeColor="text1"/>
          <w:sz w:val="22"/>
        </w:rPr>
        <w:t>29</w:t>
      </w:r>
      <w:r w:rsidRPr="000E0F90">
        <w:rPr>
          <w:rFonts w:ascii="Arial" w:hAnsi="Arial" w:cs="Arial"/>
          <w:b w:val="0"/>
          <w:noProof/>
          <w:color w:val="000000" w:themeColor="text1"/>
          <w:sz w:val="22"/>
        </w:rPr>
        <w:fldChar w:fldCharType="end"/>
      </w:r>
      <w:r w:rsidRPr="000E0F90">
        <w:rPr>
          <w:rFonts w:ascii="Arial" w:hAnsi="Arial" w:cs="Arial"/>
          <w:b w:val="0"/>
          <w:noProof/>
          <w:color w:val="000000" w:themeColor="text1"/>
          <w:sz w:val="22"/>
        </w:rPr>
        <w:t xml:space="preserve">: </w:t>
      </w:r>
      <w:r w:rsidRPr="000E0F90">
        <w:rPr>
          <w:rFonts w:ascii="Arial" w:hAnsi="Arial" w:cs="Arial"/>
          <w:b w:val="0"/>
          <w:color w:val="000000" w:themeColor="text1"/>
          <w:sz w:val="22"/>
        </w:rPr>
        <w:t>Temas relevantes identificados por los actores locales de los territorios de la Región de Coquimbo: La Higuera y Salamanca (Continuación)</w:t>
      </w:r>
    </w:p>
    <w:p w:rsidR="00317838" w:rsidRPr="000E0F90" w:rsidRDefault="00317838" w:rsidP="00702D9A">
      <w:pPr>
        <w:spacing w:line="360" w:lineRule="auto"/>
        <w:jc w:val="left"/>
        <w:rPr>
          <w:rFonts w:ascii="Arial" w:hAnsi="Arial" w:cs="Arial"/>
          <w:b/>
          <w:color w:val="000000" w:themeColor="text1"/>
        </w:rPr>
      </w:pPr>
      <w:r w:rsidRPr="000E0F90">
        <w:rPr>
          <w:rFonts w:ascii="Arial" w:hAnsi="Arial" w:cs="Arial"/>
          <w:b/>
          <w:color w:val="000000" w:themeColor="text1"/>
        </w:rPr>
        <w:lastRenderedPageBreak/>
        <w:t>Limitantes y Potencialidades de los territorios mineros bajo estudio</w:t>
      </w:r>
    </w:p>
    <w:p w:rsidR="00317838" w:rsidRPr="000E0F90" w:rsidRDefault="00317838" w:rsidP="00702D9A">
      <w:pPr>
        <w:spacing w:line="360" w:lineRule="auto"/>
        <w:rPr>
          <w:rFonts w:ascii="Arial" w:hAnsi="Arial" w:cs="Arial"/>
          <w:color w:val="000000" w:themeColor="text1"/>
        </w:rPr>
      </w:pPr>
      <w:r w:rsidRPr="000E0F90">
        <w:rPr>
          <w:rFonts w:ascii="Arial" w:hAnsi="Arial" w:cs="Arial"/>
          <w:color w:val="000000" w:themeColor="text1"/>
        </w:rPr>
        <w:t>De acuerdo a la información proveniente tanto de la biogeoestructura y socioestructura local, como de la información proveniente de actores locales, se construyó esta matriz identificando las limitantes y potencialidades que manifiestan los territorios mineros bajo estudio.</w:t>
      </w:r>
    </w:p>
    <w:p w:rsidR="00317838" w:rsidRPr="000E0F90" w:rsidRDefault="00317838" w:rsidP="00702D9A">
      <w:pPr>
        <w:spacing w:line="360" w:lineRule="auto"/>
        <w:rPr>
          <w:rFonts w:ascii="Arial" w:hAnsi="Arial" w:cs="Arial"/>
          <w:color w:val="000000" w:themeColor="text1"/>
        </w:rPr>
      </w:pPr>
      <w:r w:rsidRPr="000E0F90">
        <w:rPr>
          <w:rFonts w:ascii="Arial" w:hAnsi="Arial" w:cs="Arial"/>
          <w:color w:val="000000" w:themeColor="text1"/>
        </w:rPr>
        <w:t xml:space="preserve">Respecto a la particularidad de los territorios mineros bajo estudio, en el caso de Tierra Amarilla y Salamanca, se evidencian grandes operaciones mineras ya instaladas en los territorios, influyendo fuertemente en el estado de los territorios. A diferencia de los territorios de Alto del Carmen y La Higuera, que presentan proyectos mineros próximos a instalarse, de gran envergadura, no obstante, con actividad minera local de baja escala. </w:t>
      </w:r>
    </w:p>
    <w:p w:rsidR="00317838" w:rsidRPr="000E0F90" w:rsidRDefault="00317838" w:rsidP="00702D9A">
      <w:pPr>
        <w:spacing w:line="360" w:lineRule="auto"/>
        <w:rPr>
          <w:rFonts w:ascii="Arial" w:hAnsi="Arial" w:cs="Arial"/>
          <w:color w:val="000000" w:themeColor="text1"/>
        </w:rPr>
      </w:pPr>
      <w:r w:rsidRPr="000E0F90">
        <w:rPr>
          <w:rFonts w:ascii="Arial" w:hAnsi="Arial" w:cs="Arial"/>
          <w:color w:val="000000" w:themeColor="text1"/>
        </w:rPr>
        <w:t xml:space="preserve">La información se presenta por región, considerando que dentro de cada región se debiese esperar menor variabilidad proveniente de la biogeoestructura, y por ende visibilizar con mayor claridad los aspectos relevantes de cada comuna, que pueden ser particulares a cada comuna. </w:t>
      </w:r>
    </w:p>
    <w:p w:rsidR="002B4B0C" w:rsidRPr="000E0F90" w:rsidRDefault="00740D3D" w:rsidP="00702D9A">
      <w:pPr>
        <w:pStyle w:val="Epgrafe"/>
        <w:spacing w:line="360" w:lineRule="auto"/>
        <w:jc w:val="center"/>
        <w:rPr>
          <w:rFonts w:ascii="Arial" w:hAnsi="Arial" w:cs="Arial"/>
          <w:b w:val="0"/>
          <w:color w:val="000000" w:themeColor="text1"/>
          <w:sz w:val="22"/>
        </w:rPr>
      </w:pPr>
      <w:r w:rsidRPr="000E0F90">
        <w:rPr>
          <w:rFonts w:ascii="Arial" w:hAnsi="Arial" w:cs="Arial"/>
          <w:b w:val="0"/>
          <w:color w:val="000000" w:themeColor="text1"/>
          <w:sz w:val="22"/>
        </w:rPr>
        <w:t xml:space="preserve">Cuadro </w:t>
      </w:r>
      <w:r w:rsidRPr="000E0F90">
        <w:rPr>
          <w:rFonts w:ascii="Arial" w:hAnsi="Arial" w:cs="Arial"/>
          <w:b w:val="0"/>
          <w:color w:val="000000" w:themeColor="text1"/>
          <w:sz w:val="22"/>
        </w:rPr>
        <w:fldChar w:fldCharType="begin"/>
      </w:r>
      <w:r w:rsidRPr="000E0F90">
        <w:rPr>
          <w:rFonts w:ascii="Arial" w:hAnsi="Arial" w:cs="Arial"/>
          <w:b w:val="0"/>
          <w:color w:val="000000" w:themeColor="text1"/>
          <w:sz w:val="22"/>
        </w:rPr>
        <w:instrText xml:space="preserve"> SEQ Cuadro \* ARABIC </w:instrText>
      </w:r>
      <w:r w:rsidRPr="000E0F90">
        <w:rPr>
          <w:rFonts w:ascii="Arial" w:hAnsi="Arial" w:cs="Arial"/>
          <w:b w:val="0"/>
          <w:color w:val="000000" w:themeColor="text1"/>
          <w:sz w:val="22"/>
        </w:rPr>
        <w:fldChar w:fldCharType="separate"/>
      </w:r>
      <w:r w:rsidR="00225844">
        <w:rPr>
          <w:rFonts w:ascii="Arial" w:hAnsi="Arial" w:cs="Arial"/>
          <w:b w:val="0"/>
          <w:noProof/>
          <w:color w:val="000000" w:themeColor="text1"/>
          <w:sz w:val="22"/>
        </w:rPr>
        <w:t>12</w:t>
      </w:r>
      <w:r w:rsidRPr="000E0F90">
        <w:rPr>
          <w:rFonts w:ascii="Arial" w:hAnsi="Arial" w:cs="Arial"/>
          <w:b w:val="0"/>
          <w:color w:val="000000" w:themeColor="text1"/>
          <w:sz w:val="22"/>
        </w:rPr>
        <w:fldChar w:fldCharType="end"/>
      </w:r>
      <w:r w:rsidR="002B4B0C" w:rsidRPr="000E0F90">
        <w:rPr>
          <w:rFonts w:ascii="Arial" w:hAnsi="Arial" w:cs="Arial"/>
          <w:b w:val="0"/>
          <w:color w:val="000000" w:themeColor="text1"/>
          <w:sz w:val="22"/>
        </w:rPr>
        <w:t>: Limitantes y potencialidades identificadas en los territorios mineros bajo estudio de la Región de Atacama</w:t>
      </w:r>
    </w:p>
    <w:tbl>
      <w:tblPr>
        <w:tblStyle w:val="Tablaconcuadrcula"/>
        <w:tblW w:w="0" w:type="auto"/>
        <w:tblBorders>
          <w:left w:val="none" w:sz="0" w:space="0" w:color="auto"/>
          <w:right w:val="none" w:sz="0" w:space="0" w:color="auto"/>
          <w:insideV w:val="none" w:sz="0" w:space="0" w:color="auto"/>
        </w:tblBorders>
        <w:tblLook w:val="04A0" w:firstRow="1" w:lastRow="0" w:firstColumn="1" w:lastColumn="0" w:noHBand="0" w:noVBand="1"/>
      </w:tblPr>
      <w:tblGrid>
        <w:gridCol w:w="534"/>
        <w:gridCol w:w="4110"/>
        <w:gridCol w:w="4111"/>
      </w:tblGrid>
      <w:tr w:rsidR="002B4B0C" w:rsidRPr="000E0F90" w:rsidTr="002613F4">
        <w:tc>
          <w:tcPr>
            <w:tcW w:w="534" w:type="dxa"/>
            <w:tcBorders>
              <w:bottom w:val="nil"/>
            </w:tcBorders>
            <w:shd w:val="clear" w:color="auto" w:fill="D9D9D9" w:themeFill="background1" w:themeFillShade="D9"/>
          </w:tcPr>
          <w:p w:rsidR="002B4B0C" w:rsidRPr="000E0F90" w:rsidRDefault="002B4B0C" w:rsidP="00E96E50">
            <w:pPr>
              <w:jc w:val="left"/>
              <w:rPr>
                <w:rFonts w:ascii="Arial" w:hAnsi="Arial" w:cs="Arial"/>
                <w:b/>
                <w:color w:val="000000" w:themeColor="text1"/>
                <w:sz w:val="20"/>
              </w:rPr>
            </w:pPr>
          </w:p>
        </w:tc>
        <w:tc>
          <w:tcPr>
            <w:tcW w:w="8221" w:type="dxa"/>
            <w:gridSpan w:val="2"/>
            <w:tcBorders>
              <w:bottom w:val="nil"/>
            </w:tcBorders>
            <w:shd w:val="clear" w:color="auto" w:fill="D9D9D9" w:themeFill="background1" w:themeFillShade="D9"/>
            <w:vAlign w:val="center"/>
          </w:tcPr>
          <w:p w:rsidR="002B4B0C" w:rsidRPr="000E0F90" w:rsidRDefault="002B4B0C" w:rsidP="00E96E50">
            <w:pPr>
              <w:jc w:val="center"/>
              <w:rPr>
                <w:rFonts w:ascii="Arial" w:hAnsi="Arial" w:cs="Arial"/>
                <w:b/>
                <w:color w:val="000000" w:themeColor="text1"/>
                <w:sz w:val="20"/>
              </w:rPr>
            </w:pPr>
            <w:r w:rsidRPr="000E0F90">
              <w:rPr>
                <w:rFonts w:ascii="Arial" w:hAnsi="Arial" w:cs="Arial"/>
                <w:b/>
                <w:color w:val="000000" w:themeColor="text1"/>
                <w:sz w:val="20"/>
              </w:rPr>
              <w:t>III Región</w:t>
            </w:r>
          </w:p>
        </w:tc>
      </w:tr>
      <w:tr w:rsidR="002B4B0C" w:rsidRPr="000E0F90" w:rsidTr="002613F4">
        <w:tc>
          <w:tcPr>
            <w:tcW w:w="534" w:type="dxa"/>
            <w:tcBorders>
              <w:top w:val="nil"/>
              <w:bottom w:val="single" w:sz="4" w:space="0" w:color="auto"/>
            </w:tcBorders>
            <w:shd w:val="clear" w:color="auto" w:fill="D9D9D9" w:themeFill="background1" w:themeFillShade="D9"/>
          </w:tcPr>
          <w:p w:rsidR="002B4B0C" w:rsidRPr="000E0F90" w:rsidRDefault="002B4B0C" w:rsidP="00E96E50">
            <w:pPr>
              <w:jc w:val="left"/>
              <w:rPr>
                <w:rFonts w:ascii="Arial" w:hAnsi="Arial" w:cs="Arial"/>
                <w:b/>
                <w:color w:val="000000" w:themeColor="text1"/>
                <w:sz w:val="20"/>
              </w:rPr>
            </w:pPr>
          </w:p>
        </w:tc>
        <w:tc>
          <w:tcPr>
            <w:tcW w:w="4110" w:type="dxa"/>
            <w:tcBorders>
              <w:top w:val="nil"/>
              <w:bottom w:val="single" w:sz="4" w:space="0" w:color="auto"/>
            </w:tcBorders>
            <w:shd w:val="clear" w:color="auto" w:fill="D9D9D9" w:themeFill="background1" w:themeFillShade="D9"/>
          </w:tcPr>
          <w:p w:rsidR="002B4B0C" w:rsidRPr="000E0F90" w:rsidRDefault="002B4B0C" w:rsidP="00E96E50">
            <w:pPr>
              <w:jc w:val="center"/>
              <w:rPr>
                <w:rFonts w:ascii="Arial" w:hAnsi="Arial" w:cs="Arial"/>
                <w:b/>
                <w:color w:val="000000" w:themeColor="text1"/>
                <w:sz w:val="20"/>
              </w:rPr>
            </w:pPr>
            <w:r w:rsidRPr="000E0F90">
              <w:rPr>
                <w:rFonts w:ascii="Arial" w:hAnsi="Arial" w:cs="Arial"/>
                <w:b/>
                <w:color w:val="000000" w:themeColor="text1"/>
                <w:sz w:val="20"/>
              </w:rPr>
              <w:t>Tierra Amarilla</w:t>
            </w:r>
          </w:p>
        </w:tc>
        <w:tc>
          <w:tcPr>
            <w:tcW w:w="4111" w:type="dxa"/>
            <w:tcBorders>
              <w:top w:val="nil"/>
              <w:bottom w:val="single" w:sz="4" w:space="0" w:color="auto"/>
            </w:tcBorders>
            <w:shd w:val="clear" w:color="auto" w:fill="D9D9D9" w:themeFill="background1" w:themeFillShade="D9"/>
          </w:tcPr>
          <w:p w:rsidR="002B4B0C" w:rsidRPr="000E0F90" w:rsidRDefault="002B4B0C" w:rsidP="00E96E50">
            <w:pPr>
              <w:jc w:val="center"/>
              <w:rPr>
                <w:rFonts w:ascii="Arial" w:hAnsi="Arial" w:cs="Arial"/>
                <w:b/>
                <w:color w:val="000000" w:themeColor="text1"/>
                <w:sz w:val="20"/>
              </w:rPr>
            </w:pPr>
            <w:r w:rsidRPr="000E0F90">
              <w:rPr>
                <w:rFonts w:ascii="Arial" w:hAnsi="Arial" w:cs="Arial"/>
                <w:b/>
                <w:color w:val="000000" w:themeColor="text1"/>
                <w:sz w:val="20"/>
              </w:rPr>
              <w:t>Alto del Carmen</w:t>
            </w:r>
          </w:p>
        </w:tc>
      </w:tr>
      <w:tr w:rsidR="002B4B0C" w:rsidRPr="000E0F90" w:rsidTr="002A21E4">
        <w:trPr>
          <w:cantSplit/>
          <w:trHeight w:val="1134"/>
        </w:trPr>
        <w:tc>
          <w:tcPr>
            <w:tcW w:w="534" w:type="dxa"/>
            <w:tcBorders>
              <w:bottom w:val="nil"/>
            </w:tcBorders>
            <w:textDirection w:val="btLr"/>
          </w:tcPr>
          <w:p w:rsidR="002B4B0C" w:rsidRPr="000E0F90" w:rsidRDefault="002B4B0C" w:rsidP="00E96E50">
            <w:pPr>
              <w:ind w:left="-37" w:right="113"/>
              <w:jc w:val="center"/>
              <w:rPr>
                <w:rFonts w:ascii="Arial" w:hAnsi="Arial" w:cs="Arial"/>
                <w:b/>
                <w:color w:val="000000" w:themeColor="text1"/>
                <w:sz w:val="20"/>
              </w:rPr>
            </w:pPr>
            <w:r w:rsidRPr="000E0F90">
              <w:rPr>
                <w:rFonts w:ascii="Arial" w:hAnsi="Arial" w:cs="Arial"/>
                <w:b/>
                <w:color w:val="000000" w:themeColor="text1"/>
                <w:sz w:val="20"/>
              </w:rPr>
              <w:t>Potencialidades</w:t>
            </w:r>
          </w:p>
        </w:tc>
        <w:tc>
          <w:tcPr>
            <w:tcW w:w="4110" w:type="dxa"/>
            <w:tcBorders>
              <w:bottom w:val="nil"/>
            </w:tcBorders>
          </w:tcPr>
          <w:p w:rsidR="002B4B0C" w:rsidRPr="000E0F90" w:rsidRDefault="002B4B0C" w:rsidP="00E96E50">
            <w:pPr>
              <w:jc w:val="left"/>
              <w:rPr>
                <w:rFonts w:ascii="Arial" w:hAnsi="Arial" w:cs="Arial"/>
                <w:color w:val="000000" w:themeColor="text1"/>
                <w:sz w:val="20"/>
              </w:rPr>
            </w:pPr>
            <w:r w:rsidRPr="000E0F90">
              <w:rPr>
                <w:rFonts w:ascii="Arial" w:hAnsi="Arial" w:cs="Arial"/>
                <w:color w:val="000000" w:themeColor="text1"/>
                <w:sz w:val="20"/>
              </w:rPr>
              <w:t>- Dominio desértico, estepario y Nival</w:t>
            </w:r>
          </w:p>
          <w:p w:rsidR="002B4B0C" w:rsidRPr="000E0F90" w:rsidRDefault="002B4B0C" w:rsidP="00E96E50">
            <w:pPr>
              <w:jc w:val="left"/>
              <w:rPr>
                <w:rFonts w:ascii="Arial" w:hAnsi="Arial" w:cs="Arial"/>
                <w:color w:val="000000" w:themeColor="text1"/>
                <w:sz w:val="20"/>
              </w:rPr>
            </w:pPr>
            <w:r w:rsidRPr="000E0F90">
              <w:rPr>
                <w:rFonts w:ascii="Arial" w:hAnsi="Arial" w:cs="Arial"/>
                <w:color w:val="000000" w:themeColor="text1"/>
                <w:sz w:val="20"/>
              </w:rPr>
              <w:t>- Cuenca Alta Río Choapa</w:t>
            </w:r>
          </w:p>
          <w:p w:rsidR="002B4B0C" w:rsidRPr="000E0F90" w:rsidRDefault="002B4B0C" w:rsidP="00E96E50">
            <w:pPr>
              <w:jc w:val="left"/>
              <w:rPr>
                <w:rFonts w:ascii="Arial" w:hAnsi="Arial" w:cs="Arial"/>
                <w:color w:val="000000" w:themeColor="text1"/>
                <w:sz w:val="20"/>
              </w:rPr>
            </w:pPr>
            <w:r w:rsidRPr="000E0F90">
              <w:rPr>
                <w:rFonts w:ascii="Arial" w:hAnsi="Arial" w:cs="Arial"/>
                <w:color w:val="000000" w:themeColor="text1"/>
                <w:sz w:val="20"/>
              </w:rPr>
              <w:t>- Suelos con aptitud agrícola y ganadera.</w:t>
            </w:r>
          </w:p>
          <w:p w:rsidR="002B4B0C" w:rsidRPr="000E0F90" w:rsidRDefault="002B4B0C" w:rsidP="00E96E50">
            <w:pPr>
              <w:jc w:val="left"/>
              <w:rPr>
                <w:rFonts w:ascii="Arial" w:hAnsi="Arial" w:cs="Arial"/>
                <w:color w:val="000000" w:themeColor="text1"/>
                <w:sz w:val="20"/>
              </w:rPr>
            </w:pPr>
            <w:r w:rsidRPr="000E0F90">
              <w:rPr>
                <w:rFonts w:ascii="Arial" w:hAnsi="Arial" w:cs="Arial"/>
                <w:color w:val="000000" w:themeColor="text1"/>
                <w:sz w:val="20"/>
              </w:rPr>
              <w:t xml:space="preserve">- Yacimientos cobre, oro, hierro y caliza </w:t>
            </w:r>
          </w:p>
          <w:p w:rsidR="002B4B0C" w:rsidRPr="000E0F90" w:rsidRDefault="002B4B0C" w:rsidP="00E96E50">
            <w:pPr>
              <w:jc w:val="left"/>
              <w:rPr>
                <w:rFonts w:ascii="Arial" w:hAnsi="Arial" w:cs="Arial"/>
                <w:color w:val="000000" w:themeColor="text1"/>
                <w:sz w:val="20"/>
              </w:rPr>
            </w:pPr>
            <w:r w:rsidRPr="000E0F90">
              <w:rPr>
                <w:rFonts w:ascii="Arial" w:hAnsi="Arial" w:cs="Arial"/>
                <w:color w:val="000000" w:themeColor="text1"/>
                <w:sz w:val="20"/>
              </w:rPr>
              <w:t>- Desarrollo local asociado a agricultura y minería</w:t>
            </w:r>
          </w:p>
          <w:p w:rsidR="004B1799" w:rsidRDefault="002B4B0C" w:rsidP="00E96E50">
            <w:pPr>
              <w:jc w:val="left"/>
              <w:rPr>
                <w:rFonts w:ascii="Arial" w:hAnsi="Arial" w:cs="Arial"/>
                <w:color w:val="000000" w:themeColor="text1"/>
                <w:sz w:val="20"/>
              </w:rPr>
            </w:pPr>
            <w:r w:rsidRPr="000E0F90">
              <w:rPr>
                <w:rFonts w:ascii="Arial" w:hAnsi="Arial" w:cs="Arial"/>
                <w:color w:val="000000" w:themeColor="text1"/>
                <w:sz w:val="20"/>
              </w:rPr>
              <w:t xml:space="preserve">- Agricultura intensiva </w:t>
            </w:r>
            <w:r w:rsidR="004B1799">
              <w:rPr>
                <w:rFonts w:ascii="Arial" w:hAnsi="Arial" w:cs="Arial"/>
                <w:color w:val="000000" w:themeColor="text1"/>
                <w:sz w:val="20"/>
              </w:rPr>
              <w:t>(Exportación)</w:t>
            </w:r>
          </w:p>
          <w:p w:rsidR="002B4B0C" w:rsidRPr="000E0F90" w:rsidRDefault="002B4B0C" w:rsidP="00E96E50">
            <w:pPr>
              <w:jc w:val="left"/>
              <w:rPr>
                <w:rFonts w:ascii="Arial" w:hAnsi="Arial" w:cs="Arial"/>
                <w:color w:val="000000" w:themeColor="text1"/>
                <w:sz w:val="20"/>
              </w:rPr>
            </w:pPr>
            <w:r w:rsidRPr="000E0F90">
              <w:rPr>
                <w:rFonts w:ascii="Arial" w:hAnsi="Arial" w:cs="Arial"/>
                <w:color w:val="000000" w:themeColor="text1"/>
                <w:sz w:val="20"/>
              </w:rPr>
              <w:t>- Existencia pequeña, mediana y gran minería</w:t>
            </w:r>
          </w:p>
          <w:p w:rsidR="002B4B0C" w:rsidRPr="000E0F90" w:rsidRDefault="002B4B0C" w:rsidP="00E96E50">
            <w:pPr>
              <w:jc w:val="left"/>
              <w:rPr>
                <w:rFonts w:ascii="Arial" w:hAnsi="Arial" w:cs="Arial"/>
                <w:color w:val="000000" w:themeColor="text1"/>
                <w:sz w:val="20"/>
              </w:rPr>
            </w:pPr>
            <w:r w:rsidRPr="000E0F90">
              <w:rPr>
                <w:rFonts w:ascii="Arial" w:hAnsi="Arial" w:cs="Arial"/>
                <w:color w:val="000000" w:themeColor="text1"/>
                <w:sz w:val="20"/>
              </w:rPr>
              <w:t>- Principal oferta laboral de sector agrícola</w:t>
            </w:r>
          </w:p>
          <w:p w:rsidR="002B4B0C" w:rsidRPr="000E0F90" w:rsidRDefault="002B4B0C" w:rsidP="00E96E50">
            <w:pPr>
              <w:jc w:val="left"/>
              <w:rPr>
                <w:rFonts w:ascii="Arial" w:hAnsi="Arial" w:cs="Arial"/>
                <w:color w:val="000000" w:themeColor="text1"/>
                <w:sz w:val="20"/>
              </w:rPr>
            </w:pPr>
            <w:r w:rsidRPr="000E0F90">
              <w:rPr>
                <w:rFonts w:ascii="Arial" w:hAnsi="Arial" w:cs="Arial"/>
                <w:color w:val="000000" w:themeColor="text1"/>
                <w:sz w:val="20"/>
              </w:rPr>
              <w:t>- Ayudas socioeconómicas de gran minería</w:t>
            </w:r>
          </w:p>
          <w:p w:rsidR="002B4B0C" w:rsidRPr="000E0F90" w:rsidRDefault="002B4B0C" w:rsidP="00E96E50">
            <w:pPr>
              <w:jc w:val="left"/>
              <w:rPr>
                <w:rFonts w:ascii="Arial" w:hAnsi="Arial" w:cs="Arial"/>
                <w:color w:val="000000" w:themeColor="text1"/>
                <w:sz w:val="20"/>
              </w:rPr>
            </w:pPr>
            <w:r w:rsidRPr="000E0F90">
              <w:rPr>
                <w:rFonts w:ascii="Arial" w:hAnsi="Arial" w:cs="Arial"/>
                <w:color w:val="000000" w:themeColor="text1"/>
                <w:sz w:val="20"/>
              </w:rPr>
              <w:t>- Alta proporción de población rural</w:t>
            </w:r>
          </w:p>
          <w:p w:rsidR="002B4B0C" w:rsidRPr="000E0F90" w:rsidRDefault="002B4B0C" w:rsidP="00E96E50">
            <w:pPr>
              <w:jc w:val="left"/>
              <w:rPr>
                <w:rFonts w:ascii="Arial" w:hAnsi="Arial" w:cs="Arial"/>
                <w:color w:val="000000" w:themeColor="text1"/>
                <w:sz w:val="20"/>
              </w:rPr>
            </w:pPr>
            <w:r w:rsidRPr="000E0F90">
              <w:rPr>
                <w:rFonts w:ascii="Arial" w:hAnsi="Arial" w:cs="Arial"/>
                <w:color w:val="000000" w:themeColor="text1"/>
                <w:sz w:val="20"/>
              </w:rPr>
              <w:t>- Identidad territorial minera y agrícola</w:t>
            </w:r>
          </w:p>
          <w:p w:rsidR="002B4B0C" w:rsidRPr="000E0F90" w:rsidRDefault="002B4B0C" w:rsidP="00E96E50">
            <w:pPr>
              <w:jc w:val="left"/>
              <w:rPr>
                <w:rFonts w:ascii="Arial" w:hAnsi="Arial" w:cs="Arial"/>
                <w:color w:val="000000" w:themeColor="text1"/>
                <w:sz w:val="20"/>
              </w:rPr>
            </w:pPr>
            <w:r w:rsidRPr="000E0F90">
              <w:rPr>
                <w:rFonts w:ascii="Arial" w:hAnsi="Arial" w:cs="Arial"/>
                <w:color w:val="000000" w:themeColor="text1"/>
                <w:sz w:val="20"/>
              </w:rPr>
              <w:t xml:space="preserve">- Oportunidades de desarrollo local </w:t>
            </w:r>
          </w:p>
          <w:p w:rsidR="002B4B0C" w:rsidRPr="000E0F90" w:rsidRDefault="002B4B0C" w:rsidP="00E96E50">
            <w:pPr>
              <w:jc w:val="left"/>
              <w:rPr>
                <w:rFonts w:ascii="Arial" w:hAnsi="Arial" w:cs="Arial"/>
                <w:color w:val="000000" w:themeColor="text1"/>
                <w:sz w:val="20"/>
              </w:rPr>
            </w:pPr>
            <w:r w:rsidRPr="000E0F90">
              <w:rPr>
                <w:rFonts w:ascii="Arial" w:hAnsi="Arial" w:cs="Arial"/>
                <w:color w:val="000000" w:themeColor="text1"/>
                <w:sz w:val="20"/>
              </w:rPr>
              <w:t>- Desierto Florido y Parque Nevado Tres Cruces</w:t>
            </w:r>
          </w:p>
          <w:p w:rsidR="002B4B0C" w:rsidRPr="000E0F90" w:rsidRDefault="002B4B0C" w:rsidP="00E96E50">
            <w:pPr>
              <w:jc w:val="left"/>
              <w:rPr>
                <w:rFonts w:ascii="Arial" w:hAnsi="Arial" w:cs="Arial"/>
                <w:color w:val="000000" w:themeColor="text1"/>
                <w:sz w:val="20"/>
              </w:rPr>
            </w:pPr>
          </w:p>
        </w:tc>
        <w:tc>
          <w:tcPr>
            <w:tcW w:w="4111" w:type="dxa"/>
            <w:tcBorders>
              <w:bottom w:val="nil"/>
            </w:tcBorders>
          </w:tcPr>
          <w:p w:rsidR="002B4B0C" w:rsidRPr="000E0F90" w:rsidRDefault="002B4B0C" w:rsidP="00E96E50">
            <w:pPr>
              <w:jc w:val="left"/>
              <w:rPr>
                <w:rFonts w:ascii="Arial" w:hAnsi="Arial" w:cs="Arial"/>
                <w:b/>
                <w:color w:val="000000" w:themeColor="text1"/>
                <w:sz w:val="20"/>
              </w:rPr>
            </w:pPr>
            <w:r w:rsidRPr="000E0F90">
              <w:rPr>
                <w:rFonts w:ascii="Arial" w:hAnsi="Arial" w:cs="Arial"/>
                <w:b/>
                <w:color w:val="000000" w:themeColor="text1"/>
                <w:sz w:val="20"/>
              </w:rPr>
              <w:t xml:space="preserve">- </w:t>
            </w:r>
            <w:r w:rsidRPr="000E0F90">
              <w:rPr>
                <w:rFonts w:ascii="Arial" w:hAnsi="Arial" w:cs="Arial"/>
                <w:color w:val="000000" w:themeColor="text1"/>
                <w:sz w:val="20"/>
              </w:rPr>
              <w:t>Dominio desértico, estepario y Nival</w:t>
            </w:r>
            <w:r w:rsidRPr="000E0F90">
              <w:rPr>
                <w:rFonts w:ascii="Arial" w:hAnsi="Arial" w:cs="Arial"/>
                <w:b/>
                <w:color w:val="000000" w:themeColor="text1"/>
                <w:sz w:val="20"/>
              </w:rPr>
              <w:t xml:space="preserve"> </w:t>
            </w:r>
          </w:p>
          <w:p w:rsidR="002B4B0C" w:rsidRPr="000E0F90" w:rsidRDefault="002B4B0C" w:rsidP="00E96E50">
            <w:pPr>
              <w:jc w:val="left"/>
              <w:rPr>
                <w:rFonts w:ascii="Arial" w:hAnsi="Arial" w:cs="Arial"/>
                <w:color w:val="000000" w:themeColor="text1"/>
                <w:sz w:val="20"/>
              </w:rPr>
            </w:pPr>
            <w:r w:rsidRPr="000E0F90">
              <w:rPr>
                <w:rFonts w:ascii="Arial" w:hAnsi="Arial" w:cs="Arial"/>
                <w:color w:val="000000" w:themeColor="text1"/>
                <w:sz w:val="20"/>
              </w:rPr>
              <w:t>- Cuenca Alta Río Huasco</w:t>
            </w:r>
          </w:p>
          <w:p w:rsidR="002B4B0C" w:rsidRPr="000E0F90" w:rsidRDefault="002B4B0C" w:rsidP="00E96E50">
            <w:pPr>
              <w:jc w:val="left"/>
              <w:rPr>
                <w:rFonts w:ascii="Arial" w:hAnsi="Arial" w:cs="Arial"/>
                <w:color w:val="000000" w:themeColor="text1"/>
                <w:sz w:val="20"/>
              </w:rPr>
            </w:pPr>
            <w:r w:rsidRPr="000E0F90">
              <w:rPr>
                <w:rFonts w:ascii="Arial" w:hAnsi="Arial" w:cs="Arial"/>
                <w:color w:val="000000" w:themeColor="text1"/>
                <w:sz w:val="20"/>
              </w:rPr>
              <w:t xml:space="preserve">- Suelos con aptitud agrícola y ganadera. </w:t>
            </w:r>
          </w:p>
          <w:p w:rsidR="002B4B0C" w:rsidRPr="000E0F90" w:rsidRDefault="002B4B0C" w:rsidP="00E96E50">
            <w:pPr>
              <w:jc w:val="left"/>
              <w:rPr>
                <w:rFonts w:ascii="Arial" w:hAnsi="Arial" w:cs="Arial"/>
                <w:color w:val="000000" w:themeColor="text1"/>
                <w:sz w:val="20"/>
              </w:rPr>
            </w:pPr>
            <w:r w:rsidRPr="000E0F90">
              <w:rPr>
                <w:rFonts w:ascii="Arial" w:hAnsi="Arial" w:cs="Arial"/>
                <w:color w:val="000000" w:themeColor="text1"/>
                <w:sz w:val="20"/>
              </w:rPr>
              <w:t>- Yacimientos de oro, cobre y mármol</w:t>
            </w:r>
          </w:p>
          <w:p w:rsidR="002B4B0C" w:rsidRPr="000E0F90" w:rsidRDefault="002B4B0C" w:rsidP="00E96E50">
            <w:pPr>
              <w:jc w:val="left"/>
              <w:rPr>
                <w:rFonts w:ascii="Arial" w:hAnsi="Arial" w:cs="Arial"/>
                <w:color w:val="000000" w:themeColor="text1"/>
                <w:sz w:val="20"/>
              </w:rPr>
            </w:pPr>
            <w:r w:rsidRPr="000E0F90">
              <w:rPr>
                <w:rFonts w:ascii="Arial" w:hAnsi="Arial" w:cs="Arial"/>
                <w:color w:val="000000" w:themeColor="text1"/>
                <w:sz w:val="20"/>
              </w:rPr>
              <w:t>- Desarrollo local asociado a agricultura y ganadería</w:t>
            </w:r>
          </w:p>
          <w:p w:rsidR="002B4B0C" w:rsidRPr="000E0F90" w:rsidRDefault="002B4B0C" w:rsidP="00E96E50">
            <w:pPr>
              <w:jc w:val="left"/>
              <w:rPr>
                <w:rFonts w:ascii="Arial" w:hAnsi="Arial" w:cs="Arial"/>
                <w:color w:val="000000" w:themeColor="text1"/>
                <w:sz w:val="20"/>
              </w:rPr>
            </w:pPr>
            <w:r w:rsidRPr="000E0F90">
              <w:rPr>
                <w:rFonts w:ascii="Arial" w:hAnsi="Arial" w:cs="Arial"/>
                <w:color w:val="000000" w:themeColor="text1"/>
                <w:sz w:val="20"/>
              </w:rPr>
              <w:t>- Agricultura de subsistencia, intensiva y ganadería caprina</w:t>
            </w:r>
          </w:p>
          <w:p w:rsidR="002B4B0C" w:rsidRPr="000E0F90" w:rsidRDefault="002B4B0C" w:rsidP="00E96E50">
            <w:pPr>
              <w:jc w:val="left"/>
              <w:rPr>
                <w:rFonts w:ascii="Arial" w:hAnsi="Arial" w:cs="Arial"/>
                <w:color w:val="000000" w:themeColor="text1"/>
                <w:sz w:val="20"/>
              </w:rPr>
            </w:pPr>
            <w:r w:rsidRPr="000E0F90">
              <w:rPr>
                <w:rFonts w:ascii="Arial" w:hAnsi="Arial" w:cs="Arial"/>
                <w:color w:val="000000" w:themeColor="text1"/>
                <w:sz w:val="20"/>
              </w:rPr>
              <w:t>- Existencia de comunidades agrícolas</w:t>
            </w:r>
          </w:p>
          <w:p w:rsidR="002B4B0C" w:rsidRPr="000E0F90" w:rsidRDefault="002B4B0C" w:rsidP="00E96E50">
            <w:pPr>
              <w:jc w:val="left"/>
              <w:rPr>
                <w:rFonts w:ascii="Arial" w:hAnsi="Arial" w:cs="Arial"/>
                <w:color w:val="000000" w:themeColor="text1"/>
                <w:sz w:val="20"/>
              </w:rPr>
            </w:pPr>
            <w:r w:rsidRPr="000E0F90">
              <w:rPr>
                <w:rFonts w:ascii="Arial" w:hAnsi="Arial" w:cs="Arial"/>
                <w:color w:val="000000" w:themeColor="text1"/>
                <w:sz w:val="20"/>
              </w:rPr>
              <w:t>- Principal oferta laboral de sector agrícola</w:t>
            </w:r>
          </w:p>
          <w:p w:rsidR="002B4B0C" w:rsidRPr="000E0F90" w:rsidRDefault="002B4B0C" w:rsidP="00E96E50">
            <w:pPr>
              <w:jc w:val="left"/>
              <w:rPr>
                <w:rFonts w:ascii="Arial" w:hAnsi="Arial" w:cs="Arial"/>
                <w:color w:val="000000" w:themeColor="text1"/>
                <w:sz w:val="20"/>
              </w:rPr>
            </w:pPr>
            <w:r w:rsidRPr="000E0F90">
              <w:rPr>
                <w:rFonts w:ascii="Arial" w:hAnsi="Arial" w:cs="Arial"/>
                <w:color w:val="000000" w:themeColor="text1"/>
                <w:sz w:val="20"/>
              </w:rPr>
              <w:t>- Baja dotación faenas mineras, principalmente pequeña minería</w:t>
            </w:r>
          </w:p>
          <w:p w:rsidR="002B4B0C" w:rsidRPr="000E0F90" w:rsidRDefault="002B4B0C" w:rsidP="00E96E50">
            <w:pPr>
              <w:jc w:val="left"/>
              <w:rPr>
                <w:rFonts w:ascii="Arial" w:hAnsi="Arial" w:cs="Arial"/>
                <w:color w:val="000000" w:themeColor="text1"/>
                <w:sz w:val="20"/>
              </w:rPr>
            </w:pPr>
            <w:r w:rsidRPr="000E0F90">
              <w:rPr>
                <w:rFonts w:ascii="Arial" w:hAnsi="Arial" w:cs="Arial"/>
                <w:color w:val="000000" w:themeColor="text1"/>
                <w:sz w:val="20"/>
              </w:rPr>
              <w:t>- Sin pasivos ni relaves</w:t>
            </w:r>
          </w:p>
          <w:p w:rsidR="002B4B0C" w:rsidRPr="000E0F90" w:rsidRDefault="002B4B0C" w:rsidP="00E96E50">
            <w:pPr>
              <w:jc w:val="left"/>
              <w:rPr>
                <w:rFonts w:ascii="Arial" w:hAnsi="Arial" w:cs="Arial"/>
                <w:color w:val="000000" w:themeColor="text1"/>
                <w:sz w:val="20"/>
              </w:rPr>
            </w:pPr>
            <w:r w:rsidRPr="000E0F90">
              <w:rPr>
                <w:rFonts w:ascii="Arial" w:hAnsi="Arial" w:cs="Arial"/>
                <w:color w:val="000000" w:themeColor="text1"/>
                <w:sz w:val="20"/>
              </w:rPr>
              <w:t xml:space="preserve">- </w:t>
            </w:r>
            <w:r w:rsidR="009F22EB" w:rsidRPr="000E0F90">
              <w:rPr>
                <w:rFonts w:ascii="Arial" w:hAnsi="Arial" w:cs="Arial"/>
                <w:color w:val="000000" w:themeColor="text1"/>
                <w:sz w:val="20"/>
              </w:rPr>
              <w:t>Proyección</w:t>
            </w:r>
            <w:r w:rsidRPr="000E0F90">
              <w:rPr>
                <w:rFonts w:ascii="Arial" w:hAnsi="Arial" w:cs="Arial"/>
                <w:color w:val="000000" w:themeColor="text1"/>
                <w:sz w:val="20"/>
              </w:rPr>
              <w:t xml:space="preserve"> de desarrollo minero a gran escala</w:t>
            </w:r>
          </w:p>
          <w:p w:rsidR="002B4B0C" w:rsidRPr="000E0F90" w:rsidRDefault="002B4B0C" w:rsidP="00E96E50">
            <w:pPr>
              <w:jc w:val="left"/>
              <w:rPr>
                <w:rFonts w:ascii="Arial" w:hAnsi="Arial" w:cs="Arial"/>
                <w:color w:val="000000" w:themeColor="text1"/>
                <w:sz w:val="20"/>
              </w:rPr>
            </w:pPr>
            <w:r w:rsidRPr="000E0F90">
              <w:rPr>
                <w:rFonts w:ascii="Arial" w:hAnsi="Arial" w:cs="Arial"/>
                <w:color w:val="000000" w:themeColor="text1"/>
                <w:sz w:val="20"/>
              </w:rPr>
              <w:t>- Población totalmente rural</w:t>
            </w:r>
          </w:p>
          <w:p w:rsidR="002B4B0C" w:rsidRPr="000E0F90" w:rsidRDefault="002B4B0C" w:rsidP="00E96E50">
            <w:pPr>
              <w:jc w:val="left"/>
              <w:rPr>
                <w:rFonts w:ascii="Arial" w:hAnsi="Arial" w:cs="Arial"/>
                <w:color w:val="000000" w:themeColor="text1"/>
                <w:sz w:val="20"/>
              </w:rPr>
            </w:pPr>
            <w:r w:rsidRPr="000E0F90">
              <w:rPr>
                <w:rFonts w:ascii="Arial" w:hAnsi="Arial" w:cs="Arial"/>
                <w:color w:val="000000" w:themeColor="text1"/>
                <w:sz w:val="20"/>
              </w:rPr>
              <w:t>- Identidad territorial agrícola e indígena</w:t>
            </w:r>
          </w:p>
          <w:p w:rsidR="002B4B0C" w:rsidRPr="000E0F90" w:rsidRDefault="002B4B0C" w:rsidP="00E96E50">
            <w:pPr>
              <w:jc w:val="left"/>
              <w:rPr>
                <w:rFonts w:ascii="Arial" w:hAnsi="Arial" w:cs="Arial"/>
                <w:color w:val="000000" w:themeColor="text1"/>
                <w:sz w:val="20"/>
              </w:rPr>
            </w:pPr>
            <w:r w:rsidRPr="000E0F90">
              <w:rPr>
                <w:rFonts w:ascii="Arial" w:hAnsi="Arial" w:cs="Arial"/>
                <w:color w:val="000000" w:themeColor="text1"/>
                <w:sz w:val="20"/>
              </w:rPr>
              <w:t xml:space="preserve">- Oportunidades de desarrollo local </w:t>
            </w:r>
          </w:p>
          <w:p w:rsidR="002B4B0C" w:rsidRPr="000E0F90" w:rsidRDefault="002B4B0C" w:rsidP="00E96E50">
            <w:pPr>
              <w:jc w:val="left"/>
              <w:rPr>
                <w:rFonts w:ascii="Arial" w:hAnsi="Arial" w:cs="Arial"/>
                <w:color w:val="000000" w:themeColor="text1"/>
                <w:sz w:val="20"/>
              </w:rPr>
            </w:pPr>
            <w:r w:rsidRPr="000E0F90">
              <w:rPr>
                <w:rFonts w:ascii="Arial" w:hAnsi="Arial" w:cs="Arial"/>
                <w:color w:val="000000" w:themeColor="text1"/>
                <w:sz w:val="20"/>
              </w:rPr>
              <w:t>- Desierto Florido y Sitio Prioritario Huascoaltino</w:t>
            </w:r>
          </w:p>
        </w:tc>
      </w:tr>
      <w:tr w:rsidR="002B4B0C" w:rsidRPr="000E0F90" w:rsidTr="002A21E4">
        <w:trPr>
          <w:cantSplit/>
          <w:trHeight w:val="3847"/>
        </w:trPr>
        <w:tc>
          <w:tcPr>
            <w:tcW w:w="534" w:type="dxa"/>
            <w:tcBorders>
              <w:top w:val="nil"/>
            </w:tcBorders>
            <w:textDirection w:val="btLr"/>
          </w:tcPr>
          <w:p w:rsidR="002B4B0C" w:rsidRPr="000E0F90" w:rsidRDefault="002B4B0C" w:rsidP="00E96E50">
            <w:pPr>
              <w:ind w:left="113" w:right="113"/>
              <w:jc w:val="center"/>
              <w:rPr>
                <w:rFonts w:ascii="Arial" w:hAnsi="Arial" w:cs="Arial"/>
                <w:b/>
                <w:color w:val="000000" w:themeColor="text1"/>
                <w:sz w:val="20"/>
              </w:rPr>
            </w:pPr>
            <w:r w:rsidRPr="000E0F90">
              <w:rPr>
                <w:rFonts w:ascii="Arial" w:hAnsi="Arial" w:cs="Arial"/>
                <w:b/>
                <w:color w:val="000000" w:themeColor="text1"/>
                <w:sz w:val="20"/>
              </w:rPr>
              <w:lastRenderedPageBreak/>
              <w:t>Limitantes</w:t>
            </w:r>
          </w:p>
        </w:tc>
        <w:tc>
          <w:tcPr>
            <w:tcW w:w="4110" w:type="dxa"/>
            <w:tcBorders>
              <w:top w:val="nil"/>
            </w:tcBorders>
          </w:tcPr>
          <w:p w:rsidR="002B4B0C" w:rsidRPr="000E0F90" w:rsidRDefault="002B4B0C" w:rsidP="00E96E50">
            <w:pPr>
              <w:jc w:val="left"/>
              <w:rPr>
                <w:rFonts w:ascii="Arial" w:hAnsi="Arial" w:cs="Arial"/>
                <w:color w:val="000000" w:themeColor="text1"/>
                <w:sz w:val="20"/>
              </w:rPr>
            </w:pPr>
            <w:r w:rsidRPr="000E0F90">
              <w:rPr>
                <w:rFonts w:ascii="Arial" w:hAnsi="Arial" w:cs="Arial"/>
                <w:color w:val="000000" w:themeColor="text1"/>
                <w:sz w:val="20"/>
              </w:rPr>
              <w:t>- Escaso Desarrollo local</w:t>
            </w:r>
          </w:p>
          <w:p w:rsidR="002B4B0C" w:rsidRPr="000E0F90" w:rsidRDefault="002B4B0C" w:rsidP="00E96E50">
            <w:pPr>
              <w:jc w:val="left"/>
              <w:rPr>
                <w:rFonts w:ascii="Arial" w:hAnsi="Arial" w:cs="Arial"/>
                <w:color w:val="000000" w:themeColor="text1"/>
                <w:sz w:val="20"/>
              </w:rPr>
            </w:pPr>
            <w:r w:rsidRPr="000E0F90">
              <w:rPr>
                <w:rFonts w:ascii="Arial" w:hAnsi="Arial" w:cs="Arial"/>
                <w:color w:val="000000" w:themeColor="text1"/>
                <w:sz w:val="20"/>
              </w:rPr>
              <w:t>- Recurso hídrico limitante en cabecera de cuenca (uso intensivo creciente)</w:t>
            </w:r>
          </w:p>
          <w:p w:rsidR="002B4B0C" w:rsidRPr="000E0F90" w:rsidRDefault="002B4B0C" w:rsidP="00E96E50">
            <w:pPr>
              <w:jc w:val="left"/>
              <w:rPr>
                <w:rFonts w:ascii="Arial" w:hAnsi="Arial" w:cs="Arial"/>
                <w:color w:val="000000" w:themeColor="text1"/>
                <w:sz w:val="20"/>
              </w:rPr>
            </w:pPr>
            <w:r w:rsidRPr="000E0F90">
              <w:rPr>
                <w:rFonts w:ascii="Arial" w:hAnsi="Arial" w:cs="Arial"/>
                <w:color w:val="000000" w:themeColor="text1"/>
                <w:sz w:val="20"/>
              </w:rPr>
              <w:t>- Baja diversificación de actividades productivas.</w:t>
            </w:r>
          </w:p>
          <w:p w:rsidR="002B4B0C" w:rsidRPr="000E0F90" w:rsidRDefault="002B4B0C" w:rsidP="00E96E50">
            <w:pPr>
              <w:jc w:val="left"/>
              <w:rPr>
                <w:rFonts w:ascii="Arial" w:hAnsi="Arial" w:cs="Arial"/>
                <w:color w:val="000000" w:themeColor="text1"/>
                <w:sz w:val="20"/>
              </w:rPr>
            </w:pPr>
            <w:r w:rsidRPr="000E0F90">
              <w:rPr>
                <w:rFonts w:ascii="Arial" w:hAnsi="Arial" w:cs="Arial"/>
                <w:color w:val="000000" w:themeColor="text1"/>
                <w:sz w:val="20"/>
              </w:rPr>
              <w:t>- Reducidas oportunidades de empleo</w:t>
            </w:r>
          </w:p>
          <w:p w:rsidR="002B4B0C" w:rsidRPr="000E0F90" w:rsidRDefault="002B4B0C" w:rsidP="00E96E50">
            <w:pPr>
              <w:jc w:val="left"/>
              <w:rPr>
                <w:rFonts w:ascii="Arial" w:hAnsi="Arial" w:cs="Arial"/>
                <w:color w:val="000000" w:themeColor="text1"/>
                <w:sz w:val="20"/>
              </w:rPr>
            </w:pPr>
            <w:r w:rsidRPr="000E0F90">
              <w:rPr>
                <w:rFonts w:ascii="Arial" w:hAnsi="Arial" w:cs="Arial"/>
                <w:color w:val="000000" w:themeColor="text1"/>
                <w:sz w:val="20"/>
              </w:rPr>
              <w:t>- Baja autonomía territorial (Servicios públicos y complementarios)</w:t>
            </w:r>
          </w:p>
          <w:p w:rsidR="002B4B0C" w:rsidRPr="000E0F90" w:rsidRDefault="002B4B0C" w:rsidP="00E96E50">
            <w:pPr>
              <w:jc w:val="left"/>
              <w:rPr>
                <w:rFonts w:ascii="Arial" w:hAnsi="Arial" w:cs="Arial"/>
                <w:color w:val="000000" w:themeColor="text1"/>
                <w:sz w:val="20"/>
              </w:rPr>
            </w:pPr>
            <w:r w:rsidRPr="000E0F90">
              <w:rPr>
                <w:rFonts w:ascii="Arial" w:hAnsi="Arial" w:cs="Arial"/>
                <w:color w:val="000000" w:themeColor="text1"/>
                <w:sz w:val="20"/>
              </w:rPr>
              <w:t xml:space="preserve">- Legado ambiental: Pasivos ambientales mineros </w:t>
            </w:r>
          </w:p>
          <w:p w:rsidR="002B4B0C" w:rsidRPr="000E0F90" w:rsidRDefault="002B4B0C" w:rsidP="00E96E50">
            <w:pPr>
              <w:jc w:val="left"/>
              <w:rPr>
                <w:rFonts w:ascii="Arial" w:hAnsi="Arial" w:cs="Arial"/>
                <w:color w:val="000000" w:themeColor="text1"/>
                <w:sz w:val="20"/>
              </w:rPr>
            </w:pPr>
            <w:r w:rsidRPr="000E0F90">
              <w:rPr>
                <w:rFonts w:ascii="Arial" w:hAnsi="Arial" w:cs="Arial"/>
                <w:color w:val="000000" w:themeColor="text1"/>
                <w:sz w:val="20"/>
              </w:rPr>
              <w:t>- Contaminación ambiental por actividades industriales</w:t>
            </w:r>
          </w:p>
          <w:p w:rsidR="002B4B0C" w:rsidRPr="000E0F90" w:rsidRDefault="002B4B0C" w:rsidP="00E96E50">
            <w:pPr>
              <w:jc w:val="left"/>
              <w:rPr>
                <w:rFonts w:ascii="Arial" w:hAnsi="Arial" w:cs="Arial"/>
                <w:color w:val="000000" w:themeColor="text1"/>
                <w:sz w:val="20"/>
              </w:rPr>
            </w:pPr>
            <w:r w:rsidRPr="000E0F90">
              <w:rPr>
                <w:rFonts w:ascii="Arial" w:hAnsi="Arial" w:cs="Arial"/>
                <w:color w:val="000000" w:themeColor="text1"/>
                <w:sz w:val="20"/>
              </w:rPr>
              <w:t>- Contaminación recurso hídrico</w:t>
            </w:r>
          </w:p>
          <w:p w:rsidR="002B4B0C" w:rsidRPr="000E0F90" w:rsidRDefault="002B4B0C" w:rsidP="00E96E50">
            <w:pPr>
              <w:jc w:val="left"/>
              <w:rPr>
                <w:rFonts w:ascii="Arial" w:hAnsi="Arial" w:cs="Arial"/>
                <w:color w:val="000000" w:themeColor="text1"/>
                <w:sz w:val="20"/>
              </w:rPr>
            </w:pPr>
            <w:r w:rsidRPr="000E0F90">
              <w:rPr>
                <w:rFonts w:ascii="Arial" w:hAnsi="Arial" w:cs="Arial"/>
                <w:color w:val="000000" w:themeColor="text1"/>
                <w:sz w:val="20"/>
              </w:rPr>
              <w:t>- Riesgos a la salud humana y trabajadores por contaminación</w:t>
            </w:r>
          </w:p>
          <w:p w:rsidR="002B4B0C" w:rsidRPr="000E0F90" w:rsidRDefault="002B4B0C" w:rsidP="00E96E50">
            <w:pPr>
              <w:jc w:val="left"/>
              <w:rPr>
                <w:rFonts w:ascii="Arial" w:hAnsi="Arial" w:cs="Arial"/>
                <w:color w:val="000000" w:themeColor="text1"/>
                <w:sz w:val="20"/>
              </w:rPr>
            </w:pPr>
            <w:r w:rsidRPr="000E0F90">
              <w:rPr>
                <w:rFonts w:ascii="Arial" w:hAnsi="Arial" w:cs="Arial"/>
                <w:color w:val="000000" w:themeColor="text1"/>
                <w:sz w:val="20"/>
              </w:rPr>
              <w:t>- Mitigación impactos insuficiente</w:t>
            </w:r>
          </w:p>
          <w:p w:rsidR="002B4B0C" w:rsidRPr="000E0F90" w:rsidRDefault="002B4B0C" w:rsidP="00E96E50">
            <w:pPr>
              <w:jc w:val="left"/>
              <w:rPr>
                <w:rFonts w:ascii="Arial" w:hAnsi="Arial" w:cs="Arial"/>
                <w:color w:val="000000" w:themeColor="text1"/>
                <w:sz w:val="20"/>
              </w:rPr>
            </w:pPr>
            <w:r w:rsidRPr="000E0F90">
              <w:rPr>
                <w:rFonts w:ascii="Arial" w:hAnsi="Arial" w:cs="Arial"/>
                <w:color w:val="000000" w:themeColor="text1"/>
                <w:sz w:val="20"/>
              </w:rPr>
              <w:t>- Institucionalidad deficiente (Fiscalización)</w:t>
            </w:r>
          </w:p>
          <w:p w:rsidR="002B4B0C" w:rsidRPr="000E0F90" w:rsidRDefault="002B4B0C" w:rsidP="00E96E50">
            <w:pPr>
              <w:jc w:val="left"/>
              <w:rPr>
                <w:rFonts w:ascii="Arial" w:hAnsi="Arial" w:cs="Arial"/>
                <w:color w:val="000000" w:themeColor="text1"/>
                <w:sz w:val="20"/>
              </w:rPr>
            </w:pPr>
            <w:r w:rsidRPr="000E0F90">
              <w:rPr>
                <w:rFonts w:ascii="Arial" w:hAnsi="Arial" w:cs="Arial"/>
                <w:color w:val="000000" w:themeColor="text1"/>
                <w:sz w:val="20"/>
              </w:rPr>
              <w:t>- Limitada gobernanza local, alto nivel de centralismo. Desigualdad entre actores locales</w:t>
            </w:r>
          </w:p>
          <w:p w:rsidR="002B4B0C" w:rsidRPr="000E0F90" w:rsidRDefault="002B4B0C" w:rsidP="00E96E50">
            <w:pPr>
              <w:jc w:val="left"/>
              <w:rPr>
                <w:rFonts w:ascii="Arial" w:hAnsi="Arial" w:cs="Arial"/>
                <w:color w:val="000000" w:themeColor="text1"/>
                <w:sz w:val="20"/>
              </w:rPr>
            </w:pPr>
          </w:p>
        </w:tc>
        <w:tc>
          <w:tcPr>
            <w:tcW w:w="4111" w:type="dxa"/>
            <w:tcBorders>
              <w:top w:val="nil"/>
            </w:tcBorders>
          </w:tcPr>
          <w:p w:rsidR="002B4B0C" w:rsidRPr="000E0F90" w:rsidRDefault="002B4B0C" w:rsidP="00E96E50">
            <w:pPr>
              <w:jc w:val="left"/>
              <w:rPr>
                <w:rFonts w:ascii="Arial" w:hAnsi="Arial" w:cs="Arial"/>
                <w:color w:val="000000" w:themeColor="text1"/>
                <w:sz w:val="20"/>
                <w:szCs w:val="20"/>
              </w:rPr>
            </w:pPr>
            <w:r w:rsidRPr="000E0F90">
              <w:rPr>
                <w:rFonts w:ascii="Arial" w:hAnsi="Arial" w:cs="Arial"/>
                <w:b/>
                <w:color w:val="000000" w:themeColor="text1"/>
                <w:sz w:val="20"/>
                <w:szCs w:val="20"/>
              </w:rPr>
              <w:t xml:space="preserve">- </w:t>
            </w:r>
            <w:r w:rsidR="009F22EB" w:rsidRPr="000E0F90">
              <w:rPr>
                <w:rFonts w:ascii="Arial" w:hAnsi="Arial" w:cs="Arial"/>
                <w:color w:val="000000" w:themeColor="text1"/>
                <w:sz w:val="20"/>
                <w:szCs w:val="20"/>
              </w:rPr>
              <w:t>Escasez</w:t>
            </w:r>
            <w:r w:rsidRPr="000E0F90">
              <w:rPr>
                <w:rFonts w:ascii="Arial" w:hAnsi="Arial" w:cs="Arial"/>
                <w:color w:val="000000" w:themeColor="text1"/>
                <w:sz w:val="20"/>
                <w:szCs w:val="20"/>
              </w:rPr>
              <w:t xml:space="preserve"> hídrica, en cabecera de cuenca. </w:t>
            </w:r>
          </w:p>
          <w:p w:rsidR="002B4B0C" w:rsidRPr="000E0F90" w:rsidRDefault="002B4B0C" w:rsidP="00E96E50">
            <w:pPr>
              <w:jc w:val="left"/>
              <w:rPr>
                <w:rFonts w:ascii="Arial" w:hAnsi="Arial" w:cs="Arial"/>
                <w:color w:val="000000" w:themeColor="text1"/>
                <w:sz w:val="20"/>
                <w:szCs w:val="20"/>
              </w:rPr>
            </w:pPr>
            <w:r w:rsidRPr="000E0F90">
              <w:rPr>
                <w:rFonts w:ascii="Arial" w:hAnsi="Arial" w:cs="Arial"/>
                <w:color w:val="000000" w:themeColor="text1"/>
                <w:sz w:val="20"/>
                <w:szCs w:val="20"/>
              </w:rPr>
              <w:t>- Limitada estrategias de eficiencia hídrica</w:t>
            </w:r>
          </w:p>
          <w:p w:rsidR="002B4B0C" w:rsidRPr="000E0F90" w:rsidRDefault="002B4B0C" w:rsidP="00E96E50">
            <w:pPr>
              <w:jc w:val="left"/>
              <w:rPr>
                <w:rFonts w:ascii="Arial" w:hAnsi="Arial" w:cs="Arial"/>
                <w:color w:val="000000" w:themeColor="text1"/>
                <w:sz w:val="20"/>
                <w:szCs w:val="20"/>
              </w:rPr>
            </w:pPr>
            <w:r w:rsidRPr="000E0F90">
              <w:rPr>
                <w:rFonts w:ascii="Arial" w:hAnsi="Arial" w:cs="Arial"/>
                <w:color w:val="000000" w:themeColor="text1"/>
                <w:sz w:val="20"/>
                <w:szCs w:val="20"/>
              </w:rPr>
              <w:t>- Pérdida de propiedades y derechos de agua (Limita actividades locales)</w:t>
            </w:r>
          </w:p>
          <w:p w:rsidR="002B4B0C" w:rsidRPr="000E0F90" w:rsidRDefault="002B4B0C" w:rsidP="00E96E50">
            <w:pPr>
              <w:jc w:val="left"/>
              <w:rPr>
                <w:rFonts w:ascii="Arial" w:hAnsi="Arial" w:cs="Arial"/>
                <w:color w:val="000000" w:themeColor="text1"/>
                <w:sz w:val="20"/>
                <w:szCs w:val="20"/>
              </w:rPr>
            </w:pPr>
            <w:r w:rsidRPr="000E0F90">
              <w:rPr>
                <w:rFonts w:ascii="Arial" w:hAnsi="Arial" w:cs="Arial"/>
                <w:color w:val="000000" w:themeColor="text1"/>
                <w:sz w:val="20"/>
                <w:szCs w:val="20"/>
              </w:rPr>
              <w:t xml:space="preserve">- </w:t>
            </w:r>
            <w:r w:rsidR="009F22EB" w:rsidRPr="000E0F90">
              <w:rPr>
                <w:rFonts w:ascii="Arial" w:hAnsi="Arial" w:cs="Arial"/>
                <w:color w:val="000000" w:themeColor="text1"/>
                <w:sz w:val="20"/>
                <w:szCs w:val="20"/>
              </w:rPr>
              <w:t>Déficit</w:t>
            </w:r>
            <w:r w:rsidRPr="000E0F90">
              <w:rPr>
                <w:rFonts w:ascii="Arial" w:hAnsi="Arial" w:cs="Arial"/>
                <w:color w:val="000000" w:themeColor="text1"/>
                <w:sz w:val="20"/>
                <w:szCs w:val="20"/>
              </w:rPr>
              <w:t xml:space="preserve"> en infraestructura para ocio y esparcimiento, e infraestructura comunitaria</w:t>
            </w:r>
          </w:p>
          <w:p w:rsidR="002B4B0C" w:rsidRPr="000E0F90" w:rsidRDefault="002B4B0C" w:rsidP="00E96E50">
            <w:pPr>
              <w:jc w:val="left"/>
              <w:rPr>
                <w:rFonts w:ascii="Arial" w:hAnsi="Arial" w:cs="Arial"/>
                <w:color w:val="000000" w:themeColor="text1"/>
                <w:sz w:val="20"/>
              </w:rPr>
            </w:pPr>
            <w:r w:rsidRPr="000E0F90">
              <w:rPr>
                <w:rFonts w:ascii="Arial" w:hAnsi="Arial" w:cs="Arial"/>
                <w:color w:val="000000" w:themeColor="text1"/>
                <w:sz w:val="20"/>
                <w:szCs w:val="20"/>
              </w:rPr>
              <w:t>- Baja autonomía territorial (</w:t>
            </w:r>
            <w:r w:rsidRPr="000E0F90">
              <w:rPr>
                <w:rFonts w:ascii="Arial" w:hAnsi="Arial" w:cs="Arial"/>
                <w:color w:val="000000" w:themeColor="text1"/>
                <w:sz w:val="20"/>
              </w:rPr>
              <w:t>(Servicios públicos y complementarios)</w:t>
            </w:r>
          </w:p>
          <w:p w:rsidR="002B4B0C" w:rsidRPr="000E0F90" w:rsidRDefault="002B4B0C" w:rsidP="00E96E50">
            <w:pPr>
              <w:jc w:val="left"/>
              <w:rPr>
                <w:rFonts w:ascii="Arial" w:hAnsi="Arial" w:cs="Arial"/>
                <w:color w:val="000000" w:themeColor="text1"/>
                <w:sz w:val="20"/>
                <w:szCs w:val="20"/>
              </w:rPr>
            </w:pPr>
            <w:r w:rsidRPr="000E0F90">
              <w:rPr>
                <w:rFonts w:ascii="Arial" w:hAnsi="Arial" w:cs="Arial"/>
                <w:color w:val="000000" w:themeColor="text1"/>
                <w:sz w:val="20"/>
                <w:szCs w:val="20"/>
              </w:rPr>
              <w:t xml:space="preserve">- Limitada diversificación productiva </w:t>
            </w:r>
          </w:p>
          <w:p w:rsidR="002B4B0C" w:rsidRPr="000E0F90" w:rsidRDefault="002B4B0C" w:rsidP="00E96E50">
            <w:pPr>
              <w:jc w:val="left"/>
              <w:rPr>
                <w:rFonts w:ascii="Arial" w:hAnsi="Arial" w:cs="Arial"/>
                <w:color w:val="000000" w:themeColor="text1"/>
                <w:sz w:val="20"/>
                <w:szCs w:val="20"/>
              </w:rPr>
            </w:pPr>
            <w:r w:rsidRPr="000E0F90">
              <w:rPr>
                <w:rFonts w:ascii="Arial" w:hAnsi="Arial" w:cs="Arial"/>
                <w:color w:val="000000" w:themeColor="text1"/>
                <w:sz w:val="20"/>
                <w:szCs w:val="20"/>
              </w:rPr>
              <w:t xml:space="preserve">- Reducidas oportunidades de empleo </w:t>
            </w:r>
          </w:p>
          <w:p w:rsidR="002B4B0C" w:rsidRPr="000E0F90" w:rsidRDefault="002B4B0C" w:rsidP="00E96E50">
            <w:pPr>
              <w:jc w:val="left"/>
              <w:rPr>
                <w:rFonts w:ascii="Arial" w:hAnsi="Arial" w:cs="Arial"/>
                <w:color w:val="000000" w:themeColor="text1"/>
                <w:sz w:val="20"/>
                <w:szCs w:val="20"/>
              </w:rPr>
            </w:pPr>
            <w:r w:rsidRPr="000E0F90">
              <w:rPr>
                <w:rFonts w:ascii="Arial" w:hAnsi="Arial" w:cs="Arial"/>
                <w:color w:val="000000" w:themeColor="text1"/>
                <w:sz w:val="20"/>
                <w:szCs w:val="20"/>
              </w:rPr>
              <w:t>- Institucionalidad deficiente</w:t>
            </w:r>
          </w:p>
          <w:p w:rsidR="002B4B0C" w:rsidRPr="000E0F90" w:rsidRDefault="002B4B0C" w:rsidP="00E96E50">
            <w:pPr>
              <w:jc w:val="left"/>
              <w:rPr>
                <w:rFonts w:ascii="Arial" w:hAnsi="Arial" w:cs="Arial"/>
                <w:color w:val="000000" w:themeColor="text1"/>
                <w:sz w:val="20"/>
                <w:szCs w:val="20"/>
              </w:rPr>
            </w:pPr>
            <w:r w:rsidRPr="000E0F90">
              <w:rPr>
                <w:rFonts w:ascii="Arial" w:hAnsi="Arial" w:cs="Arial"/>
                <w:color w:val="000000" w:themeColor="text1"/>
                <w:sz w:val="20"/>
                <w:szCs w:val="20"/>
              </w:rPr>
              <w:t xml:space="preserve">- </w:t>
            </w:r>
            <w:r w:rsidRPr="000E0F90">
              <w:rPr>
                <w:rFonts w:ascii="Arial" w:hAnsi="Arial" w:cs="Arial"/>
                <w:color w:val="000000" w:themeColor="text1"/>
                <w:sz w:val="20"/>
              </w:rPr>
              <w:t>Limitada gobernanza local, alto nivel de centralismo. Desigualdad entre actores locales</w:t>
            </w:r>
            <w:r w:rsidRPr="000E0F90">
              <w:rPr>
                <w:rFonts w:ascii="Arial" w:hAnsi="Arial" w:cs="Arial"/>
                <w:color w:val="000000" w:themeColor="text1"/>
                <w:sz w:val="20"/>
                <w:szCs w:val="20"/>
              </w:rPr>
              <w:t xml:space="preserve"> (judicialización, participación no vinculante) </w:t>
            </w:r>
          </w:p>
          <w:p w:rsidR="002B4B0C" w:rsidRPr="000E0F90" w:rsidRDefault="002B4B0C" w:rsidP="00E96E50">
            <w:pPr>
              <w:jc w:val="left"/>
              <w:rPr>
                <w:rFonts w:ascii="Arial" w:hAnsi="Arial" w:cs="Arial"/>
                <w:color w:val="000000" w:themeColor="text1"/>
                <w:sz w:val="20"/>
                <w:szCs w:val="20"/>
              </w:rPr>
            </w:pPr>
            <w:r w:rsidRPr="000E0F90">
              <w:rPr>
                <w:rFonts w:ascii="Arial" w:hAnsi="Arial" w:cs="Arial"/>
                <w:color w:val="000000" w:themeColor="text1"/>
                <w:sz w:val="20"/>
                <w:szCs w:val="20"/>
              </w:rPr>
              <w:t>- Preocupación por contaminación por llegada de proyectos mineros</w:t>
            </w:r>
          </w:p>
          <w:p w:rsidR="002B4B0C" w:rsidRPr="000E0F90" w:rsidRDefault="002B4B0C" w:rsidP="00E96E50">
            <w:pPr>
              <w:jc w:val="left"/>
              <w:rPr>
                <w:rFonts w:ascii="Arial" w:hAnsi="Arial" w:cs="Arial"/>
                <w:color w:val="000000" w:themeColor="text1"/>
              </w:rPr>
            </w:pPr>
          </w:p>
        </w:tc>
      </w:tr>
    </w:tbl>
    <w:p w:rsidR="002B4B0C" w:rsidRPr="000E0F90" w:rsidRDefault="002B4B0C" w:rsidP="002B4B0C">
      <w:pPr>
        <w:jc w:val="left"/>
        <w:rPr>
          <w:rFonts w:ascii="Arial" w:hAnsi="Arial" w:cs="Arial"/>
          <w:color w:val="000000" w:themeColor="text1"/>
        </w:rPr>
      </w:pPr>
    </w:p>
    <w:p w:rsidR="002B4B0C" w:rsidRPr="000E0F90" w:rsidRDefault="002B4B0C" w:rsidP="002B4B0C">
      <w:pPr>
        <w:jc w:val="left"/>
        <w:rPr>
          <w:rFonts w:ascii="Arial" w:hAnsi="Arial" w:cs="Arial"/>
          <w:color w:val="000000" w:themeColor="text1"/>
        </w:rPr>
      </w:pPr>
    </w:p>
    <w:p w:rsidR="00317838" w:rsidRPr="002613F4" w:rsidRDefault="002B4B0C" w:rsidP="00AB16D8">
      <w:pPr>
        <w:jc w:val="left"/>
        <w:rPr>
          <w:rFonts w:ascii="Arial" w:hAnsi="Arial" w:cs="Arial"/>
          <w:color w:val="000000" w:themeColor="text1"/>
        </w:rPr>
      </w:pPr>
      <w:r w:rsidRPr="000E0F90">
        <w:rPr>
          <w:rFonts w:ascii="Arial" w:hAnsi="Arial" w:cs="Arial"/>
          <w:color w:val="000000" w:themeColor="text1"/>
          <w:u w:val="single"/>
        </w:rPr>
        <w:br w:type="page"/>
      </w:r>
      <w:r w:rsidR="00740D3D" w:rsidRPr="002613F4">
        <w:rPr>
          <w:rFonts w:ascii="Arial" w:hAnsi="Arial" w:cs="Arial"/>
          <w:color w:val="000000" w:themeColor="text1"/>
        </w:rPr>
        <w:lastRenderedPageBreak/>
        <w:t xml:space="preserve">Cuadro </w:t>
      </w:r>
      <w:r w:rsidR="00740D3D" w:rsidRPr="002613F4">
        <w:rPr>
          <w:rFonts w:ascii="Arial" w:hAnsi="Arial" w:cs="Arial"/>
          <w:color w:val="000000" w:themeColor="text1"/>
        </w:rPr>
        <w:fldChar w:fldCharType="begin"/>
      </w:r>
      <w:r w:rsidR="00740D3D" w:rsidRPr="002613F4">
        <w:rPr>
          <w:rFonts w:ascii="Arial" w:hAnsi="Arial" w:cs="Arial"/>
          <w:color w:val="000000" w:themeColor="text1"/>
        </w:rPr>
        <w:instrText xml:space="preserve"> SEQ Cuadro \* ARABIC </w:instrText>
      </w:r>
      <w:r w:rsidR="00740D3D" w:rsidRPr="002613F4">
        <w:rPr>
          <w:rFonts w:ascii="Arial" w:hAnsi="Arial" w:cs="Arial"/>
          <w:color w:val="000000" w:themeColor="text1"/>
        </w:rPr>
        <w:fldChar w:fldCharType="separate"/>
      </w:r>
      <w:r w:rsidR="00225844">
        <w:rPr>
          <w:rFonts w:ascii="Arial" w:hAnsi="Arial" w:cs="Arial"/>
          <w:noProof/>
          <w:color w:val="000000" w:themeColor="text1"/>
        </w:rPr>
        <w:t>13</w:t>
      </w:r>
      <w:r w:rsidR="00740D3D" w:rsidRPr="002613F4">
        <w:rPr>
          <w:rFonts w:ascii="Arial" w:hAnsi="Arial" w:cs="Arial"/>
          <w:color w:val="000000" w:themeColor="text1"/>
        </w:rPr>
        <w:fldChar w:fldCharType="end"/>
      </w:r>
      <w:r w:rsidR="00317838" w:rsidRPr="002613F4">
        <w:rPr>
          <w:rFonts w:ascii="Arial" w:hAnsi="Arial" w:cs="Arial"/>
          <w:color w:val="000000" w:themeColor="text1"/>
        </w:rPr>
        <w:t>: Limitantes y potencialidades identificadas en los territorios mineros bajo estudio de la Región de Coquimbo</w:t>
      </w:r>
    </w:p>
    <w:tbl>
      <w:tblPr>
        <w:tblStyle w:val="Tablaconcuadrcula"/>
        <w:tblW w:w="8674" w:type="dxa"/>
        <w:tblBorders>
          <w:left w:val="none" w:sz="0" w:space="0" w:color="auto"/>
          <w:right w:val="none" w:sz="0" w:space="0" w:color="auto"/>
          <w:insideV w:val="none" w:sz="0" w:space="0" w:color="auto"/>
        </w:tblBorders>
        <w:tblLook w:val="04A0" w:firstRow="1" w:lastRow="0" w:firstColumn="1" w:lastColumn="0" w:noHBand="0" w:noVBand="1"/>
      </w:tblPr>
      <w:tblGrid>
        <w:gridCol w:w="510"/>
        <w:gridCol w:w="4082"/>
        <w:gridCol w:w="4082"/>
      </w:tblGrid>
      <w:tr w:rsidR="00317838" w:rsidRPr="000E0F90" w:rsidTr="002613F4">
        <w:tc>
          <w:tcPr>
            <w:tcW w:w="510" w:type="dxa"/>
            <w:tcBorders>
              <w:bottom w:val="nil"/>
            </w:tcBorders>
            <w:shd w:val="clear" w:color="auto" w:fill="D9D9D9" w:themeFill="background1" w:themeFillShade="D9"/>
          </w:tcPr>
          <w:p w:rsidR="00317838" w:rsidRPr="000E0F90" w:rsidRDefault="00317838" w:rsidP="00770959">
            <w:pPr>
              <w:jc w:val="left"/>
              <w:rPr>
                <w:rFonts w:ascii="Arial" w:hAnsi="Arial" w:cs="Arial"/>
                <w:b/>
                <w:color w:val="000000" w:themeColor="text1"/>
                <w:sz w:val="20"/>
              </w:rPr>
            </w:pPr>
          </w:p>
        </w:tc>
        <w:tc>
          <w:tcPr>
            <w:tcW w:w="8164" w:type="dxa"/>
            <w:gridSpan w:val="2"/>
            <w:tcBorders>
              <w:bottom w:val="nil"/>
            </w:tcBorders>
            <w:shd w:val="clear" w:color="auto" w:fill="D9D9D9" w:themeFill="background1" w:themeFillShade="D9"/>
          </w:tcPr>
          <w:p w:rsidR="00317838" w:rsidRPr="000E0F90" w:rsidRDefault="00317838" w:rsidP="00770959">
            <w:pPr>
              <w:jc w:val="center"/>
              <w:rPr>
                <w:rFonts w:ascii="Arial" w:hAnsi="Arial" w:cs="Arial"/>
                <w:b/>
                <w:color w:val="000000" w:themeColor="text1"/>
                <w:sz w:val="20"/>
              </w:rPr>
            </w:pPr>
            <w:r w:rsidRPr="000E0F90">
              <w:rPr>
                <w:rFonts w:ascii="Arial" w:hAnsi="Arial" w:cs="Arial"/>
                <w:b/>
                <w:color w:val="000000" w:themeColor="text1"/>
                <w:sz w:val="20"/>
              </w:rPr>
              <w:t>IV Región</w:t>
            </w:r>
          </w:p>
        </w:tc>
      </w:tr>
      <w:tr w:rsidR="00317838" w:rsidRPr="000E0F90" w:rsidTr="002613F4">
        <w:tc>
          <w:tcPr>
            <w:tcW w:w="510" w:type="dxa"/>
            <w:tcBorders>
              <w:top w:val="nil"/>
              <w:bottom w:val="single" w:sz="4" w:space="0" w:color="auto"/>
            </w:tcBorders>
            <w:shd w:val="clear" w:color="auto" w:fill="D9D9D9" w:themeFill="background1" w:themeFillShade="D9"/>
          </w:tcPr>
          <w:p w:rsidR="00317838" w:rsidRPr="000E0F90" w:rsidRDefault="00317838" w:rsidP="00770959">
            <w:pPr>
              <w:jc w:val="left"/>
              <w:rPr>
                <w:rFonts w:ascii="Arial" w:hAnsi="Arial" w:cs="Arial"/>
                <w:b/>
                <w:color w:val="000000" w:themeColor="text1"/>
                <w:sz w:val="20"/>
              </w:rPr>
            </w:pPr>
          </w:p>
        </w:tc>
        <w:tc>
          <w:tcPr>
            <w:tcW w:w="4082" w:type="dxa"/>
            <w:tcBorders>
              <w:top w:val="nil"/>
              <w:bottom w:val="single" w:sz="4" w:space="0" w:color="auto"/>
            </w:tcBorders>
            <w:shd w:val="clear" w:color="auto" w:fill="D9D9D9" w:themeFill="background1" w:themeFillShade="D9"/>
          </w:tcPr>
          <w:p w:rsidR="00317838" w:rsidRPr="000E0F90" w:rsidRDefault="00317838" w:rsidP="00770959">
            <w:pPr>
              <w:jc w:val="center"/>
              <w:rPr>
                <w:rFonts w:ascii="Arial" w:hAnsi="Arial" w:cs="Arial"/>
                <w:b/>
                <w:color w:val="000000" w:themeColor="text1"/>
                <w:sz w:val="20"/>
              </w:rPr>
            </w:pPr>
            <w:r w:rsidRPr="000E0F90">
              <w:rPr>
                <w:rFonts w:ascii="Arial" w:hAnsi="Arial" w:cs="Arial"/>
                <w:b/>
                <w:color w:val="000000" w:themeColor="text1"/>
                <w:sz w:val="20"/>
              </w:rPr>
              <w:t>La Higuera</w:t>
            </w:r>
          </w:p>
        </w:tc>
        <w:tc>
          <w:tcPr>
            <w:tcW w:w="4082" w:type="dxa"/>
            <w:tcBorders>
              <w:top w:val="nil"/>
              <w:bottom w:val="single" w:sz="4" w:space="0" w:color="auto"/>
            </w:tcBorders>
            <w:shd w:val="clear" w:color="auto" w:fill="D9D9D9" w:themeFill="background1" w:themeFillShade="D9"/>
          </w:tcPr>
          <w:p w:rsidR="00317838" w:rsidRPr="000E0F90" w:rsidRDefault="00317838" w:rsidP="00770959">
            <w:pPr>
              <w:jc w:val="center"/>
              <w:rPr>
                <w:rFonts w:ascii="Arial" w:hAnsi="Arial" w:cs="Arial"/>
                <w:b/>
                <w:color w:val="000000" w:themeColor="text1"/>
                <w:sz w:val="20"/>
              </w:rPr>
            </w:pPr>
            <w:r w:rsidRPr="000E0F90">
              <w:rPr>
                <w:rFonts w:ascii="Arial" w:hAnsi="Arial" w:cs="Arial"/>
                <w:b/>
                <w:color w:val="000000" w:themeColor="text1"/>
                <w:sz w:val="20"/>
              </w:rPr>
              <w:t>Salamanca</w:t>
            </w:r>
          </w:p>
        </w:tc>
      </w:tr>
      <w:tr w:rsidR="00317838" w:rsidRPr="000E0F90" w:rsidTr="002A21E4">
        <w:trPr>
          <w:cantSplit/>
          <w:trHeight w:val="1134"/>
        </w:trPr>
        <w:tc>
          <w:tcPr>
            <w:tcW w:w="510" w:type="dxa"/>
            <w:tcBorders>
              <w:bottom w:val="nil"/>
            </w:tcBorders>
            <w:textDirection w:val="btLr"/>
          </w:tcPr>
          <w:p w:rsidR="00317838" w:rsidRPr="000E0F90" w:rsidRDefault="00317838" w:rsidP="00770959">
            <w:pPr>
              <w:ind w:left="113" w:right="113"/>
              <w:jc w:val="center"/>
              <w:rPr>
                <w:rFonts w:ascii="Arial" w:hAnsi="Arial" w:cs="Arial"/>
                <w:b/>
                <w:color w:val="000000" w:themeColor="text1"/>
                <w:sz w:val="20"/>
              </w:rPr>
            </w:pPr>
            <w:r w:rsidRPr="000E0F90">
              <w:rPr>
                <w:rFonts w:ascii="Arial" w:hAnsi="Arial" w:cs="Arial"/>
                <w:b/>
                <w:color w:val="000000" w:themeColor="text1"/>
                <w:sz w:val="20"/>
              </w:rPr>
              <w:t>Potencialidades</w:t>
            </w:r>
          </w:p>
        </w:tc>
        <w:tc>
          <w:tcPr>
            <w:tcW w:w="4082" w:type="dxa"/>
            <w:tcBorders>
              <w:bottom w:val="nil"/>
            </w:tcBorders>
          </w:tcPr>
          <w:p w:rsidR="00317838" w:rsidRPr="000E0F90" w:rsidRDefault="00317838" w:rsidP="00770959">
            <w:pPr>
              <w:ind w:left="-37"/>
              <w:jc w:val="left"/>
              <w:rPr>
                <w:rFonts w:ascii="Arial" w:hAnsi="Arial" w:cs="Arial"/>
                <w:color w:val="000000" w:themeColor="text1"/>
                <w:sz w:val="20"/>
              </w:rPr>
            </w:pPr>
            <w:r w:rsidRPr="000E0F90">
              <w:rPr>
                <w:rFonts w:ascii="Arial" w:hAnsi="Arial" w:cs="Arial"/>
                <w:color w:val="000000" w:themeColor="text1"/>
                <w:sz w:val="20"/>
              </w:rPr>
              <w:t xml:space="preserve">- Dominio desértico y estepario </w:t>
            </w:r>
          </w:p>
          <w:p w:rsidR="00317838" w:rsidRPr="000E0F90" w:rsidRDefault="00317838" w:rsidP="00770959">
            <w:pPr>
              <w:ind w:left="-37"/>
              <w:jc w:val="left"/>
              <w:rPr>
                <w:rFonts w:ascii="Arial" w:hAnsi="Arial" w:cs="Arial"/>
                <w:color w:val="000000" w:themeColor="text1"/>
                <w:sz w:val="20"/>
              </w:rPr>
            </w:pPr>
            <w:r w:rsidRPr="000E0F90">
              <w:rPr>
                <w:rFonts w:ascii="Arial" w:hAnsi="Arial" w:cs="Arial"/>
                <w:color w:val="000000" w:themeColor="text1"/>
                <w:sz w:val="20"/>
              </w:rPr>
              <w:t xml:space="preserve">- Suelos con aptitud forestal y ganadera </w:t>
            </w:r>
          </w:p>
          <w:p w:rsidR="00317838" w:rsidRPr="000E0F90" w:rsidRDefault="00317838" w:rsidP="00770959">
            <w:pPr>
              <w:ind w:left="-37"/>
              <w:jc w:val="left"/>
              <w:rPr>
                <w:rFonts w:ascii="Arial" w:hAnsi="Arial" w:cs="Arial"/>
                <w:color w:val="000000" w:themeColor="text1"/>
                <w:sz w:val="20"/>
              </w:rPr>
            </w:pPr>
            <w:r w:rsidRPr="000E0F90">
              <w:rPr>
                <w:rFonts w:ascii="Arial" w:hAnsi="Arial" w:cs="Arial"/>
                <w:color w:val="000000" w:themeColor="text1"/>
                <w:sz w:val="20"/>
              </w:rPr>
              <w:t xml:space="preserve">- Desarrollo agricultura de subsistencia y ganadería trashumante, minería, pesca artesanal y turismo. Diversificación </w:t>
            </w:r>
          </w:p>
          <w:p w:rsidR="00317838" w:rsidRPr="000E0F90" w:rsidRDefault="00317838" w:rsidP="00770959">
            <w:pPr>
              <w:ind w:left="-37"/>
              <w:jc w:val="left"/>
              <w:rPr>
                <w:rFonts w:ascii="Arial" w:hAnsi="Arial" w:cs="Arial"/>
                <w:color w:val="000000" w:themeColor="text1"/>
                <w:sz w:val="20"/>
              </w:rPr>
            </w:pPr>
            <w:r w:rsidRPr="000E0F90">
              <w:rPr>
                <w:rFonts w:ascii="Arial" w:hAnsi="Arial" w:cs="Arial"/>
                <w:color w:val="000000" w:themeColor="text1"/>
                <w:sz w:val="20"/>
              </w:rPr>
              <w:t>- Yacimiento de cobre, oro y hierro</w:t>
            </w:r>
          </w:p>
          <w:p w:rsidR="00317838" w:rsidRPr="000E0F90" w:rsidRDefault="00317838" w:rsidP="00770959">
            <w:pPr>
              <w:ind w:left="-37"/>
              <w:jc w:val="left"/>
              <w:rPr>
                <w:rFonts w:ascii="Arial" w:hAnsi="Arial" w:cs="Arial"/>
                <w:color w:val="000000" w:themeColor="text1"/>
                <w:sz w:val="20"/>
              </w:rPr>
            </w:pPr>
            <w:r w:rsidRPr="000E0F90">
              <w:rPr>
                <w:rFonts w:ascii="Arial" w:hAnsi="Arial" w:cs="Arial"/>
                <w:color w:val="000000" w:themeColor="text1"/>
                <w:sz w:val="20"/>
              </w:rPr>
              <w:t>- Desarrollo minero artesanal</w:t>
            </w:r>
          </w:p>
          <w:p w:rsidR="00317838" w:rsidRPr="000E0F90" w:rsidRDefault="00317838" w:rsidP="00770959">
            <w:pPr>
              <w:ind w:left="-37"/>
              <w:jc w:val="left"/>
              <w:rPr>
                <w:rFonts w:ascii="Arial" w:hAnsi="Arial" w:cs="Arial"/>
                <w:color w:val="000000" w:themeColor="text1"/>
                <w:sz w:val="20"/>
              </w:rPr>
            </w:pPr>
            <w:r w:rsidRPr="000E0F90">
              <w:rPr>
                <w:rFonts w:ascii="Arial" w:hAnsi="Arial" w:cs="Arial"/>
                <w:color w:val="000000" w:themeColor="text1"/>
                <w:sz w:val="20"/>
              </w:rPr>
              <w:t>- Oportunidades de desarrollo local (Turismo)</w:t>
            </w:r>
          </w:p>
          <w:p w:rsidR="00317838" w:rsidRPr="000E0F90" w:rsidRDefault="00317838" w:rsidP="00770959">
            <w:pPr>
              <w:ind w:left="-37"/>
              <w:jc w:val="left"/>
              <w:rPr>
                <w:rFonts w:ascii="Arial" w:hAnsi="Arial" w:cs="Arial"/>
                <w:color w:val="000000" w:themeColor="text1"/>
                <w:sz w:val="20"/>
              </w:rPr>
            </w:pPr>
            <w:r w:rsidRPr="000E0F90">
              <w:rPr>
                <w:rFonts w:ascii="Arial" w:hAnsi="Arial" w:cs="Arial"/>
                <w:color w:val="000000" w:themeColor="text1"/>
                <w:sz w:val="20"/>
              </w:rPr>
              <w:t>- Reserva Nacional Pingüino de Humboldt</w:t>
            </w:r>
          </w:p>
          <w:p w:rsidR="00317838" w:rsidRPr="000E0F90" w:rsidRDefault="00317838" w:rsidP="00770959">
            <w:pPr>
              <w:ind w:left="-37"/>
              <w:jc w:val="left"/>
              <w:rPr>
                <w:rFonts w:ascii="Arial" w:hAnsi="Arial" w:cs="Arial"/>
                <w:color w:val="000000" w:themeColor="text1"/>
                <w:sz w:val="20"/>
              </w:rPr>
            </w:pPr>
            <w:r w:rsidRPr="000E0F90">
              <w:rPr>
                <w:rFonts w:ascii="Arial" w:hAnsi="Arial" w:cs="Arial"/>
                <w:color w:val="000000" w:themeColor="text1"/>
                <w:sz w:val="20"/>
              </w:rPr>
              <w:t>- Identidad agrícola, pesca, minería, religión e indígena</w:t>
            </w:r>
          </w:p>
          <w:p w:rsidR="00317838" w:rsidRPr="000E0F90" w:rsidRDefault="00317838" w:rsidP="00770959">
            <w:pPr>
              <w:ind w:left="-37"/>
              <w:jc w:val="left"/>
              <w:rPr>
                <w:rFonts w:ascii="Arial" w:hAnsi="Arial" w:cs="Arial"/>
                <w:color w:val="000000" w:themeColor="text1"/>
                <w:sz w:val="20"/>
              </w:rPr>
            </w:pPr>
            <w:r w:rsidRPr="000E0F90">
              <w:rPr>
                <w:rFonts w:ascii="Arial" w:hAnsi="Arial" w:cs="Arial"/>
                <w:color w:val="000000" w:themeColor="text1"/>
                <w:sz w:val="20"/>
              </w:rPr>
              <w:t>- Población rural mayoritaria</w:t>
            </w:r>
          </w:p>
          <w:p w:rsidR="00317838" w:rsidRPr="000E0F90" w:rsidRDefault="00317838" w:rsidP="00770959">
            <w:pPr>
              <w:ind w:left="-37"/>
              <w:jc w:val="left"/>
              <w:rPr>
                <w:rFonts w:ascii="Arial" w:hAnsi="Arial" w:cs="Arial"/>
                <w:color w:val="000000" w:themeColor="text1"/>
                <w:sz w:val="20"/>
              </w:rPr>
            </w:pPr>
          </w:p>
          <w:p w:rsidR="00317838" w:rsidRPr="000E0F90" w:rsidRDefault="00317838" w:rsidP="00770959">
            <w:pPr>
              <w:ind w:left="-37"/>
              <w:jc w:val="left"/>
              <w:rPr>
                <w:rFonts w:ascii="Arial" w:hAnsi="Arial" w:cs="Arial"/>
                <w:color w:val="000000" w:themeColor="text1"/>
                <w:sz w:val="20"/>
              </w:rPr>
            </w:pPr>
          </w:p>
        </w:tc>
        <w:tc>
          <w:tcPr>
            <w:tcW w:w="4082" w:type="dxa"/>
            <w:tcBorders>
              <w:bottom w:val="nil"/>
            </w:tcBorders>
          </w:tcPr>
          <w:p w:rsidR="00317838" w:rsidRPr="000E0F90" w:rsidRDefault="00317838" w:rsidP="00770959">
            <w:pPr>
              <w:ind w:left="-37"/>
              <w:jc w:val="left"/>
              <w:rPr>
                <w:rFonts w:ascii="Arial" w:hAnsi="Arial" w:cs="Arial"/>
                <w:color w:val="000000" w:themeColor="text1"/>
                <w:sz w:val="20"/>
              </w:rPr>
            </w:pPr>
            <w:r w:rsidRPr="000E0F90">
              <w:rPr>
                <w:rFonts w:ascii="Arial" w:hAnsi="Arial" w:cs="Arial"/>
                <w:color w:val="000000" w:themeColor="text1"/>
                <w:sz w:val="20"/>
              </w:rPr>
              <w:t>- Dominio estepario y Nival</w:t>
            </w:r>
          </w:p>
          <w:p w:rsidR="00317838" w:rsidRPr="000E0F90" w:rsidRDefault="00317838" w:rsidP="00770959">
            <w:pPr>
              <w:ind w:left="-37"/>
              <w:jc w:val="left"/>
              <w:rPr>
                <w:rFonts w:ascii="Arial" w:hAnsi="Arial" w:cs="Arial"/>
                <w:color w:val="000000" w:themeColor="text1"/>
                <w:sz w:val="20"/>
              </w:rPr>
            </w:pPr>
            <w:r w:rsidRPr="000E0F90">
              <w:rPr>
                <w:rFonts w:ascii="Arial" w:hAnsi="Arial" w:cs="Arial"/>
                <w:color w:val="000000" w:themeColor="text1"/>
                <w:sz w:val="20"/>
              </w:rPr>
              <w:t>- Cuenca Alta Río Choapa</w:t>
            </w:r>
          </w:p>
          <w:p w:rsidR="00317838" w:rsidRPr="000E0F90" w:rsidRDefault="00317838" w:rsidP="00770959">
            <w:pPr>
              <w:ind w:left="-37"/>
              <w:jc w:val="left"/>
              <w:rPr>
                <w:rFonts w:ascii="Arial" w:hAnsi="Arial" w:cs="Arial"/>
                <w:color w:val="000000" w:themeColor="text1"/>
                <w:sz w:val="20"/>
              </w:rPr>
            </w:pPr>
            <w:r w:rsidRPr="000E0F90">
              <w:rPr>
                <w:rFonts w:ascii="Arial" w:hAnsi="Arial" w:cs="Arial"/>
                <w:color w:val="000000" w:themeColor="text1"/>
                <w:sz w:val="20"/>
              </w:rPr>
              <w:t>-Suelos con gran aptitud agrícola, ganaderos y forestales</w:t>
            </w:r>
          </w:p>
          <w:p w:rsidR="00317838" w:rsidRPr="000E0F90" w:rsidRDefault="00317838" w:rsidP="00770959">
            <w:pPr>
              <w:ind w:left="-37"/>
              <w:jc w:val="left"/>
              <w:rPr>
                <w:rFonts w:ascii="Arial" w:hAnsi="Arial" w:cs="Arial"/>
                <w:color w:val="000000" w:themeColor="text1"/>
                <w:sz w:val="20"/>
              </w:rPr>
            </w:pPr>
            <w:r w:rsidRPr="000E0F90">
              <w:rPr>
                <w:rFonts w:ascii="Arial" w:hAnsi="Arial" w:cs="Arial"/>
                <w:color w:val="000000" w:themeColor="text1"/>
                <w:sz w:val="20"/>
              </w:rPr>
              <w:t>- Desarrollo agrícola, ganadero y minero</w:t>
            </w:r>
          </w:p>
          <w:p w:rsidR="00317838" w:rsidRDefault="00317838" w:rsidP="00770959">
            <w:pPr>
              <w:ind w:left="-37"/>
              <w:jc w:val="left"/>
              <w:rPr>
                <w:rFonts w:ascii="Arial" w:hAnsi="Arial" w:cs="Arial"/>
                <w:color w:val="000000" w:themeColor="text1"/>
                <w:sz w:val="20"/>
              </w:rPr>
            </w:pPr>
            <w:r w:rsidRPr="000E0F90">
              <w:rPr>
                <w:rFonts w:ascii="Arial" w:hAnsi="Arial" w:cs="Arial"/>
                <w:color w:val="000000" w:themeColor="text1"/>
                <w:sz w:val="20"/>
              </w:rPr>
              <w:t>- Agricultura intensiva (Producción pisco</w:t>
            </w:r>
            <w:r w:rsidR="0066186C">
              <w:rPr>
                <w:rFonts w:ascii="Arial" w:hAnsi="Arial" w:cs="Arial"/>
                <w:color w:val="000000" w:themeColor="text1"/>
                <w:sz w:val="20"/>
              </w:rPr>
              <w:t xml:space="preserve"> y exportación</w:t>
            </w:r>
            <w:r w:rsidRPr="000E0F90">
              <w:rPr>
                <w:rFonts w:ascii="Arial" w:hAnsi="Arial" w:cs="Arial"/>
                <w:color w:val="000000" w:themeColor="text1"/>
                <w:sz w:val="20"/>
              </w:rPr>
              <w:t>). Desarrollo Cooperativas</w:t>
            </w:r>
          </w:p>
          <w:p w:rsidR="0066186C" w:rsidRPr="000E0F90" w:rsidRDefault="0066186C" w:rsidP="00770959">
            <w:pPr>
              <w:ind w:left="-37"/>
              <w:jc w:val="left"/>
              <w:rPr>
                <w:rFonts w:ascii="Arial" w:hAnsi="Arial" w:cs="Arial"/>
                <w:color w:val="000000" w:themeColor="text1"/>
                <w:sz w:val="20"/>
              </w:rPr>
            </w:pPr>
            <w:r>
              <w:rPr>
                <w:rFonts w:ascii="Arial" w:hAnsi="Arial" w:cs="Arial"/>
                <w:color w:val="000000" w:themeColor="text1"/>
                <w:sz w:val="20"/>
              </w:rPr>
              <w:t>-Agricultura de subsistencia</w:t>
            </w:r>
          </w:p>
          <w:p w:rsidR="00317838" w:rsidRPr="000E0F90" w:rsidRDefault="00317838" w:rsidP="00770959">
            <w:pPr>
              <w:ind w:left="-37"/>
              <w:jc w:val="left"/>
              <w:rPr>
                <w:rFonts w:ascii="Arial" w:hAnsi="Arial" w:cs="Arial"/>
                <w:color w:val="000000" w:themeColor="text1"/>
                <w:sz w:val="20"/>
              </w:rPr>
            </w:pPr>
            <w:r w:rsidRPr="000E0F90">
              <w:rPr>
                <w:rFonts w:ascii="Arial" w:hAnsi="Arial" w:cs="Arial"/>
                <w:color w:val="000000" w:themeColor="text1"/>
                <w:sz w:val="20"/>
              </w:rPr>
              <w:t>- Yacimiento de cobre</w:t>
            </w:r>
          </w:p>
          <w:p w:rsidR="00317838" w:rsidRPr="000E0F90" w:rsidRDefault="00317838" w:rsidP="00770959">
            <w:pPr>
              <w:ind w:left="-37"/>
              <w:jc w:val="left"/>
              <w:rPr>
                <w:rFonts w:ascii="Arial" w:hAnsi="Arial" w:cs="Arial"/>
                <w:color w:val="000000" w:themeColor="text1"/>
                <w:sz w:val="20"/>
              </w:rPr>
            </w:pPr>
            <w:r w:rsidRPr="000E0F90">
              <w:rPr>
                <w:rFonts w:ascii="Arial" w:hAnsi="Arial" w:cs="Arial"/>
                <w:color w:val="000000" w:themeColor="text1"/>
                <w:sz w:val="20"/>
              </w:rPr>
              <w:t xml:space="preserve">- Desarrollo gran minería </w:t>
            </w:r>
          </w:p>
          <w:p w:rsidR="00317838" w:rsidRPr="000E0F90" w:rsidRDefault="00317838" w:rsidP="00770959">
            <w:pPr>
              <w:ind w:left="-37"/>
              <w:jc w:val="left"/>
              <w:rPr>
                <w:rFonts w:ascii="Arial" w:hAnsi="Arial" w:cs="Arial"/>
                <w:color w:val="000000" w:themeColor="text1"/>
                <w:sz w:val="20"/>
              </w:rPr>
            </w:pPr>
            <w:r w:rsidRPr="000E0F90">
              <w:rPr>
                <w:rFonts w:ascii="Arial" w:hAnsi="Arial" w:cs="Arial"/>
                <w:color w:val="000000" w:themeColor="text1"/>
                <w:sz w:val="20"/>
              </w:rPr>
              <w:t>- Desarrollo empresas locales asociadas a minería</w:t>
            </w:r>
          </w:p>
          <w:p w:rsidR="00317838" w:rsidRPr="000E0F90" w:rsidRDefault="00317838" w:rsidP="00770959">
            <w:pPr>
              <w:ind w:left="-37"/>
              <w:jc w:val="left"/>
              <w:rPr>
                <w:rFonts w:ascii="Arial" w:hAnsi="Arial" w:cs="Arial"/>
                <w:color w:val="000000" w:themeColor="text1"/>
                <w:sz w:val="20"/>
              </w:rPr>
            </w:pPr>
            <w:r w:rsidRPr="000E0F90">
              <w:rPr>
                <w:rFonts w:ascii="Arial" w:hAnsi="Arial" w:cs="Arial"/>
                <w:color w:val="000000" w:themeColor="text1"/>
                <w:sz w:val="20"/>
              </w:rPr>
              <w:t>- Oportunidades de desarrollo local (i.e. Turismo)</w:t>
            </w:r>
          </w:p>
          <w:p w:rsidR="00317838" w:rsidRPr="000E0F90" w:rsidRDefault="00317838" w:rsidP="00770959">
            <w:pPr>
              <w:ind w:left="-37"/>
              <w:jc w:val="left"/>
              <w:rPr>
                <w:rFonts w:ascii="Arial" w:hAnsi="Arial" w:cs="Arial"/>
                <w:color w:val="000000" w:themeColor="text1"/>
                <w:sz w:val="20"/>
              </w:rPr>
            </w:pPr>
            <w:r w:rsidRPr="000E0F90">
              <w:rPr>
                <w:rFonts w:ascii="Arial" w:hAnsi="Arial" w:cs="Arial"/>
                <w:color w:val="000000" w:themeColor="text1"/>
                <w:sz w:val="20"/>
              </w:rPr>
              <w:t>- Fuerte identidad agrícola</w:t>
            </w:r>
          </w:p>
          <w:p w:rsidR="00317838" w:rsidRPr="000E0F90" w:rsidRDefault="00317838" w:rsidP="00770959">
            <w:pPr>
              <w:ind w:left="-37"/>
              <w:jc w:val="left"/>
              <w:rPr>
                <w:rFonts w:ascii="Arial" w:hAnsi="Arial" w:cs="Arial"/>
                <w:color w:val="000000" w:themeColor="text1"/>
                <w:sz w:val="20"/>
              </w:rPr>
            </w:pPr>
            <w:r w:rsidRPr="000E0F90">
              <w:rPr>
                <w:rFonts w:ascii="Arial" w:hAnsi="Arial" w:cs="Arial"/>
                <w:color w:val="000000" w:themeColor="text1"/>
                <w:sz w:val="20"/>
              </w:rPr>
              <w:t>- Población rural similar a urbana</w:t>
            </w:r>
          </w:p>
          <w:p w:rsidR="00317838" w:rsidRPr="000E0F90" w:rsidRDefault="00317838" w:rsidP="00770959">
            <w:pPr>
              <w:jc w:val="left"/>
              <w:rPr>
                <w:rFonts w:ascii="Arial" w:hAnsi="Arial" w:cs="Arial"/>
                <w:color w:val="000000" w:themeColor="text1"/>
                <w:sz w:val="20"/>
              </w:rPr>
            </w:pPr>
            <w:r w:rsidRPr="000E0F90">
              <w:rPr>
                <w:rFonts w:ascii="Arial" w:hAnsi="Arial" w:cs="Arial"/>
                <w:color w:val="000000" w:themeColor="text1"/>
                <w:sz w:val="20"/>
              </w:rPr>
              <w:t>- Fomento productivo agrícola por parte de minera</w:t>
            </w:r>
          </w:p>
          <w:p w:rsidR="00317838" w:rsidRPr="000E0F90" w:rsidRDefault="00317838" w:rsidP="00770959">
            <w:pPr>
              <w:jc w:val="left"/>
              <w:rPr>
                <w:rFonts w:ascii="Arial" w:hAnsi="Arial" w:cs="Arial"/>
                <w:color w:val="000000" w:themeColor="text1"/>
                <w:sz w:val="20"/>
              </w:rPr>
            </w:pPr>
            <w:r w:rsidRPr="000E0F90">
              <w:rPr>
                <w:rFonts w:ascii="Arial" w:hAnsi="Arial" w:cs="Arial"/>
                <w:b/>
                <w:color w:val="000000" w:themeColor="text1"/>
                <w:sz w:val="20"/>
              </w:rPr>
              <w:t xml:space="preserve">- </w:t>
            </w:r>
            <w:r w:rsidRPr="000E0F90">
              <w:rPr>
                <w:rFonts w:ascii="Arial" w:hAnsi="Arial" w:cs="Arial"/>
                <w:color w:val="000000" w:themeColor="text1"/>
                <w:sz w:val="20"/>
              </w:rPr>
              <w:t>Ayudas sociales de minería</w:t>
            </w:r>
          </w:p>
          <w:p w:rsidR="00317838" w:rsidRPr="000E0F90" w:rsidRDefault="00317838" w:rsidP="00770959">
            <w:pPr>
              <w:jc w:val="left"/>
              <w:rPr>
                <w:rFonts w:ascii="Arial" w:hAnsi="Arial" w:cs="Arial"/>
                <w:b/>
                <w:color w:val="000000" w:themeColor="text1"/>
                <w:sz w:val="20"/>
              </w:rPr>
            </w:pPr>
            <w:r w:rsidRPr="000E0F90">
              <w:rPr>
                <w:rFonts w:ascii="Arial" w:hAnsi="Arial" w:cs="Arial"/>
                <w:color w:val="000000" w:themeColor="text1"/>
                <w:sz w:val="20"/>
              </w:rPr>
              <w:t>- Mayor demanda mano obra local no calificada por empresas asociadas a minera</w:t>
            </w:r>
          </w:p>
        </w:tc>
      </w:tr>
      <w:tr w:rsidR="00317838" w:rsidRPr="000E0F90" w:rsidTr="002A21E4">
        <w:trPr>
          <w:cantSplit/>
          <w:trHeight w:val="1134"/>
        </w:trPr>
        <w:tc>
          <w:tcPr>
            <w:tcW w:w="510" w:type="dxa"/>
            <w:tcBorders>
              <w:top w:val="nil"/>
            </w:tcBorders>
            <w:textDirection w:val="btLr"/>
            <w:vAlign w:val="center"/>
          </w:tcPr>
          <w:p w:rsidR="00317838" w:rsidRPr="000E0F90" w:rsidRDefault="00317838" w:rsidP="00770959">
            <w:pPr>
              <w:ind w:left="-37" w:right="113"/>
              <w:jc w:val="center"/>
              <w:rPr>
                <w:rFonts w:ascii="Arial" w:hAnsi="Arial" w:cs="Arial"/>
                <w:b/>
                <w:color w:val="000000" w:themeColor="text1"/>
                <w:sz w:val="20"/>
              </w:rPr>
            </w:pPr>
            <w:r w:rsidRPr="000E0F90">
              <w:rPr>
                <w:rFonts w:ascii="Arial" w:hAnsi="Arial" w:cs="Arial"/>
                <w:b/>
                <w:color w:val="000000" w:themeColor="text1"/>
                <w:sz w:val="20"/>
              </w:rPr>
              <w:t>Limitantes</w:t>
            </w:r>
          </w:p>
        </w:tc>
        <w:tc>
          <w:tcPr>
            <w:tcW w:w="4082" w:type="dxa"/>
            <w:tcBorders>
              <w:top w:val="nil"/>
            </w:tcBorders>
          </w:tcPr>
          <w:p w:rsidR="00317838" w:rsidRPr="000E0F90" w:rsidRDefault="00317838" w:rsidP="00770959">
            <w:pPr>
              <w:jc w:val="left"/>
              <w:rPr>
                <w:rFonts w:ascii="Arial" w:hAnsi="Arial" w:cs="Arial"/>
                <w:color w:val="000000" w:themeColor="text1"/>
                <w:sz w:val="20"/>
              </w:rPr>
            </w:pPr>
            <w:r w:rsidRPr="000E0F90">
              <w:rPr>
                <w:rFonts w:ascii="Arial" w:hAnsi="Arial" w:cs="Arial"/>
                <w:color w:val="000000" w:themeColor="text1"/>
                <w:sz w:val="20"/>
              </w:rPr>
              <w:t>- Suelos con limitación para agricultura</w:t>
            </w:r>
          </w:p>
          <w:p w:rsidR="00317838" w:rsidRPr="000E0F90" w:rsidRDefault="00317838" w:rsidP="00770959">
            <w:pPr>
              <w:jc w:val="left"/>
              <w:rPr>
                <w:rFonts w:ascii="Arial" w:hAnsi="Arial" w:cs="Arial"/>
                <w:color w:val="000000" w:themeColor="text1"/>
                <w:sz w:val="20"/>
              </w:rPr>
            </w:pPr>
            <w:r w:rsidRPr="000E0F90">
              <w:rPr>
                <w:rFonts w:ascii="Arial" w:hAnsi="Arial" w:cs="Arial"/>
                <w:color w:val="000000" w:themeColor="text1"/>
                <w:sz w:val="20"/>
              </w:rPr>
              <w:t>- Escasez hídrica crítica. Sequía</w:t>
            </w:r>
          </w:p>
          <w:p w:rsidR="00317838" w:rsidRPr="000E0F90" w:rsidRDefault="00317838" w:rsidP="00770959">
            <w:pPr>
              <w:jc w:val="left"/>
              <w:rPr>
                <w:rFonts w:ascii="Arial" w:hAnsi="Arial" w:cs="Arial"/>
                <w:color w:val="000000" w:themeColor="text1"/>
                <w:sz w:val="20"/>
              </w:rPr>
            </w:pPr>
            <w:r w:rsidRPr="000E0F90">
              <w:rPr>
                <w:rFonts w:ascii="Arial" w:hAnsi="Arial" w:cs="Arial"/>
                <w:color w:val="000000" w:themeColor="text1"/>
                <w:sz w:val="20"/>
              </w:rPr>
              <w:t xml:space="preserve">- Pérdida de uso colectivo territorio (Limitación desarrollo ganadería trashumante) </w:t>
            </w:r>
          </w:p>
          <w:p w:rsidR="00317838" w:rsidRPr="000E0F90" w:rsidRDefault="00317838" w:rsidP="00770959">
            <w:pPr>
              <w:jc w:val="left"/>
              <w:rPr>
                <w:rFonts w:ascii="Arial" w:hAnsi="Arial" w:cs="Arial"/>
                <w:color w:val="000000" w:themeColor="text1"/>
                <w:sz w:val="20"/>
              </w:rPr>
            </w:pPr>
            <w:r w:rsidRPr="000E0F90">
              <w:rPr>
                <w:rFonts w:ascii="Arial" w:hAnsi="Arial" w:cs="Arial"/>
                <w:color w:val="000000" w:themeColor="text1"/>
                <w:sz w:val="20"/>
              </w:rPr>
              <w:t>- Competencia por usos territoriales</w:t>
            </w:r>
          </w:p>
          <w:p w:rsidR="00317838" w:rsidRPr="000E0F90" w:rsidRDefault="00317838" w:rsidP="00770959">
            <w:pPr>
              <w:ind w:left="-37"/>
              <w:jc w:val="left"/>
              <w:rPr>
                <w:rFonts w:ascii="Arial" w:hAnsi="Arial" w:cs="Arial"/>
                <w:color w:val="000000" w:themeColor="text1"/>
                <w:sz w:val="20"/>
              </w:rPr>
            </w:pPr>
            <w:r w:rsidRPr="000E0F90">
              <w:rPr>
                <w:rFonts w:ascii="Arial" w:hAnsi="Arial" w:cs="Arial"/>
                <w:color w:val="000000" w:themeColor="text1"/>
                <w:sz w:val="20"/>
              </w:rPr>
              <w:t>-  Relaves y pasivos ambientales mineros</w:t>
            </w:r>
          </w:p>
          <w:p w:rsidR="00317838" w:rsidRPr="000E0F90" w:rsidRDefault="00317838" w:rsidP="00770959">
            <w:pPr>
              <w:ind w:left="-37"/>
              <w:jc w:val="left"/>
              <w:rPr>
                <w:rFonts w:ascii="Arial" w:hAnsi="Arial" w:cs="Arial"/>
                <w:color w:val="000000" w:themeColor="text1"/>
                <w:sz w:val="20"/>
              </w:rPr>
            </w:pPr>
            <w:r w:rsidRPr="000E0F90">
              <w:rPr>
                <w:rFonts w:ascii="Arial" w:hAnsi="Arial" w:cs="Arial"/>
                <w:color w:val="000000" w:themeColor="text1"/>
                <w:sz w:val="20"/>
              </w:rPr>
              <w:t>-  Baja autonomía territorial (Servicios públicos y generales, conectividad)</w:t>
            </w:r>
          </w:p>
          <w:p w:rsidR="00317838" w:rsidRPr="000E0F90" w:rsidRDefault="00317838" w:rsidP="00770959">
            <w:pPr>
              <w:ind w:left="-37"/>
              <w:jc w:val="left"/>
              <w:rPr>
                <w:rFonts w:ascii="Arial" w:hAnsi="Arial" w:cs="Arial"/>
                <w:color w:val="000000" w:themeColor="text1"/>
                <w:sz w:val="20"/>
              </w:rPr>
            </w:pPr>
            <w:r w:rsidRPr="000E0F90">
              <w:rPr>
                <w:rFonts w:ascii="Arial" w:hAnsi="Arial" w:cs="Arial"/>
                <w:color w:val="000000" w:themeColor="text1"/>
                <w:sz w:val="20"/>
              </w:rPr>
              <w:t>-  Escasa infraestructura cultural local</w:t>
            </w:r>
          </w:p>
          <w:p w:rsidR="00317838" w:rsidRPr="000E0F90" w:rsidRDefault="00317838" w:rsidP="00770959">
            <w:pPr>
              <w:ind w:left="-37"/>
              <w:jc w:val="left"/>
              <w:rPr>
                <w:rFonts w:ascii="Arial" w:hAnsi="Arial" w:cs="Arial"/>
                <w:color w:val="000000" w:themeColor="text1"/>
                <w:sz w:val="20"/>
              </w:rPr>
            </w:pPr>
            <w:r w:rsidRPr="000E0F90">
              <w:rPr>
                <w:rFonts w:ascii="Arial" w:hAnsi="Arial" w:cs="Arial"/>
                <w:color w:val="000000" w:themeColor="text1"/>
                <w:sz w:val="20"/>
              </w:rPr>
              <w:t>-  Dificultad comercialización y agregación valor    de productos locales</w:t>
            </w:r>
          </w:p>
          <w:p w:rsidR="00317838" w:rsidRPr="000E0F90" w:rsidRDefault="00317838" w:rsidP="00770959">
            <w:pPr>
              <w:ind w:left="-37"/>
              <w:jc w:val="left"/>
              <w:rPr>
                <w:rFonts w:ascii="Arial" w:hAnsi="Arial" w:cs="Arial"/>
                <w:color w:val="000000" w:themeColor="text1"/>
                <w:sz w:val="20"/>
              </w:rPr>
            </w:pPr>
            <w:r w:rsidRPr="000E0F90">
              <w:rPr>
                <w:rFonts w:ascii="Arial" w:hAnsi="Arial" w:cs="Arial"/>
                <w:color w:val="000000" w:themeColor="text1"/>
                <w:sz w:val="20"/>
              </w:rPr>
              <w:t>-  Reducción de mano de obra local</w:t>
            </w:r>
          </w:p>
          <w:p w:rsidR="00317838" w:rsidRPr="000E0F90" w:rsidRDefault="00317838" w:rsidP="00770959">
            <w:pPr>
              <w:jc w:val="left"/>
              <w:rPr>
                <w:rFonts w:ascii="Arial" w:hAnsi="Arial" w:cs="Arial"/>
                <w:color w:val="000000" w:themeColor="text1"/>
                <w:sz w:val="20"/>
              </w:rPr>
            </w:pPr>
            <w:r w:rsidRPr="000E0F90">
              <w:rPr>
                <w:rFonts w:ascii="Arial" w:hAnsi="Arial" w:cs="Arial"/>
                <w:color w:val="000000" w:themeColor="text1"/>
                <w:sz w:val="20"/>
              </w:rPr>
              <w:t>- Reducida aplicación de tecnologías de eficiencia hídrica</w:t>
            </w:r>
          </w:p>
          <w:p w:rsidR="00317838" w:rsidRPr="000E0F90" w:rsidRDefault="00317838" w:rsidP="00770959">
            <w:pPr>
              <w:jc w:val="left"/>
              <w:rPr>
                <w:rFonts w:ascii="Arial" w:hAnsi="Arial" w:cs="Arial"/>
                <w:color w:val="000000" w:themeColor="text1"/>
                <w:sz w:val="20"/>
              </w:rPr>
            </w:pPr>
            <w:r w:rsidRPr="000E0F90">
              <w:rPr>
                <w:rFonts w:ascii="Arial" w:hAnsi="Arial" w:cs="Arial"/>
                <w:color w:val="000000" w:themeColor="text1"/>
                <w:sz w:val="20"/>
              </w:rPr>
              <w:t>- Institucionalidad deficiente</w:t>
            </w:r>
          </w:p>
          <w:p w:rsidR="00317838" w:rsidRPr="000E0F90" w:rsidRDefault="00317838" w:rsidP="00770959">
            <w:pPr>
              <w:jc w:val="left"/>
              <w:rPr>
                <w:rFonts w:ascii="Arial" w:hAnsi="Arial" w:cs="Arial"/>
                <w:color w:val="000000" w:themeColor="text1"/>
                <w:sz w:val="20"/>
              </w:rPr>
            </w:pPr>
            <w:r w:rsidRPr="000E0F90">
              <w:rPr>
                <w:rFonts w:ascii="Arial" w:hAnsi="Arial" w:cs="Arial"/>
                <w:color w:val="000000" w:themeColor="text1"/>
                <w:sz w:val="20"/>
              </w:rPr>
              <w:t>- Limitada gobernanza, alto nivel de centralismo. Desigualdad entre actores locales</w:t>
            </w:r>
          </w:p>
          <w:p w:rsidR="00317838" w:rsidRPr="000E0F90" w:rsidRDefault="00317838" w:rsidP="00770959">
            <w:pPr>
              <w:ind w:left="-37"/>
              <w:jc w:val="left"/>
              <w:rPr>
                <w:rFonts w:ascii="Arial" w:hAnsi="Arial" w:cs="Arial"/>
                <w:color w:val="000000" w:themeColor="text1"/>
                <w:sz w:val="20"/>
              </w:rPr>
            </w:pPr>
          </w:p>
        </w:tc>
        <w:tc>
          <w:tcPr>
            <w:tcW w:w="4082" w:type="dxa"/>
            <w:tcBorders>
              <w:top w:val="nil"/>
            </w:tcBorders>
          </w:tcPr>
          <w:p w:rsidR="00317838" w:rsidRPr="000E0F90" w:rsidRDefault="00317838" w:rsidP="00770959">
            <w:pPr>
              <w:ind w:left="-37"/>
              <w:jc w:val="left"/>
              <w:rPr>
                <w:rFonts w:ascii="Arial" w:hAnsi="Arial" w:cs="Arial"/>
                <w:color w:val="000000" w:themeColor="text1"/>
                <w:sz w:val="20"/>
              </w:rPr>
            </w:pPr>
            <w:r w:rsidRPr="000E0F90">
              <w:rPr>
                <w:rFonts w:ascii="Arial" w:hAnsi="Arial" w:cs="Arial"/>
                <w:color w:val="000000" w:themeColor="text1"/>
                <w:sz w:val="20"/>
              </w:rPr>
              <w:t>- Intensidad de uso del recurso hídrico, en zonas escasez y cabecera de cuenca</w:t>
            </w:r>
          </w:p>
          <w:p w:rsidR="00317838" w:rsidRPr="000E0F90" w:rsidRDefault="00317838" w:rsidP="00770959">
            <w:pPr>
              <w:jc w:val="left"/>
              <w:rPr>
                <w:rFonts w:ascii="Arial" w:hAnsi="Arial" w:cs="Arial"/>
                <w:color w:val="000000" w:themeColor="text1"/>
                <w:sz w:val="20"/>
              </w:rPr>
            </w:pPr>
            <w:r w:rsidRPr="000E0F90">
              <w:rPr>
                <w:rFonts w:ascii="Arial" w:hAnsi="Arial" w:cs="Arial"/>
                <w:color w:val="000000" w:themeColor="text1"/>
                <w:sz w:val="20"/>
              </w:rPr>
              <w:t>- Reducida aplicación de tecnologías de eficiencia hídrica</w:t>
            </w:r>
          </w:p>
          <w:p w:rsidR="00317838" w:rsidRPr="000E0F90" w:rsidRDefault="00317838" w:rsidP="00770959">
            <w:pPr>
              <w:ind w:left="-37"/>
              <w:jc w:val="left"/>
              <w:rPr>
                <w:rFonts w:ascii="Arial" w:hAnsi="Arial" w:cs="Arial"/>
                <w:color w:val="000000" w:themeColor="text1"/>
                <w:sz w:val="20"/>
              </w:rPr>
            </w:pPr>
            <w:r w:rsidRPr="000E0F90">
              <w:rPr>
                <w:rFonts w:ascii="Arial" w:hAnsi="Arial" w:cs="Arial"/>
                <w:color w:val="000000" w:themeColor="text1"/>
                <w:sz w:val="20"/>
              </w:rPr>
              <w:t>- Baja autonomía territorial en sectores rurales (Servicios públicos y generales, conectividad)</w:t>
            </w:r>
          </w:p>
          <w:p w:rsidR="00317838" w:rsidRPr="000E0F90" w:rsidRDefault="00317838" w:rsidP="00770959">
            <w:pPr>
              <w:jc w:val="left"/>
              <w:rPr>
                <w:rFonts w:ascii="Arial" w:hAnsi="Arial" w:cs="Arial"/>
                <w:color w:val="000000" w:themeColor="text1"/>
                <w:sz w:val="20"/>
              </w:rPr>
            </w:pPr>
            <w:r w:rsidRPr="000E0F90">
              <w:rPr>
                <w:rFonts w:ascii="Arial" w:hAnsi="Arial" w:cs="Arial"/>
                <w:color w:val="000000" w:themeColor="text1"/>
                <w:sz w:val="20"/>
              </w:rPr>
              <w:t>- Competencia por usos territoriales</w:t>
            </w:r>
          </w:p>
          <w:p w:rsidR="00317838" w:rsidRPr="000E0F90" w:rsidRDefault="00317838" w:rsidP="00770959">
            <w:pPr>
              <w:jc w:val="left"/>
              <w:rPr>
                <w:rFonts w:ascii="Arial" w:hAnsi="Arial" w:cs="Arial"/>
                <w:color w:val="000000" w:themeColor="text1"/>
                <w:sz w:val="20"/>
              </w:rPr>
            </w:pPr>
            <w:r w:rsidRPr="000E0F90">
              <w:rPr>
                <w:rFonts w:ascii="Arial" w:hAnsi="Arial" w:cs="Arial"/>
                <w:color w:val="000000" w:themeColor="text1"/>
                <w:sz w:val="20"/>
              </w:rPr>
              <w:t>-Dificultad comercialización y agregación valor de productos locales</w:t>
            </w:r>
          </w:p>
          <w:p w:rsidR="00317838" w:rsidRPr="000E0F90" w:rsidRDefault="00317838" w:rsidP="00770959">
            <w:pPr>
              <w:jc w:val="left"/>
              <w:rPr>
                <w:rFonts w:ascii="Arial" w:hAnsi="Arial" w:cs="Arial"/>
                <w:color w:val="000000" w:themeColor="text1"/>
                <w:sz w:val="20"/>
              </w:rPr>
            </w:pPr>
            <w:r w:rsidRPr="000E0F90">
              <w:rPr>
                <w:rFonts w:ascii="Arial" w:hAnsi="Arial" w:cs="Arial"/>
                <w:color w:val="000000" w:themeColor="text1"/>
                <w:sz w:val="20"/>
              </w:rPr>
              <w:t>- Baja diversificación de actividades (i.e. turismo)</w:t>
            </w:r>
          </w:p>
          <w:p w:rsidR="00317838" w:rsidRPr="000E0F90" w:rsidRDefault="00317838" w:rsidP="00770959">
            <w:pPr>
              <w:jc w:val="left"/>
              <w:rPr>
                <w:rFonts w:ascii="Arial" w:hAnsi="Arial" w:cs="Arial"/>
                <w:color w:val="000000" w:themeColor="text1"/>
                <w:sz w:val="20"/>
              </w:rPr>
            </w:pPr>
            <w:r w:rsidRPr="000E0F90">
              <w:rPr>
                <w:rFonts w:ascii="Arial" w:hAnsi="Arial" w:cs="Arial"/>
                <w:color w:val="000000" w:themeColor="text1"/>
                <w:sz w:val="20"/>
              </w:rPr>
              <w:t>- Baja contratación directa de trabajadores locales por minería local</w:t>
            </w:r>
          </w:p>
          <w:p w:rsidR="00317838" w:rsidRPr="000E0F90" w:rsidRDefault="00317838" w:rsidP="00770959">
            <w:pPr>
              <w:jc w:val="left"/>
              <w:rPr>
                <w:rFonts w:ascii="Arial" w:hAnsi="Arial" w:cs="Arial"/>
                <w:color w:val="000000" w:themeColor="text1"/>
                <w:sz w:val="20"/>
              </w:rPr>
            </w:pPr>
            <w:r w:rsidRPr="000E0F90">
              <w:rPr>
                <w:rFonts w:ascii="Arial" w:hAnsi="Arial" w:cs="Arial"/>
                <w:color w:val="000000" w:themeColor="text1"/>
                <w:sz w:val="20"/>
              </w:rPr>
              <w:t>- Contaminación ambiental por industrias (perdida de condición de valle virgen)</w:t>
            </w:r>
          </w:p>
          <w:p w:rsidR="00317838" w:rsidRPr="000E0F90" w:rsidRDefault="00317838" w:rsidP="00770959">
            <w:pPr>
              <w:jc w:val="left"/>
              <w:rPr>
                <w:rFonts w:ascii="Arial" w:hAnsi="Arial" w:cs="Arial"/>
                <w:color w:val="000000" w:themeColor="text1"/>
                <w:sz w:val="20"/>
              </w:rPr>
            </w:pPr>
            <w:r w:rsidRPr="000E0F90">
              <w:rPr>
                <w:rFonts w:ascii="Arial" w:hAnsi="Arial" w:cs="Arial"/>
                <w:color w:val="000000" w:themeColor="text1"/>
                <w:sz w:val="20"/>
              </w:rPr>
              <w:t>- Problemas de salud humana y trabajadores</w:t>
            </w:r>
          </w:p>
          <w:p w:rsidR="00317838" w:rsidRPr="000E0F90" w:rsidRDefault="00317838" w:rsidP="00770959">
            <w:pPr>
              <w:jc w:val="left"/>
              <w:rPr>
                <w:rFonts w:ascii="Arial" w:hAnsi="Arial" w:cs="Arial"/>
                <w:color w:val="000000" w:themeColor="text1"/>
                <w:sz w:val="20"/>
              </w:rPr>
            </w:pPr>
            <w:r w:rsidRPr="000E0F90">
              <w:rPr>
                <w:rFonts w:ascii="Arial" w:hAnsi="Arial" w:cs="Arial"/>
                <w:color w:val="000000" w:themeColor="text1"/>
                <w:sz w:val="20"/>
              </w:rPr>
              <w:t>- Institucionalidad deficiente</w:t>
            </w:r>
          </w:p>
          <w:p w:rsidR="00317838" w:rsidRPr="000E0F90" w:rsidRDefault="00317838" w:rsidP="00770959">
            <w:pPr>
              <w:jc w:val="left"/>
              <w:rPr>
                <w:rFonts w:ascii="Arial" w:hAnsi="Arial" w:cs="Arial"/>
                <w:color w:val="000000" w:themeColor="text1"/>
                <w:sz w:val="20"/>
              </w:rPr>
            </w:pPr>
            <w:r w:rsidRPr="000E0F90">
              <w:rPr>
                <w:rFonts w:ascii="Arial" w:hAnsi="Arial" w:cs="Arial"/>
                <w:color w:val="000000" w:themeColor="text1"/>
                <w:sz w:val="20"/>
              </w:rPr>
              <w:t>- Nula capitalización local de recursos extraídos (Royalty ineficaz)</w:t>
            </w:r>
          </w:p>
          <w:p w:rsidR="00317838" w:rsidRPr="000E0F90" w:rsidRDefault="00317838" w:rsidP="00770959">
            <w:pPr>
              <w:jc w:val="left"/>
              <w:rPr>
                <w:rFonts w:ascii="Arial" w:hAnsi="Arial" w:cs="Arial"/>
                <w:color w:val="000000" w:themeColor="text1"/>
                <w:sz w:val="20"/>
              </w:rPr>
            </w:pPr>
            <w:r w:rsidRPr="000E0F90">
              <w:rPr>
                <w:rFonts w:ascii="Arial" w:hAnsi="Arial" w:cs="Arial"/>
                <w:color w:val="000000" w:themeColor="text1"/>
                <w:sz w:val="20"/>
              </w:rPr>
              <w:t>- Limitada gobernanza, alto nivel de centralismo. Desigualdad entre actores locales</w:t>
            </w:r>
          </w:p>
          <w:p w:rsidR="00317838" w:rsidRPr="000E0F90" w:rsidRDefault="00317838" w:rsidP="00770959">
            <w:pPr>
              <w:jc w:val="left"/>
              <w:rPr>
                <w:rFonts w:ascii="Arial" w:hAnsi="Arial" w:cs="Arial"/>
                <w:color w:val="000000" w:themeColor="text1"/>
                <w:sz w:val="20"/>
              </w:rPr>
            </w:pPr>
            <w:r w:rsidRPr="000E0F90">
              <w:rPr>
                <w:rFonts w:ascii="Arial" w:hAnsi="Arial" w:cs="Arial"/>
                <w:color w:val="000000" w:themeColor="text1"/>
                <w:sz w:val="20"/>
              </w:rPr>
              <w:t xml:space="preserve">-Desigualdad entrega ayudas sociales </w:t>
            </w:r>
          </w:p>
          <w:p w:rsidR="00317838" w:rsidRPr="000E0F90" w:rsidRDefault="00317838" w:rsidP="00770959">
            <w:pPr>
              <w:jc w:val="left"/>
              <w:rPr>
                <w:rFonts w:ascii="Arial" w:hAnsi="Arial" w:cs="Arial"/>
                <w:color w:val="000000" w:themeColor="text1"/>
                <w:sz w:val="20"/>
              </w:rPr>
            </w:pPr>
            <w:r w:rsidRPr="000E0F90">
              <w:rPr>
                <w:rFonts w:ascii="Arial" w:hAnsi="Arial" w:cs="Arial"/>
                <w:color w:val="000000" w:themeColor="text1"/>
                <w:sz w:val="20"/>
              </w:rPr>
              <w:t>- Dependencia monetaria hacia minería (i.e ayudas sociales)</w:t>
            </w:r>
          </w:p>
        </w:tc>
      </w:tr>
    </w:tbl>
    <w:p w:rsidR="00FA6E25" w:rsidRPr="000E0F90" w:rsidRDefault="00FA7E30" w:rsidP="00702D9A">
      <w:pPr>
        <w:pStyle w:val="Ttulo2"/>
        <w:spacing w:line="360" w:lineRule="auto"/>
        <w:rPr>
          <w:rFonts w:cs="Arial"/>
        </w:rPr>
      </w:pPr>
      <w:bookmarkStart w:id="27" w:name="_Toc488774916"/>
      <w:r>
        <w:rPr>
          <w:rFonts w:cs="Arial"/>
        </w:rPr>
        <w:lastRenderedPageBreak/>
        <w:t xml:space="preserve">Propuesta de </w:t>
      </w:r>
      <w:r w:rsidR="00E0505F">
        <w:rPr>
          <w:rFonts w:cs="Arial"/>
        </w:rPr>
        <w:t>p</w:t>
      </w:r>
      <w:r w:rsidR="00FA6E25" w:rsidRPr="000E0F90">
        <w:rPr>
          <w:rFonts w:cs="Arial"/>
        </w:rPr>
        <w:t xml:space="preserve">rincipios y </w:t>
      </w:r>
      <w:r w:rsidR="00F40CDB" w:rsidRPr="000E0F90">
        <w:rPr>
          <w:rFonts w:cs="Arial"/>
        </w:rPr>
        <w:t>criterios</w:t>
      </w:r>
      <w:r w:rsidR="00BD66F1" w:rsidRPr="000E0F90">
        <w:rPr>
          <w:rFonts w:cs="Arial"/>
        </w:rPr>
        <w:t xml:space="preserve"> de sostenibilidad </w:t>
      </w:r>
      <w:r w:rsidR="00FA6E25" w:rsidRPr="000E0F90">
        <w:rPr>
          <w:rFonts w:cs="Arial"/>
        </w:rPr>
        <w:t xml:space="preserve">para </w:t>
      </w:r>
      <w:r w:rsidR="00BD66F1" w:rsidRPr="000E0F90">
        <w:rPr>
          <w:rFonts w:cs="Arial"/>
        </w:rPr>
        <w:t>territorios mineros</w:t>
      </w:r>
      <w:bookmarkEnd w:id="27"/>
      <w:r w:rsidR="00BD66F1" w:rsidRPr="000E0F90">
        <w:rPr>
          <w:rFonts w:cs="Arial"/>
        </w:rPr>
        <w:t xml:space="preserve"> </w:t>
      </w:r>
    </w:p>
    <w:p w:rsidR="00BD66F1" w:rsidRPr="000E0F90" w:rsidRDefault="00BD66F1" w:rsidP="00702D9A">
      <w:pPr>
        <w:spacing w:before="120" w:line="360" w:lineRule="auto"/>
        <w:rPr>
          <w:rFonts w:ascii="Arial" w:hAnsi="Arial" w:cs="Arial"/>
          <w:color w:val="000000" w:themeColor="text1"/>
        </w:rPr>
      </w:pPr>
      <w:r w:rsidRPr="000E0F90">
        <w:rPr>
          <w:rFonts w:ascii="Arial" w:hAnsi="Arial" w:cs="Arial"/>
          <w:color w:val="000000" w:themeColor="text1"/>
        </w:rPr>
        <w:t>Analizando la información recolectada, proveniente de la literatura junto con la información obtenida en los territorios bajo</w:t>
      </w:r>
      <w:r w:rsidR="000325CB" w:rsidRPr="000E0F90">
        <w:rPr>
          <w:rFonts w:ascii="Arial" w:hAnsi="Arial" w:cs="Arial"/>
          <w:color w:val="000000" w:themeColor="text1"/>
        </w:rPr>
        <w:t>, se</w:t>
      </w:r>
      <w:r w:rsidRPr="000E0F90">
        <w:rPr>
          <w:rFonts w:ascii="Arial" w:hAnsi="Arial" w:cs="Arial"/>
          <w:color w:val="000000" w:themeColor="text1"/>
        </w:rPr>
        <w:t xml:space="preserve"> constru</w:t>
      </w:r>
      <w:r w:rsidR="000325CB" w:rsidRPr="000E0F90">
        <w:rPr>
          <w:rFonts w:ascii="Arial" w:hAnsi="Arial" w:cs="Arial"/>
          <w:color w:val="000000" w:themeColor="text1"/>
        </w:rPr>
        <w:t>yó l</w:t>
      </w:r>
      <w:r w:rsidRPr="000E0F90">
        <w:rPr>
          <w:rFonts w:ascii="Arial" w:hAnsi="Arial" w:cs="Arial"/>
          <w:color w:val="000000" w:themeColor="text1"/>
        </w:rPr>
        <w:t>a propuesta de principios de sostenibili</w:t>
      </w:r>
      <w:r w:rsidR="000325CB" w:rsidRPr="000E0F90">
        <w:rPr>
          <w:rFonts w:ascii="Arial" w:hAnsi="Arial" w:cs="Arial"/>
          <w:color w:val="000000" w:themeColor="text1"/>
        </w:rPr>
        <w:t xml:space="preserve">dad </w:t>
      </w:r>
      <w:r w:rsidR="00F7220D">
        <w:rPr>
          <w:rFonts w:ascii="Arial" w:hAnsi="Arial" w:cs="Arial"/>
          <w:color w:val="000000" w:themeColor="text1"/>
        </w:rPr>
        <w:t>para territorios mineros</w:t>
      </w:r>
    </w:p>
    <w:p w:rsidR="00BD66F1" w:rsidRPr="000E0F90" w:rsidRDefault="00BD66F1" w:rsidP="00F7220D">
      <w:pPr>
        <w:pStyle w:val="Ttulo3"/>
        <w:spacing w:after="0" w:line="360" w:lineRule="auto"/>
        <w:rPr>
          <w:rFonts w:ascii="Arial" w:hAnsi="Arial" w:cs="Arial"/>
        </w:rPr>
      </w:pPr>
      <w:r w:rsidRPr="000E0F90">
        <w:rPr>
          <w:rFonts w:ascii="Arial" w:hAnsi="Arial" w:cs="Arial"/>
        </w:rPr>
        <w:t>1. Integridad Sistemas Socio ecológicos:</w:t>
      </w:r>
    </w:p>
    <w:p w:rsidR="000325CB" w:rsidRPr="000E0F90" w:rsidRDefault="000325CB" w:rsidP="00702D9A">
      <w:pPr>
        <w:spacing w:line="360" w:lineRule="auto"/>
        <w:rPr>
          <w:rFonts w:ascii="Arial" w:hAnsi="Arial" w:cs="Arial"/>
          <w:bCs/>
          <w:i/>
          <w:color w:val="000000" w:themeColor="text1"/>
        </w:rPr>
      </w:pPr>
      <w:r w:rsidRPr="000E0F90">
        <w:rPr>
          <w:rFonts w:ascii="Arial" w:hAnsi="Arial" w:cs="Arial"/>
          <w:bCs/>
          <w:i/>
          <w:color w:val="000000" w:themeColor="text1"/>
        </w:rPr>
        <w:t xml:space="preserve">Desarrollar el territorio de acuerdo a las limitantes y potencialidades que manifiesta la matriz natural, </w:t>
      </w:r>
      <w:r w:rsidR="00674D23" w:rsidRPr="000E0F90">
        <w:rPr>
          <w:rFonts w:ascii="Arial" w:hAnsi="Arial" w:cs="Arial"/>
          <w:bCs/>
          <w:i/>
          <w:color w:val="000000" w:themeColor="text1"/>
        </w:rPr>
        <w:t>preservando la integridad de los sistemas ecológicos,</w:t>
      </w:r>
      <w:r w:rsidR="00770959" w:rsidRPr="000E0F90">
        <w:rPr>
          <w:rFonts w:ascii="Arial" w:hAnsi="Arial" w:cs="Arial"/>
          <w:bCs/>
          <w:i/>
          <w:color w:val="000000" w:themeColor="text1"/>
        </w:rPr>
        <w:t xml:space="preserve"> </w:t>
      </w:r>
      <w:r w:rsidRPr="000E0F90">
        <w:rPr>
          <w:rFonts w:ascii="Arial" w:hAnsi="Arial" w:cs="Arial"/>
          <w:bCs/>
          <w:i/>
          <w:color w:val="000000" w:themeColor="text1"/>
        </w:rPr>
        <w:t>de forma de asegurar la continuidad en la provisión de bienes y servicios ec</w:t>
      </w:r>
      <w:r w:rsidR="00674D23" w:rsidRPr="000E0F90">
        <w:rPr>
          <w:rFonts w:ascii="Arial" w:hAnsi="Arial" w:cs="Arial"/>
          <w:bCs/>
          <w:i/>
          <w:color w:val="000000" w:themeColor="text1"/>
        </w:rPr>
        <w:t>osistémicos</w:t>
      </w:r>
      <w:r w:rsidRPr="000E0F90">
        <w:rPr>
          <w:rFonts w:ascii="Arial" w:hAnsi="Arial" w:cs="Arial"/>
          <w:bCs/>
          <w:i/>
          <w:color w:val="000000" w:themeColor="text1"/>
        </w:rPr>
        <w:t xml:space="preserve"> para la humanidad en el corto y largo plazo. Sostenibilidad dentro del espíritu del lugar. </w:t>
      </w:r>
    </w:p>
    <w:p w:rsidR="007347DC" w:rsidRPr="000E0F90" w:rsidRDefault="00770959" w:rsidP="00702D9A">
      <w:pPr>
        <w:pStyle w:val="Prrafodelista"/>
        <w:numPr>
          <w:ilvl w:val="0"/>
          <w:numId w:val="28"/>
        </w:numPr>
        <w:spacing w:line="360" w:lineRule="auto"/>
        <w:rPr>
          <w:rFonts w:ascii="Arial" w:hAnsi="Arial" w:cs="Arial"/>
          <w:color w:val="000000" w:themeColor="text1"/>
        </w:rPr>
      </w:pPr>
      <w:r w:rsidRPr="000E0F90">
        <w:rPr>
          <w:rFonts w:ascii="Arial" w:hAnsi="Arial" w:cs="Arial"/>
          <w:color w:val="000000" w:themeColor="text1"/>
        </w:rPr>
        <w:t>Armonizar</w:t>
      </w:r>
      <w:r w:rsidR="000325CB" w:rsidRPr="000E0F90">
        <w:rPr>
          <w:rFonts w:ascii="Arial" w:hAnsi="Arial" w:cs="Arial"/>
          <w:color w:val="000000" w:themeColor="text1"/>
        </w:rPr>
        <w:t xml:space="preserve"> las dimensiones económicas, políticas, soc</w:t>
      </w:r>
      <w:r w:rsidRPr="000E0F90">
        <w:rPr>
          <w:rFonts w:ascii="Arial" w:hAnsi="Arial" w:cs="Arial"/>
          <w:color w:val="000000" w:themeColor="text1"/>
        </w:rPr>
        <w:t>iales, culturales e históricas con</w:t>
      </w:r>
      <w:r w:rsidR="000325CB" w:rsidRPr="000E0F90">
        <w:rPr>
          <w:rFonts w:ascii="Arial" w:hAnsi="Arial" w:cs="Arial"/>
          <w:color w:val="000000" w:themeColor="text1"/>
        </w:rPr>
        <w:t xml:space="preserve"> la dimensión ecológica. Se debe buscar la adaptación</w:t>
      </w:r>
      <w:r w:rsidR="006554EC" w:rsidRPr="000E0F90">
        <w:rPr>
          <w:rFonts w:ascii="Arial" w:hAnsi="Arial" w:cs="Arial"/>
          <w:color w:val="000000" w:themeColor="text1"/>
        </w:rPr>
        <w:t>,</w:t>
      </w:r>
      <w:r w:rsidR="000325CB" w:rsidRPr="000E0F90">
        <w:rPr>
          <w:rFonts w:ascii="Arial" w:hAnsi="Arial" w:cs="Arial"/>
          <w:color w:val="000000" w:themeColor="text1"/>
        </w:rPr>
        <w:t xml:space="preserve"> </w:t>
      </w:r>
      <w:r w:rsidR="006554EC" w:rsidRPr="000E0F90">
        <w:rPr>
          <w:rFonts w:ascii="Arial" w:hAnsi="Arial" w:cs="Arial"/>
          <w:color w:val="000000" w:themeColor="text1"/>
        </w:rPr>
        <w:t xml:space="preserve">antes que la modificación, </w:t>
      </w:r>
      <w:r w:rsidR="00A25EBB" w:rsidRPr="000E0F90">
        <w:rPr>
          <w:rFonts w:ascii="Arial" w:hAnsi="Arial" w:cs="Arial"/>
          <w:color w:val="000000" w:themeColor="text1"/>
        </w:rPr>
        <w:t>de</w:t>
      </w:r>
      <w:r w:rsidR="000325CB" w:rsidRPr="000E0F90">
        <w:rPr>
          <w:rFonts w:ascii="Arial" w:hAnsi="Arial" w:cs="Arial"/>
          <w:color w:val="000000" w:themeColor="text1"/>
        </w:rPr>
        <w:t xml:space="preserve"> los ecosistemas</w:t>
      </w:r>
      <w:r w:rsidR="007347DC" w:rsidRPr="000E0F90">
        <w:rPr>
          <w:rFonts w:ascii="Arial" w:hAnsi="Arial" w:cs="Arial"/>
          <w:color w:val="000000" w:themeColor="text1"/>
        </w:rPr>
        <w:t>.</w:t>
      </w:r>
    </w:p>
    <w:p w:rsidR="007347DC" w:rsidRPr="000E0F90" w:rsidRDefault="00C77D61" w:rsidP="00702D9A">
      <w:pPr>
        <w:pStyle w:val="Prrafodelista"/>
        <w:numPr>
          <w:ilvl w:val="0"/>
          <w:numId w:val="28"/>
        </w:numPr>
        <w:spacing w:line="360" w:lineRule="auto"/>
        <w:rPr>
          <w:rFonts w:ascii="Arial" w:hAnsi="Arial" w:cs="Arial"/>
          <w:color w:val="000000" w:themeColor="text1"/>
        </w:rPr>
      </w:pPr>
      <w:r w:rsidRPr="000E0F90">
        <w:rPr>
          <w:rFonts w:ascii="Arial" w:hAnsi="Arial" w:cs="Arial"/>
          <w:color w:val="000000" w:themeColor="text1"/>
        </w:rPr>
        <w:t>Mantener la capacidad de los ecosistemas locales de entregar servicios ecosistémicos en el presente y futuro. Mejorar las condiciones de los ecosistemas locales,</w:t>
      </w:r>
      <w:r w:rsidR="007347DC" w:rsidRPr="000E0F90">
        <w:rPr>
          <w:rFonts w:ascii="Arial" w:hAnsi="Arial" w:cs="Arial"/>
          <w:color w:val="000000" w:themeColor="text1"/>
        </w:rPr>
        <w:t xml:space="preserve"> así como las capacidades de resiliencia de éstos.</w:t>
      </w:r>
    </w:p>
    <w:p w:rsidR="006554EC" w:rsidRPr="000E0F90" w:rsidRDefault="006554EC" w:rsidP="00702D9A">
      <w:pPr>
        <w:pStyle w:val="Prrafodelista"/>
        <w:numPr>
          <w:ilvl w:val="0"/>
          <w:numId w:val="28"/>
        </w:numPr>
        <w:spacing w:line="360" w:lineRule="auto"/>
        <w:rPr>
          <w:rFonts w:ascii="Arial" w:hAnsi="Arial" w:cs="Arial"/>
          <w:color w:val="000000" w:themeColor="text1"/>
        </w:rPr>
      </w:pPr>
      <w:r w:rsidRPr="000E0F90">
        <w:rPr>
          <w:rFonts w:ascii="Arial" w:hAnsi="Arial" w:cs="Arial"/>
          <w:color w:val="000000" w:themeColor="text1"/>
        </w:rPr>
        <w:t xml:space="preserve">Fomentar y proteger la diversidad de actividades territoriales, </w:t>
      </w:r>
      <w:r w:rsidR="00C77D61" w:rsidRPr="000E0F90">
        <w:rPr>
          <w:rFonts w:ascii="Arial" w:hAnsi="Arial" w:cs="Arial"/>
          <w:color w:val="000000" w:themeColor="text1"/>
        </w:rPr>
        <w:t xml:space="preserve">que se </w:t>
      </w:r>
      <w:r w:rsidR="00EB25B0" w:rsidRPr="000E0F90">
        <w:rPr>
          <w:rFonts w:ascii="Arial" w:hAnsi="Arial" w:cs="Arial"/>
          <w:color w:val="000000" w:themeColor="text1"/>
          <w:kern w:val="24"/>
          <w:szCs w:val="28"/>
        </w:rPr>
        <w:t>despliegan</w:t>
      </w:r>
      <w:r w:rsidR="00F82CED" w:rsidRPr="000E0F90">
        <w:rPr>
          <w:rFonts w:ascii="Arial" w:hAnsi="Arial" w:cs="Arial"/>
          <w:color w:val="000000" w:themeColor="text1"/>
          <w:kern w:val="24"/>
          <w:szCs w:val="28"/>
        </w:rPr>
        <w:t xml:space="preserve"> dentro de los límites naturales,</w:t>
      </w:r>
      <w:r w:rsidR="00F82CED" w:rsidRPr="000E0F90">
        <w:rPr>
          <w:rFonts w:ascii="Arial" w:hAnsi="Arial" w:cs="Arial"/>
          <w:color w:val="000000" w:themeColor="text1"/>
          <w:kern w:val="24"/>
          <w:sz w:val="20"/>
          <w:szCs w:val="28"/>
        </w:rPr>
        <w:t xml:space="preserve"> </w:t>
      </w:r>
      <w:r w:rsidR="00C77D61" w:rsidRPr="000E0F90">
        <w:rPr>
          <w:rFonts w:ascii="Arial" w:hAnsi="Arial" w:cs="Arial"/>
          <w:color w:val="000000" w:themeColor="text1"/>
          <w:kern w:val="24"/>
          <w:sz w:val="20"/>
          <w:szCs w:val="28"/>
        </w:rPr>
        <w:t>y</w:t>
      </w:r>
      <w:r w:rsidRPr="000E0F90">
        <w:rPr>
          <w:rFonts w:ascii="Arial" w:hAnsi="Arial" w:cs="Arial"/>
          <w:color w:val="000000" w:themeColor="text1"/>
        </w:rPr>
        <w:t xml:space="preserve"> conlleven al bienestar de la comunidad de forma </w:t>
      </w:r>
      <w:r w:rsidR="00770959" w:rsidRPr="000E0F90">
        <w:rPr>
          <w:rFonts w:ascii="Arial" w:hAnsi="Arial" w:cs="Arial"/>
          <w:color w:val="000000" w:themeColor="text1"/>
        </w:rPr>
        <w:t>transversa</w:t>
      </w:r>
      <w:r w:rsidR="00AA2647" w:rsidRPr="000E0F90">
        <w:rPr>
          <w:rFonts w:ascii="Arial" w:hAnsi="Arial" w:cs="Arial"/>
          <w:color w:val="000000" w:themeColor="text1"/>
        </w:rPr>
        <w:t>l</w:t>
      </w:r>
      <w:r w:rsidR="00C77D61" w:rsidRPr="000E0F90">
        <w:rPr>
          <w:rFonts w:ascii="Arial" w:hAnsi="Arial" w:cs="Arial"/>
          <w:color w:val="000000" w:themeColor="text1"/>
        </w:rPr>
        <w:t>. Fortaleciendo</w:t>
      </w:r>
      <w:r w:rsidRPr="000E0F90">
        <w:rPr>
          <w:rFonts w:ascii="Arial" w:hAnsi="Arial" w:cs="Arial"/>
          <w:color w:val="000000" w:themeColor="text1"/>
        </w:rPr>
        <w:t xml:space="preserve"> la capacidad adaptativa del territorio.</w:t>
      </w:r>
    </w:p>
    <w:p w:rsidR="000325CB" w:rsidRPr="000E0F90" w:rsidRDefault="00D80654" w:rsidP="00702D9A">
      <w:pPr>
        <w:pStyle w:val="Prrafodelista"/>
        <w:numPr>
          <w:ilvl w:val="0"/>
          <w:numId w:val="28"/>
        </w:numPr>
        <w:spacing w:line="360" w:lineRule="auto"/>
        <w:rPr>
          <w:rFonts w:ascii="Arial" w:hAnsi="Arial" w:cs="Arial"/>
          <w:color w:val="000000" w:themeColor="text1"/>
        </w:rPr>
      </w:pPr>
      <w:r w:rsidRPr="000E0F90">
        <w:rPr>
          <w:rFonts w:ascii="Arial" w:hAnsi="Arial" w:cs="Arial"/>
          <w:color w:val="000000" w:themeColor="text1"/>
        </w:rPr>
        <w:t>R</w:t>
      </w:r>
      <w:r w:rsidR="000325CB" w:rsidRPr="000E0F90">
        <w:rPr>
          <w:rFonts w:ascii="Arial" w:hAnsi="Arial" w:cs="Arial"/>
          <w:color w:val="000000" w:themeColor="text1"/>
        </w:rPr>
        <w:t>educir al mínimo las amenazas antropogénicas a los sistemas ecológicos, evitando acciones que generen detrimento o degradación tanto a los sistemas ecológicos como a los usos territoriales existentes.</w:t>
      </w:r>
    </w:p>
    <w:p w:rsidR="00F91213" w:rsidRPr="000E0F90" w:rsidRDefault="00A25EBB" w:rsidP="00702D9A">
      <w:pPr>
        <w:pStyle w:val="Prrafodelista"/>
        <w:numPr>
          <w:ilvl w:val="0"/>
          <w:numId w:val="28"/>
        </w:numPr>
        <w:spacing w:line="360" w:lineRule="auto"/>
        <w:rPr>
          <w:rFonts w:ascii="Arial" w:hAnsi="Arial" w:cs="Arial"/>
          <w:color w:val="000000" w:themeColor="text1"/>
        </w:rPr>
      </w:pPr>
      <w:r w:rsidRPr="000E0F90">
        <w:rPr>
          <w:rFonts w:ascii="Arial" w:hAnsi="Arial" w:cs="Arial"/>
          <w:color w:val="000000" w:themeColor="text1"/>
        </w:rPr>
        <w:t>No sobrepasar la capacidad de los sistemas ecológicos de neutralizar los efectos adversos provenientes de la acción humana</w:t>
      </w:r>
      <w:r w:rsidR="00AA2647" w:rsidRPr="000E0F90">
        <w:rPr>
          <w:rFonts w:ascii="Arial" w:hAnsi="Arial" w:cs="Arial"/>
          <w:color w:val="000000" w:themeColor="text1"/>
        </w:rPr>
        <w:t>, como contaminación, utilización de recursos.</w:t>
      </w:r>
    </w:p>
    <w:p w:rsidR="00AA2647" w:rsidRPr="000E0F90" w:rsidRDefault="00AA2647" w:rsidP="00702D9A">
      <w:pPr>
        <w:pStyle w:val="Prrafodelista"/>
        <w:numPr>
          <w:ilvl w:val="0"/>
          <w:numId w:val="28"/>
        </w:numPr>
        <w:spacing w:line="360" w:lineRule="auto"/>
        <w:rPr>
          <w:rFonts w:ascii="Arial" w:hAnsi="Arial" w:cs="Arial"/>
          <w:color w:val="000000" w:themeColor="text1"/>
        </w:rPr>
      </w:pPr>
      <w:r w:rsidRPr="000E0F90">
        <w:rPr>
          <w:rFonts w:ascii="Arial" w:hAnsi="Arial" w:cs="Arial"/>
          <w:color w:val="000000" w:themeColor="text1"/>
        </w:rPr>
        <w:t xml:space="preserve">Implementar medidas de mitigación efectivas frente a impactos </w:t>
      </w:r>
      <w:r w:rsidRPr="000E0F90">
        <w:rPr>
          <w:rFonts w:ascii="Arial" w:hAnsi="Arial" w:cs="Arial"/>
          <w:color w:val="000000" w:themeColor="text1"/>
          <w:kern w:val="24"/>
        </w:rPr>
        <w:t>a los sistemas ecológicos y actividades territoriales locales,</w:t>
      </w:r>
      <w:r w:rsidRPr="000E0F90">
        <w:rPr>
          <w:rFonts w:ascii="Arial" w:hAnsi="Arial" w:cs="Arial"/>
          <w:color w:val="000000" w:themeColor="text1"/>
        </w:rPr>
        <w:t xml:space="preserve"> </w:t>
      </w:r>
      <w:r w:rsidR="005D1F00" w:rsidRPr="000E0F90">
        <w:rPr>
          <w:rFonts w:ascii="Arial" w:hAnsi="Arial" w:cs="Arial"/>
          <w:color w:val="000000" w:themeColor="text1"/>
        </w:rPr>
        <w:t>evitar</w:t>
      </w:r>
      <w:r w:rsidRPr="000E0F90">
        <w:rPr>
          <w:rFonts w:ascii="Arial" w:hAnsi="Arial" w:cs="Arial"/>
          <w:color w:val="000000" w:themeColor="text1"/>
        </w:rPr>
        <w:t xml:space="preserve"> consecuencias irreversibles, realizar compensaciones en tales casos. Considerar no proceder cuando los impactos negativos superen a los positivos. </w:t>
      </w:r>
    </w:p>
    <w:p w:rsidR="00AA2647" w:rsidRPr="000E0F90" w:rsidRDefault="00AA2647" w:rsidP="00702D9A">
      <w:pPr>
        <w:pStyle w:val="Prrafodelista"/>
        <w:numPr>
          <w:ilvl w:val="0"/>
          <w:numId w:val="28"/>
        </w:numPr>
        <w:spacing w:line="360" w:lineRule="auto"/>
        <w:rPr>
          <w:rFonts w:ascii="Arial" w:hAnsi="Arial" w:cs="Arial"/>
          <w:color w:val="000000" w:themeColor="text1"/>
        </w:rPr>
      </w:pPr>
      <w:r w:rsidRPr="000E0F90">
        <w:rPr>
          <w:rFonts w:ascii="Arial" w:hAnsi="Arial" w:cs="Arial"/>
          <w:color w:val="000000" w:themeColor="text1"/>
        </w:rPr>
        <w:t>Abordar responsablemente los impactos generados por las actividades territoriales (El que contamina paga). Asumir costos de contaminación y daños asociados; y pérdida de recursos</w:t>
      </w:r>
      <w:r w:rsidR="002576A6" w:rsidRPr="000E0F90">
        <w:rPr>
          <w:rFonts w:ascii="Arial" w:hAnsi="Arial" w:cs="Arial"/>
          <w:color w:val="000000" w:themeColor="text1"/>
        </w:rPr>
        <w:t xml:space="preserve"> y fuentes de desarrollo</w:t>
      </w:r>
      <w:r w:rsidRPr="000E0F90">
        <w:rPr>
          <w:rFonts w:ascii="Arial" w:hAnsi="Arial" w:cs="Arial"/>
          <w:color w:val="000000" w:themeColor="text1"/>
        </w:rPr>
        <w:t>.</w:t>
      </w:r>
    </w:p>
    <w:p w:rsidR="00F91213" w:rsidRPr="000E0F90" w:rsidRDefault="00F91213" w:rsidP="00702D9A">
      <w:pPr>
        <w:pStyle w:val="Prrafodelista"/>
        <w:numPr>
          <w:ilvl w:val="0"/>
          <w:numId w:val="28"/>
        </w:numPr>
        <w:spacing w:line="360" w:lineRule="auto"/>
        <w:rPr>
          <w:rFonts w:ascii="Arial" w:hAnsi="Arial" w:cs="Arial"/>
          <w:color w:val="000000" w:themeColor="text1"/>
        </w:rPr>
      </w:pPr>
      <w:r w:rsidRPr="000E0F90">
        <w:rPr>
          <w:rFonts w:ascii="Arial" w:hAnsi="Arial" w:cs="Arial"/>
          <w:color w:val="000000" w:themeColor="text1"/>
        </w:rPr>
        <w:lastRenderedPageBreak/>
        <w:t xml:space="preserve">Promover y proteger la diversidad biológica. Proteger hábitats y especies amenazadas, así como prevenir su degradación. </w:t>
      </w:r>
    </w:p>
    <w:p w:rsidR="00F91213" w:rsidRPr="000E0F90" w:rsidRDefault="00F91213" w:rsidP="00702D9A">
      <w:pPr>
        <w:pStyle w:val="Prrafodelista"/>
        <w:numPr>
          <w:ilvl w:val="0"/>
          <w:numId w:val="28"/>
        </w:numPr>
        <w:spacing w:line="360" w:lineRule="auto"/>
        <w:rPr>
          <w:rFonts w:ascii="Arial" w:hAnsi="Arial" w:cs="Arial"/>
          <w:color w:val="000000" w:themeColor="text1"/>
        </w:rPr>
      </w:pPr>
      <w:r w:rsidRPr="000E0F90">
        <w:rPr>
          <w:rFonts w:ascii="Arial" w:hAnsi="Arial" w:cs="Arial"/>
          <w:color w:val="000000" w:themeColor="text1"/>
        </w:rPr>
        <w:t>Rehabilitar o restaurar ecosistemas locales que entreguen recursos naturales o servicios ecológicos para la sobrevida y desarrollo humano. Restaurar regímenes hidrológicos, recurso suelo y hábitats.</w:t>
      </w:r>
      <w:r w:rsidR="00AA2647" w:rsidRPr="000E0F90">
        <w:rPr>
          <w:rFonts w:ascii="Arial" w:hAnsi="Arial" w:cs="Arial"/>
          <w:color w:val="000000" w:themeColor="text1"/>
        </w:rPr>
        <w:t xml:space="preserve"> Realizar el cierre efectivos de los pasivos ambientales mineros.</w:t>
      </w:r>
    </w:p>
    <w:p w:rsidR="00AE72F2" w:rsidRPr="000E0F90" w:rsidRDefault="00AE72F2" w:rsidP="00702D9A">
      <w:pPr>
        <w:pStyle w:val="Prrafodelista"/>
        <w:numPr>
          <w:ilvl w:val="0"/>
          <w:numId w:val="28"/>
        </w:numPr>
        <w:spacing w:line="360" w:lineRule="auto"/>
        <w:rPr>
          <w:rFonts w:ascii="Arial" w:hAnsi="Arial" w:cs="Arial"/>
          <w:color w:val="000000" w:themeColor="text1"/>
        </w:rPr>
      </w:pPr>
      <w:r w:rsidRPr="000E0F90">
        <w:rPr>
          <w:rFonts w:ascii="Arial" w:hAnsi="Arial" w:cs="Arial"/>
          <w:color w:val="000000" w:themeColor="text1"/>
        </w:rPr>
        <w:t>Minimizar impactos de las acciones territoriales de largo alcance temporal y espacial, evitar acciones que generen efectos de legado, así como efectos directos e indirectos en los territorios contiguos. Desarrollo Territorial Responsable.</w:t>
      </w:r>
    </w:p>
    <w:p w:rsidR="00BD66F1" w:rsidRPr="000E0F90" w:rsidRDefault="00BD66F1" w:rsidP="00F7220D">
      <w:pPr>
        <w:pStyle w:val="Ttulo3"/>
        <w:spacing w:before="360" w:after="0" w:line="360" w:lineRule="auto"/>
        <w:rPr>
          <w:rFonts w:ascii="Arial" w:hAnsi="Arial" w:cs="Arial"/>
        </w:rPr>
      </w:pPr>
      <w:r w:rsidRPr="000E0F90">
        <w:rPr>
          <w:rFonts w:ascii="Arial" w:hAnsi="Arial" w:cs="Arial"/>
        </w:rPr>
        <w:t>2. Calidad de Vida y Equidad</w:t>
      </w:r>
    </w:p>
    <w:p w:rsidR="00AE72F2" w:rsidRPr="000E0F90" w:rsidRDefault="00AE72F2" w:rsidP="00702D9A">
      <w:pPr>
        <w:spacing w:line="360" w:lineRule="auto"/>
        <w:rPr>
          <w:rFonts w:ascii="Arial" w:hAnsi="Arial" w:cs="Arial"/>
          <w:i/>
          <w:color w:val="000000" w:themeColor="text1"/>
        </w:rPr>
      </w:pPr>
      <w:r w:rsidRPr="000E0F90">
        <w:rPr>
          <w:rFonts w:ascii="Arial" w:hAnsi="Arial" w:cs="Arial"/>
          <w:i/>
          <w:color w:val="000000" w:themeColor="text1"/>
        </w:rPr>
        <w:t>Los territorios deben proveer de condi</w:t>
      </w:r>
      <w:r w:rsidR="00F82CED" w:rsidRPr="000E0F90">
        <w:rPr>
          <w:rFonts w:ascii="Arial" w:hAnsi="Arial" w:cs="Arial"/>
          <w:i/>
          <w:color w:val="000000" w:themeColor="text1"/>
        </w:rPr>
        <w:t>ciones que</w:t>
      </w:r>
      <w:r w:rsidRPr="000E0F90">
        <w:rPr>
          <w:rFonts w:ascii="Arial" w:hAnsi="Arial" w:cs="Arial"/>
          <w:i/>
          <w:color w:val="000000" w:themeColor="text1"/>
        </w:rPr>
        <w:t xml:space="preserve"> permit</w:t>
      </w:r>
      <w:r w:rsidR="00F82CED" w:rsidRPr="000E0F90">
        <w:rPr>
          <w:rFonts w:ascii="Arial" w:hAnsi="Arial" w:cs="Arial"/>
          <w:i/>
          <w:color w:val="000000" w:themeColor="text1"/>
        </w:rPr>
        <w:t>an</w:t>
      </w:r>
      <w:r w:rsidRPr="000E0F90">
        <w:rPr>
          <w:rFonts w:ascii="Arial" w:hAnsi="Arial" w:cs="Arial"/>
          <w:i/>
          <w:color w:val="000000" w:themeColor="text1"/>
        </w:rPr>
        <w:t xml:space="preserve"> la satisfacción de las necesidades básicas y proporcionar igualdad de oportunidades de mejoramiento de calidad de vida</w:t>
      </w:r>
      <w:r w:rsidR="001A0756" w:rsidRPr="000E0F90">
        <w:rPr>
          <w:rFonts w:ascii="Arial" w:hAnsi="Arial" w:cs="Arial"/>
          <w:i/>
          <w:color w:val="000000" w:themeColor="text1"/>
        </w:rPr>
        <w:t>,</w:t>
      </w:r>
      <w:r w:rsidRPr="000E0F90">
        <w:rPr>
          <w:rFonts w:ascii="Arial" w:hAnsi="Arial" w:cs="Arial"/>
          <w:i/>
          <w:color w:val="000000" w:themeColor="text1"/>
        </w:rPr>
        <w:t xml:space="preserve"> a to</w:t>
      </w:r>
      <w:r w:rsidR="001A0756" w:rsidRPr="000E0F90">
        <w:rPr>
          <w:rFonts w:ascii="Arial" w:hAnsi="Arial" w:cs="Arial"/>
          <w:i/>
          <w:color w:val="000000" w:themeColor="text1"/>
        </w:rPr>
        <w:t>dos los individuos y comunidade</w:t>
      </w:r>
      <w:r w:rsidR="00E924AE" w:rsidRPr="000E0F90">
        <w:rPr>
          <w:rFonts w:ascii="Arial" w:hAnsi="Arial" w:cs="Arial"/>
          <w:i/>
          <w:color w:val="000000" w:themeColor="text1"/>
        </w:rPr>
        <w:t>s</w:t>
      </w:r>
      <w:r w:rsidR="001A0756" w:rsidRPr="000E0F90">
        <w:rPr>
          <w:rFonts w:ascii="Arial" w:hAnsi="Arial" w:cs="Arial"/>
          <w:i/>
          <w:color w:val="000000" w:themeColor="text1"/>
        </w:rPr>
        <w:t>, dentro de las limitantes biof</w:t>
      </w:r>
      <w:r w:rsidR="00467CFA" w:rsidRPr="000E0F90">
        <w:rPr>
          <w:rFonts w:ascii="Arial" w:hAnsi="Arial" w:cs="Arial"/>
          <w:i/>
          <w:color w:val="000000" w:themeColor="text1"/>
        </w:rPr>
        <w:t>ísicas. C</w:t>
      </w:r>
      <w:r w:rsidRPr="000E0F90">
        <w:rPr>
          <w:rFonts w:ascii="Arial" w:hAnsi="Arial" w:cs="Arial"/>
          <w:i/>
          <w:color w:val="000000" w:themeColor="text1"/>
        </w:rPr>
        <w:t xml:space="preserve">onsiderar la situación de aquellos más desaventajados del territorio, </w:t>
      </w:r>
      <w:r w:rsidR="001A0756" w:rsidRPr="000E0F90">
        <w:rPr>
          <w:rFonts w:ascii="Arial" w:hAnsi="Arial" w:cs="Arial"/>
          <w:i/>
          <w:color w:val="000000" w:themeColor="text1"/>
        </w:rPr>
        <w:t>reduciendo la brecha de desigualdad</w:t>
      </w:r>
      <w:r w:rsidRPr="000E0F90">
        <w:rPr>
          <w:rFonts w:ascii="Arial" w:hAnsi="Arial" w:cs="Arial"/>
          <w:i/>
          <w:color w:val="000000" w:themeColor="text1"/>
        </w:rPr>
        <w:t>.</w:t>
      </w:r>
    </w:p>
    <w:p w:rsidR="00AE72F2" w:rsidRPr="000E0F90" w:rsidRDefault="00F82CED" w:rsidP="00702D9A">
      <w:pPr>
        <w:pStyle w:val="Prrafodelista"/>
        <w:numPr>
          <w:ilvl w:val="0"/>
          <w:numId w:val="29"/>
        </w:numPr>
        <w:spacing w:line="360" w:lineRule="auto"/>
        <w:rPr>
          <w:rFonts w:ascii="Arial" w:hAnsi="Arial" w:cs="Arial"/>
          <w:color w:val="000000" w:themeColor="text1"/>
        </w:rPr>
      </w:pPr>
      <w:r w:rsidRPr="000E0F90">
        <w:rPr>
          <w:rFonts w:ascii="Arial" w:eastAsia="Times New Roman" w:hAnsi="Arial" w:cs="Arial"/>
          <w:color w:val="000000" w:themeColor="text1"/>
          <w:kern w:val="24"/>
          <w:lang w:eastAsia="es-CL"/>
        </w:rPr>
        <w:t xml:space="preserve">Proporcionar servicios básicos (i.e. salud, educación, transporte, conectividad, infraestructura) y servicios complementarios, que permitan alcanzar un estándar de vida aceptable, en forma igualitaria y total en el territorio, incluyendo a  aquellos más desaventajados. </w:t>
      </w:r>
    </w:p>
    <w:p w:rsidR="00A95D26" w:rsidRPr="000E0F90" w:rsidRDefault="001B06D1" w:rsidP="00702D9A">
      <w:pPr>
        <w:pStyle w:val="Prrafodelista"/>
        <w:numPr>
          <w:ilvl w:val="0"/>
          <w:numId w:val="29"/>
        </w:numPr>
        <w:spacing w:line="360" w:lineRule="auto"/>
        <w:rPr>
          <w:rFonts w:ascii="Arial" w:hAnsi="Arial" w:cs="Arial"/>
          <w:color w:val="000000" w:themeColor="text1"/>
        </w:rPr>
      </w:pPr>
      <w:r w:rsidRPr="000E0F90">
        <w:rPr>
          <w:rFonts w:ascii="Arial" w:eastAsia="Times New Roman" w:hAnsi="Arial" w:cs="Arial"/>
          <w:color w:val="000000" w:themeColor="text1"/>
          <w:kern w:val="24"/>
          <w:lang w:eastAsia="es-CL"/>
        </w:rPr>
        <w:t>E</w:t>
      </w:r>
      <w:r w:rsidR="00A95D26" w:rsidRPr="000E0F90">
        <w:rPr>
          <w:rFonts w:ascii="Arial" w:eastAsia="Times New Roman" w:hAnsi="Arial" w:cs="Arial"/>
          <w:color w:val="000000" w:themeColor="text1"/>
          <w:kern w:val="24"/>
          <w:lang w:eastAsia="es-CL"/>
        </w:rPr>
        <w:t xml:space="preserve">vitar, bajo cualquier situación, acciones que pongan en riesgo la vida humana o </w:t>
      </w:r>
      <w:r w:rsidR="00E924AE" w:rsidRPr="000E0F90">
        <w:rPr>
          <w:rFonts w:ascii="Arial" w:eastAsia="Times New Roman" w:hAnsi="Arial" w:cs="Arial"/>
          <w:color w:val="000000" w:themeColor="text1"/>
          <w:kern w:val="24"/>
          <w:lang w:eastAsia="es-CL"/>
        </w:rPr>
        <w:t>que afecten la salud humana</w:t>
      </w:r>
      <w:r w:rsidR="00A95D26" w:rsidRPr="000E0F90">
        <w:rPr>
          <w:rFonts w:ascii="Arial" w:eastAsia="Times New Roman" w:hAnsi="Arial" w:cs="Arial"/>
          <w:color w:val="000000" w:themeColor="text1"/>
          <w:kern w:val="24"/>
          <w:lang w:eastAsia="es-CL"/>
        </w:rPr>
        <w:t>, como son situaciones de inseguridad, laborales, y ambientales.  Se debe evitar el deterioro la calidad de vida.</w:t>
      </w:r>
    </w:p>
    <w:p w:rsidR="00093C8A" w:rsidRPr="000E0F90" w:rsidRDefault="00093C8A" w:rsidP="00702D9A">
      <w:pPr>
        <w:pStyle w:val="Prrafodelista"/>
        <w:numPr>
          <w:ilvl w:val="0"/>
          <w:numId w:val="29"/>
        </w:numPr>
        <w:spacing w:line="360" w:lineRule="auto"/>
        <w:rPr>
          <w:rFonts w:ascii="Arial" w:hAnsi="Arial" w:cs="Arial"/>
          <w:color w:val="000000" w:themeColor="text1"/>
        </w:rPr>
      </w:pPr>
      <w:r w:rsidRPr="000E0F90">
        <w:rPr>
          <w:rFonts w:ascii="Arial" w:eastAsia="Times New Roman" w:hAnsi="Arial" w:cs="Arial"/>
          <w:color w:val="000000" w:themeColor="text1"/>
          <w:kern w:val="24"/>
          <w:lang w:eastAsia="es-CL"/>
        </w:rPr>
        <w:t>El territorio debe ser vivible, por tanto se deben disponer espacios y actividades que fomenten el ocio, el intercambio social, el esparcimiento y la vida al aire libre. Fomentar amenidades</w:t>
      </w:r>
      <w:r w:rsidR="00E924AE" w:rsidRPr="000E0F90">
        <w:rPr>
          <w:rFonts w:ascii="Arial" w:eastAsia="Times New Roman" w:hAnsi="Arial" w:cs="Arial"/>
          <w:color w:val="000000" w:themeColor="text1"/>
          <w:kern w:val="24"/>
          <w:lang w:eastAsia="es-CL"/>
        </w:rPr>
        <w:t xml:space="preserve"> locales.</w:t>
      </w:r>
      <w:r w:rsidR="00770959" w:rsidRPr="000E0F90">
        <w:rPr>
          <w:rFonts w:ascii="Arial" w:eastAsia="Times New Roman" w:hAnsi="Arial" w:cs="Arial"/>
          <w:color w:val="000000" w:themeColor="text1"/>
          <w:kern w:val="24"/>
          <w:lang w:eastAsia="es-CL"/>
        </w:rPr>
        <w:t xml:space="preserve"> </w:t>
      </w:r>
    </w:p>
    <w:p w:rsidR="004D4561" w:rsidRPr="000E0F90" w:rsidRDefault="001B06D1" w:rsidP="00CC033B">
      <w:pPr>
        <w:pStyle w:val="Prrafodelista"/>
        <w:numPr>
          <w:ilvl w:val="0"/>
          <w:numId w:val="29"/>
        </w:numPr>
        <w:spacing w:line="360" w:lineRule="auto"/>
        <w:rPr>
          <w:rFonts w:ascii="Arial" w:hAnsi="Arial" w:cs="Arial"/>
          <w:color w:val="000000" w:themeColor="text1"/>
        </w:rPr>
      </w:pPr>
      <w:r w:rsidRPr="000E0F90">
        <w:rPr>
          <w:rFonts w:ascii="Arial" w:eastAsia="Times New Roman" w:hAnsi="Arial" w:cs="Arial"/>
          <w:color w:val="000000" w:themeColor="text1"/>
          <w:kern w:val="24"/>
          <w:lang w:eastAsia="es-CL"/>
        </w:rPr>
        <w:t>F</w:t>
      </w:r>
      <w:r w:rsidR="00093C8A" w:rsidRPr="000E0F90">
        <w:rPr>
          <w:rFonts w:ascii="Arial" w:eastAsia="Times New Roman" w:hAnsi="Arial" w:cs="Arial"/>
          <w:color w:val="000000" w:themeColor="text1"/>
          <w:kern w:val="24"/>
          <w:lang w:eastAsia="es-CL"/>
        </w:rPr>
        <w:t>omentar y mantener las diversas formas de vida que coexisten en el territorio, evitando la disrupción proveniente de actividades de alto impacto.</w:t>
      </w:r>
      <w:r w:rsidR="00F82CED" w:rsidRPr="000E0F90">
        <w:rPr>
          <w:rFonts w:ascii="Arial" w:eastAsia="Times New Roman" w:hAnsi="Arial" w:cs="Arial"/>
          <w:color w:val="000000" w:themeColor="text1"/>
          <w:kern w:val="24"/>
          <w:lang w:eastAsia="es-CL"/>
        </w:rPr>
        <w:t xml:space="preserve"> Considerar todas las dimensiones territoriales que gener</w:t>
      </w:r>
      <w:r w:rsidR="00770959" w:rsidRPr="000E0F90">
        <w:rPr>
          <w:rFonts w:ascii="Arial" w:eastAsia="Times New Roman" w:hAnsi="Arial" w:cs="Arial"/>
          <w:color w:val="000000" w:themeColor="text1"/>
          <w:kern w:val="24"/>
          <w:lang w:eastAsia="es-CL"/>
        </w:rPr>
        <w:t>e</w:t>
      </w:r>
      <w:r w:rsidR="00F82CED" w:rsidRPr="000E0F90">
        <w:rPr>
          <w:rFonts w:ascii="Arial" w:eastAsia="Times New Roman" w:hAnsi="Arial" w:cs="Arial"/>
          <w:color w:val="000000" w:themeColor="text1"/>
          <w:kern w:val="24"/>
          <w:lang w:eastAsia="es-CL"/>
        </w:rPr>
        <w:t>n bienestar local.</w:t>
      </w:r>
      <w:r w:rsidR="00CC033B">
        <w:rPr>
          <w:rFonts w:ascii="Arial" w:eastAsia="Times New Roman" w:hAnsi="Arial" w:cs="Arial"/>
          <w:color w:val="000000" w:themeColor="text1"/>
          <w:kern w:val="24"/>
          <w:lang w:eastAsia="es-CL"/>
        </w:rPr>
        <w:t xml:space="preserve"> </w:t>
      </w:r>
      <w:r w:rsidR="00CC033B" w:rsidRPr="00CC033B">
        <w:rPr>
          <w:rFonts w:ascii="Arial" w:eastAsia="Times New Roman" w:hAnsi="Arial" w:cs="Arial"/>
          <w:color w:val="000000" w:themeColor="text1"/>
          <w:kern w:val="24"/>
          <w:lang w:eastAsia="es-CL"/>
        </w:rPr>
        <w:t>Favorecer formas de vida sostenible.</w:t>
      </w:r>
    </w:p>
    <w:p w:rsidR="00F82CED" w:rsidRPr="000E0F90" w:rsidRDefault="00F82CED" w:rsidP="00702D9A">
      <w:pPr>
        <w:pStyle w:val="Prrafodelista"/>
        <w:numPr>
          <w:ilvl w:val="0"/>
          <w:numId w:val="29"/>
        </w:numPr>
        <w:spacing w:line="360" w:lineRule="auto"/>
        <w:rPr>
          <w:rFonts w:ascii="Arial" w:hAnsi="Arial" w:cs="Arial"/>
          <w:color w:val="000000" w:themeColor="text1"/>
        </w:rPr>
      </w:pPr>
      <w:r w:rsidRPr="000E0F90">
        <w:rPr>
          <w:rFonts w:ascii="Arial" w:hAnsi="Arial" w:cs="Arial"/>
          <w:color w:val="000000" w:themeColor="text1"/>
        </w:rPr>
        <w:t xml:space="preserve">Fomentar el desarrollo cultural local, potenciar elementos que participan en la identidad local y fomenten sentido de arraigo y pertenencia. </w:t>
      </w:r>
      <w:r w:rsidR="00934E9A" w:rsidRPr="000E0F90">
        <w:rPr>
          <w:rFonts w:ascii="Arial" w:hAnsi="Arial" w:cs="Arial"/>
          <w:color w:val="000000" w:themeColor="text1"/>
        </w:rPr>
        <w:t xml:space="preserve">Retener elementos </w:t>
      </w:r>
      <w:r w:rsidR="00C77D61" w:rsidRPr="000E0F90">
        <w:rPr>
          <w:rFonts w:ascii="Arial" w:hAnsi="Arial" w:cs="Arial"/>
          <w:color w:val="000000" w:themeColor="text1"/>
        </w:rPr>
        <w:t xml:space="preserve"> únicos que reflejen las características históricas</w:t>
      </w:r>
      <w:r w:rsidR="00934E9A" w:rsidRPr="000E0F90">
        <w:rPr>
          <w:rFonts w:ascii="Arial" w:hAnsi="Arial" w:cs="Arial"/>
          <w:color w:val="000000" w:themeColor="text1"/>
        </w:rPr>
        <w:t xml:space="preserve">. </w:t>
      </w:r>
      <w:r w:rsidRPr="000E0F90">
        <w:rPr>
          <w:rFonts w:ascii="Arial" w:hAnsi="Arial" w:cs="Arial"/>
          <w:color w:val="000000" w:themeColor="text1"/>
        </w:rPr>
        <w:t>Fortalecer el sentido de lugar.</w:t>
      </w:r>
    </w:p>
    <w:p w:rsidR="00C77D61" w:rsidRPr="000E0F90" w:rsidRDefault="001B06D1" w:rsidP="00702D9A">
      <w:pPr>
        <w:pStyle w:val="Prrafodelista"/>
        <w:numPr>
          <w:ilvl w:val="0"/>
          <w:numId w:val="29"/>
        </w:numPr>
        <w:spacing w:line="360" w:lineRule="auto"/>
        <w:rPr>
          <w:rFonts w:ascii="Arial" w:hAnsi="Arial" w:cs="Arial"/>
          <w:color w:val="000000" w:themeColor="text1"/>
        </w:rPr>
      </w:pPr>
      <w:r w:rsidRPr="000E0F90">
        <w:rPr>
          <w:rFonts w:ascii="Arial" w:eastAsia="Times New Roman" w:hAnsi="Arial" w:cs="Arial"/>
          <w:color w:val="000000" w:themeColor="text1"/>
          <w:kern w:val="24"/>
          <w:lang w:eastAsia="es-CL"/>
        </w:rPr>
        <w:lastRenderedPageBreak/>
        <w:t>P</w:t>
      </w:r>
      <w:r w:rsidR="002020BC" w:rsidRPr="000E0F90">
        <w:rPr>
          <w:rFonts w:ascii="Arial" w:eastAsia="Times New Roman" w:hAnsi="Arial" w:cs="Arial"/>
          <w:color w:val="000000" w:themeColor="text1"/>
          <w:kern w:val="24"/>
          <w:lang w:eastAsia="es-CL"/>
        </w:rPr>
        <w:t>roveer oportunidades de empleos estables y satisfactorios que permitan optar a una mejor calidad de vida</w:t>
      </w:r>
      <w:r w:rsidR="0044713A" w:rsidRPr="000E0F90">
        <w:rPr>
          <w:rFonts w:ascii="Arial" w:eastAsia="Times New Roman" w:hAnsi="Arial" w:cs="Arial"/>
          <w:color w:val="000000" w:themeColor="text1"/>
          <w:kern w:val="24"/>
          <w:lang w:eastAsia="es-CL"/>
        </w:rPr>
        <w:t xml:space="preserve"> en forma sostenida</w:t>
      </w:r>
      <w:r w:rsidR="002020BC" w:rsidRPr="000E0F90">
        <w:rPr>
          <w:rFonts w:ascii="Arial" w:eastAsia="Times New Roman" w:hAnsi="Arial" w:cs="Arial"/>
          <w:color w:val="000000" w:themeColor="text1"/>
          <w:kern w:val="24"/>
          <w:lang w:eastAsia="es-CL"/>
        </w:rPr>
        <w:t xml:space="preserve">, privilegiando a los trabajadores locales por sobre la contratación foránea. </w:t>
      </w:r>
    </w:p>
    <w:p w:rsidR="00C77D61" w:rsidRPr="000E0F90" w:rsidRDefault="00C77D61" w:rsidP="00702D9A">
      <w:pPr>
        <w:pStyle w:val="Prrafodelista"/>
        <w:numPr>
          <w:ilvl w:val="0"/>
          <w:numId w:val="29"/>
        </w:numPr>
        <w:spacing w:line="360" w:lineRule="auto"/>
        <w:rPr>
          <w:rFonts w:ascii="Arial" w:hAnsi="Arial" w:cs="Arial"/>
          <w:color w:val="000000" w:themeColor="text1"/>
          <w:sz w:val="24"/>
        </w:rPr>
      </w:pPr>
      <w:r w:rsidRPr="000E0F90">
        <w:rPr>
          <w:rFonts w:ascii="Arial" w:eastAsia="Times New Roman" w:hAnsi="Arial" w:cs="Arial"/>
          <w:iCs/>
          <w:color w:val="000000" w:themeColor="text1"/>
          <w:szCs w:val="20"/>
        </w:rPr>
        <w:t>Mejorar la capacidad técnica l</w:t>
      </w:r>
      <w:r w:rsidR="003418D0" w:rsidRPr="000E0F90">
        <w:rPr>
          <w:rFonts w:ascii="Arial" w:eastAsia="Times New Roman" w:hAnsi="Arial" w:cs="Arial"/>
          <w:iCs/>
          <w:color w:val="000000" w:themeColor="text1"/>
          <w:szCs w:val="20"/>
        </w:rPr>
        <w:t>aboral</w:t>
      </w:r>
      <w:r w:rsidRPr="000E0F90">
        <w:rPr>
          <w:rFonts w:ascii="Arial" w:eastAsia="Times New Roman" w:hAnsi="Arial" w:cs="Arial"/>
          <w:iCs/>
          <w:color w:val="000000" w:themeColor="text1"/>
          <w:szCs w:val="20"/>
        </w:rPr>
        <w:t xml:space="preserve"> en diferentes ámbitos y niveles, especialmente a trabajadores de mina y mano de obra local. Favoreciendo a los más desaventajados.</w:t>
      </w:r>
    </w:p>
    <w:p w:rsidR="009A355A" w:rsidRPr="000E0F90" w:rsidRDefault="00C10936" w:rsidP="00702D9A">
      <w:pPr>
        <w:pStyle w:val="Prrafodelista"/>
        <w:numPr>
          <w:ilvl w:val="0"/>
          <w:numId w:val="29"/>
        </w:numPr>
        <w:spacing w:line="360" w:lineRule="auto"/>
        <w:rPr>
          <w:rFonts w:ascii="Arial" w:hAnsi="Arial" w:cs="Arial"/>
          <w:color w:val="000000" w:themeColor="text1"/>
        </w:rPr>
      </w:pPr>
      <w:r w:rsidRPr="000E0F90">
        <w:rPr>
          <w:rFonts w:ascii="Arial" w:eastAsia="Times New Roman" w:hAnsi="Arial" w:cs="Arial"/>
          <w:color w:val="000000" w:themeColor="text1"/>
          <w:kern w:val="24"/>
          <w:lang w:eastAsia="es-CL"/>
        </w:rPr>
        <w:t xml:space="preserve">Promover un desarrollo </w:t>
      </w:r>
      <w:r w:rsidR="007271E9" w:rsidRPr="000E0F90">
        <w:rPr>
          <w:rFonts w:ascii="Arial" w:eastAsia="Times New Roman" w:hAnsi="Arial" w:cs="Arial"/>
          <w:color w:val="000000" w:themeColor="text1"/>
          <w:kern w:val="24"/>
          <w:lang w:eastAsia="es-CL"/>
        </w:rPr>
        <w:t xml:space="preserve">territorial </w:t>
      </w:r>
      <w:r w:rsidR="00EA7B18" w:rsidRPr="000E0F90">
        <w:rPr>
          <w:rFonts w:ascii="Arial" w:eastAsia="Times New Roman" w:hAnsi="Arial" w:cs="Arial"/>
          <w:color w:val="000000" w:themeColor="text1"/>
          <w:kern w:val="24"/>
          <w:lang w:eastAsia="es-CL"/>
        </w:rPr>
        <w:t>múltiple</w:t>
      </w:r>
      <w:r w:rsidRPr="000E0F90">
        <w:rPr>
          <w:rFonts w:ascii="Arial" w:eastAsia="Times New Roman" w:hAnsi="Arial" w:cs="Arial"/>
          <w:color w:val="000000" w:themeColor="text1"/>
          <w:kern w:val="24"/>
          <w:lang w:eastAsia="es-CL"/>
        </w:rPr>
        <w:t xml:space="preserve"> y duradero, reflejado en </w:t>
      </w:r>
      <w:r w:rsidR="00EA7B18" w:rsidRPr="000E0F90">
        <w:rPr>
          <w:rFonts w:ascii="Arial" w:eastAsia="Times New Roman" w:hAnsi="Arial" w:cs="Arial"/>
          <w:color w:val="000000" w:themeColor="text1"/>
          <w:kern w:val="24"/>
          <w:lang w:eastAsia="es-CL"/>
        </w:rPr>
        <w:t xml:space="preserve">la </w:t>
      </w:r>
      <w:r w:rsidRPr="000E0F90">
        <w:rPr>
          <w:rFonts w:ascii="Arial" w:eastAsia="Times New Roman" w:hAnsi="Arial" w:cs="Arial"/>
          <w:color w:val="000000" w:themeColor="text1"/>
          <w:kern w:val="24"/>
          <w:lang w:eastAsia="es-CL"/>
        </w:rPr>
        <w:t>diversificación de actividades productivas, fomentando negocios y emprendimientos</w:t>
      </w:r>
      <w:r w:rsidR="00F82CED" w:rsidRPr="000E0F90">
        <w:rPr>
          <w:rFonts w:ascii="Arial" w:eastAsia="Times New Roman" w:hAnsi="Arial" w:cs="Arial"/>
          <w:color w:val="000000" w:themeColor="text1"/>
          <w:kern w:val="24"/>
          <w:lang w:eastAsia="es-CL"/>
        </w:rPr>
        <w:t xml:space="preserve"> locales</w:t>
      </w:r>
      <w:r w:rsidRPr="000E0F90">
        <w:rPr>
          <w:rFonts w:ascii="Arial" w:eastAsia="Times New Roman" w:hAnsi="Arial" w:cs="Arial"/>
          <w:color w:val="000000" w:themeColor="text1"/>
          <w:kern w:val="24"/>
          <w:lang w:eastAsia="es-CL"/>
        </w:rPr>
        <w:t xml:space="preserve">, </w:t>
      </w:r>
      <w:r w:rsidR="004A0A6E" w:rsidRPr="000E0F90">
        <w:rPr>
          <w:rFonts w:ascii="Arial" w:eastAsia="Times New Roman" w:hAnsi="Arial" w:cs="Arial"/>
          <w:color w:val="000000" w:themeColor="text1"/>
          <w:kern w:val="24"/>
          <w:lang w:eastAsia="es-CL"/>
        </w:rPr>
        <w:t>y</w:t>
      </w:r>
      <w:r w:rsidRPr="000E0F90">
        <w:rPr>
          <w:rFonts w:ascii="Arial" w:eastAsia="Times New Roman" w:hAnsi="Arial" w:cs="Arial"/>
          <w:color w:val="000000" w:themeColor="text1"/>
          <w:kern w:val="24"/>
          <w:lang w:eastAsia="es-CL"/>
        </w:rPr>
        <w:t xml:space="preserve"> encadenamientos productivos</w:t>
      </w:r>
      <w:r w:rsidR="00EA7B18" w:rsidRPr="000E0F90">
        <w:rPr>
          <w:rFonts w:ascii="Arial" w:eastAsia="Times New Roman" w:hAnsi="Arial" w:cs="Arial"/>
          <w:color w:val="000000" w:themeColor="text1"/>
          <w:kern w:val="24"/>
          <w:lang w:eastAsia="es-CL"/>
        </w:rPr>
        <w:t>.</w:t>
      </w:r>
      <w:r w:rsidR="0044713A" w:rsidRPr="000E0F90">
        <w:rPr>
          <w:rFonts w:ascii="Arial" w:eastAsia="Times New Roman" w:hAnsi="Arial" w:cs="Arial"/>
          <w:color w:val="000000" w:themeColor="text1"/>
          <w:kern w:val="24"/>
          <w:lang w:eastAsia="es-CL"/>
        </w:rPr>
        <w:t xml:space="preserve"> </w:t>
      </w:r>
      <w:r w:rsidR="00EA7B18" w:rsidRPr="000E0F90">
        <w:rPr>
          <w:rFonts w:ascii="Arial" w:eastAsia="Times New Roman" w:hAnsi="Arial" w:cs="Arial"/>
          <w:color w:val="000000" w:themeColor="text1"/>
          <w:kern w:val="24"/>
          <w:lang w:eastAsia="es-CL"/>
        </w:rPr>
        <w:t>Favoreciendo usos territoriales basados en características locales</w:t>
      </w:r>
      <w:r w:rsidR="009A355A" w:rsidRPr="000E0F90">
        <w:rPr>
          <w:rFonts w:ascii="Arial" w:eastAsia="Times New Roman" w:hAnsi="Arial" w:cs="Arial"/>
          <w:color w:val="000000" w:themeColor="text1"/>
          <w:kern w:val="24"/>
          <w:lang w:eastAsia="es-CL"/>
        </w:rPr>
        <w:t>. Diversidad Territorial.</w:t>
      </w:r>
    </w:p>
    <w:p w:rsidR="009A355A" w:rsidRPr="000E0F90" w:rsidRDefault="0044713A" w:rsidP="00702D9A">
      <w:pPr>
        <w:pStyle w:val="Prrafodelista"/>
        <w:numPr>
          <w:ilvl w:val="0"/>
          <w:numId w:val="29"/>
        </w:numPr>
        <w:spacing w:line="360" w:lineRule="auto"/>
        <w:rPr>
          <w:rFonts w:ascii="Arial" w:hAnsi="Arial" w:cs="Arial"/>
          <w:color w:val="000000" w:themeColor="text1"/>
        </w:rPr>
      </w:pPr>
      <w:r w:rsidRPr="000E0F90">
        <w:rPr>
          <w:rFonts w:ascii="Arial" w:eastAsia="Times New Roman" w:hAnsi="Arial" w:cs="Arial"/>
          <w:color w:val="000000" w:themeColor="text1"/>
          <w:kern w:val="24"/>
          <w:lang w:eastAsia="es-CL"/>
        </w:rPr>
        <w:t xml:space="preserve">Desarrollar el territorio en forma equivalente y transversal, fomentando el desarrollo </w:t>
      </w:r>
      <w:r w:rsidR="00CC033B">
        <w:rPr>
          <w:rFonts w:ascii="Arial" w:eastAsia="Times New Roman" w:hAnsi="Arial" w:cs="Arial"/>
          <w:color w:val="000000" w:themeColor="text1"/>
          <w:kern w:val="24"/>
          <w:lang w:eastAsia="es-CL"/>
        </w:rPr>
        <w:t xml:space="preserve">igualitario </w:t>
      </w:r>
      <w:r w:rsidR="009A355A" w:rsidRPr="000E0F90">
        <w:rPr>
          <w:rFonts w:ascii="Arial" w:eastAsia="Times New Roman" w:hAnsi="Arial" w:cs="Arial"/>
          <w:color w:val="000000" w:themeColor="text1"/>
          <w:kern w:val="24"/>
          <w:lang w:eastAsia="es-CL"/>
        </w:rPr>
        <w:t>de todas l</w:t>
      </w:r>
      <w:r w:rsidRPr="000E0F90">
        <w:rPr>
          <w:rFonts w:ascii="Arial" w:eastAsia="Times New Roman" w:hAnsi="Arial" w:cs="Arial"/>
          <w:color w:val="000000" w:themeColor="text1"/>
          <w:kern w:val="24"/>
          <w:lang w:eastAsia="es-CL"/>
        </w:rPr>
        <w:t xml:space="preserve">as actividades territoriales </w:t>
      </w:r>
      <w:r w:rsidR="00C77D61" w:rsidRPr="000E0F90">
        <w:rPr>
          <w:rFonts w:ascii="Arial" w:eastAsia="Times New Roman" w:hAnsi="Arial" w:cs="Arial"/>
          <w:color w:val="000000" w:themeColor="text1"/>
          <w:kern w:val="24"/>
          <w:lang w:eastAsia="es-CL"/>
        </w:rPr>
        <w:t>(</w:t>
      </w:r>
      <w:r w:rsidR="00EB25B0" w:rsidRPr="000E0F90">
        <w:rPr>
          <w:rFonts w:ascii="Arial" w:eastAsia="Times New Roman" w:hAnsi="Arial" w:cs="Arial"/>
          <w:color w:val="000000" w:themeColor="text1"/>
          <w:kern w:val="24"/>
          <w:lang w:eastAsia="es-CL"/>
        </w:rPr>
        <w:t>incluyendo</w:t>
      </w:r>
      <w:r w:rsidR="00C77D61" w:rsidRPr="000E0F90">
        <w:rPr>
          <w:rFonts w:ascii="Arial" w:eastAsia="Times New Roman" w:hAnsi="Arial" w:cs="Arial"/>
          <w:color w:val="000000" w:themeColor="text1"/>
          <w:kern w:val="24"/>
          <w:lang w:eastAsia="es-CL"/>
        </w:rPr>
        <w:t xml:space="preserve"> el patrimonio cultural)</w:t>
      </w:r>
      <w:r w:rsidR="009A355A" w:rsidRPr="000E0F90">
        <w:rPr>
          <w:rFonts w:ascii="Arial" w:eastAsia="Times New Roman" w:hAnsi="Arial" w:cs="Arial"/>
          <w:color w:val="000000" w:themeColor="text1"/>
          <w:kern w:val="24"/>
          <w:lang w:eastAsia="es-CL"/>
        </w:rPr>
        <w:t xml:space="preserve">, que </w:t>
      </w:r>
      <w:r w:rsidR="005D1F00" w:rsidRPr="000E0F90">
        <w:rPr>
          <w:rFonts w:ascii="Arial" w:eastAsia="Times New Roman" w:hAnsi="Arial" w:cs="Arial"/>
          <w:color w:val="000000" w:themeColor="text1"/>
          <w:kern w:val="24"/>
          <w:lang w:eastAsia="es-CL"/>
        </w:rPr>
        <w:t>contribuya a</w:t>
      </w:r>
      <w:r w:rsidR="009A355A" w:rsidRPr="000E0F90">
        <w:rPr>
          <w:rFonts w:ascii="Arial" w:eastAsia="Times New Roman" w:hAnsi="Arial" w:cs="Arial"/>
          <w:color w:val="000000" w:themeColor="text1"/>
          <w:kern w:val="24"/>
          <w:lang w:eastAsia="es-CL"/>
        </w:rPr>
        <w:t xml:space="preserve"> mejora</w:t>
      </w:r>
      <w:r w:rsidR="005D1F00" w:rsidRPr="000E0F90">
        <w:rPr>
          <w:rFonts w:ascii="Arial" w:eastAsia="Times New Roman" w:hAnsi="Arial" w:cs="Arial"/>
          <w:color w:val="000000" w:themeColor="text1"/>
          <w:kern w:val="24"/>
          <w:lang w:eastAsia="es-CL"/>
        </w:rPr>
        <w:t>r</w:t>
      </w:r>
      <w:r w:rsidR="009A355A" w:rsidRPr="000E0F90">
        <w:rPr>
          <w:rFonts w:ascii="Arial" w:eastAsia="Times New Roman" w:hAnsi="Arial" w:cs="Arial"/>
          <w:color w:val="000000" w:themeColor="text1"/>
          <w:kern w:val="24"/>
          <w:lang w:eastAsia="es-CL"/>
        </w:rPr>
        <w:t xml:space="preserve"> la calidad de vida de todos los actores</w:t>
      </w:r>
      <w:r w:rsidR="00F82CED" w:rsidRPr="000E0F90">
        <w:rPr>
          <w:rFonts w:ascii="Arial" w:eastAsia="Times New Roman" w:hAnsi="Arial" w:cs="Arial"/>
          <w:color w:val="000000" w:themeColor="text1"/>
          <w:kern w:val="24"/>
          <w:lang w:eastAsia="es-CL"/>
        </w:rPr>
        <w:t>. Op</w:t>
      </w:r>
      <w:r w:rsidR="009A355A" w:rsidRPr="000E0F90">
        <w:rPr>
          <w:rFonts w:ascii="Arial" w:eastAsia="Times New Roman" w:hAnsi="Arial" w:cs="Arial"/>
          <w:color w:val="000000" w:themeColor="text1"/>
          <w:kern w:val="24"/>
          <w:lang w:eastAsia="es-CL"/>
        </w:rPr>
        <w:t>era</w:t>
      </w:r>
      <w:r w:rsidR="00F82CED" w:rsidRPr="000E0F90">
        <w:rPr>
          <w:rFonts w:ascii="Arial" w:eastAsia="Times New Roman" w:hAnsi="Arial" w:cs="Arial"/>
          <w:color w:val="000000" w:themeColor="text1"/>
          <w:kern w:val="24"/>
          <w:lang w:eastAsia="es-CL"/>
        </w:rPr>
        <w:t>ndo</w:t>
      </w:r>
      <w:r w:rsidR="009A355A" w:rsidRPr="000E0F90">
        <w:rPr>
          <w:rFonts w:ascii="Arial" w:eastAsia="Times New Roman" w:hAnsi="Arial" w:cs="Arial"/>
          <w:color w:val="000000" w:themeColor="text1"/>
          <w:kern w:val="24"/>
          <w:lang w:eastAsia="es-CL"/>
        </w:rPr>
        <w:t xml:space="preserve"> d</w:t>
      </w:r>
      <w:r w:rsidR="009A355A" w:rsidRPr="000E0F90">
        <w:rPr>
          <w:rFonts w:ascii="Arial" w:hAnsi="Arial" w:cs="Arial"/>
          <w:color w:val="000000" w:themeColor="text1"/>
        </w:rPr>
        <w:t>entro de los límites naturales. Equidad Territorial.</w:t>
      </w:r>
    </w:p>
    <w:p w:rsidR="00093C8A" w:rsidRPr="000E0F90" w:rsidRDefault="00AE72F2" w:rsidP="00702D9A">
      <w:pPr>
        <w:pStyle w:val="Prrafodelista"/>
        <w:numPr>
          <w:ilvl w:val="0"/>
          <w:numId w:val="29"/>
        </w:numPr>
        <w:spacing w:line="360" w:lineRule="auto"/>
        <w:rPr>
          <w:rFonts w:ascii="Arial" w:hAnsi="Arial" w:cs="Arial"/>
          <w:color w:val="000000" w:themeColor="text1"/>
        </w:rPr>
      </w:pPr>
      <w:r w:rsidRPr="000E0F90">
        <w:rPr>
          <w:rFonts w:ascii="Arial" w:eastAsia="Times New Roman" w:hAnsi="Arial" w:cs="Arial"/>
          <w:color w:val="000000" w:themeColor="text1"/>
          <w:kern w:val="24"/>
          <w:lang w:eastAsia="es-CL"/>
        </w:rPr>
        <w:t xml:space="preserve">Promover la distribución equitativa de </w:t>
      </w:r>
      <w:r w:rsidR="00E924AE" w:rsidRPr="000E0F90">
        <w:rPr>
          <w:rFonts w:ascii="Arial" w:eastAsia="Times New Roman" w:hAnsi="Arial" w:cs="Arial"/>
          <w:color w:val="000000" w:themeColor="text1"/>
          <w:kern w:val="24"/>
          <w:lang w:eastAsia="es-CL"/>
        </w:rPr>
        <w:t>los beneficios que se generan por</w:t>
      </w:r>
      <w:r w:rsidRPr="000E0F90">
        <w:rPr>
          <w:rFonts w:ascii="Arial" w:eastAsia="Times New Roman" w:hAnsi="Arial" w:cs="Arial"/>
          <w:color w:val="000000" w:themeColor="text1"/>
          <w:kern w:val="24"/>
          <w:lang w:eastAsia="es-CL"/>
        </w:rPr>
        <w:t xml:space="preserve"> la extracción de recursos </w:t>
      </w:r>
      <w:r w:rsidR="00F82CED" w:rsidRPr="000E0F90">
        <w:rPr>
          <w:rFonts w:ascii="Arial" w:eastAsia="Times New Roman" w:hAnsi="Arial" w:cs="Arial"/>
          <w:color w:val="000000" w:themeColor="text1"/>
          <w:kern w:val="24"/>
          <w:lang w:eastAsia="es-CL"/>
        </w:rPr>
        <w:t>d</w:t>
      </w:r>
      <w:r w:rsidR="00E924AE" w:rsidRPr="000E0F90">
        <w:rPr>
          <w:rFonts w:ascii="Arial" w:eastAsia="Times New Roman" w:hAnsi="Arial" w:cs="Arial"/>
          <w:color w:val="000000" w:themeColor="text1"/>
          <w:kern w:val="24"/>
          <w:lang w:eastAsia="es-CL"/>
        </w:rPr>
        <w:t>el territorio</w:t>
      </w:r>
      <w:r w:rsidRPr="000E0F90">
        <w:rPr>
          <w:rFonts w:ascii="Arial" w:eastAsia="Times New Roman" w:hAnsi="Arial" w:cs="Arial"/>
          <w:color w:val="000000" w:themeColor="text1"/>
          <w:kern w:val="24"/>
          <w:lang w:eastAsia="es-CL"/>
        </w:rPr>
        <w:t>. Particularmente en aquellos territorios donde se pr</w:t>
      </w:r>
      <w:r w:rsidR="005E611D" w:rsidRPr="000E0F90">
        <w:rPr>
          <w:rFonts w:ascii="Arial" w:eastAsia="Times New Roman" w:hAnsi="Arial" w:cs="Arial"/>
          <w:color w:val="000000" w:themeColor="text1"/>
          <w:kern w:val="24"/>
          <w:lang w:eastAsia="es-CL"/>
        </w:rPr>
        <w:t xml:space="preserve">oduce la extracción de </w:t>
      </w:r>
      <w:r w:rsidRPr="000E0F90">
        <w:rPr>
          <w:rFonts w:ascii="Arial" w:eastAsia="Times New Roman" w:hAnsi="Arial" w:cs="Arial"/>
          <w:color w:val="000000" w:themeColor="text1"/>
          <w:kern w:val="24"/>
          <w:lang w:eastAsia="es-CL"/>
        </w:rPr>
        <w:t>minerales y</w:t>
      </w:r>
      <w:r w:rsidR="005E611D" w:rsidRPr="000E0F90">
        <w:rPr>
          <w:rFonts w:ascii="Arial" w:eastAsia="Times New Roman" w:hAnsi="Arial" w:cs="Arial"/>
          <w:color w:val="000000" w:themeColor="text1"/>
          <w:kern w:val="24"/>
          <w:lang w:eastAsia="es-CL"/>
        </w:rPr>
        <w:t xml:space="preserve"> se generan </w:t>
      </w:r>
      <w:r w:rsidRPr="000E0F90">
        <w:rPr>
          <w:rFonts w:ascii="Arial" w:eastAsia="Times New Roman" w:hAnsi="Arial" w:cs="Arial"/>
          <w:color w:val="000000" w:themeColor="text1"/>
          <w:kern w:val="24"/>
          <w:lang w:eastAsia="es-CL"/>
        </w:rPr>
        <w:t>externalidades negativas</w:t>
      </w:r>
      <w:r w:rsidR="005E611D" w:rsidRPr="000E0F90">
        <w:rPr>
          <w:rFonts w:ascii="Arial" w:eastAsia="Times New Roman" w:hAnsi="Arial" w:cs="Arial"/>
          <w:color w:val="000000" w:themeColor="text1"/>
          <w:kern w:val="24"/>
          <w:lang w:eastAsia="es-CL"/>
        </w:rPr>
        <w:t xml:space="preserve"> medioambientales y sociales</w:t>
      </w:r>
      <w:r w:rsidR="00C77D61" w:rsidRPr="000E0F90">
        <w:rPr>
          <w:rFonts w:ascii="Arial" w:eastAsia="Times New Roman" w:hAnsi="Arial" w:cs="Arial"/>
          <w:color w:val="000000" w:themeColor="text1"/>
          <w:kern w:val="24"/>
          <w:lang w:eastAsia="es-CL"/>
        </w:rPr>
        <w:t>. E</w:t>
      </w:r>
      <w:r w:rsidR="00093C8A" w:rsidRPr="000E0F90">
        <w:rPr>
          <w:rFonts w:ascii="Arial" w:eastAsia="Times New Roman" w:hAnsi="Arial" w:cs="Arial"/>
          <w:color w:val="000000" w:themeColor="text1"/>
          <w:kern w:val="24"/>
          <w:lang w:eastAsia="es-CL"/>
        </w:rPr>
        <w:t>vitar las zonas de sacrificio.</w:t>
      </w:r>
    </w:p>
    <w:p w:rsidR="00093C8A" w:rsidRPr="000E0F90" w:rsidRDefault="00E924AE" w:rsidP="00702D9A">
      <w:pPr>
        <w:pStyle w:val="Prrafodelista"/>
        <w:numPr>
          <w:ilvl w:val="0"/>
          <w:numId w:val="29"/>
        </w:numPr>
        <w:spacing w:line="360" w:lineRule="auto"/>
        <w:rPr>
          <w:rFonts w:ascii="Arial" w:hAnsi="Arial" w:cs="Arial"/>
          <w:color w:val="000000" w:themeColor="text1"/>
        </w:rPr>
      </w:pPr>
      <w:r w:rsidRPr="000E0F90">
        <w:rPr>
          <w:rFonts w:ascii="Arial" w:eastAsia="Times New Roman" w:hAnsi="Arial" w:cs="Arial"/>
          <w:color w:val="000000" w:themeColor="text1"/>
          <w:kern w:val="24"/>
          <w:lang w:eastAsia="es-CL"/>
        </w:rPr>
        <w:t>Reducir la brecha de los más necesitados, satisfaciendo sus necesidades</w:t>
      </w:r>
      <w:r w:rsidR="00FA5D6F" w:rsidRPr="000E0F90">
        <w:rPr>
          <w:rFonts w:ascii="Arial" w:eastAsia="Times New Roman" w:hAnsi="Arial" w:cs="Arial"/>
          <w:color w:val="000000" w:themeColor="text1"/>
          <w:kern w:val="24"/>
          <w:lang w:eastAsia="es-CL"/>
        </w:rPr>
        <w:t xml:space="preserve"> y mejorando su calidad de vida</w:t>
      </w:r>
      <w:r w:rsidRPr="000E0F90">
        <w:rPr>
          <w:rFonts w:ascii="Arial" w:eastAsia="Times New Roman" w:hAnsi="Arial" w:cs="Arial"/>
          <w:color w:val="000000" w:themeColor="text1"/>
          <w:kern w:val="24"/>
          <w:lang w:eastAsia="es-CL"/>
        </w:rPr>
        <w:t xml:space="preserve">, mitigando los </w:t>
      </w:r>
      <w:r w:rsidR="00F82CED" w:rsidRPr="000E0F90">
        <w:rPr>
          <w:rFonts w:ascii="Arial" w:eastAsia="Times New Roman" w:hAnsi="Arial" w:cs="Arial"/>
          <w:color w:val="000000" w:themeColor="text1"/>
          <w:kern w:val="24"/>
          <w:lang w:eastAsia="es-CL"/>
        </w:rPr>
        <w:t>impactos</w:t>
      </w:r>
      <w:r w:rsidRPr="000E0F90">
        <w:rPr>
          <w:rFonts w:ascii="Arial" w:eastAsia="Times New Roman" w:hAnsi="Arial" w:cs="Arial"/>
          <w:color w:val="000000" w:themeColor="text1"/>
          <w:kern w:val="24"/>
          <w:lang w:eastAsia="es-CL"/>
        </w:rPr>
        <w:t xml:space="preserve"> de las actividades territoriales, </w:t>
      </w:r>
      <w:r w:rsidR="00FA5D6F" w:rsidRPr="000E0F90">
        <w:rPr>
          <w:rFonts w:ascii="Arial" w:eastAsia="Times New Roman" w:hAnsi="Arial" w:cs="Arial"/>
          <w:color w:val="000000" w:themeColor="text1"/>
          <w:kern w:val="24"/>
          <w:lang w:eastAsia="es-CL"/>
        </w:rPr>
        <w:t xml:space="preserve">promoviendo la inclusión social en las consideraciones de desarrollo. </w:t>
      </w:r>
      <w:r w:rsidR="00093C8A" w:rsidRPr="000E0F90">
        <w:rPr>
          <w:rFonts w:ascii="Arial" w:eastAsia="Times New Roman" w:hAnsi="Arial" w:cs="Arial"/>
          <w:color w:val="000000" w:themeColor="text1"/>
          <w:kern w:val="24"/>
          <w:lang w:eastAsia="es-CL"/>
        </w:rPr>
        <w:t>Implementa</w:t>
      </w:r>
      <w:r w:rsidR="0044713A" w:rsidRPr="000E0F90">
        <w:rPr>
          <w:rFonts w:ascii="Arial" w:eastAsia="Times New Roman" w:hAnsi="Arial" w:cs="Arial"/>
          <w:color w:val="000000" w:themeColor="text1"/>
          <w:kern w:val="24"/>
          <w:lang w:eastAsia="es-CL"/>
        </w:rPr>
        <w:t>r</w:t>
      </w:r>
      <w:r w:rsidR="00093C8A" w:rsidRPr="000E0F90">
        <w:rPr>
          <w:rFonts w:ascii="Arial" w:eastAsia="Times New Roman" w:hAnsi="Arial" w:cs="Arial"/>
          <w:color w:val="000000" w:themeColor="text1"/>
          <w:kern w:val="24"/>
          <w:lang w:eastAsia="es-CL"/>
        </w:rPr>
        <w:t xml:space="preserve"> iniciativas de mejoramiento de la calidad de vida a largo plazo</w:t>
      </w:r>
      <w:r w:rsidR="00FA5D6F" w:rsidRPr="000E0F90">
        <w:rPr>
          <w:rFonts w:ascii="Arial" w:eastAsia="Times New Roman" w:hAnsi="Arial" w:cs="Arial"/>
          <w:color w:val="000000" w:themeColor="text1"/>
          <w:kern w:val="24"/>
          <w:lang w:eastAsia="es-CL"/>
        </w:rPr>
        <w:t>.</w:t>
      </w:r>
    </w:p>
    <w:p w:rsidR="005A7AF6" w:rsidRPr="002F44F7" w:rsidRDefault="007E2783" w:rsidP="00702D9A">
      <w:pPr>
        <w:pStyle w:val="Prrafodelista"/>
        <w:numPr>
          <w:ilvl w:val="0"/>
          <w:numId w:val="29"/>
        </w:numPr>
        <w:spacing w:line="360" w:lineRule="auto"/>
        <w:rPr>
          <w:rFonts w:ascii="Arial" w:hAnsi="Arial" w:cs="Arial"/>
          <w:color w:val="000000" w:themeColor="text1"/>
        </w:rPr>
      </w:pPr>
      <w:r w:rsidRPr="000E0F90">
        <w:rPr>
          <w:rFonts w:ascii="Arial" w:eastAsia="Times New Roman" w:hAnsi="Arial" w:cs="Arial"/>
          <w:color w:val="000000" w:themeColor="text1"/>
          <w:kern w:val="24"/>
          <w:lang w:eastAsia="es-CL"/>
        </w:rPr>
        <w:t>Evitar traspasar</w:t>
      </w:r>
      <w:r w:rsidR="00520572" w:rsidRPr="000E0F90">
        <w:rPr>
          <w:rFonts w:ascii="Arial" w:eastAsia="Times New Roman" w:hAnsi="Arial" w:cs="Arial"/>
          <w:color w:val="000000" w:themeColor="text1"/>
          <w:kern w:val="24"/>
          <w:lang w:eastAsia="es-CL"/>
        </w:rPr>
        <w:t xml:space="preserve"> externalidades negativas a otros territorios, considerar el impacto de sus decisiones dentro y fuera de los límites terri</w:t>
      </w:r>
      <w:r w:rsidR="005E611D" w:rsidRPr="000E0F90">
        <w:rPr>
          <w:rFonts w:ascii="Arial" w:eastAsia="Times New Roman" w:hAnsi="Arial" w:cs="Arial"/>
          <w:color w:val="000000" w:themeColor="text1"/>
          <w:kern w:val="24"/>
          <w:lang w:eastAsia="es-CL"/>
        </w:rPr>
        <w:t>toriales. Equidad espacia</w:t>
      </w:r>
      <w:r w:rsidRPr="000E0F90">
        <w:rPr>
          <w:rFonts w:ascii="Arial" w:eastAsia="Times New Roman" w:hAnsi="Arial" w:cs="Arial"/>
          <w:color w:val="000000" w:themeColor="text1"/>
          <w:kern w:val="24"/>
          <w:lang w:eastAsia="es-CL"/>
        </w:rPr>
        <w:t>l</w:t>
      </w:r>
      <w:r w:rsidR="00F82CED" w:rsidRPr="000E0F90">
        <w:rPr>
          <w:rFonts w:ascii="Arial" w:eastAsia="Times New Roman" w:hAnsi="Arial" w:cs="Arial"/>
          <w:color w:val="000000" w:themeColor="text1"/>
          <w:kern w:val="24"/>
          <w:lang w:eastAsia="es-CL"/>
        </w:rPr>
        <w:t>.</w:t>
      </w:r>
    </w:p>
    <w:p w:rsidR="002F44F7" w:rsidRPr="000E0F90" w:rsidRDefault="002F44F7" w:rsidP="002F44F7">
      <w:pPr>
        <w:pStyle w:val="Prrafodelista"/>
        <w:numPr>
          <w:ilvl w:val="0"/>
          <w:numId w:val="29"/>
        </w:numPr>
        <w:spacing w:line="360" w:lineRule="auto"/>
        <w:rPr>
          <w:rFonts w:ascii="Arial" w:hAnsi="Arial" w:cs="Arial"/>
          <w:color w:val="000000" w:themeColor="text1"/>
        </w:rPr>
      </w:pPr>
      <w:r w:rsidRPr="002F44F7">
        <w:rPr>
          <w:rFonts w:ascii="Arial" w:hAnsi="Arial" w:cs="Arial"/>
          <w:color w:val="000000" w:themeColor="text1"/>
        </w:rPr>
        <w:t>Reducir la huella ecológica del territorio, asegurando la calidad de vida para todos en el corto y largo plazo</w:t>
      </w:r>
      <w:r>
        <w:rPr>
          <w:rFonts w:ascii="Arial" w:hAnsi="Arial" w:cs="Arial"/>
          <w:color w:val="000000" w:themeColor="text1"/>
        </w:rPr>
        <w:t>.</w:t>
      </w:r>
    </w:p>
    <w:p w:rsidR="00F82CED" w:rsidRPr="000E0F90" w:rsidRDefault="00F82CED" w:rsidP="00702D9A">
      <w:pPr>
        <w:pStyle w:val="Prrafodelista"/>
        <w:spacing w:line="360" w:lineRule="auto"/>
        <w:ind w:left="360"/>
        <w:rPr>
          <w:rFonts w:ascii="Arial" w:hAnsi="Arial" w:cs="Arial"/>
          <w:color w:val="000000" w:themeColor="text1"/>
        </w:rPr>
      </w:pPr>
    </w:p>
    <w:p w:rsidR="00F7220D" w:rsidRDefault="00F7220D">
      <w:pPr>
        <w:jc w:val="left"/>
        <w:rPr>
          <w:rFonts w:ascii="Arial" w:eastAsiaTheme="majorEastAsia" w:hAnsi="Arial" w:cs="Arial"/>
          <w:b/>
          <w:bCs/>
          <w:color w:val="000000" w:themeColor="text1"/>
        </w:rPr>
      </w:pPr>
      <w:r>
        <w:rPr>
          <w:rFonts w:ascii="Arial" w:hAnsi="Arial" w:cs="Arial"/>
        </w:rPr>
        <w:br w:type="page"/>
      </w:r>
    </w:p>
    <w:p w:rsidR="00BD66F1" w:rsidRPr="000E0F90" w:rsidRDefault="00F7220D" w:rsidP="00F7220D">
      <w:pPr>
        <w:pStyle w:val="Ttulo3"/>
        <w:spacing w:after="0" w:line="360" w:lineRule="auto"/>
        <w:rPr>
          <w:rFonts w:ascii="Arial" w:hAnsi="Arial" w:cs="Arial"/>
        </w:rPr>
      </w:pPr>
      <w:r>
        <w:rPr>
          <w:rFonts w:ascii="Arial" w:hAnsi="Arial" w:cs="Arial"/>
        </w:rPr>
        <w:lastRenderedPageBreak/>
        <w:t>3. Equidad entre generaciones</w:t>
      </w:r>
    </w:p>
    <w:p w:rsidR="00E14B77" w:rsidRPr="000E0F90" w:rsidRDefault="00E14B77" w:rsidP="00702D9A">
      <w:pPr>
        <w:spacing w:line="360" w:lineRule="auto"/>
        <w:rPr>
          <w:rFonts w:ascii="Arial" w:hAnsi="Arial" w:cs="Arial"/>
          <w:i/>
          <w:iCs/>
          <w:color w:val="000000" w:themeColor="text1"/>
        </w:rPr>
      </w:pPr>
      <w:r w:rsidRPr="000E0F90">
        <w:rPr>
          <w:rFonts w:ascii="Arial" w:hAnsi="Arial" w:cs="Arial"/>
          <w:i/>
          <w:iCs/>
          <w:color w:val="000000" w:themeColor="text1"/>
        </w:rPr>
        <w:t>Los territorios sostenibles deben preservar el patrimonio territorial que permite la sobrevida y desarrollo de las comunidades locales, en el presente y futuro, dado por los sistemas ecológicos que soportan la vida en el territorio, la base de recursos naturales que permiten el desarrollo humano, y elementos de legado significativo, dado por su naturaleza única, social o ecológica.</w:t>
      </w:r>
    </w:p>
    <w:p w:rsidR="00B037F9" w:rsidRPr="000E0F90" w:rsidRDefault="00AC76CF" w:rsidP="00702D9A">
      <w:pPr>
        <w:pStyle w:val="Prrafodelista"/>
        <w:numPr>
          <w:ilvl w:val="0"/>
          <w:numId w:val="30"/>
        </w:numPr>
        <w:spacing w:line="360" w:lineRule="auto"/>
        <w:rPr>
          <w:rFonts w:ascii="Arial" w:hAnsi="Arial" w:cs="Arial"/>
          <w:b/>
          <w:color w:val="000000" w:themeColor="text1"/>
        </w:rPr>
      </w:pPr>
      <w:r w:rsidRPr="000E0F90">
        <w:rPr>
          <w:rFonts w:ascii="Arial" w:hAnsi="Arial" w:cs="Arial"/>
          <w:color w:val="000000" w:themeColor="text1"/>
        </w:rPr>
        <w:t>Fomentar las opciones futuras de uso del territorio. Resguardar los ecosistemas y recursos críticos del territorio. Preservar la calidad de los recursos.</w:t>
      </w:r>
      <w:r w:rsidR="00C77D61" w:rsidRPr="000E0F90">
        <w:rPr>
          <w:rFonts w:ascii="Arial" w:hAnsi="Arial" w:cs="Arial"/>
          <w:color w:val="000000" w:themeColor="text1"/>
        </w:rPr>
        <w:t xml:space="preserve"> </w:t>
      </w:r>
      <w:r w:rsidR="00C77D61" w:rsidRPr="000E0F90">
        <w:rPr>
          <w:rFonts w:ascii="Arial" w:hAnsi="Arial" w:cs="Arial"/>
          <w:color w:val="000000" w:themeColor="text1"/>
          <w:kern w:val="24"/>
        </w:rPr>
        <w:t>Resguardar atributos relevantes para la diversidad biológica</w:t>
      </w:r>
    </w:p>
    <w:p w:rsidR="00AC76CF" w:rsidRPr="000E0F90" w:rsidRDefault="00AC76CF" w:rsidP="00702D9A">
      <w:pPr>
        <w:pStyle w:val="Prrafodelista"/>
        <w:numPr>
          <w:ilvl w:val="0"/>
          <w:numId w:val="30"/>
        </w:numPr>
        <w:spacing w:line="360" w:lineRule="auto"/>
        <w:rPr>
          <w:rFonts w:ascii="Arial" w:hAnsi="Arial" w:cs="Arial"/>
          <w:b/>
          <w:color w:val="000000" w:themeColor="text1"/>
        </w:rPr>
      </w:pPr>
      <w:r w:rsidRPr="000E0F90">
        <w:rPr>
          <w:rFonts w:ascii="Arial" w:hAnsi="Arial" w:cs="Arial"/>
          <w:color w:val="000000" w:themeColor="text1"/>
        </w:rPr>
        <w:t>Asegurar el valor duradero del territorio, mediante la mantención y diversificación de la base de recursos naturales y sistemas sociales. Se deben fomentar las opciones de uso del territorio</w:t>
      </w:r>
      <w:r w:rsidR="00C77D61" w:rsidRPr="000E0F90">
        <w:rPr>
          <w:rFonts w:ascii="Arial" w:hAnsi="Arial" w:cs="Arial"/>
          <w:color w:val="000000" w:themeColor="text1"/>
        </w:rPr>
        <w:t xml:space="preserve"> que favorezcan la viabilidad económica local en el futuro.</w:t>
      </w:r>
    </w:p>
    <w:p w:rsidR="00967859" w:rsidRPr="000E0F90" w:rsidRDefault="00967859" w:rsidP="00702D9A">
      <w:pPr>
        <w:pStyle w:val="Prrafodelista"/>
        <w:numPr>
          <w:ilvl w:val="0"/>
          <w:numId w:val="30"/>
        </w:numPr>
        <w:spacing w:line="360" w:lineRule="auto"/>
        <w:rPr>
          <w:rFonts w:ascii="Arial" w:hAnsi="Arial" w:cs="Arial"/>
          <w:b/>
          <w:color w:val="000000" w:themeColor="text1"/>
        </w:rPr>
      </w:pPr>
      <w:r w:rsidRPr="000E0F90">
        <w:rPr>
          <w:rFonts w:ascii="Arial" w:hAnsi="Arial" w:cs="Arial"/>
          <w:color w:val="000000" w:themeColor="text1"/>
        </w:rPr>
        <w:t>Preservar y desarrollar el sentido de lugar del territorio, dado por elementos identitarios y culturales significativos</w:t>
      </w:r>
      <w:r w:rsidR="006E1E91" w:rsidRPr="000E0F90">
        <w:rPr>
          <w:rFonts w:ascii="Arial" w:hAnsi="Arial" w:cs="Arial"/>
          <w:color w:val="000000" w:themeColor="text1"/>
        </w:rPr>
        <w:t xml:space="preserve">, </w:t>
      </w:r>
      <w:r w:rsidR="00B90CA2" w:rsidRPr="000E0F90">
        <w:rPr>
          <w:rFonts w:ascii="Arial" w:hAnsi="Arial" w:cs="Arial"/>
          <w:color w:val="000000" w:themeColor="text1"/>
        </w:rPr>
        <w:t>así como</w:t>
      </w:r>
      <w:r w:rsidR="006E1E91" w:rsidRPr="000E0F90">
        <w:rPr>
          <w:rFonts w:ascii="Arial" w:hAnsi="Arial" w:cs="Arial"/>
          <w:color w:val="000000" w:themeColor="text1"/>
        </w:rPr>
        <w:t xml:space="preserve"> por su rareza, calidad estética, cultural o espiritual.</w:t>
      </w:r>
      <w:r w:rsidR="00AC76CF" w:rsidRPr="000E0F90">
        <w:rPr>
          <w:rFonts w:ascii="Arial" w:hAnsi="Arial" w:cs="Arial"/>
          <w:color w:val="000000" w:themeColor="text1"/>
        </w:rPr>
        <w:t xml:space="preserve"> </w:t>
      </w:r>
    </w:p>
    <w:p w:rsidR="00AC76CF" w:rsidRPr="000E0F90" w:rsidRDefault="00AC76CF" w:rsidP="00702D9A">
      <w:pPr>
        <w:pStyle w:val="Prrafodelista"/>
        <w:numPr>
          <w:ilvl w:val="0"/>
          <w:numId w:val="30"/>
        </w:numPr>
        <w:spacing w:line="360" w:lineRule="auto"/>
        <w:rPr>
          <w:rFonts w:ascii="Arial" w:hAnsi="Arial" w:cs="Arial"/>
          <w:b/>
          <w:color w:val="000000" w:themeColor="text1"/>
        </w:rPr>
      </w:pPr>
      <w:r w:rsidRPr="000E0F90">
        <w:rPr>
          <w:rFonts w:ascii="Arial" w:hAnsi="Arial" w:cs="Arial"/>
          <w:color w:val="000000" w:themeColor="text1"/>
          <w:kern w:val="24"/>
        </w:rPr>
        <w:t>Capitalizar los beneficios obtenidos de la actividad extractiva, como forma de compensar la reducción del patrimonio territorial, así como pérdidas irreversibles y de gran magnitud</w:t>
      </w:r>
      <w:r w:rsidR="004A0A6E" w:rsidRPr="000E0F90">
        <w:rPr>
          <w:rFonts w:ascii="Arial" w:hAnsi="Arial" w:cs="Arial"/>
          <w:color w:val="000000" w:themeColor="text1"/>
          <w:kern w:val="24"/>
        </w:rPr>
        <w:t>,</w:t>
      </w:r>
      <w:r w:rsidRPr="000E0F90">
        <w:rPr>
          <w:rFonts w:ascii="Arial" w:hAnsi="Arial" w:cs="Arial"/>
          <w:color w:val="000000" w:themeColor="text1"/>
          <w:kern w:val="24"/>
        </w:rPr>
        <w:t xml:space="preserve"> </w:t>
      </w:r>
      <w:r w:rsidR="004A0A6E" w:rsidRPr="000E0F90">
        <w:rPr>
          <w:rFonts w:ascii="Arial" w:hAnsi="Arial" w:cs="Arial"/>
          <w:color w:val="000000" w:themeColor="text1"/>
          <w:kern w:val="24"/>
        </w:rPr>
        <w:t>provocada en los territorios</w:t>
      </w:r>
      <w:r w:rsidRPr="000E0F90">
        <w:rPr>
          <w:rFonts w:ascii="Arial" w:hAnsi="Arial" w:cs="Arial"/>
          <w:color w:val="000000" w:themeColor="text1"/>
          <w:kern w:val="24"/>
        </w:rPr>
        <w:t>.</w:t>
      </w:r>
    </w:p>
    <w:p w:rsidR="00967859" w:rsidRPr="000E0F90" w:rsidRDefault="006E1E91" w:rsidP="00702D9A">
      <w:pPr>
        <w:pStyle w:val="Prrafodelista"/>
        <w:numPr>
          <w:ilvl w:val="0"/>
          <w:numId w:val="30"/>
        </w:numPr>
        <w:spacing w:line="360" w:lineRule="auto"/>
        <w:rPr>
          <w:rFonts w:ascii="Arial" w:hAnsi="Arial" w:cs="Arial"/>
          <w:b/>
          <w:color w:val="000000" w:themeColor="text1"/>
        </w:rPr>
      </w:pPr>
      <w:r w:rsidRPr="000E0F90">
        <w:rPr>
          <w:rFonts w:ascii="Arial" w:hAnsi="Arial" w:cs="Arial"/>
          <w:color w:val="000000" w:themeColor="text1"/>
        </w:rPr>
        <w:t>A</w:t>
      </w:r>
      <w:r w:rsidR="00967859" w:rsidRPr="000E0F90">
        <w:rPr>
          <w:rFonts w:ascii="Arial" w:hAnsi="Arial" w:cs="Arial"/>
          <w:color w:val="000000" w:themeColor="text1"/>
        </w:rPr>
        <w:t>bordar situaciones de daño significativo medioambiental y humano, espacial y temporal, generados en el pasado y presente, de forma de que las generaciones futuras, no deban hacerse cargo de los impactos negativos pasados.</w:t>
      </w:r>
      <w:r w:rsidRPr="000E0F90">
        <w:rPr>
          <w:rFonts w:ascii="Arial" w:hAnsi="Arial" w:cs="Arial"/>
          <w:color w:val="000000" w:themeColor="text1"/>
        </w:rPr>
        <w:t xml:space="preserve"> Rehabilitar y/o restaurar sistemas ecológicos y humanos perturbados.</w:t>
      </w:r>
    </w:p>
    <w:p w:rsidR="00967859" w:rsidRPr="000E0F90" w:rsidRDefault="00967859" w:rsidP="00702D9A">
      <w:pPr>
        <w:pStyle w:val="Prrafodelista"/>
        <w:numPr>
          <w:ilvl w:val="0"/>
          <w:numId w:val="30"/>
        </w:numPr>
        <w:spacing w:line="360" w:lineRule="auto"/>
        <w:rPr>
          <w:rFonts w:ascii="Arial" w:hAnsi="Arial" w:cs="Arial"/>
          <w:b/>
          <w:color w:val="000000" w:themeColor="text1"/>
        </w:rPr>
      </w:pPr>
      <w:r w:rsidRPr="000E0F90">
        <w:rPr>
          <w:rFonts w:ascii="Arial" w:hAnsi="Arial" w:cs="Arial"/>
          <w:color w:val="000000" w:themeColor="text1"/>
        </w:rPr>
        <w:t>Planificar la gestión territorial de acuerdo limitantes futuras (i.e. cambio climático, sociedades</w:t>
      </w:r>
      <w:r w:rsidR="00AC76CF" w:rsidRPr="000E0F90">
        <w:rPr>
          <w:rFonts w:ascii="Arial" w:hAnsi="Arial" w:cs="Arial"/>
          <w:color w:val="000000" w:themeColor="text1"/>
        </w:rPr>
        <w:t>, mercados</w:t>
      </w:r>
      <w:r w:rsidRPr="000E0F90">
        <w:rPr>
          <w:rFonts w:ascii="Arial" w:hAnsi="Arial" w:cs="Arial"/>
          <w:color w:val="000000" w:themeColor="text1"/>
        </w:rPr>
        <w:t xml:space="preserve">). Es fundamental considerar los cambios futuros y poder adaptarse a ellos, al igual que identificar como las acciones presentes impactaran en el futuro. </w:t>
      </w:r>
      <w:r w:rsidR="004A0A6E" w:rsidRPr="000E0F90">
        <w:rPr>
          <w:rFonts w:ascii="Arial" w:hAnsi="Arial" w:cs="Arial"/>
          <w:color w:val="000000" w:themeColor="text1"/>
          <w:kern w:val="24"/>
        </w:rPr>
        <w:t>Adaptarse a condiciones futuras del recurso</w:t>
      </w:r>
    </w:p>
    <w:p w:rsidR="00BC358A" w:rsidRPr="000E0F90" w:rsidRDefault="00BC358A" w:rsidP="00702D9A">
      <w:pPr>
        <w:spacing w:line="360" w:lineRule="auto"/>
        <w:jc w:val="left"/>
        <w:rPr>
          <w:rFonts w:ascii="Arial" w:eastAsiaTheme="majorEastAsia" w:hAnsi="Arial" w:cs="Arial"/>
          <w:b/>
          <w:bCs/>
          <w:color w:val="000000" w:themeColor="text1"/>
        </w:rPr>
      </w:pPr>
      <w:r w:rsidRPr="000E0F90">
        <w:rPr>
          <w:rFonts w:ascii="Arial" w:hAnsi="Arial" w:cs="Arial"/>
          <w:color w:val="000000" w:themeColor="text1"/>
        </w:rPr>
        <w:br w:type="page"/>
      </w:r>
    </w:p>
    <w:p w:rsidR="00BD66F1" w:rsidRPr="000E0F90" w:rsidRDefault="00BD66F1" w:rsidP="00F7220D">
      <w:pPr>
        <w:pStyle w:val="Ttulo3"/>
        <w:spacing w:after="0" w:line="360" w:lineRule="auto"/>
        <w:rPr>
          <w:rFonts w:ascii="Arial" w:hAnsi="Arial" w:cs="Arial"/>
        </w:rPr>
      </w:pPr>
      <w:r w:rsidRPr="000E0F90">
        <w:rPr>
          <w:rFonts w:ascii="Arial" w:hAnsi="Arial" w:cs="Arial"/>
        </w:rPr>
        <w:lastRenderedPageBreak/>
        <w:t>4. Mantención de Recursos y Eficiencia</w:t>
      </w:r>
    </w:p>
    <w:p w:rsidR="00AC76CF" w:rsidRPr="000E0F90" w:rsidRDefault="00AC76CF" w:rsidP="00702D9A">
      <w:pPr>
        <w:spacing w:line="360" w:lineRule="auto"/>
        <w:rPr>
          <w:rFonts w:ascii="Arial" w:hAnsi="Arial" w:cs="Arial"/>
          <w:bCs/>
          <w:i/>
          <w:color w:val="000000" w:themeColor="text1"/>
        </w:rPr>
      </w:pPr>
      <w:r w:rsidRPr="000E0F90">
        <w:rPr>
          <w:rFonts w:ascii="Arial" w:hAnsi="Arial" w:cs="Arial"/>
          <w:bCs/>
          <w:i/>
          <w:color w:val="000000" w:themeColor="text1"/>
        </w:rPr>
        <w:t>Asegurar una base amplia y duradera de recursos naturales que permita el desarrollo de formas de vida para todos, en el corto y largo plazo, evitando acciones territoriales que conlleven al agotamiento de los recursos naturales del territorio, degradación irreversible de los ecosistemas de soporte y pérdida de actividades territoriales. Fomentar el uso eficiente de los recursos.</w:t>
      </w:r>
    </w:p>
    <w:p w:rsidR="0033719E" w:rsidRPr="000E0F90" w:rsidRDefault="001C3274" w:rsidP="00702D9A">
      <w:pPr>
        <w:pStyle w:val="Prrafodelista"/>
        <w:numPr>
          <w:ilvl w:val="0"/>
          <w:numId w:val="31"/>
        </w:numPr>
        <w:spacing w:line="360" w:lineRule="auto"/>
        <w:rPr>
          <w:rFonts w:ascii="Arial" w:hAnsi="Arial" w:cs="Arial"/>
          <w:color w:val="000000" w:themeColor="text1"/>
        </w:rPr>
      </w:pPr>
      <w:r w:rsidRPr="000E0F90">
        <w:rPr>
          <w:rFonts w:ascii="Arial" w:hAnsi="Arial" w:cs="Arial"/>
          <w:color w:val="000000" w:themeColor="text1"/>
        </w:rPr>
        <w:t xml:space="preserve">Las actividades territoriales deben operar dentro de </w:t>
      </w:r>
      <w:r w:rsidR="00FE2699" w:rsidRPr="000E0F90">
        <w:rPr>
          <w:rFonts w:ascii="Arial" w:hAnsi="Arial" w:cs="Arial"/>
          <w:color w:val="000000" w:themeColor="text1"/>
        </w:rPr>
        <w:t>límites</w:t>
      </w:r>
      <w:r w:rsidRPr="000E0F90">
        <w:rPr>
          <w:rFonts w:ascii="Arial" w:hAnsi="Arial" w:cs="Arial"/>
          <w:color w:val="000000" w:themeColor="text1"/>
        </w:rPr>
        <w:t xml:space="preserve"> naturales, sin provocar deterioro sobre la base de recursos naturales, que son utilizados por diversas actividades territoriales y que serán activos de usos territoriales futuros</w:t>
      </w:r>
      <w:r w:rsidR="00FE2699" w:rsidRPr="000E0F90">
        <w:rPr>
          <w:rFonts w:ascii="Arial" w:hAnsi="Arial" w:cs="Arial"/>
          <w:color w:val="000000" w:themeColor="text1"/>
        </w:rPr>
        <w:t>.</w:t>
      </w:r>
      <w:r w:rsidRPr="000E0F90">
        <w:rPr>
          <w:rFonts w:ascii="Arial" w:hAnsi="Arial" w:cs="Arial"/>
          <w:color w:val="000000" w:themeColor="text1"/>
        </w:rPr>
        <w:t xml:space="preserve"> </w:t>
      </w:r>
      <w:r w:rsidR="0013649C" w:rsidRPr="000E0F90">
        <w:rPr>
          <w:rFonts w:ascii="Arial" w:hAnsi="Arial" w:cs="Arial"/>
          <w:color w:val="000000" w:themeColor="text1"/>
        </w:rPr>
        <w:t>Evitar competencia por recursos entre usos territoriales.</w:t>
      </w:r>
    </w:p>
    <w:p w:rsidR="00D17955" w:rsidRPr="000E0F90" w:rsidRDefault="00D17955" w:rsidP="00702D9A">
      <w:pPr>
        <w:pStyle w:val="Prrafodelista"/>
        <w:numPr>
          <w:ilvl w:val="0"/>
          <w:numId w:val="31"/>
        </w:numPr>
        <w:spacing w:line="360" w:lineRule="auto"/>
        <w:rPr>
          <w:rFonts w:ascii="Arial" w:hAnsi="Arial" w:cs="Arial"/>
          <w:color w:val="000000" w:themeColor="text1"/>
        </w:rPr>
      </w:pPr>
      <w:r w:rsidRPr="000E0F90">
        <w:rPr>
          <w:rFonts w:ascii="Arial" w:hAnsi="Arial" w:cs="Arial"/>
          <w:color w:val="000000" w:themeColor="text1"/>
        </w:rPr>
        <w:t>Utilizar los recursos renovables dentro de las tasas de recuperación o renovación, en especial en aquellos recursos que están en estados críticos y/o de los cuales depende la vida humana. Evitando cualquier acción que conlleve a una situación de deterioro irreversible o agotamiento. Mejorar la calidad del recurso.</w:t>
      </w:r>
    </w:p>
    <w:p w:rsidR="00D17955" w:rsidRPr="000E0F90" w:rsidRDefault="00EC548B" w:rsidP="00702D9A">
      <w:pPr>
        <w:pStyle w:val="Prrafodelista"/>
        <w:numPr>
          <w:ilvl w:val="0"/>
          <w:numId w:val="31"/>
        </w:numPr>
        <w:spacing w:line="360" w:lineRule="auto"/>
        <w:rPr>
          <w:rFonts w:ascii="Arial" w:hAnsi="Arial" w:cs="Arial"/>
          <w:color w:val="000000" w:themeColor="text1"/>
        </w:rPr>
      </w:pPr>
      <w:r w:rsidRPr="000E0F90">
        <w:rPr>
          <w:rFonts w:ascii="Arial" w:hAnsi="Arial" w:cs="Arial"/>
          <w:color w:val="000000" w:themeColor="text1"/>
        </w:rPr>
        <w:t>Utilizar los recursos no renovables</w:t>
      </w:r>
      <w:r w:rsidR="00D17955" w:rsidRPr="000E0F90">
        <w:rPr>
          <w:rFonts w:ascii="Arial" w:hAnsi="Arial" w:cs="Arial"/>
          <w:color w:val="000000" w:themeColor="text1"/>
        </w:rPr>
        <w:t xml:space="preserve">, de forma que el capital generado se reinvierta en la generación de nuevas formas de capital natural </w:t>
      </w:r>
      <w:r w:rsidR="00FE2699" w:rsidRPr="000E0F90">
        <w:rPr>
          <w:rFonts w:ascii="Arial" w:hAnsi="Arial" w:cs="Arial"/>
          <w:color w:val="000000" w:themeColor="text1"/>
        </w:rPr>
        <w:t xml:space="preserve">local </w:t>
      </w:r>
      <w:r w:rsidR="00D17955" w:rsidRPr="000E0F90">
        <w:rPr>
          <w:rFonts w:ascii="Arial" w:hAnsi="Arial" w:cs="Arial"/>
          <w:color w:val="000000" w:themeColor="text1"/>
        </w:rPr>
        <w:t xml:space="preserve">que permita </w:t>
      </w:r>
      <w:r w:rsidR="006E1E91" w:rsidRPr="000E0F90">
        <w:rPr>
          <w:rFonts w:ascii="Arial" w:hAnsi="Arial" w:cs="Arial"/>
          <w:color w:val="000000" w:themeColor="text1"/>
        </w:rPr>
        <w:t>fuentes de desarrollo local</w:t>
      </w:r>
      <w:r w:rsidRPr="000E0F90">
        <w:rPr>
          <w:rFonts w:ascii="Arial" w:hAnsi="Arial" w:cs="Arial"/>
          <w:color w:val="000000" w:themeColor="text1"/>
        </w:rPr>
        <w:t xml:space="preserve"> </w:t>
      </w:r>
      <w:r w:rsidR="0028241E" w:rsidRPr="000E0F90">
        <w:rPr>
          <w:rFonts w:ascii="Arial" w:hAnsi="Arial" w:cs="Arial"/>
          <w:color w:val="000000" w:themeColor="text1"/>
        </w:rPr>
        <w:t>s</w:t>
      </w:r>
      <w:r w:rsidRPr="000E0F90">
        <w:rPr>
          <w:rFonts w:ascii="Arial" w:hAnsi="Arial" w:cs="Arial"/>
          <w:color w:val="000000" w:themeColor="text1"/>
        </w:rPr>
        <w:t>ostenibles</w:t>
      </w:r>
      <w:r w:rsidR="0028241E" w:rsidRPr="000E0F90">
        <w:rPr>
          <w:rFonts w:ascii="Arial" w:hAnsi="Arial" w:cs="Arial"/>
          <w:color w:val="000000" w:themeColor="text1"/>
        </w:rPr>
        <w:t>.</w:t>
      </w:r>
      <w:r w:rsidR="00D17955" w:rsidRPr="000E0F90">
        <w:rPr>
          <w:rFonts w:ascii="Arial" w:hAnsi="Arial" w:cs="Arial"/>
          <w:color w:val="000000" w:themeColor="text1"/>
        </w:rPr>
        <w:t xml:space="preserve"> </w:t>
      </w:r>
    </w:p>
    <w:p w:rsidR="00B11644" w:rsidRPr="000E0F90" w:rsidRDefault="001A5887" w:rsidP="00702D9A">
      <w:pPr>
        <w:pStyle w:val="Prrafodelista"/>
        <w:numPr>
          <w:ilvl w:val="0"/>
          <w:numId w:val="31"/>
        </w:numPr>
        <w:spacing w:line="360" w:lineRule="auto"/>
        <w:rPr>
          <w:rFonts w:ascii="Arial" w:hAnsi="Arial" w:cs="Arial"/>
          <w:color w:val="000000" w:themeColor="text1"/>
        </w:rPr>
      </w:pPr>
      <w:r w:rsidRPr="000E0F90">
        <w:rPr>
          <w:rFonts w:ascii="Arial" w:hAnsi="Arial" w:cs="Arial"/>
          <w:color w:val="000000" w:themeColor="text1"/>
        </w:rPr>
        <w:t xml:space="preserve">Mejorar eficiencia de utilización de bienes y recursos. Desarrollar diseños de utilización </w:t>
      </w:r>
      <w:r w:rsidR="00B11644" w:rsidRPr="000E0F90">
        <w:rPr>
          <w:rFonts w:ascii="Arial" w:hAnsi="Arial" w:cs="Arial"/>
          <w:color w:val="000000" w:themeColor="text1"/>
        </w:rPr>
        <w:t xml:space="preserve">estratégica </w:t>
      </w:r>
      <w:r w:rsidR="0028241E" w:rsidRPr="000E0F90">
        <w:rPr>
          <w:rFonts w:ascii="Arial" w:hAnsi="Arial" w:cs="Arial"/>
          <w:color w:val="000000" w:themeColor="text1"/>
        </w:rPr>
        <w:t>de recursos críticos</w:t>
      </w:r>
      <w:r w:rsidRPr="000E0F90">
        <w:rPr>
          <w:rFonts w:ascii="Arial" w:hAnsi="Arial" w:cs="Arial"/>
          <w:color w:val="000000" w:themeColor="text1"/>
        </w:rPr>
        <w:t>. Utilizar mater</w:t>
      </w:r>
      <w:r w:rsidR="00B11644" w:rsidRPr="000E0F90">
        <w:rPr>
          <w:rFonts w:ascii="Arial" w:hAnsi="Arial" w:cs="Arial"/>
          <w:color w:val="000000" w:themeColor="text1"/>
        </w:rPr>
        <w:t>iales locales y sostenibles con baja carga energética y material</w:t>
      </w:r>
      <w:r w:rsidRPr="000E0F90">
        <w:rPr>
          <w:rFonts w:ascii="Arial" w:hAnsi="Arial" w:cs="Arial"/>
          <w:color w:val="000000" w:themeColor="text1"/>
        </w:rPr>
        <w:t>. Reducir el uso de recursos por cada unidad de beneficio.</w:t>
      </w:r>
    </w:p>
    <w:p w:rsidR="005516CD" w:rsidRPr="000E0F90" w:rsidRDefault="00B11644" w:rsidP="00702D9A">
      <w:pPr>
        <w:pStyle w:val="Prrafodelista"/>
        <w:numPr>
          <w:ilvl w:val="0"/>
          <w:numId w:val="31"/>
        </w:numPr>
        <w:spacing w:line="360" w:lineRule="auto"/>
        <w:rPr>
          <w:rFonts w:ascii="Arial" w:hAnsi="Arial" w:cs="Arial"/>
          <w:color w:val="000000" w:themeColor="text1"/>
        </w:rPr>
      </w:pPr>
      <w:r w:rsidRPr="000E0F90">
        <w:rPr>
          <w:rFonts w:ascii="Arial" w:hAnsi="Arial" w:cs="Arial"/>
          <w:color w:val="000000" w:themeColor="text1"/>
        </w:rPr>
        <w:t>R</w:t>
      </w:r>
      <w:r w:rsidR="005516CD" w:rsidRPr="000E0F90">
        <w:rPr>
          <w:rFonts w:ascii="Arial" w:hAnsi="Arial" w:cs="Arial"/>
          <w:color w:val="000000" w:themeColor="text1"/>
        </w:rPr>
        <w:t>educir el uso neto de agua</w:t>
      </w:r>
      <w:r w:rsidR="00A978DE" w:rsidRPr="000E0F90">
        <w:rPr>
          <w:rFonts w:ascii="Arial" w:hAnsi="Arial" w:cs="Arial"/>
          <w:color w:val="000000" w:themeColor="text1"/>
        </w:rPr>
        <w:t xml:space="preserve"> en las actividades territoriales</w:t>
      </w:r>
      <w:r w:rsidR="005516CD" w:rsidRPr="000E0F90">
        <w:rPr>
          <w:rFonts w:ascii="Arial" w:hAnsi="Arial" w:cs="Arial"/>
          <w:color w:val="000000" w:themeColor="text1"/>
        </w:rPr>
        <w:t xml:space="preserve">, mediante iniciativas de uso eficiente del recurso, de reutilización de aguas (i.e. aguas lluvias y reciclaje de agua), teniendo en consideración, tanto las funciones ecosistémicas, como las necesidades humanas, en el corto y largo plazo. Mejorar la calidad del agua. </w:t>
      </w:r>
    </w:p>
    <w:p w:rsidR="00767988" w:rsidRPr="000E0F90" w:rsidRDefault="00767988" w:rsidP="00702D9A">
      <w:pPr>
        <w:pStyle w:val="Prrafodelista"/>
        <w:numPr>
          <w:ilvl w:val="0"/>
          <w:numId w:val="31"/>
        </w:numPr>
        <w:spacing w:line="360" w:lineRule="auto"/>
        <w:rPr>
          <w:rFonts w:ascii="Arial" w:hAnsi="Arial" w:cs="Arial"/>
          <w:color w:val="000000" w:themeColor="text1"/>
        </w:rPr>
      </w:pPr>
      <w:r w:rsidRPr="000E0F90">
        <w:rPr>
          <w:rFonts w:ascii="Arial" w:hAnsi="Arial" w:cs="Arial"/>
          <w:color w:val="000000" w:themeColor="text1"/>
        </w:rPr>
        <w:t>Reducir el uso de energía en las actividades territoriales. Incorporar iniciativas de generación de energías renovables. Promover la eficiencia y autoabastecimiento energético en los consumidores y en las actividades económicas locales. Reducir en forma progresiva el uso de combustibles fósiles.</w:t>
      </w:r>
    </w:p>
    <w:p w:rsidR="006E1E91" w:rsidRPr="000E0F90" w:rsidRDefault="006E1E91" w:rsidP="00702D9A">
      <w:pPr>
        <w:pStyle w:val="Prrafodelista"/>
        <w:numPr>
          <w:ilvl w:val="0"/>
          <w:numId w:val="31"/>
        </w:numPr>
        <w:spacing w:line="360" w:lineRule="auto"/>
        <w:rPr>
          <w:rFonts w:ascii="Arial" w:hAnsi="Arial" w:cs="Arial"/>
          <w:color w:val="000000" w:themeColor="text1"/>
        </w:rPr>
      </w:pPr>
      <w:r w:rsidRPr="000E0F90">
        <w:rPr>
          <w:rFonts w:ascii="Arial" w:hAnsi="Arial" w:cs="Arial"/>
          <w:color w:val="000000" w:themeColor="text1"/>
        </w:rPr>
        <w:t xml:space="preserve">Hacer uso de características regionales, reducir cadenas de alimentación y suministro. Proveer servicios y amenidades </w:t>
      </w:r>
      <w:r w:rsidR="00711AC2" w:rsidRPr="000E0F90">
        <w:rPr>
          <w:rFonts w:ascii="Arial" w:hAnsi="Arial" w:cs="Arial"/>
          <w:color w:val="000000" w:themeColor="text1"/>
        </w:rPr>
        <w:t>locales</w:t>
      </w:r>
      <w:r w:rsidRPr="000E0F90">
        <w:rPr>
          <w:rFonts w:ascii="Arial" w:hAnsi="Arial" w:cs="Arial"/>
          <w:color w:val="000000" w:themeColor="text1"/>
        </w:rPr>
        <w:t xml:space="preserve">. Reducir desplazamiento total de las actividades territoriales, correspondiente a insumos productivos, recursos naturales, trabajadores y desechos de la actividad. </w:t>
      </w:r>
    </w:p>
    <w:p w:rsidR="006E1E91" w:rsidRPr="000E0F90" w:rsidRDefault="006E1E91" w:rsidP="00702D9A">
      <w:pPr>
        <w:pStyle w:val="Prrafodelista"/>
        <w:numPr>
          <w:ilvl w:val="0"/>
          <w:numId w:val="31"/>
        </w:numPr>
        <w:spacing w:line="360" w:lineRule="auto"/>
        <w:rPr>
          <w:rFonts w:ascii="Arial" w:hAnsi="Arial" w:cs="Arial"/>
          <w:color w:val="000000" w:themeColor="text1"/>
        </w:rPr>
      </w:pPr>
      <w:r w:rsidRPr="000E0F90">
        <w:rPr>
          <w:rFonts w:ascii="Arial" w:hAnsi="Arial" w:cs="Arial"/>
          <w:color w:val="000000" w:themeColor="text1"/>
        </w:rPr>
        <w:lastRenderedPageBreak/>
        <w:t>Reducir la generación de desechos, reciclar la mayor cantidad de componentes, preferir materiales reciclados, reusar componentes y estructuras, así como renovar infraestructura existente. Reutilizar y realizar el uso eficiente de los recursos minerales.</w:t>
      </w:r>
    </w:p>
    <w:p w:rsidR="0028241E" w:rsidRPr="000E0F90" w:rsidRDefault="0033719E" w:rsidP="00BA472B">
      <w:pPr>
        <w:pStyle w:val="Prrafodelista"/>
        <w:numPr>
          <w:ilvl w:val="0"/>
          <w:numId w:val="31"/>
        </w:numPr>
        <w:spacing w:line="360" w:lineRule="auto"/>
        <w:rPr>
          <w:rFonts w:ascii="Arial" w:hAnsi="Arial" w:cs="Arial"/>
          <w:color w:val="000000" w:themeColor="text1"/>
        </w:rPr>
      </w:pPr>
      <w:r w:rsidRPr="000E0F90">
        <w:rPr>
          <w:rFonts w:ascii="Arial" w:hAnsi="Arial" w:cs="Arial"/>
          <w:color w:val="000000" w:themeColor="text1"/>
        </w:rPr>
        <w:t xml:space="preserve">Reducir </w:t>
      </w:r>
      <w:r w:rsidR="001A5887" w:rsidRPr="000E0F90">
        <w:rPr>
          <w:rFonts w:ascii="Arial" w:hAnsi="Arial" w:cs="Arial"/>
          <w:color w:val="000000" w:themeColor="text1"/>
        </w:rPr>
        <w:t xml:space="preserve">la </w:t>
      </w:r>
      <w:r w:rsidR="00767988" w:rsidRPr="000E0F90">
        <w:rPr>
          <w:rFonts w:ascii="Arial" w:hAnsi="Arial" w:cs="Arial"/>
          <w:color w:val="000000" w:themeColor="text1"/>
        </w:rPr>
        <w:t>contaminación al medioambiente</w:t>
      </w:r>
      <w:r w:rsidR="007E7338" w:rsidRPr="000E0F90">
        <w:rPr>
          <w:rFonts w:ascii="Arial" w:hAnsi="Arial" w:cs="Arial"/>
          <w:color w:val="000000" w:themeColor="text1"/>
        </w:rPr>
        <w:t xml:space="preserve">, </w:t>
      </w:r>
      <w:r w:rsidR="0028241E" w:rsidRPr="000E0F90">
        <w:rPr>
          <w:rFonts w:ascii="Arial" w:hAnsi="Arial" w:cs="Arial"/>
          <w:color w:val="000000" w:themeColor="text1"/>
        </w:rPr>
        <w:t xml:space="preserve">provenientes de actividades territoriales, </w:t>
      </w:r>
      <w:r w:rsidR="001A5887" w:rsidRPr="000E0F90">
        <w:rPr>
          <w:rFonts w:ascii="Arial" w:hAnsi="Arial" w:cs="Arial"/>
          <w:color w:val="000000" w:themeColor="text1"/>
        </w:rPr>
        <w:t xml:space="preserve">prevenir la descarga </w:t>
      </w:r>
      <w:r w:rsidR="007E7338" w:rsidRPr="000E0F90">
        <w:rPr>
          <w:rFonts w:ascii="Arial" w:hAnsi="Arial" w:cs="Arial"/>
          <w:color w:val="000000" w:themeColor="text1"/>
        </w:rPr>
        <w:t>de contaminantes al suelo, agua</w:t>
      </w:r>
      <w:r w:rsidR="001A5887" w:rsidRPr="000E0F90">
        <w:rPr>
          <w:rFonts w:ascii="Arial" w:hAnsi="Arial" w:cs="Arial"/>
          <w:color w:val="000000" w:themeColor="text1"/>
        </w:rPr>
        <w:t xml:space="preserve"> superficial y profunda, y emisiones a la atm</w:t>
      </w:r>
      <w:r w:rsidR="00DE6813" w:rsidRPr="000E0F90">
        <w:rPr>
          <w:rFonts w:ascii="Arial" w:hAnsi="Arial" w:cs="Arial"/>
          <w:color w:val="000000" w:themeColor="text1"/>
        </w:rPr>
        <w:t>ó</w:t>
      </w:r>
      <w:r w:rsidR="001A5887" w:rsidRPr="000E0F90">
        <w:rPr>
          <w:rFonts w:ascii="Arial" w:hAnsi="Arial" w:cs="Arial"/>
          <w:color w:val="000000" w:themeColor="text1"/>
        </w:rPr>
        <w:t xml:space="preserve">sfera (Contaminantes químicos, físicos, biológicos). Ajustar la descarga a la capacidad de asimilación de los sistemas de soporte. </w:t>
      </w:r>
      <w:r w:rsidR="00BA472B" w:rsidRPr="00BA472B">
        <w:rPr>
          <w:rFonts w:ascii="Arial" w:hAnsi="Arial" w:cs="Arial"/>
          <w:color w:val="000000" w:themeColor="text1"/>
        </w:rPr>
        <w:t>Minimizar huella ecológica</w:t>
      </w:r>
      <w:r w:rsidR="00BA472B">
        <w:rPr>
          <w:rFonts w:ascii="Arial" w:hAnsi="Arial" w:cs="Arial"/>
          <w:color w:val="000000" w:themeColor="text1"/>
        </w:rPr>
        <w:t>.</w:t>
      </w:r>
    </w:p>
    <w:p w:rsidR="00DE6813" w:rsidRPr="000E0F90" w:rsidRDefault="00DE6813" w:rsidP="00702D9A">
      <w:pPr>
        <w:pStyle w:val="Prrafodelista"/>
        <w:numPr>
          <w:ilvl w:val="0"/>
          <w:numId w:val="31"/>
        </w:numPr>
        <w:spacing w:line="360" w:lineRule="auto"/>
        <w:rPr>
          <w:rFonts w:ascii="Arial" w:hAnsi="Arial" w:cs="Arial"/>
          <w:color w:val="000000" w:themeColor="text1"/>
        </w:rPr>
      </w:pPr>
      <w:r w:rsidRPr="000E0F90">
        <w:rPr>
          <w:rFonts w:ascii="Arial" w:hAnsi="Arial" w:cs="Arial"/>
          <w:color w:val="000000" w:themeColor="text1"/>
        </w:rPr>
        <w:t>Prevenir que la utilización de recursos provenientes de otros territorios, generen condiciones de insostenibilidad, y por tanto se importe sostenibilidad a costa de otros territorios</w:t>
      </w:r>
      <w:r w:rsidR="00BA472B">
        <w:rPr>
          <w:rFonts w:ascii="Arial" w:hAnsi="Arial" w:cs="Arial"/>
          <w:color w:val="000000" w:themeColor="text1"/>
        </w:rPr>
        <w:t xml:space="preserve"> (Efecto rebote)</w:t>
      </w:r>
      <w:r w:rsidRPr="000E0F90">
        <w:rPr>
          <w:rFonts w:ascii="Arial" w:hAnsi="Arial" w:cs="Arial"/>
          <w:color w:val="000000" w:themeColor="text1"/>
        </w:rPr>
        <w:t>. Se debe armonizar la sostenibilidad dentro y entre territorios</w:t>
      </w:r>
    </w:p>
    <w:p w:rsidR="005C0707" w:rsidRPr="000E0F90" w:rsidRDefault="005C0707" w:rsidP="00702D9A">
      <w:pPr>
        <w:pStyle w:val="Prrafodelista"/>
        <w:spacing w:line="360" w:lineRule="auto"/>
        <w:ind w:left="360"/>
        <w:rPr>
          <w:rFonts w:ascii="Arial" w:hAnsi="Arial" w:cs="Arial"/>
          <w:color w:val="000000" w:themeColor="text1"/>
        </w:rPr>
      </w:pPr>
    </w:p>
    <w:p w:rsidR="00BD66F1" w:rsidRPr="000E0F90" w:rsidRDefault="00BD66F1" w:rsidP="00702D9A">
      <w:pPr>
        <w:pStyle w:val="Ttulo3"/>
        <w:spacing w:line="360" w:lineRule="auto"/>
        <w:rPr>
          <w:rFonts w:ascii="Arial" w:hAnsi="Arial" w:cs="Arial"/>
        </w:rPr>
      </w:pPr>
      <w:r w:rsidRPr="000E0F90">
        <w:rPr>
          <w:rFonts w:ascii="Arial" w:hAnsi="Arial" w:cs="Arial"/>
        </w:rPr>
        <w:t>5. Gobernanza y Civilidad</w:t>
      </w:r>
    </w:p>
    <w:p w:rsidR="005516CD" w:rsidRPr="000E0F90" w:rsidRDefault="005516CD" w:rsidP="00702D9A">
      <w:pPr>
        <w:spacing w:line="360" w:lineRule="auto"/>
        <w:rPr>
          <w:rFonts w:ascii="Arial" w:hAnsi="Arial" w:cs="Arial"/>
          <w:i/>
          <w:color w:val="000000" w:themeColor="text1"/>
        </w:rPr>
      </w:pPr>
      <w:r w:rsidRPr="000E0F90">
        <w:rPr>
          <w:rFonts w:ascii="Arial" w:hAnsi="Arial" w:cs="Arial"/>
          <w:bCs/>
          <w:i/>
          <w:color w:val="000000" w:themeColor="text1"/>
        </w:rPr>
        <w:t>Todos los actores sociales tienen derecho a participar de procesos de toma de decisión, influyendo de forma significativa en los procesos de toma de decisión que se relacionen con los territorios donde se desenvuelven, siendo sus propuestas debidamente analizadas y tomadas en consideración.</w:t>
      </w:r>
    </w:p>
    <w:p w:rsidR="001C6A50" w:rsidRDefault="001C6A50" w:rsidP="00702D9A">
      <w:pPr>
        <w:pStyle w:val="Prrafodelista"/>
        <w:numPr>
          <w:ilvl w:val="0"/>
          <w:numId w:val="33"/>
        </w:numPr>
        <w:spacing w:line="360" w:lineRule="auto"/>
        <w:rPr>
          <w:rFonts w:ascii="Arial" w:hAnsi="Arial" w:cs="Arial"/>
          <w:color w:val="000000" w:themeColor="text1"/>
        </w:rPr>
      </w:pPr>
      <w:r w:rsidRPr="000E0F90">
        <w:rPr>
          <w:rFonts w:ascii="Arial" w:hAnsi="Arial" w:cs="Arial"/>
          <w:color w:val="000000" w:themeColor="text1"/>
        </w:rPr>
        <w:t>D</w:t>
      </w:r>
      <w:r w:rsidR="007452A2" w:rsidRPr="000E0F90">
        <w:rPr>
          <w:rFonts w:ascii="Arial" w:hAnsi="Arial" w:cs="Arial"/>
          <w:color w:val="000000" w:themeColor="text1"/>
        </w:rPr>
        <w:t xml:space="preserve">esarrollar procesos de toma de decisión </w:t>
      </w:r>
      <w:r w:rsidR="002B2BE3" w:rsidRPr="000E0F90">
        <w:rPr>
          <w:rFonts w:ascii="Arial" w:hAnsi="Arial" w:cs="Arial"/>
          <w:color w:val="000000" w:themeColor="text1"/>
        </w:rPr>
        <w:t xml:space="preserve">anticipados </w:t>
      </w:r>
      <w:r w:rsidR="007452A2" w:rsidRPr="000E0F90">
        <w:rPr>
          <w:rFonts w:ascii="Arial" w:hAnsi="Arial" w:cs="Arial"/>
          <w:color w:val="000000" w:themeColor="text1"/>
        </w:rPr>
        <w:t>en los asuntos considerados relevantes para todos los actores locales</w:t>
      </w:r>
      <w:r w:rsidR="00DE6813" w:rsidRPr="000E0F90">
        <w:rPr>
          <w:rFonts w:ascii="Arial" w:hAnsi="Arial" w:cs="Arial"/>
          <w:color w:val="000000" w:themeColor="text1"/>
        </w:rPr>
        <w:t>, como propuestas de desarrollo local</w:t>
      </w:r>
      <w:r w:rsidR="007452A2" w:rsidRPr="000E0F90">
        <w:rPr>
          <w:rFonts w:ascii="Arial" w:hAnsi="Arial" w:cs="Arial"/>
          <w:color w:val="000000" w:themeColor="text1"/>
        </w:rPr>
        <w:t xml:space="preserve">. </w:t>
      </w:r>
      <w:r w:rsidR="0028241E" w:rsidRPr="000E0F90">
        <w:rPr>
          <w:rFonts w:ascii="Arial" w:hAnsi="Arial" w:cs="Arial"/>
          <w:color w:val="000000" w:themeColor="text1"/>
        </w:rPr>
        <w:t>Especialmente,</w:t>
      </w:r>
      <w:r w:rsidR="001D27D9" w:rsidRPr="000E0F90">
        <w:rPr>
          <w:rFonts w:ascii="Arial" w:hAnsi="Arial" w:cs="Arial"/>
          <w:color w:val="000000" w:themeColor="text1"/>
        </w:rPr>
        <w:t xml:space="preserve"> procesos de intervención de gran escala espacial y temporal.</w:t>
      </w:r>
    </w:p>
    <w:p w:rsidR="00245D29" w:rsidRPr="000E0F90" w:rsidRDefault="001C6A50" w:rsidP="00702D9A">
      <w:pPr>
        <w:pStyle w:val="Prrafodelista"/>
        <w:numPr>
          <w:ilvl w:val="0"/>
          <w:numId w:val="33"/>
        </w:numPr>
        <w:spacing w:line="360" w:lineRule="auto"/>
        <w:rPr>
          <w:rFonts w:ascii="Arial" w:hAnsi="Arial" w:cs="Arial"/>
          <w:color w:val="000000" w:themeColor="text1"/>
        </w:rPr>
      </w:pPr>
      <w:r w:rsidRPr="000E0F90">
        <w:rPr>
          <w:rFonts w:ascii="Arial" w:hAnsi="Arial" w:cs="Arial"/>
          <w:color w:val="000000" w:themeColor="text1"/>
        </w:rPr>
        <w:t>A</w:t>
      </w:r>
      <w:r w:rsidR="005516CD" w:rsidRPr="000E0F90">
        <w:rPr>
          <w:rFonts w:ascii="Arial" w:hAnsi="Arial" w:cs="Arial"/>
          <w:color w:val="000000" w:themeColor="text1"/>
        </w:rPr>
        <w:t>segurar que los procesos de toma de decisión se basen en participación activa, inclusiva, transparente y vinculante, de forma que la opinión de todos los actores sea tomada en consideración</w:t>
      </w:r>
      <w:r w:rsidR="00245D29" w:rsidRPr="000E0F90">
        <w:rPr>
          <w:rFonts w:ascii="Arial" w:hAnsi="Arial" w:cs="Arial"/>
          <w:color w:val="000000" w:themeColor="text1"/>
        </w:rPr>
        <w:t>, procurando visibilizar los intereses de los grupos más desaventajados.</w:t>
      </w:r>
    </w:p>
    <w:p w:rsidR="00BA472B" w:rsidRPr="000E0F90" w:rsidRDefault="00BA472B" w:rsidP="00BA472B">
      <w:pPr>
        <w:pStyle w:val="Prrafodelista"/>
        <w:numPr>
          <w:ilvl w:val="0"/>
          <w:numId w:val="33"/>
        </w:numPr>
        <w:spacing w:line="360" w:lineRule="auto"/>
        <w:rPr>
          <w:rFonts w:ascii="Arial" w:hAnsi="Arial" w:cs="Arial"/>
          <w:color w:val="000000" w:themeColor="text1"/>
        </w:rPr>
      </w:pPr>
      <w:r w:rsidRPr="00BA472B">
        <w:rPr>
          <w:rFonts w:ascii="Arial" w:hAnsi="Arial" w:cs="Arial"/>
          <w:color w:val="000000" w:themeColor="text1"/>
        </w:rPr>
        <w:t>Asegurar el acceso a la información relevante y oportunamente, de las  propuestas de desarrollo a todos los actores locales, procurando el entendimiento de los aspectos críticos</w:t>
      </w:r>
    </w:p>
    <w:p w:rsidR="006E1E91" w:rsidRPr="000E0F90" w:rsidRDefault="006E1E91" w:rsidP="00702D9A">
      <w:pPr>
        <w:pStyle w:val="Prrafodelista"/>
        <w:numPr>
          <w:ilvl w:val="0"/>
          <w:numId w:val="33"/>
        </w:numPr>
        <w:spacing w:line="360" w:lineRule="auto"/>
        <w:rPr>
          <w:rFonts w:ascii="Arial" w:hAnsi="Arial" w:cs="Arial"/>
          <w:color w:val="000000" w:themeColor="text1"/>
        </w:rPr>
      </w:pPr>
      <w:r w:rsidRPr="000E0F90">
        <w:rPr>
          <w:rFonts w:ascii="Arial" w:hAnsi="Arial" w:cs="Arial"/>
          <w:color w:val="000000" w:themeColor="text1"/>
        </w:rPr>
        <w:t xml:space="preserve">Los procesos de toma de decisión deben velar por la igualdad de condiciones de los actores participantes. Se deben evitar las inequidades entre los actores sociales </w:t>
      </w:r>
      <w:r w:rsidRPr="000E0F90">
        <w:rPr>
          <w:rFonts w:ascii="Arial" w:hAnsi="Arial" w:cs="Arial"/>
          <w:color w:val="000000" w:themeColor="text1"/>
        </w:rPr>
        <w:lastRenderedPageBreak/>
        <w:t xml:space="preserve">que participan en los procesos de toma de decisión, en especial, capacidades técnicas, económicas y políticas, entre otras. </w:t>
      </w:r>
    </w:p>
    <w:p w:rsidR="007452A2" w:rsidRPr="000E0F90" w:rsidRDefault="00470E8A" w:rsidP="00702D9A">
      <w:pPr>
        <w:pStyle w:val="Prrafodelista"/>
        <w:numPr>
          <w:ilvl w:val="0"/>
          <w:numId w:val="33"/>
        </w:numPr>
        <w:spacing w:line="360" w:lineRule="auto"/>
        <w:rPr>
          <w:rFonts w:ascii="Arial" w:hAnsi="Arial" w:cs="Arial"/>
          <w:color w:val="000000" w:themeColor="text1"/>
        </w:rPr>
      </w:pPr>
      <w:r w:rsidRPr="000E0F90">
        <w:rPr>
          <w:rFonts w:ascii="Arial" w:hAnsi="Arial" w:cs="Arial"/>
          <w:color w:val="000000" w:themeColor="text1"/>
        </w:rPr>
        <w:t>Todos los actores</w:t>
      </w:r>
      <w:r w:rsidR="007452A2" w:rsidRPr="000E0F90">
        <w:rPr>
          <w:rFonts w:ascii="Arial" w:hAnsi="Arial" w:cs="Arial"/>
          <w:color w:val="000000" w:themeColor="text1"/>
        </w:rPr>
        <w:t xml:space="preserve"> locales </w:t>
      </w:r>
      <w:r w:rsidRPr="000E0F90">
        <w:rPr>
          <w:rFonts w:ascii="Arial" w:hAnsi="Arial" w:cs="Arial"/>
          <w:color w:val="000000" w:themeColor="text1"/>
        </w:rPr>
        <w:t>(i.e. sector público, privado, comunidades) deben participar y  comprometerse con la visión futura y planificación conjunta del territorio. Estableciendo objetivos de desarrollo claros y responsabilidades</w:t>
      </w:r>
      <w:r w:rsidR="00C61A91" w:rsidRPr="000E0F90">
        <w:rPr>
          <w:rFonts w:ascii="Arial" w:hAnsi="Arial" w:cs="Arial"/>
          <w:color w:val="000000" w:themeColor="text1"/>
        </w:rPr>
        <w:t xml:space="preserve">, evitando </w:t>
      </w:r>
      <w:r w:rsidRPr="000E0F90">
        <w:rPr>
          <w:rFonts w:ascii="Arial" w:hAnsi="Arial" w:cs="Arial"/>
          <w:color w:val="000000" w:themeColor="text1"/>
        </w:rPr>
        <w:t>resultados irreversibles.</w:t>
      </w:r>
      <w:r w:rsidR="007452A2" w:rsidRPr="000E0F90">
        <w:rPr>
          <w:rFonts w:ascii="Arial" w:hAnsi="Arial" w:cs="Arial"/>
          <w:color w:val="000000" w:themeColor="text1"/>
        </w:rPr>
        <w:t xml:space="preserve"> </w:t>
      </w:r>
    </w:p>
    <w:p w:rsidR="00711AC2" w:rsidRPr="000E0F90" w:rsidRDefault="00711AC2" w:rsidP="00702D9A">
      <w:pPr>
        <w:pStyle w:val="Prrafodelista"/>
        <w:numPr>
          <w:ilvl w:val="0"/>
          <w:numId w:val="33"/>
        </w:numPr>
        <w:spacing w:line="360" w:lineRule="auto"/>
        <w:rPr>
          <w:rFonts w:ascii="Arial" w:hAnsi="Arial" w:cs="Arial"/>
          <w:color w:val="000000" w:themeColor="text1"/>
        </w:rPr>
      </w:pPr>
      <w:r w:rsidRPr="000E0F90">
        <w:rPr>
          <w:rFonts w:ascii="Arial" w:hAnsi="Arial" w:cs="Arial"/>
          <w:color w:val="000000" w:themeColor="text1"/>
        </w:rPr>
        <w:t>Fomentar la vinculación territorial de los diversos actores sociales del territorio (i.e. gobiernos locales, empresas privadas, sociedad civil, comunidades indígenas), de forma que exista compromiso con el territorio.</w:t>
      </w:r>
    </w:p>
    <w:p w:rsidR="00711AC2" w:rsidRPr="000E0F90" w:rsidRDefault="006E1E91" w:rsidP="00702D9A">
      <w:pPr>
        <w:pStyle w:val="Prrafodelista"/>
        <w:numPr>
          <w:ilvl w:val="0"/>
          <w:numId w:val="33"/>
        </w:numPr>
        <w:spacing w:line="360" w:lineRule="auto"/>
        <w:rPr>
          <w:rFonts w:ascii="Arial" w:hAnsi="Arial" w:cs="Arial"/>
          <w:color w:val="000000" w:themeColor="text1"/>
        </w:rPr>
      </w:pPr>
      <w:r w:rsidRPr="000E0F90">
        <w:rPr>
          <w:rFonts w:ascii="Arial" w:hAnsi="Arial" w:cs="Arial"/>
          <w:color w:val="000000" w:themeColor="text1"/>
        </w:rPr>
        <w:t>Fortalecer el rol de cada uno de los actores locales</w:t>
      </w:r>
      <w:r w:rsidR="00711AC2" w:rsidRPr="000E0F90">
        <w:rPr>
          <w:rFonts w:ascii="Arial" w:hAnsi="Arial" w:cs="Arial"/>
          <w:color w:val="000000" w:themeColor="text1"/>
        </w:rPr>
        <w:t xml:space="preserve"> territoriales (i.e.</w:t>
      </w:r>
      <w:r w:rsidRPr="000E0F90">
        <w:rPr>
          <w:rFonts w:ascii="Arial" w:hAnsi="Arial" w:cs="Arial"/>
          <w:color w:val="000000" w:themeColor="text1"/>
        </w:rPr>
        <w:t xml:space="preserve"> gobiernos locales, empresas privadas, organizaciones de la sociedad civil, comunidades</w:t>
      </w:r>
      <w:r w:rsidR="00711AC2" w:rsidRPr="000E0F90">
        <w:rPr>
          <w:rFonts w:ascii="Arial" w:hAnsi="Arial" w:cs="Arial"/>
          <w:color w:val="000000" w:themeColor="text1"/>
        </w:rPr>
        <w:t>)</w:t>
      </w:r>
      <w:r w:rsidRPr="000E0F90">
        <w:rPr>
          <w:rFonts w:ascii="Arial" w:hAnsi="Arial" w:cs="Arial"/>
          <w:color w:val="000000" w:themeColor="text1"/>
        </w:rPr>
        <w:t>. Evitar que dichos roles sean suplidos por otros actores sociales.</w:t>
      </w:r>
    </w:p>
    <w:p w:rsidR="006E1E91" w:rsidRPr="000E0F90" w:rsidRDefault="006E1E91" w:rsidP="00702D9A">
      <w:pPr>
        <w:pStyle w:val="Prrafodelista"/>
        <w:numPr>
          <w:ilvl w:val="0"/>
          <w:numId w:val="33"/>
        </w:numPr>
        <w:spacing w:line="360" w:lineRule="auto"/>
        <w:rPr>
          <w:rFonts w:ascii="Arial" w:hAnsi="Arial" w:cs="Arial"/>
          <w:color w:val="000000" w:themeColor="text1"/>
        </w:rPr>
      </w:pPr>
      <w:r w:rsidRPr="000E0F90">
        <w:rPr>
          <w:rFonts w:ascii="Arial" w:hAnsi="Arial" w:cs="Arial"/>
          <w:color w:val="000000" w:themeColor="text1"/>
        </w:rPr>
        <w:t>Las políticas de desarrollo territorial deben impulsarse desde el ámbito local, en base a sistemas de gobernanza locales efectivos</w:t>
      </w:r>
      <w:r w:rsidR="00711AC2" w:rsidRPr="000E0F90">
        <w:rPr>
          <w:rFonts w:ascii="Arial" w:hAnsi="Arial" w:cs="Arial"/>
          <w:color w:val="000000" w:themeColor="text1"/>
        </w:rPr>
        <w:t xml:space="preserve">, </w:t>
      </w:r>
      <w:r w:rsidRPr="000E0F90">
        <w:rPr>
          <w:rFonts w:ascii="Arial" w:hAnsi="Arial" w:cs="Arial"/>
          <w:color w:val="000000" w:themeColor="text1"/>
        </w:rPr>
        <w:t>en conjunto con todos los actores sociales locales</w:t>
      </w:r>
      <w:r w:rsidR="00711AC2" w:rsidRPr="000E0F90">
        <w:rPr>
          <w:rFonts w:ascii="Arial" w:hAnsi="Arial" w:cs="Arial"/>
          <w:color w:val="000000" w:themeColor="text1"/>
        </w:rPr>
        <w:t>.</w:t>
      </w:r>
      <w:r w:rsidRPr="000E0F90">
        <w:rPr>
          <w:rFonts w:ascii="Arial" w:hAnsi="Arial" w:cs="Arial"/>
          <w:color w:val="000000" w:themeColor="text1"/>
        </w:rPr>
        <w:t xml:space="preserve"> Promover regionalización.</w:t>
      </w:r>
    </w:p>
    <w:p w:rsidR="001D27D9" w:rsidRPr="000E0F90" w:rsidRDefault="00470E8A" w:rsidP="00702D9A">
      <w:pPr>
        <w:pStyle w:val="Prrafodelista"/>
        <w:numPr>
          <w:ilvl w:val="0"/>
          <w:numId w:val="33"/>
        </w:numPr>
        <w:spacing w:line="360" w:lineRule="auto"/>
        <w:rPr>
          <w:rFonts w:ascii="Arial" w:hAnsi="Arial" w:cs="Arial"/>
          <w:color w:val="000000" w:themeColor="text1"/>
        </w:rPr>
      </w:pPr>
      <w:r w:rsidRPr="000E0F90">
        <w:rPr>
          <w:rFonts w:ascii="Arial" w:hAnsi="Arial" w:cs="Arial"/>
          <w:color w:val="000000" w:themeColor="text1"/>
        </w:rPr>
        <w:t>Las autoridades locales, en especial aquellas legitimadas</w:t>
      </w:r>
      <w:r w:rsidR="00711AC2" w:rsidRPr="000E0F90">
        <w:rPr>
          <w:rFonts w:ascii="Arial" w:hAnsi="Arial" w:cs="Arial"/>
          <w:color w:val="000000" w:themeColor="text1"/>
        </w:rPr>
        <w:t xml:space="preserve"> cívicamente</w:t>
      </w:r>
      <w:r w:rsidRPr="000E0F90">
        <w:rPr>
          <w:rFonts w:ascii="Arial" w:hAnsi="Arial" w:cs="Arial"/>
          <w:color w:val="000000" w:themeColor="text1"/>
        </w:rPr>
        <w:t>, deben poseer mayores atribuciones</w:t>
      </w:r>
      <w:r w:rsidR="006E1E91" w:rsidRPr="000E0F90">
        <w:rPr>
          <w:rFonts w:ascii="Arial" w:hAnsi="Arial" w:cs="Arial"/>
          <w:color w:val="000000" w:themeColor="text1"/>
        </w:rPr>
        <w:t xml:space="preserve"> que les permita, participar activa y vinculantemente en procesos de toma de decisión que conciernen a sus territorios</w:t>
      </w:r>
      <w:r w:rsidRPr="000E0F90">
        <w:rPr>
          <w:rFonts w:ascii="Arial" w:hAnsi="Arial" w:cs="Arial"/>
          <w:color w:val="000000" w:themeColor="text1"/>
        </w:rPr>
        <w:t xml:space="preserve"> en los procesos de toma de decisión. </w:t>
      </w:r>
      <w:r w:rsidR="00DE6813" w:rsidRPr="000E0F90">
        <w:rPr>
          <w:rFonts w:ascii="Arial" w:hAnsi="Arial" w:cs="Arial"/>
          <w:color w:val="000000" w:themeColor="text1"/>
        </w:rPr>
        <w:t>representando los intereses de los actores locales.</w:t>
      </w:r>
    </w:p>
    <w:p w:rsidR="00470E8A" w:rsidRPr="000E0F90" w:rsidRDefault="00FE2699" w:rsidP="00702D9A">
      <w:pPr>
        <w:pStyle w:val="Prrafodelista"/>
        <w:numPr>
          <w:ilvl w:val="0"/>
          <w:numId w:val="33"/>
        </w:numPr>
        <w:spacing w:line="360" w:lineRule="auto"/>
        <w:rPr>
          <w:rFonts w:ascii="Arial" w:hAnsi="Arial" w:cs="Arial"/>
          <w:color w:val="000000" w:themeColor="text1"/>
        </w:rPr>
      </w:pPr>
      <w:r w:rsidRPr="000E0F90">
        <w:rPr>
          <w:rFonts w:ascii="Arial" w:hAnsi="Arial" w:cs="Arial"/>
          <w:color w:val="000000" w:themeColor="text1"/>
        </w:rPr>
        <w:t>F</w:t>
      </w:r>
      <w:r w:rsidR="00470E8A" w:rsidRPr="000E0F90">
        <w:rPr>
          <w:rFonts w:ascii="Arial" w:hAnsi="Arial" w:cs="Arial"/>
          <w:color w:val="000000" w:themeColor="text1"/>
        </w:rPr>
        <w:t xml:space="preserve">omentar la preocupación social, ecológica y económica de todos los actores sociales (i.e. sector público, privado, comunidades), de forma de </w:t>
      </w:r>
      <w:r w:rsidR="001D27D9" w:rsidRPr="000E0F90">
        <w:rPr>
          <w:rFonts w:ascii="Arial" w:hAnsi="Arial" w:cs="Arial"/>
          <w:color w:val="000000" w:themeColor="text1"/>
        </w:rPr>
        <w:t xml:space="preserve">establecer y </w:t>
      </w:r>
      <w:r w:rsidR="00470E8A" w:rsidRPr="000E0F90">
        <w:rPr>
          <w:rFonts w:ascii="Arial" w:hAnsi="Arial" w:cs="Arial"/>
          <w:color w:val="000000" w:themeColor="text1"/>
        </w:rPr>
        <w:t>entender las posiciones adversas que se generan en los procesos de toma de decisión</w:t>
      </w:r>
      <w:r w:rsidR="00E27E75" w:rsidRPr="000E0F90">
        <w:rPr>
          <w:rFonts w:ascii="Arial" w:hAnsi="Arial" w:cs="Arial"/>
          <w:color w:val="000000" w:themeColor="text1"/>
        </w:rPr>
        <w:t xml:space="preserve">. </w:t>
      </w:r>
    </w:p>
    <w:p w:rsidR="00F7220D" w:rsidRDefault="00F7220D">
      <w:pPr>
        <w:jc w:val="left"/>
        <w:rPr>
          <w:rFonts w:ascii="Arial" w:eastAsiaTheme="majorEastAsia" w:hAnsi="Arial" w:cs="Arial"/>
          <w:b/>
          <w:bCs/>
          <w:color w:val="000000" w:themeColor="text1"/>
        </w:rPr>
      </w:pPr>
      <w:r>
        <w:rPr>
          <w:rFonts w:ascii="Arial" w:hAnsi="Arial" w:cs="Arial"/>
        </w:rPr>
        <w:br w:type="page"/>
      </w:r>
    </w:p>
    <w:p w:rsidR="00BD66F1" w:rsidRPr="000E0F90" w:rsidRDefault="00BD66F1" w:rsidP="00702D9A">
      <w:pPr>
        <w:pStyle w:val="Ttulo3"/>
        <w:spacing w:line="360" w:lineRule="auto"/>
        <w:rPr>
          <w:rFonts w:ascii="Arial" w:hAnsi="Arial" w:cs="Arial"/>
        </w:rPr>
      </w:pPr>
      <w:r w:rsidRPr="000E0F90">
        <w:rPr>
          <w:rFonts w:ascii="Arial" w:hAnsi="Arial" w:cs="Arial"/>
        </w:rPr>
        <w:lastRenderedPageBreak/>
        <w:t xml:space="preserve">6. Precaución y Adaptación. </w:t>
      </w:r>
    </w:p>
    <w:p w:rsidR="00960558" w:rsidRPr="000E0F90" w:rsidRDefault="00960558" w:rsidP="00702D9A">
      <w:pPr>
        <w:spacing w:line="360" w:lineRule="auto"/>
        <w:rPr>
          <w:rFonts w:ascii="Arial" w:hAnsi="Arial" w:cs="Arial"/>
          <w:i/>
          <w:color w:val="000000" w:themeColor="text1"/>
        </w:rPr>
      </w:pPr>
      <w:r w:rsidRPr="000E0F90">
        <w:rPr>
          <w:rFonts w:ascii="Arial" w:hAnsi="Arial" w:cs="Arial"/>
          <w:i/>
          <w:color w:val="000000" w:themeColor="text1"/>
        </w:rPr>
        <w:t>Los territorios sostenibles deben evitar acciones que presenten una amenaza de daño potencialmente serio, incierto, irreversible y acumulativo a los ecosistemas de soporte y recursos naturales que permiten la sobrevi</w:t>
      </w:r>
      <w:r w:rsidR="0028241E" w:rsidRPr="000E0F90">
        <w:rPr>
          <w:rFonts w:ascii="Arial" w:hAnsi="Arial" w:cs="Arial"/>
          <w:i/>
          <w:color w:val="000000" w:themeColor="text1"/>
        </w:rPr>
        <w:t>da humana y el desarrollo local</w:t>
      </w:r>
      <w:r w:rsidRPr="000E0F90">
        <w:rPr>
          <w:rFonts w:ascii="Arial" w:hAnsi="Arial" w:cs="Arial"/>
          <w:i/>
          <w:color w:val="000000" w:themeColor="text1"/>
        </w:rPr>
        <w:t>. Se debe tomar una postura anticipada frente a los cambios futuros, naturales y an</w:t>
      </w:r>
      <w:r w:rsidR="00E51C30">
        <w:rPr>
          <w:rFonts w:ascii="Arial" w:hAnsi="Arial" w:cs="Arial"/>
          <w:i/>
          <w:color w:val="000000" w:themeColor="text1"/>
        </w:rPr>
        <w:t>trópicos, buscar la adaptación</w:t>
      </w:r>
      <w:r w:rsidRPr="000E0F90">
        <w:rPr>
          <w:rFonts w:ascii="Arial" w:hAnsi="Arial" w:cs="Arial"/>
          <w:i/>
          <w:color w:val="000000" w:themeColor="text1"/>
        </w:rPr>
        <w:t>.</w:t>
      </w:r>
    </w:p>
    <w:p w:rsidR="004D60E5" w:rsidRPr="000E0F90" w:rsidRDefault="004D60E5" w:rsidP="00702D9A">
      <w:pPr>
        <w:pStyle w:val="Prrafodelista"/>
        <w:numPr>
          <w:ilvl w:val="0"/>
          <w:numId w:val="29"/>
        </w:numPr>
        <w:spacing w:line="360" w:lineRule="auto"/>
        <w:rPr>
          <w:rFonts w:ascii="Arial" w:eastAsia="Times New Roman" w:hAnsi="Arial" w:cs="Arial"/>
          <w:color w:val="000000" w:themeColor="text1"/>
          <w:kern w:val="24"/>
          <w:szCs w:val="28"/>
          <w:lang w:eastAsia="es-CL"/>
        </w:rPr>
      </w:pPr>
      <w:r w:rsidRPr="000E0F90">
        <w:rPr>
          <w:rFonts w:ascii="Arial" w:eastAsia="Times New Roman" w:hAnsi="Arial" w:cs="Arial"/>
          <w:color w:val="000000" w:themeColor="text1"/>
          <w:kern w:val="24"/>
          <w:szCs w:val="28"/>
          <w:lang w:eastAsia="es-CL"/>
        </w:rPr>
        <w:t>Considerar no llevar a cabo propuestas de desarrollo que involucren simultáneamente, incertidumbre científica, irreversibilidad e impactos de gran magnitud y duraderos.</w:t>
      </w:r>
    </w:p>
    <w:p w:rsidR="004D60E5" w:rsidRPr="000E0F90" w:rsidRDefault="004D60E5" w:rsidP="00702D9A">
      <w:pPr>
        <w:pStyle w:val="Prrafodelista"/>
        <w:numPr>
          <w:ilvl w:val="0"/>
          <w:numId w:val="29"/>
        </w:numPr>
        <w:spacing w:line="360" w:lineRule="auto"/>
        <w:rPr>
          <w:rFonts w:ascii="Arial" w:eastAsia="Times New Roman" w:hAnsi="Arial" w:cs="Arial"/>
          <w:color w:val="000000" w:themeColor="text1"/>
          <w:kern w:val="24"/>
          <w:szCs w:val="28"/>
          <w:lang w:eastAsia="es-CL"/>
        </w:rPr>
      </w:pPr>
      <w:r w:rsidRPr="000E0F90">
        <w:rPr>
          <w:rFonts w:ascii="Arial" w:eastAsia="Times New Roman" w:hAnsi="Arial" w:cs="Arial"/>
          <w:color w:val="000000" w:themeColor="text1"/>
          <w:kern w:val="24"/>
          <w:szCs w:val="28"/>
          <w:lang w:eastAsia="es-CL"/>
        </w:rPr>
        <w:t>Proceder con cautela en situaciones de riesgo, eligiendo la mejor alternativa dada la incertidumbre y escaso entendimiento y la potencialidad de los peligros</w:t>
      </w:r>
    </w:p>
    <w:p w:rsidR="004D60E5" w:rsidRPr="000E0F90" w:rsidRDefault="004D60E5" w:rsidP="00702D9A">
      <w:pPr>
        <w:pStyle w:val="Prrafodelista"/>
        <w:numPr>
          <w:ilvl w:val="0"/>
          <w:numId w:val="29"/>
        </w:numPr>
        <w:spacing w:line="360" w:lineRule="auto"/>
        <w:rPr>
          <w:rFonts w:ascii="Arial" w:eastAsia="Times New Roman" w:hAnsi="Arial" w:cs="Arial"/>
          <w:color w:val="000000" w:themeColor="text1"/>
          <w:kern w:val="24"/>
          <w:szCs w:val="28"/>
          <w:lang w:eastAsia="es-CL"/>
        </w:rPr>
      </w:pPr>
      <w:r w:rsidRPr="000E0F90">
        <w:rPr>
          <w:rFonts w:ascii="Arial" w:eastAsia="Times New Roman" w:hAnsi="Arial" w:cs="Arial"/>
          <w:color w:val="000000" w:themeColor="text1"/>
          <w:kern w:val="24"/>
          <w:szCs w:val="28"/>
          <w:lang w:eastAsia="es-CL"/>
        </w:rPr>
        <w:t>Preservar elementos fundacionales del territorio, como es la funcionalidad crucial de ecosistemas, la sobrevida humana y valores de comunidades.</w:t>
      </w:r>
    </w:p>
    <w:p w:rsidR="00AD4845" w:rsidRPr="000E0F90" w:rsidRDefault="00560ABC" w:rsidP="00702D9A">
      <w:pPr>
        <w:pStyle w:val="Prrafodelista"/>
        <w:numPr>
          <w:ilvl w:val="0"/>
          <w:numId w:val="29"/>
        </w:numPr>
        <w:spacing w:line="360" w:lineRule="auto"/>
        <w:rPr>
          <w:rFonts w:ascii="Arial" w:eastAsia="Times New Roman" w:hAnsi="Arial" w:cs="Arial"/>
          <w:color w:val="000000" w:themeColor="text1"/>
          <w:kern w:val="24"/>
          <w:szCs w:val="28"/>
          <w:lang w:eastAsia="es-CL"/>
        </w:rPr>
      </w:pPr>
      <w:r w:rsidRPr="000E0F90">
        <w:rPr>
          <w:rFonts w:ascii="Arial" w:eastAsia="Times New Roman" w:hAnsi="Arial" w:cs="Arial"/>
          <w:color w:val="000000" w:themeColor="text1"/>
          <w:kern w:val="24"/>
          <w:szCs w:val="28"/>
          <w:lang w:eastAsia="es-CL"/>
        </w:rPr>
        <w:t>Fomentar</w:t>
      </w:r>
      <w:r w:rsidR="00372654" w:rsidRPr="000E0F90">
        <w:rPr>
          <w:rFonts w:ascii="Arial" w:eastAsia="Times New Roman" w:hAnsi="Arial" w:cs="Arial"/>
          <w:color w:val="000000" w:themeColor="text1"/>
          <w:kern w:val="24"/>
          <w:szCs w:val="28"/>
          <w:lang w:eastAsia="es-CL"/>
        </w:rPr>
        <w:t xml:space="preserve"> y preservar</w:t>
      </w:r>
      <w:r w:rsidRPr="000E0F90">
        <w:rPr>
          <w:rFonts w:ascii="Arial" w:eastAsia="Times New Roman" w:hAnsi="Arial" w:cs="Arial"/>
          <w:color w:val="000000" w:themeColor="text1"/>
          <w:kern w:val="24"/>
          <w:szCs w:val="28"/>
          <w:lang w:eastAsia="es-CL"/>
        </w:rPr>
        <w:t xml:space="preserve"> las dimensiones territoriales (culturales, políticas, económicas, sociales, productivas, estéticas, </w:t>
      </w:r>
      <w:r w:rsidR="00EB25B0" w:rsidRPr="000E0F90">
        <w:rPr>
          <w:rFonts w:ascii="Arial" w:eastAsia="Times New Roman" w:hAnsi="Arial" w:cs="Arial"/>
          <w:color w:val="000000" w:themeColor="text1"/>
          <w:kern w:val="24"/>
          <w:szCs w:val="28"/>
          <w:lang w:eastAsia="es-CL"/>
        </w:rPr>
        <w:t>etc.</w:t>
      </w:r>
      <w:r w:rsidRPr="000E0F90">
        <w:rPr>
          <w:rFonts w:ascii="Arial" w:eastAsia="Times New Roman" w:hAnsi="Arial" w:cs="Arial"/>
          <w:color w:val="000000" w:themeColor="text1"/>
          <w:kern w:val="24"/>
          <w:szCs w:val="28"/>
          <w:lang w:eastAsia="es-CL"/>
        </w:rPr>
        <w:t>), de forma de asegurar la continuidad de entrega de beneficios a la h</w:t>
      </w:r>
      <w:r w:rsidR="004D60E5" w:rsidRPr="000E0F90">
        <w:rPr>
          <w:rFonts w:ascii="Arial" w:eastAsia="Times New Roman" w:hAnsi="Arial" w:cs="Arial"/>
          <w:color w:val="000000" w:themeColor="text1"/>
          <w:kern w:val="24"/>
          <w:szCs w:val="28"/>
          <w:lang w:eastAsia="es-CL"/>
        </w:rPr>
        <w:t>umanidad en el tiempo.</w:t>
      </w:r>
    </w:p>
    <w:p w:rsidR="004D60E5" w:rsidRPr="000E0F90" w:rsidRDefault="004D60E5" w:rsidP="00702D9A">
      <w:pPr>
        <w:pStyle w:val="Prrafodelista"/>
        <w:numPr>
          <w:ilvl w:val="0"/>
          <w:numId w:val="29"/>
        </w:numPr>
        <w:spacing w:line="360" w:lineRule="auto"/>
        <w:rPr>
          <w:rFonts w:ascii="Arial" w:eastAsia="Times New Roman" w:hAnsi="Arial" w:cs="Arial"/>
          <w:color w:val="000000" w:themeColor="text1"/>
          <w:kern w:val="24"/>
          <w:szCs w:val="28"/>
          <w:lang w:eastAsia="es-CL"/>
        </w:rPr>
      </w:pPr>
      <w:r w:rsidRPr="000E0F90">
        <w:rPr>
          <w:rFonts w:ascii="Arial" w:eastAsia="Times New Roman" w:hAnsi="Arial" w:cs="Arial"/>
          <w:color w:val="000000" w:themeColor="text1"/>
          <w:kern w:val="24"/>
          <w:szCs w:val="28"/>
          <w:lang w:eastAsia="es-CL"/>
        </w:rPr>
        <w:t>Potenciar la diversidad de los sistemas ecológicos de soporte y provisión de recursos naturales para la sobrevida y desarrollo humano, que contribuyan a superar las perturbaciones en el tiempo.</w:t>
      </w:r>
    </w:p>
    <w:p w:rsidR="004D60E5" w:rsidRPr="000E0F90" w:rsidRDefault="004D60E5" w:rsidP="00702D9A">
      <w:pPr>
        <w:pStyle w:val="Prrafodelista"/>
        <w:numPr>
          <w:ilvl w:val="0"/>
          <w:numId w:val="29"/>
        </w:numPr>
        <w:spacing w:line="360" w:lineRule="auto"/>
        <w:rPr>
          <w:rFonts w:ascii="Arial" w:eastAsia="Times New Roman" w:hAnsi="Arial" w:cs="Arial"/>
          <w:color w:val="000000" w:themeColor="text1"/>
          <w:kern w:val="24"/>
          <w:szCs w:val="28"/>
          <w:lang w:eastAsia="es-CL"/>
        </w:rPr>
      </w:pPr>
      <w:r w:rsidRPr="000E0F90">
        <w:rPr>
          <w:rFonts w:ascii="Arial" w:eastAsia="Times New Roman" w:hAnsi="Arial" w:cs="Arial"/>
          <w:color w:val="000000" w:themeColor="text1"/>
          <w:kern w:val="24"/>
          <w:szCs w:val="28"/>
          <w:lang w:eastAsia="es-CL"/>
        </w:rPr>
        <w:t>El modelo de desarrollo considera la mantención de una base de capital múltiple para el desarrollo humano en el largo plazo.</w:t>
      </w:r>
    </w:p>
    <w:p w:rsidR="00FA7E30" w:rsidRPr="00FA7E30" w:rsidRDefault="00FA7E30" w:rsidP="00702D9A">
      <w:pPr>
        <w:pStyle w:val="Prrafodelista"/>
        <w:numPr>
          <w:ilvl w:val="0"/>
          <w:numId w:val="29"/>
        </w:numPr>
        <w:spacing w:line="360" w:lineRule="auto"/>
        <w:rPr>
          <w:rFonts w:ascii="Arial" w:hAnsi="Arial" w:cs="Arial"/>
          <w:color w:val="000000" w:themeColor="text1"/>
        </w:rPr>
      </w:pPr>
      <w:r w:rsidRPr="00FA7E30">
        <w:rPr>
          <w:rFonts w:ascii="Arial" w:eastAsia="Times New Roman" w:hAnsi="Arial" w:cs="Arial"/>
          <w:color w:val="000000" w:themeColor="text1"/>
          <w:kern w:val="24"/>
          <w:szCs w:val="28"/>
          <w:lang w:eastAsia="es-CL"/>
        </w:rPr>
        <w:t xml:space="preserve">Adaptación a cambios potenciales futuros, esperados e inesperados, que se relacionan con el propio sistema, como con el medio externo. Identificar elementos territoriales que serán afectados. </w:t>
      </w:r>
    </w:p>
    <w:p w:rsidR="00FA7E30" w:rsidRPr="000E0F90" w:rsidRDefault="00FA7E30" w:rsidP="00702D9A">
      <w:pPr>
        <w:pStyle w:val="Prrafodelista"/>
        <w:numPr>
          <w:ilvl w:val="0"/>
          <w:numId w:val="29"/>
        </w:numPr>
        <w:spacing w:line="360" w:lineRule="auto"/>
        <w:rPr>
          <w:rFonts w:ascii="Arial" w:hAnsi="Arial" w:cs="Arial"/>
          <w:color w:val="000000" w:themeColor="text1"/>
        </w:rPr>
      </w:pPr>
      <w:r w:rsidRPr="000E0F90">
        <w:rPr>
          <w:rFonts w:ascii="Arial" w:eastAsia="Times New Roman" w:hAnsi="Arial" w:cs="Arial"/>
          <w:color w:val="000000" w:themeColor="text1"/>
          <w:kern w:val="24"/>
          <w:szCs w:val="28"/>
          <w:lang w:eastAsia="es-CL"/>
        </w:rPr>
        <w:t>Establecer límites a las acciones antrópicas, preservar las capacidades de los sistemas ecológicos de generar recursos, asimilar desechos y las condiciones necesarias para asegurar la sobrevida humana en el tiempo. Monitorear los cambios en los sistemas ecológicos y humanos.</w:t>
      </w:r>
    </w:p>
    <w:p w:rsidR="00015B86" w:rsidRPr="000E0F90" w:rsidRDefault="00015B86" w:rsidP="00702D9A">
      <w:pPr>
        <w:pStyle w:val="Prrafodelista"/>
        <w:numPr>
          <w:ilvl w:val="0"/>
          <w:numId w:val="29"/>
        </w:numPr>
        <w:spacing w:line="360" w:lineRule="auto"/>
        <w:rPr>
          <w:rFonts w:ascii="Arial" w:hAnsi="Arial" w:cs="Arial"/>
          <w:color w:val="000000" w:themeColor="text1"/>
        </w:rPr>
      </w:pPr>
      <w:r w:rsidRPr="000E0F90">
        <w:rPr>
          <w:rFonts w:ascii="Arial" w:hAnsi="Arial" w:cs="Arial"/>
          <w:color w:val="000000" w:themeColor="text1"/>
        </w:rPr>
        <w:br w:type="page"/>
      </w:r>
    </w:p>
    <w:p w:rsidR="00C359E9" w:rsidRPr="000E0F90" w:rsidRDefault="00C44C78" w:rsidP="00702D9A">
      <w:pPr>
        <w:pStyle w:val="Ttulo2"/>
        <w:tabs>
          <w:tab w:val="left" w:pos="1843"/>
        </w:tabs>
        <w:spacing w:line="360" w:lineRule="auto"/>
        <w:rPr>
          <w:rFonts w:cs="Arial"/>
        </w:rPr>
      </w:pPr>
      <w:bookmarkStart w:id="28" w:name="_Toc488774917"/>
      <w:r w:rsidRPr="000E0F90">
        <w:rPr>
          <w:rFonts w:cs="Arial"/>
        </w:rPr>
        <w:lastRenderedPageBreak/>
        <w:t>Evaluación</w:t>
      </w:r>
      <w:r w:rsidR="00FA6E25" w:rsidRPr="000E0F90">
        <w:rPr>
          <w:rFonts w:cs="Arial"/>
        </w:rPr>
        <w:t xml:space="preserve"> de sostenibilidad de territorios mineros del Norte Chico</w:t>
      </w:r>
      <w:bookmarkEnd w:id="28"/>
      <w:r w:rsidR="00FA6E25" w:rsidRPr="000E0F90">
        <w:rPr>
          <w:rFonts w:cs="Arial"/>
        </w:rPr>
        <w:t xml:space="preserve"> </w:t>
      </w:r>
    </w:p>
    <w:p w:rsidR="00F318D0" w:rsidRPr="000E0F90" w:rsidRDefault="00C359E9" w:rsidP="00702D9A">
      <w:pPr>
        <w:spacing w:before="240" w:line="360" w:lineRule="auto"/>
        <w:rPr>
          <w:rFonts w:ascii="Arial" w:hAnsi="Arial" w:cs="Arial"/>
          <w:color w:val="000000" w:themeColor="text1"/>
        </w:rPr>
      </w:pPr>
      <w:r w:rsidRPr="000E0F90">
        <w:rPr>
          <w:rFonts w:ascii="Arial" w:hAnsi="Arial" w:cs="Arial"/>
          <w:color w:val="000000" w:themeColor="text1"/>
        </w:rPr>
        <w:t xml:space="preserve">La sostenibilidad de los territorios se considera como el estado óptimo que se espera a alcanzar, </w:t>
      </w:r>
      <w:r w:rsidR="0011366A" w:rsidRPr="000E0F90">
        <w:rPr>
          <w:rFonts w:ascii="Arial" w:hAnsi="Arial" w:cs="Arial"/>
          <w:color w:val="000000" w:themeColor="text1"/>
        </w:rPr>
        <w:t xml:space="preserve">meta hacia donde se debe guiar </w:t>
      </w:r>
      <w:r w:rsidRPr="000E0F90">
        <w:rPr>
          <w:rFonts w:ascii="Arial" w:hAnsi="Arial" w:cs="Arial"/>
          <w:color w:val="000000" w:themeColor="text1"/>
        </w:rPr>
        <w:t xml:space="preserve">la construcción </w:t>
      </w:r>
      <w:r w:rsidR="0011366A" w:rsidRPr="000E0F90">
        <w:rPr>
          <w:rFonts w:ascii="Arial" w:hAnsi="Arial" w:cs="Arial"/>
          <w:color w:val="000000" w:themeColor="text1"/>
        </w:rPr>
        <w:t>de los territorios mineros</w:t>
      </w:r>
      <w:r w:rsidRPr="000E0F90">
        <w:rPr>
          <w:rFonts w:ascii="Arial" w:hAnsi="Arial" w:cs="Arial"/>
          <w:color w:val="000000" w:themeColor="text1"/>
        </w:rPr>
        <w:t xml:space="preserve">. </w:t>
      </w:r>
      <w:r w:rsidR="0011366A" w:rsidRPr="000E0F90">
        <w:rPr>
          <w:rFonts w:ascii="Arial" w:hAnsi="Arial" w:cs="Arial"/>
          <w:color w:val="000000" w:themeColor="text1"/>
        </w:rPr>
        <w:t xml:space="preserve">Para ello, se requiere </w:t>
      </w:r>
      <w:r w:rsidR="00F318D0" w:rsidRPr="000E0F90">
        <w:rPr>
          <w:rFonts w:ascii="Arial" w:hAnsi="Arial" w:cs="Arial"/>
          <w:color w:val="000000" w:themeColor="text1"/>
        </w:rPr>
        <w:t xml:space="preserve">establecer el estado actual, </w:t>
      </w:r>
      <w:r w:rsidR="00E954CA" w:rsidRPr="000E0F90">
        <w:rPr>
          <w:rFonts w:ascii="Arial" w:hAnsi="Arial" w:cs="Arial"/>
          <w:color w:val="000000" w:themeColor="text1"/>
        </w:rPr>
        <w:t>de forma que permita</w:t>
      </w:r>
      <w:r w:rsidR="00F318D0" w:rsidRPr="000E0F90">
        <w:rPr>
          <w:rFonts w:ascii="Arial" w:hAnsi="Arial" w:cs="Arial"/>
          <w:color w:val="000000" w:themeColor="text1"/>
        </w:rPr>
        <w:t xml:space="preserve"> elaborar estrategias de gestión territorial hacia la sostenibilidad.</w:t>
      </w:r>
    </w:p>
    <w:p w:rsidR="00E954CA" w:rsidRPr="000E0F90" w:rsidRDefault="0011366A" w:rsidP="00702D9A">
      <w:pPr>
        <w:tabs>
          <w:tab w:val="left" w:pos="1110"/>
        </w:tabs>
        <w:spacing w:before="240" w:line="360" w:lineRule="auto"/>
        <w:rPr>
          <w:rFonts w:ascii="Arial" w:hAnsi="Arial" w:cs="Arial"/>
          <w:color w:val="000000" w:themeColor="text1"/>
        </w:rPr>
      </w:pPr>
      <w:r w:rsidRPr="000E0F90">
        <w:rPr>
          <w:rFonts w:ascii="Arial" w:hAnsi="Arial" w:cs="Arial"/>
          <w:color w:val="000000" w:themeColor="text1"/>
        </w:rPr>
        <w:t xml:space="preserve">Con la finalidad de determinar el estado actual de </w:t>
      </w:r>
      <w:r w:rsidR="00E954CA" w:rsidRPr="000E0F90">
        <w:rPr>
          <w:rFonts w:ascii="Arial" w:hAnsi="Arial" w:cs="Arial"/>
          <w:color w:val="000000" w:themeColor="text1"/>
        </w:rPr>
        <w:t xml:space="preserve">la sostenibilidad de </w:t>
      </w:r>
      <w:r w:rsidRPr="000E0F90">
        <w:rPr>
          <w:rFonts w:ascii="Arial" w:hAnsi="Arial" w:cs="Arial"/>
          <w:color w:val="000000" w:themeColor="text1"/>
        </w:rPr>
        <w:t>los territorios</w:t>
      </w:r>
      <w:r w:rsidR="00E954CA" w:rsidRPr="000E0F90">
        <w:rPr>
          <w:rFonts w:ascii="Arial" w:hAnsi="Arial" w:cs="Arial"/>
          <w:color w:val="000000" w:themeColor="text1"/>
        </w:rPr>
        <w:t xml:space="preserve"> mineros</w:t>
      </w:r>
      <w:r w:rsidRPr="000E0F90">
        <w:rPr>
          <w:rFonts w:ascii="Arial" w:hAnsi="Arial" w:cs="Arial"/>
          <w:color w:val="000000" w:themeColor="text1"/>
        </w:rPr>
        <w:t xml:space="preserve">, desde la perspectiva de los actores sociales locales, se realizó un análisis de brecha de forma de identificar </w:t>
      </w:r>
      <w:r w:rsidR="00114CFC" w:rsidRPr="000E0F90">
        <w:rPr>
          <w:rFonts w:ascii="Arial" w:hAnsi="Arial" w:cs="Arial"/>
          <w:color w:val="000000" w:themeColor="text1"/>
        </w:rPr>
        <w:t>aquellos aspectos que requieren ser manejados</w:t>
      </w:r>
      <w:r w:rsidRPr="000E0F90">
        <w:rPr>
          <w:rFonts w:ascii="Arial" w:hAnsi="Arial" w:cs="Arial"/>
          <w:color w:val="000000" w:themeColor="text1"/>
        </w:rPr>
        <w:t xml:space="preserve"> para alcanzar la so</w:t>
      </w:r>
      <w:r w:rsidR="00114CFC" w:rsidRPr="000E0F90">
        <w:rPr>
          <w:rFonts w:ascii="Arial" w:hAnsi="Arial" w:cs="Arial"/>
          <w:color w:val="000000" w:themeColor="text1"/>
        </w:rPr>
        <w:t>stenibilidad de los territorios</w:t>
      </w:r>
      <w:r w:rsidRPr="000E0F90">
        <w:rPr>
          <w:rFonts w:ascii="Arial" w:hAnsi="Arial" w:cs="Arial"/>
          <w:color w:val="000000" w:themeColor="text1"/>
        </w:rPr>
        <w:t xml:space="preserve">, así como </w:t>
      </w:r>
      <w:r w:rsidR="00F318D0" w:rsidRPr="000E0F90">
        <w:rPr>
          <w:rFonts w:ascii="Arial" w:hAnsi="Arial" w:cs="Arial"/>
          <w:color w:val="000000" w:themeColor="text1"/>
        </w:rPr>
        <w:t xml:space="preserve">establecer </w:t>
      </w:r>
      <w:r w:rsidRPr="000E0F90">
        <w:rPr>
          <w:rFonts w:ascii="Arial" w:hAnsi="Arial" w:cs="Arial"/>
          <w:color w:val="000000" w:themeColor="text1"/>
        </w:rPr>
        <w:t>aquellos</w:t>
      </w:r>
      <w:r w:rsidR="00E954CA" w:rsidRPr="000E0F90">
        <w:rPr>
          <w:rFonts w:ascii="Arial" w:hAnsi="Arial" w:cs="Arial"/>
          <w:color w:val="000000" w:themeColor="text1"/>
        </w:rPr>
        <w:t xml:space="preserve"> que se encuentran en dirección hacia la sostenibilidad</w:t>
      </w:r>
      <w:r w:rsidRPr="000E0F90">
        <w:rPr>
          <w:rFonts w:ascii="Arial" w:hAnsi="Arial" w:cs="Arial"/>
          <w:color w:val="000000" w:themeColor="text1"/>
        </w:rPr>
        <w:t>.</w:t>
      </w:r>
      <w:r w:rsidR="00E954CA" w:rsidRPr="000E0F90">
        <w:rPr>
          <w:rFonts w:ascii="Arial" w:hAnsi="Arial" w:cs="Arial"/>
          <w:color w:val="000000" w:themeColor="text1"/>
        </w:rPr>
        <w:t xml:space="preserve"> </w:t>
      </w:r>
    </w:p>
    <w:p w:rsidR="00626C2B" w:rsidRPr="000E0F90" w:rsidRDefault="00067994" w:rsidP="00702D9A">
      <w:pPr>
        <w:tabs>
          <w:tab w:val="left" w:pos="1110"/>
        </w:tabs>
        <w:spacing w:before="240" w:line="360" w:lineRule="auto"/>
        <w:rPr>
          <w:rFonts w:ascii="Arial" w:hAnsi="Arial" w:cs="Arial"/>
          <w:color w:val="000000" w:themeColor="text1"/>
        </w:rPr>
      </w:pPr>
      <w:r w:rsidRPr="000E0F90">
        <w:rPr>
          <w:rFonts w:ascii="Arial" w:hAnsi="Arial" w:cs="Arial"/>
          <w:color w:val="000000" w:themeColor="text1"/>
        </w:rPr>
        <w:t>Para ello se evaluó</w:t>
      </w:r>
      <w:r w:rsidR="00E954CA" w:rsidRPr="000E0F90">
        <w:rPr>
          <w:rFonts w:ascii="Arial" w:hAnsi="Arial" w:cs="Arial"/>
          <w:color w:val="000000" w:themeColor="text1"/>
        </w:rPr>
        <w:t xml:space="preserve"> de forma cualitativa la información local en relación al nivel de aproximación de cada principio y criterio propuesto. </w:t>
      </w:r>
      <w:r w:rsidR="00114CFC" w:rsidRPr="000E0F90">
        <w:rPr>
          <w:rFonts w:ascii="Arial" w:hAnsi="Arial" w:cs="Arial"/>
          <w:color w:val="000000" w:themeColor="text1"/>
        </w:rPr>
        <w:t>Los p</w:t>
      </w:r>
      <w:r w:rsidR="00E954CA" w:rsidRPr="000E0F90">
        <w:rPr>
          <w:rFonts w:ascii="Arial" w:hAnsi="Arial" w:cs="Arial"/>
          <w:color w:val="000000" w:themeColor="text1"/>
        </w:rPr>
        <w:t xml:space="preserve">rincipios y criterios son considerados la condición óptima que se espera el territorio </w:t>
      </w:r>
      <w:r w:rsidRPr="000E0F90">
        <w:rPr>
          <w:rFonts w:ascii="Arial" w:hAnsi="Arial" w:cs="Arial"/>
          <w:color w:val="000000" w:themeColor="text1"/>
        </w:rPr>
        <w:t xml:space="preserve">minero </w:t>
      </w:r>
      <w:r w:rsidR="00E954CA" w:rsidRPr="000E0F90">
        <w:rPr>
          <w:rFonts w:ascii="Arial" w:hAnsi="Arial" w:cs="Arial"/>
          <w:color w:val="000000" w:themeColor="text1"/>
        </w:rPr>
        <w:t xml:space="preserve">alcance para orientarse hacia la sostenibilidad. </w:t>
      </w:r>
      <w:r w:rsidRPr="000E0F90">
        <w:rPr>
          <w:rFonts w:ascii="Arial" w:hAnsi="Arial" w:cs="Arial"/>
          <w:color w:val="000000" w:themeColor="text1"/>
        </w:rPr>
        <w:t>De acuerdo al nivel de cumplimiento, cada criterio fue c</w:t>
      </w:r>
      <w:r w:rsidR="00992A5A" w:rsidRPr="000E0F90">
        <w:rPr>
          <w:rFonts w:ascii="Arial" w:hAnsi="Arial" w:cs="Arial"/>
          <w:color w:val="000000" w:themeColor="text1"/>
        </w:rPr>
        <w:t xml:space="preserve">ategorizado </w:t>
      </w:r>
      <w:r w:rsidRPr="000E0F90">
        <w:rPr>
          <w:rFonts w:ascii="Arial" w:hAnsi="Arial" w:cs="Arial"/>
          <w:color w:val="000000" w:themeColor="text1"/>
        </w:rPr>
        <w:t xml:space="preserve">en tres niveles, </w:t>
      </w:r>
      <w:r w:rsidR="00626C2B" w:rsidRPr="000E0F90">
        <w:rPr>
          <w:rFonts w:ascii="Arial" w:hAnsi="Arial" w:cs="Arial"/>
          <w:color w:val="000000" w:themeColor="text1"/>
        </w:rPr>
        <w:t>SI: contribuye a la sostenibilidad; No: No contribuye a la sostenibilidad; P: Contribuye en forma parcial.</w:t>
      </w:r>
    </w:p>
    <w:p w:rsidR="00E954CA" w:rsidRPr="000E0F90" w:rsidRDefault="00E954CA" w:rsidP="00E954CA">
      <w:pPr>
        <w:tabs>
          <w:tab w:val="left" w:pos="1110"/>
        </w:tabs>
        <w:spacing w:before="240"/>
        <w:rPr>
          <w:rFonts w:ascii="Arial" w:hAnsi="Arial" w:cs="Arial"/>
          <w:color w:val="000000" w:themeColor="text1"/>
        </w:rPr>
      </w:pPr>
    </w:p>
    <w:p w:rsidR="00286AEC" w:rsidRPr="000E0F90" w:rsidRDefault="00286AEC">
      <w:pPr>
        <w:jc w:val="left"/>
        <w:rPr>
          <w:rFonts w:ascii="Arial" w:eastAsiaTheme="majorEastAsia" w:hAnsi="Arial" w:cs="Arial"/>
          <w:b/>
          <w:bCs/>
          <w:color w:val="000000" w:themeColor="text1"/>
        </w:rPr>
      </w:pPr>
      <w:r w:rsidRPr="000E0F90">
        <w:rPr>
          <w:rFonts w:ascii="Arial" w:hAnsi="Arial" w:cs="Arial"/>
          <w:color w:val="000000" w:themeColor="text1"/>
        </w:rPr>
        <w:br w:type="page"/>
      </w:r>
    </w:p>
    <w:p w:rsidR="00B4144D" w:rsidRPr="000E0F90" w:rsidRDefault="00ED50FA" w:rsidP="00F7220D">
      <w:pPr>
        <w:pStyle w:val="Ttulo3"/>
        <w:spacing w:after="0" w:line="360" w:lineRule="auto"/>
        <w:rPr>
          <w:rFonts w:ascii="Arial" w:hAnsi="Arial" w:cs="Arial"/>
        </w:rPr>
      </w:pPr>
      <w:r w:rsidRPr="000E0F90">
        <w:rPr>
          <w:rFonts w:ascii="Arial" w:hAnsi="Arial" w:cs="Arial"/>
        </w:rPr>
        <w:lastRenderedPageBreak/>
        <w:t>1. Integridad Sistemas socio</w:t>
      </w:r>
      <w:r w:rsidR="00B4144D" w:rsidRPr="000E0F90">
        <w:rPr>
          <w:rFonts w:ascii="Arial" w:hAnsi="Arial" w:cs="Arial"/>
        </w:rPr>
        <w:t xml:space="preserve"> </w:t>
      </w:r>
      <w:r w:rsidRPr="000E0F90">
        <w:rPr>
          <w:rFonts w:ascii="Arial" w:hAnsi="Arial" w:cs="Arial"/>
        </w:rPr>
        <w:t>ecológicos</w:t>
      </w:r>
    </w:p>
    <w:p w:rsidR="004661E5" w:rsidRPr="000E0F90" w:rsidRDefault="002A40B5" w:rsidP="00702D9A">
      <w:pPr>
        <w:spacing w:line="360" w:lineRule="auto"/>
        <w:rPr>
          <w:rFonts w:ascii="Arial" w:hAnsi="Arial" w:cs="Arial"/>
          <w:color w:val="000000" w:themeColor="text1"/>
        </w:rPr>
      </w:pPr>
      <w:r w:rsidRPr="000E0F90">
        <w:rPr>
          <w:rFonts w:ascii="Arial" w:hAnsi="Arial" w:cs="Arial"/>
          <w:color w:val="000000" w:themeColor="text1"/>
        </w:rPr>
        <w:t>Respecto a la integridad de los sistemas socio</w:t>
      </w:r>
      <w:r w:rsidR="002576A6" w:rsidRPr="000E0F90">
        <w:rPr>
          <w:rFonts w:ascii="Arial" w:hAnsi="Arial" w:cs="Arial"/>
          <w:color w:val="000000" w:themeColor="text1"/>
        </w:rPr>
        <w:t>-</w:t>
      </w:r>
      <w:r w:rsidR="004661E5" w:rsidRPr="000E0F90">
        <w:rPr>
          <w:rFonts w:ascii="Arial" w:hAnsi="Arial" w:cs="Arial"/>
          <w:color w:val="000000" w:themeColor="text1"/>
        </w:rPr>
        <w:t>eco</w:t>
      </w:r>
      <w:r w:rsidRPr="000E0F90">
        <w:rPr>
          <w:rFonts w:ascii="Arial" w:hAnsi="Arial" w:cs="Arial"/>
          <w:color w:val="000000" w:themeColor="text1"/>
        </w:rPr>
        <w:t xml:space="preserve">lógicos, </w:t>
      </w:r>
      <w:r w:rsidR="00CC27F6">
        <w:rPr>
          <w:rFonts w:ascii="Arial" w:hAnsi="Arial" w:cs="Arial"/>
          <w:color w:val="000000" w:themeColor="text1"/>
        </w:rPr>
        <w:t xml:space="preserve">se presenta el estado actual de los territorios de acuerdo a la información proveniente de </w:t>
      </w:r>
      <w:r w:rsidR="004661E5" w:rsidRPr="000E0F90">
        <w:rPr>
          <w:rFonts w:ascii="Arial" w:hAnsi="Arial" w:cs="Arial"/>
          <w:color w:val="000000" w:themeColor="text1"/>
        </w:rPr>
        <w:t>los entrevistados</w:t>
      </w:r>
      <w:r w:rsidR="00CC27F6">
        <w:rPr>
          <w:rFonts w:ascii="Arial" w:hAnsi="Arial" w:cs="Arial"/>
          <w:color w:val="000000" w:themeColor="text1"/>
        </w:rPr>
        <w:t>.</w:t>
      </w:r>
      <w:r w:rsidR="004661E5" w:rsidRPr="000E0F90">
        <w:rPr>
          <w:rFonts w:ascii="Arial" w:hAnsi="Arial" w:cs="Arial"/>
          <w:color w:val="000000" w:themeColor="text1"/>
        </w:rPr>
        <w:t xml:space="preserve"> </w:t>
      </w:r>
    </w:p>
    <w:p w:rsidR="000109A6" w:rsidRPr="000E0F90" w:rsidRDefault="00740D3D" w:rsidP="00F7220D">
      <w:pPr>
        <w:pStyle w:val="Epgrafe"/>
        <w:spacing w:after="0" w:line="360" w:lineRule="auto"/>
        <w:rPr>
          <w:rFonts w:ascii="Arial" w:hAnsi="Arial" w:cs="Arial"/>
          <w:b w:val="0"/>
          <w:color w:val="000000" w:themeColor="text1"/>
          <w:sz w:val="22"/>
        </w:rPr>
      </w:pPr>
      <w:r w:rsidRPr="000E0F90">
        <w:rPr>
          <w:rFonts w:ascii="Arial" w:hAnsi="Arial" w:cs="Arial"/>
          <w:b w:val="0"/>
          <w:color w:val="000000" w:themeColor="text1"/>
          <w:sz w:val="22"/>
        </w:rPr>
        <w:t xml:space="preserve">Cuadro </w:t>
      </w:r>
      <w:r w:rsidRPr="000E0F90">
        <w:rPr>
          <w:rFonts w:ascii="Arial" w:hAnsi="Arial" w:cs="Arial"/>
          <w:b w:val="0"/>
          <w:color w:val="000000" w:themeColor="text1"/>
          <w:sz w:val="22"/>
        </w:rPr>
        <w:fldChar w:fldCharType="begin"/>
      </w:r>
      <w:r w:rsidRPr="000E0F90">
        <w:rPr>
          <w:rFonts w:ascii="Arial" w:hAnsi="Arial" w:cs="Arial"/>
          <w:b w:val="0"/>
          <w:color w:val="000000" w:themeColor="text1"/>
          <w:sz w:val="22"/>
        </w:rPr>
        <w:instrText xml:space="preserve"> SEQ Cuadro \* ARABIC </w:instrText>
      </w:r>
      <w:r w:rsidRPr="000E0F90">
        <w:rPr>
          <w:rFonts w:ascii="Arial" w:hAnsi="Arial" w:cs="Arial"/>
          <w:b w:val="0"/>
          <w:color w:val="000000" w:themeColor="text1"/>
          <w:sz w:val="22"/>
        </w:rPr>
        <w:fldChar w:fldCharType="separate"/>
      </w:r>
      <w:r w:rsidR="00225844">
        <w:rPr>
          <w:rFonts w:ascii="Arial" w:hAnsi="Arial" w:cs="Arial"/>
          <w:b w:val="0"/>
          <w:noProof/>
          <w:color w:val="000000" w:themeColor="text1"/>
          <w:sz w:val="22"/>
        </w:rPr>
        <w:t>14</w:t>
      </w:r>
      <w:r w:rsidRPr="000E0F90">
        <w:rPr>
          <w:rFonts w:ascii="Arial" w:hAnsi="Arial" w:cs="Arial"/>
          <w:b w:val="0"/>
          <w:color w:val="000000" w:themeColor="text1"/>
          <w:sz w:val="22"/>
        </w:rPr>
        <w:fldChar w:fldCharType="end"/>
      </w:r>
      <w:r w:rsidR="000109A6" w:rsidRPr="000E0F90">
        <w:rPr>
          <w:rFonts w:ascii="Arial" w:hAnsi="Arial" w:cs="Arial"/>
          <w:b w:val="0"/>
          <w:color w:val="000000" w:themeColor="text1"/>
          <w:sz w:val="22"/>
        </w:rPr>
        <w:t xml:space="preserve">: </w:t>
      </w:r>
      <w:r w:rsidR="008A28B4" w:rsidRPr="000E0F90">
        <w:rPr>
          <w:rFonts w:ascii="Arial" w:hAnsi="Arial" w:cs="Arial"/>
          <w:b w:val="0"/>
          <w:color w:val="000000" w:themeColor="text1"/>
          <w:sz w:val="22"/>
        </w:rPr>
        <w:t>Estado actual de los territorios mineros bajo estudio de acuerdo a principios de sostenibilidad elaborados, en relación a los criterios de Integridad Socio-ecológica</w:t>
      </w:r>
    </w:p>
    <w:tbl>
      <w:tblPr>
        <w:tblW w:w="8639" w:type="dxa"/>
        <w:jc w:val="center"/>
        <w:tblInd w:w="55" w:type="dxa"/>
        <w:tblBorders>
          <w:top w:val="single" w:sz="4" w:space="0" w:color="auto"/>
          <w:bottom w:val="single" w:sz="4" w:space="0" w:color="auto"/>
          <w:insideH w:val="single" w:sz="4" w:space="0" w:color="auto"/>
        </w:tblBorders>
        <w:tblCellMar>
          <w:left w:w="70" w:type="dxa"/>
          <w:right w:w="70" w:type="dxa"/>
        </w:tblCellMar>
        <w:tblLook w:val="04A0" w:firstRow="1" w:lastRow="0" w:firstColumn="1" w:lastColumn="0" w:noHBand="0" w:noVBand="1"/>
      </w:tblPr>
      <w:tblGrid>
        <w:gridCol w:w="363"/>
        <w:gridCol w:w="7367"/>
        <w:gridCol w:w="425"/>
        <w:gridCol w:w="484"/>
      </w:tblGrid>
      <w:tr w:rsidR="00F10D43" w:rsidRPr="000E0F90" w:rsidTr="00983747">
        <w:trPr>
          <w:trHeight w:val="70"/>
          <w:jc w:val="center"/>
        </w:trPr>
        <w:tc>
          <w:tcPr>
            <w:tcW w:w="343" w:type="dxa"/>
            <w:tcBorders>
              <w:bottom w:val="nil"/>
            </w:tcBorders>
            <w:shd w:val="clear" w:color="auto" w:fill="D9D9D9" w:themeFill="background1" w:themeFillShade="D9"/>
          </w:tcPr>
          <w:p w:rsidR="00F10D43" w:rsidRPr="000E0F90" w:rsidRDefault="00F10D43" w:rsidP="001B06D1">
            <w:pPr>
              <w:spacing w:after="0" w:line="240" w:lineRule="auto"/>
              <w:jc w:val="left"/>
              <w:rPr>
                <w:rFonts w:ascii="Arial" w:hAnsi="Arial" w:cs="Arial"/>
                <w:b/>
                <w:color w:val="000000" w:themeColor="text1"/>
                <w:szCs w:val="20"/>
              </w:rPr>
            </w:pPr>
          </w:p>
        </w:tc>
        <w:tc>
          <w:tcPr>
            <w:tcW w:w="7387" w:type="dxa"/>
            <w:tcBorders>
              <w:bottom w:val="nil"/>
            </w:tcBorders>
            <w:shd w:val="clear" w:color="auto" w:fill="D9D9D9" w:themeFill="background1" w:themeFillShade="D9"/>
            <w:vAlign w:val="center"/>
          </w:tcPr>
          <w:p w:rsidR="00F10D43" w:rsidRPr="000E0F90" w:rsidRDefault="00F10D43" w:rsidP="002576A6">
            <w:pPr>
              <w:spacing w:after="0" w:line="240" w:lineRule="auto"/>
              <w:jc w:val="left"/>
              <w:rPr>
                <w:rFonts w:ascii="Arial" w:eastAsia="Times New Roman" w:hAnsi="Arial" w:cs="Arial"/>
                <w:b/>
                <w:bCs/>
                <w:color w:val="000000" w:themeColor="text1"/>
                <w:szCs w:val="20"/>
                <w:lang w:eastAsia="es-CL"/>
              </w:rPr>
            </w:pPr>
          </w:p>
        </w:tc>
        <w:tc>
          <w:tcPr>
            <w:tcW w:w="909" w:type="dxa"/>
            <w:gridSpan w:val="2"/>
            <w:tcBorders>
              <w:bottom w:val="nil"/>
            </w:tcBorders>
            <w:shd w:val="clear" w:color="auto" w:fill="D9D9D9" w:themeFill="background1" w:themeFillShade="D9"/>
            <w:noWrap/>
            <w:vAlign w:val="center"/>
          </w:tcPr>
          <w:p w:rsidR="00F10D43" w:rsidRPr="000E0F90" w:rsidRDefault="00F10D43" w:rsidP="001B06D1">
            <w:pPr>
              <w:spacing w:after="0" w:line="240" w:lineRule="auto"/>
              <w:jc w:val="center"/>
              <w:rPr>
                <w:rFonts w:ascii="Arial" w:eastAsia="Times New Roman" w:hAnsi="Arial" w:cs="Arial"/>
                <w:b/>
                <w:color w:val="000000" w:themeColor="text1"/>
                <w:szCs w:val="20"/>
                <w:lang w:eastAsia="es-CL"/>
              </w:rPr>
            </w:pPr>
            <w:r w:rsidRPr="000E0F90">
              <w:rPr>
                <w:rFonts w:ascii="Arial" w:eastAsia="Times New Roman" w:hAnsi="Arial" w:cs="Arial"/>
                <w:b/>
                <w:color w:val="000000" w:themeColor="text1"/>
                <w:szCs w:val="20"/>
                <w:lang w:eastAsia="es-CL"/>
              </w:rPr>
              <w:t>Región</w:t>
            </w:r>
          </w:p>
        </w:tc>
      </w:tr>
      <w:tr w:rsidR="00F10D43" w:rsidRPr="000E0F90" w:rsidTr="00983747">
        <w:trPr>
          <w:trHeight w:val="70"/>
          <w:jc w:val="center"/>
        </w:trPr>
        <w:tc>
          <w:tcPr>
            <w:tcW w:w="343" w:type="dxa"/>
            <w:tcBorders>
              <w:top w:val="nil"/>
              <w:bottom w:val="single" w:sz="4" w:space="0" w:color="auto"/>
            </w:tcBorders>
            <w:shd w:val="clear" w:color="auto" w:fill="D9D9D9" w:themeFill="background1" w:themeFillShade="D9"/>
          </w:tcPr>
          <w:p w:rsidR="00F10D43" w:rsidRPr="000E0F90" w:rsidRDefault="00F10D43" w:rsidP="001B06D1">
            <w:pPr>
              <w:spacing w:after="0" w:line="240" w:lineRule="auto"/>
              <w:jc w:val="left"/>
              <w:rPr>
                <w:rFonts w:ascii="Arial" w:eastAsia="Times New Roman" w:hAnsi="Arial" w:cs="Arial"/>
                <w:b/>
                <w:bCs/>
                <w:color w:val="000000" w:themeColor="text1"/>
                <w:szCs w:val="20"/>
                <w:lang w:eastAsia="es-CL"/>
              </w:rPr>
            </w:pPr>
          </w:p>
        </w:tc>
        <w:tc>
          <w:tcPr>
            <w:tcW w:w="7387" w:type="dxa"/>
            <w:tcBorders>
              <w:top w:val="nil"/>
              <w:bottom w:val="single" w:sz="4" w:space="0" w:color="auto"/>
            </w:tcBorders>
            <w:shd w:val="clear" w:color="auto" w:fill="D9D9D9" w:themeFill="background1" w:themeFillShade="D9"/>
            <w:vAlign w:val="center"/>
          </w:tcPr>
          <w:p w:rsidR="00F10D43" w:rsidRPr="000E0F90" w:rsidRDefault="00225844" w:rsidP="001B06D1">
            <w:pPr>
              <w:spacing w:after="0" w:line="240" w:lineRule="auto"/>
              <w:jc w:val="left"/>
              <w:rPr>
                <w:rFonts w:ascii="Arial" w:eastAsia="Times New Roman" w:hAnsi="Arial" w:cs="Arial"/>
                <w:b/>
                <w:bCs/>
                <w:color w:val="000000" w:themeColor="text1"/>
                <w:szCs w:val="20"/>
                <w:lang w:eastAsia="es-CL"/>
              </w:rPr>
            </w:pPr>
            <w:r w:rsidRPr="000E0F90">
              <w:rPr>
                <w:rFonts w:ascii="Arial" w:eastAsia="Times New Roman" w:hAnsi="Arial" w:cs="Arial"/>
                <w:b/>
                <w:bCs/>
                <w:color w:val="000000" w:themeColor="text1"/>
                <w:szCs w:val="20"/>
                <w:lang w:eastAsia="es-CL"/>
              </w:rPr>
              <w:t>Criterios</w:t>
            </w:r>
            <w:r w:rsidRPr="000E0F90">
              <w:rPr>
                <w:rFonts w:ascii="Arial" w:hAnsi="Arial" w:cs="Arial"/>
                <w:b/>
                <w:color w:val="000000" w:themeColor="text1"/>
                <w:szCs w:val="20"/>
              </w:rPr>
              <w:t xml:space="preserve"> Integridad Socio-Ecológica</w:t>
            </w:r>
          </w:p>
        </w:tc>
        <w:tc>
          <w:tcPr>
            <w:tcW w:w="425" w:type="dxa"/>
            <w:tcBorders>
              <w:top w:val="nil"/>
              <w:bottom w:val="single" w:sz="4" w:space="0" w:color="auto"/>
            </w:tcBorders>
            <w:shd w:val="clear" w:color="auto" w:fill="D9D9D9" w:themeFill="background1" w:themeFillShade="D9"/>
            <w:noWrap/>
            <w:vAlign w:val="center"/>
          </w:tcPr>
          <w:p w:rsidR="00F10D43" w:rsidRPr="000E0F90" w:rsidRDefault="00F10D43" w:rsidP="001B06D1">
            <w:pPr>
              <w:spacing w:after="0" w:line="240" w:lineRule="auto"/>
              <w:jc w:val="center"/>
              <w:rPr>
                <w:rFonts w:ascii="Arial" w:eastAsia="Times New Roman" w:hAnsi="Arial" w:cs="Arial"/>
                <w:b/>
                <w:color w:val="000000" w:themeColor="text1"/>
                <w:szCs w:val="20"/>
                <w:lang w:eastAsia="es-CL"/>
              </w:rPr>
            </w:pPr>
            <w:r w:rsidRPr="000E0F90">
              <w:rPr>
                <w:rFonts w:ascii="Arial" w:eastAsia="Times New Roman" w:hAnsi="Arial" w:cs="Arial"/>
                <w:b/>
                <w:color w:val="000000" w:themeColor="text1"/>
                <w:szCs w:val="20"/>
                <w:lang w:eastAsia="es-CL"/>
              </w:rPr>
              <w:t>III</w:t>
            </w:r>
          </w:p>
        </w:tc>
        <w:tc>
          <w:tcPr>
            <w:tcW w:w="484" w:type="dxa"/>
            <w:tcBorders>
              <w:top w:val="nil"/>
              <w:bottom w:val="single" w:sz="4" w:space="0" w:color="auto"/>
            </w:tcBorders>
            <w:shd w:val="clear" w:color="auto" w:fill="D9D9D9" w:themeFill="background1" w:themeFillShade="D9"/>
            <w:noWrap/>
            <w:vAlign w:val="center"/>
          </w:tcPr>
          <w:p w:rsidR="00F10D43" w:rsidRPr="000E0F90" w:rsidRDefault="00F10D43" w:rsidP="001B06D1">
            <w:pPr>
              <w:spacing w:after="0" w:line="240" w:lineRule="auto"/>
              <w:jc w:val="center"/>
              <w:rPr>
                <w:rFonts w:ascii="Arial" w:eastAsia="Times New Roman" w:hAnsi="Arial" w:cs="Arial"/>
                <w:b/>
                <w:color w:val="000000" w:themeColor="text1"/>
                <w:szCs w:val="20"/>
                <w:lang w:eastAsia="es-CL"/>
              </w:rPr>
            </w:pPr>
            <w:r w:rsidRPr="000E0F90">
              <w:rPr>
                <w:rFonts w:ascii="Arial" w:eastAsia="Times New Roman" w:hAnsi="Arial" w:cs="Arial"/>
                <w:b/>
                <w:color w:val="000000" w:themeColor="text1"/>
                <w:szCs w:val="20"/>
                <w:lang w:eastAsia="es-CL"/>
              </w:rPr>
              <w:t>IV</w:t>
            </w:r>
          </w:p>
        </w:tc>
      </w:tr>
      <w:tr w:rsidR="00F10D43" w:rsidRPr="000E0F90" w:rsidTr="002A21E4">
        <w:trPr>
          <w:trHeight w:val="401"/>
          <w:jc w:val="center"/>
        </w:trPr>
        <w:tc>
          <w:tcPr>
            <w:tcW w:w="343" w:type="dxa"/>
            <w:tcBorders>
              <w:bottom w:val="nil"/>
            </w:tcBorders>
          </w:tcPr>
          <w:p w:rsidR="00F10D43" w:rsidRPr="000E0F90" w:rsidRDefault="00F10D43" w:rsidP="001B06D1">
            <w:pPr>
              <w:pStyle w:val="NormalWeb"/>
              <w:spacing w:before="0" w:beforeAutospacing="0" w:after="0" w:afterAutospacing="0"/>
              <w:textAlignment w:val="center"/>
              <w:rPr>
                <w:rFonts w:ascii="Arial" w:hAnsi="Arial" w:cs="Arial"/>
                <w:color w:val="000000" w:themeColor="text1"/>
                <w:kern w:val="24"/>
                <w:sz w:val="20"/>
                <w:szCs w:val="28"/>
              </w:rPr>
            </w:pPr>
            <w:r w:rsidRPr="000E0F90">
              <w:rPr>
                <w:rFonts w:ascii="Arial" w:hAnsi="Arial" w:cs="Arial"/>
                <w:color w:val="000000" w:themeColor="text1"/>
                <w:kern w:val="24"/>
                <w:sz w:val="20"/>
                <w:szCs w:val="28"/>
              </w:rPr>
              <w:t>1</w:t>
            </w:r>
          </w:p>
        </w:tc>
        <w:tc>
          <w:tcPr>
            <w:tcW w:w="7387" w:type="dxa"/>
            <w:tcBorders>
              <w:bottom w:val="nil"/>
            </w:tcBorders>
            <w:shd w:val="clear" w:color="auto" w:fill="auto"/>
            <w:vAlign w:val="center"/>
          </w:tcPr>
          <w:p w:rsidR="00F10D43" w:rsidRPr="00F65FAC" w:rsidRDefault="00A25EBB" w:rsidP="00C034BB">
            <w:pPr>
              <w:pStyle w:val="NormalWeb"/>
              <w:spacing w:before="0" w:beforeAutospacing="0" w:after="0" w:afterAutospacing="0"/>
              <w:textAlignment w:val="center"/>
              <w:rPr>
                <w:rFonts w:ascii="Arial" w:hAnsi="Arial" w:cs="Arial"/>
                <w:color w:val="000000" w:themeColor="text1"/>
                <w:sz w:val="20"/>
                <w:szCs w:val="36"/>
              </w:rPr>
            </w:pPr>
            <w:r w:rsidRPr="00F65FAC">
              <w:rPr>
                <w:rFonts w:ascii="Arial" w:hAnsi="Arial" w:cs="Arial"/>
                <w:color w:val="000000" w:themeColor="text1"/>
                <w:kern w:val="24"/>
                <w:sz w:val="20"/>
                <w:szCs w:val="28"/>
              </w:rPr>
              <w:t>Armonizar</w:t>
            </w:r>
            <w:r w:rsidR="00F10D43" w:rsidRPr="00F65FAC">
              <w:rPr>
                <w:rFonts w:ascii="Arial" w:hAnsi="Arial" w:cs="Arial"/>
                <w:color w:val="000000" w:themeColor="text1"/>
                <w:kern w:val="24"/>
                <w:sz w:val="20"/>
                <w:szCs w:val="28"/>
              </w:rPr>
              <w:t xml:space="preserve"> las dimensiones económicas, políticas, sociales, culturales e históricas </w:t>
            </w:r>
            <w:r w:rsidR="00A278F6" w:rsidRPr="00F65FAC">
              <w:rPr>
                <w:rFonts w:ascii="Arial" w:hAnsi="Arial" w:cs="Arial"/>
                <w:color w:val="000000" w:themeColor="text1"/>
                <w:kern w:val="24"/>
                <w:sz w:val="20"/>
                <w:szCs w:val="28"/>
              </w:rPr>
              <w:t>con</w:t>
            </w:r>
            <w:r w:rsidR="00F10D43" w:rsidRPr="00F65FAC">
              <w:rPr>
                <w:rFonts w:ascii="Arial" w:hAnsi="Arial" w:cs="Arial"/>
                <w:color w:val="000000" w:themeColor="text1"/>
                <w:kern w:val="24"/>
                <w:sz w:val="20"/>
                <w:szCs w:val="28"/>
              </w:rPr>
              <w:t xml:space="preserve"> la dimensión ecológica. Se debe buscar la adaptación antes que la modificación</w:t>
            </w:r>
            <w:r w:rsidR="00770959" w:rsidRPr="00F65FAC">
              <w:rPr>
                <w:rFonts w:ascii="Arial" w:hAnsi="Arial" w:cs="Arial"/>
                <w:color w:val="000000" w:themeColor="text1"/>
                <w:kern w:val="24"/>
                <w:sz w:val="20"/>
                <w:szCs w:val="28"/>
              </w:rPr>
              <w:t xml:space="preserve"> </w:t>
            </w:r>
            <w:r w:rsidRPr="00F65FAC">
              <w:rPr>
                <w:rFonts w:ascii="Arial" w:hAnsi="Arial" w:cs="Arial"/>
                <w:color w:val="000000" w:themeColor="text1"/>
                <w:kern w:val="24"/>
                <w:sz w:val="20"/>
                <w:szCs w:val="28"/>
              </w:rPr>
              <w:t>de</w:t>
            </w:r>
            <w:r w:rsidR="00770959" w:rsidRPr="00F65FAC">
              <w:rPr>
                <w:rFonts w:ascii="Arial" w:hAnsi="Arial" w:cs="Arial"/>
                <w:color w:val="000000" w:themeColor="text1"/>
                <w:kern w:val="24"/>
                <w:sz w:val="20"/>
                <w:szCs w:val="28"/>
              </w:rPr>
              <w:t xml:space="preserve"> los ecosistemas</w:t>
            </w:r>
            <w:r w:rsidR="00F10D43" w:rsidRPr="00F65FAC">
              <w:rPr>
                <w:rFonts w:ascii="Arial" w:hAnsi="Arial" w:cs="Arial"/>
                <w:color w:val="000000" w:themeColor="text1"/>
                <w:kern w:val="24"/>
                <w:sz w:val="20"/>
                <w:szCs w:val="28"/>
              </w:rPr>
              <w:t>.</w:t>
            </w:r>
          </w:p>
        </w:tc>
        <w:tc>
          <w:tcPr>
            <w:tcW w:w="425" w:type="dxa"/>
            <w:tcBorders>
              <w:bottom w:val="nil"/>
            </w:tcBorders>
            <w:shd w:val="clear" w:color="auto" w:fill="FF0000"/>
            <w:noWrap/>
            <w:vAlign w:val="center"/>
          </w:tcPr>
          <w:p w:rsidR="00F10D43" w:rsidRPr="000E0F90" w:rsidRDefault="00C034BB" w:rsidP="001B06D1">
            <w:pPr>
              <w:spacing w:after="0" w:line="240" w:lineRule="auto"/>
              <w:jc w:val="center"/>
              <w:rPr>
                <w:rFonts w:ascii="Arial" w:eastAsia="Times New Roman" w:hAnsi="Arial" w:cs="Arial"/>
                <w:color w:val="000000" w:themeColor="text1"/>
                <w:sz w:val="20"/>
                <w:szCs w:val="20"/>
                <w:lang w:eastAsia="es-CL"/>
              </w:rPr>
            </w:pPr>
            <w:r>
              <w:rPr>
                <w:rFonts w:ascii="Arial" w:eastAsia="Times New Roman" w:hAnsi="Arial" w:cs="Arial"/>
                <w:color w:val="000000" w:themeColor="text1"/>
                <w:sz w:val="20"/>
                <w:szCs w:val="20"/>
                <w:lang w:eastAsia="es-CL"/>
              </w:rPr>
              <w:t>N</w:t>
            </w:r>
          </w:p>
        </w:tc>
        <w:tc>
          <w:tcPr>
            <w:tcW w:w="484" w:type="dxa"/>
            <w:tcBorders>
              <w:bottom w:val="nil"/>
            </w:tcBorders>
            <w:shd w:val="clear" w:color="auto" w:fill="FF0000"/>
            <w:noWrap/>
            <w:vAlign w:val="center"/>
          </w:tcPr>
          <w:p w:rsidR="00F10D43" w:rsidRPr="000E0F90" w:rsidRDefault="00C034BB" w:rsidP="001B06D1">
            <w:pPr>
              <w:spacing w:after="0" w:line="240" w:lineRule="auto"/>
              <w:jc w:val="center"/>
              <w:rPr>
                <w:rFonts w:ascii="Arial" w:eastAsia="Times New Roman" w:hAnsi="Arial" w:cs="Arial"/>
                <w:color w:val="000000" w:themeColor="text1"/>
                <w:sz w:val="20"/>
                <w:szCs w:val="20"/>
                <w:lang w:eastAsia="es-CL"/>
              </w:rPr>
            </w:pPr>
            <w:r>
              <w:rPr>
                <w:rFonts w:ascii="Arial" w:eastAsia="Times New Roman" w:hAnsi="Arial" w:cs="Arial"/>
                <w:color w:val="000000" w:themeColor="text1"/>
                <w:sz w:val="20"/>
                <w:szCs w:val="20"/>
                <w:lang w:eastAsia="es-CL"/>
              </w:rPr>
              <w:t>N</w:t>
            </w:r>
          </w:p>
        </w:tc>
      </w:tr>
      <w:tr w:rsidR="00F10D43" w:rsidRPr="000E0F90" w:rsidTr="002A21E4">
        <w:trPr>
          <w:trHeight w:val="58"/>
          <w:jc w:val="center"/>
        </w:trPr>
        <w:tc>
          <w:tcPr>
            <w:tcW w:w="343" w:type="dxa"/>
            <w:tcBorders>
              <w:top w:val="nil"/>
              <w:bottom w:val="nil"/>
            </w:tcBorders>
          </w:tcPr>
          <w:p w:rsidR="00F10D43" w:rsidRPr="000E0F90" w:rsidRDefault="00F10D43" w:rsidP="001B06D1">
            <w:pPr>
              <w:pStyle w:val="NormalWeb"/>
              <w:spacing w:before="0" w:beforeAutospacing="0" w:after="0" w:afterAutospacing="0"/>
              <w:textAlignment w:val="center"/>
              <w:rPr>
                <w:rFonts w:ascii="Arial" w:hAnsi="Arial" w:cs="Arial"/>
                <w:color w:val="000000" w:themeColor="text1"/>
                <w:kern w:val="24"/>
                <w:sz w:val="20"/>
                <w:szCs w:val="28"/>
              </w:rPr>
            </w:pPr>
            <w:r w:rsidRPr="000E0F90">
              <w:rPr>
                <w:rFonts w:ascii="Arial" w:hAnsi="Arial" w:cs="Arial"/>
                <w:color w:val="000000" w:themeColor="text1"/>
                <w:kern w:val="24"/>
                <w:sz w:val="20"/>
                <w:szCs w:val="28"/>
              </w:rPr>
              <w:t>2</w:t>
            </w:r>
          </w:p>
        </w:tc>
        <w:tc>
          <w:tcPr>
            <w:tcW w:w="7387" w:type="dxa"/>
            <w:tcBorders>
              <w:top w:val="nil"/>
              <w:bottom w:val="nil"/>
            </w:tcBorders>
            <w:shd w:val="clear" w:color="auto" w:fill="auto"/>
            <w:vAlign w:val="center"/>
          </w:tcPr>
          <w:p w:rsidR="00F10D43" w:rsidRPr="00F65FAC" w:rsidRDefault="00C5560D" w:rsidP="00C77D61">
            <w:pPr>
              <w:pStyle w:val="NormalWeb"/>
              <w:spacing w:before="0" w:beforeAutospacing="0" w:after="0" w:afterAutospacing="0"/>
              <w:textAlignment w:val="center"/>
              <w:rPr>
                <w:rFonts w:ascii="Arial" w:hAnsi="Arial" w:cs="Arial"/>
                <w:color w:val="000000" w:themeColor="text1"/>
                <w:kern w:val="24"/>
                <w:sz w:val="20"/>
                <w:szCs w:val="28"/>
              </w:rPr>
            </w:pPr>
            <w:r w:rsidRPr="00F65FAC">
              <w:rPr>
                <w:rFonts w:ascii="Arial" w:hAnsi="Arial" w:cs="Arial"/>
                <w:color w:val="000000" w:themeColor="text1"/>
                <w:kern w:val="24"/>
                <w:sz w:val="20"/>
                <w:szCs w:val="28"/>
              </w:rPr>
              <w:t>Mantener la capacidad de los ecosistemas locales de entregar servicios ecosistémicos en el presente y futuro</w:t>
            </w:r>
            <w:r w:rsidR="00F46869" w:rsidRPr="00F65FAC">
              <w:rPr>
                <w:rFonts w:ascii="Arial" w:hAnsi="Arial" w:cs="Arial"/>
                <w:color w:val="000000" w:themeColor="text1"/>
                <w:kern w:val="24"/>
                <w:sz w:val="20"/>
                <w:szCs w:val="28"/>
              </w:rPr>
              <w:t xml:space="preserve">. </w:t>
            </w:r>
            <w:r w:rsidRPr="00F65FAC">
              <w:rPr>
                <w:rFonts w:ascii="Arial" w:hAnsi="Arial" w:cs="Arial"/>
                <w:color w:val="000000" w:themeColor="text1"/>
                <w:kern w:val="24"/>
                <w:sz w:val="20"/>
                <w:szCs w:val="28"/>
              </w:rPr>
              <w:t>Mejorar las condiciones de los ecosistemas locales</w:t>
            </w:r>
            <w:r w:rsidR="00C77D61" w:rsidRPr="00F65FAC">
              <w:rPr>
                <w:rFonts w:ascii="Arial" w:hAnsi="Arial" w:cs="Arial"/>
                <w:color w:val="000000" w:themeColor="text1"/>
                <w:kern w:val="24"/>
                <w:sz w:val="20"/>
                <w:szCs w:val="28"/>
              </w:rPr>
              <w:t>,</w:t>
            </w:r>
            <w:r w:rsidR="00C77D61" w:rsidRPr="00F65FAC">
              <w:rPr>
                <w:rFonts w:ascii="Arial" w:hAnsi="Arial" w:cs="Arial"/>
                <w:color w:val="000000" w:themeColor="text1"/>
              </w:rPr>
              <w:t xml:space="preserve"> </w:t>
            </w:r>
            <w:r w:rsidR="00C77D61" w:rsidRPr="00F65FAC">
              <w:rPr>
                <w:rFonts w:ascii="Arial" w:hAnsi="Arial" w:cs="Arial"/>
                <w:color w:val="000000" w:themeColor="text1"/>
                <w:kern w:val="24"/>
                <w:sz w:val="20"/>
                <w:szCs w:val="28"/>
              </w:rPr>
              <w:t>así como las capacidades de resiliencia de éstos.</w:t>
            </w:r>
          </w:p>
        </w:tc>
        <w:tc>
          <w:tcPr>
            <w:tcW w:w="425" w:type="dxa"/>
            <w:tcBorders>
              <w:top w:val="nil"/>
              <w:bottom w:val="nil"/>
            </w:tcBorders>
            <w:shd w:val="clear" w:color="auto" w:fill="FF0000"/>
            <w:noWrap/>
            <w:vAlign w:val="center"/>
          </w:tcPr>
          <w:p w:rsidR="00F10D43" w:rsidRPr="000E0F90" w:rsidRDefault="00C034BB" w:rsidP="001B06D1">
            <w:pPr>
              <w:spacing w:after="0" w:line="240" w:lineRule="auto"/>
              <w:jc w:val="center"/>
              <w:rPr>
                <w:rFonts w:ascii="Arial" w:eastAsia="Times New Roman" w:hAnsi="Arial" w:cs="Arial"/>
                <w:color w:val="000000" w:themeColor="text1"/>
                <w:sz w:val="20"/>
                <w:szCs w:val="20"/>
                <w:lang w:eastAsia="es-CL"/>
              </w:rPr>
            </w:pPr>
            <w:r>
              <w:rPr>
                <w:rFonts w:ascii="Arial" w:eastAsia="Times New Roman" w:hAnsi="Arial" w:cs="Arial"/>
                <w:color w:val="000000" w:themeColor="text1"/>
                <w:sz w:val="20"/>
                <w:szCs w:val="20"/>
                <w:lang w:eastAsia="es-CL"/>
              </w:rPr>
              <w:t>N</w:t>
            </w:r>
          </w:p>
        </w:tc>
        <w:tc>
          <w:tcPr>
            <w:tcW w:w="484" w:type="dxa"/>
            <w:tcBorders>
              <w:top w:val="nil"/>
              <w:bottom w:val="nil"/>
            </w:tcBorders>
            <w:shd w:val="clear" w:color="auto" w:fill="FF0000"/>
            <w:noWrap/>
            <w:vAlign w:val="center"/>
          </w:tcPr>
          <w:p w:rsidR="00F10D43" w:rsidRPr="000E0F90" w:rsidRDefault="00C034BB" w:rsidP="001B06D1">
            <w:pPr>
              <w:spacing w:after="0" w:line="240" w:lineRule="auto"/>
              <w:jc w:val="center"/>
              <w:rPr>
                <w:rFonts w:ascii="Arial" w:eastAsia="Times New Roman" w:hAnsi="Arial" w:cs="Arial"/>
                <w:color w:val="000000" w:themeColor="text1"/>
                <w:sz w:val="20"/>
                <w:szCs w:val="20"/>
                <w:lang w:eastAsia="es-CL"/>
              </w:rPr>
            </w:pPr>
            <w:r>
              <w:rPr>
                <w:rFonts w:ascii="Arial" w:eastAsia="Times New Roman" w:hAnsi="Arial" w:cs="Arial"/>
                <w:color w:val="000000" w:themeColor="text1"/>
                <w:sz w:val="20"/>
                <w:szCs w:val="20"/>
                <w:lang w:eastAsia="es-CL"/>
              </w:rPr>
              <w:t>N</w:t>
            </w:r>
          </w:p>
        </w:tc>
      </w:tr>
      <w:tr w:rsidR="00A25EBB" w:rsidRPr="000E0F90" w:rsidTr="002A21E4">
        <w:trPr>
          <w:trHeight w:val="58"/>
          <w:jc w:val="center"/>
        </w:trPr>
        <w:tc>
          <w:tcPr>
            <w:tcW w:w="343" w:type="dxa"/>
            <w:tcBorders>
              <w:top w:val="nil"/>
              <w:bottom w:val="nil"/>
            </w:tcBorders>
          </w:tcPr>
          <w:p w:rsidR="00A25EBB" w:rsidRPr="000E0F90" w:rsidRDefault="00A25EBB" w:rsidP="00F10A5D">
            <w:pPr>
              <w:pStyle w:val="NormalWeb"/>
              <w:spacing w:before="0" w:beforeAutospacing="0" w:after="0" w:afterAutospacing="0"/>
              <w:textAlignment w:val="center"/>
              <w:rPr>
                <w:rFonts w:ascii="Arial" w:hAnsi="Arial" w:cs="Arial"/>
                <w:color w:val="000000" w:themeColor="text1"/>
                <w:kern w:val="24"/>
                <w:sz w:val="20"/>
                <w:szCs w:val="28"/>
              </w:rPr>
            </w:pPr>
            <w:r w:rsidRPr="000E0F90">
              <w:rPr>
                <w:rFonts w:ascii="Arial" w:hAnsi="Arial" w:cs="Arial"/>
                <w:color w:val="000000" w:themeColor="text1"/>
                <w:kern w:val="24"/>
                <w:sz w:val="20"/>
                <w:szCs w:val="28"/>
              </w:rPr>
              <w:t>3</w:t>
            </w:r>
          </w:p>
        </w:tc>
        <w:tc>
          <w:tcPr>
            <w:tcW w:w="7387" w:type="dxa"/>
            <w:tcBorders>
              <w:top w:val="nil"/>
              <w:bottom w:val="nil"/>
            </w:tcBorders>
            <w:shd w:val="clear" w:color="auto" w:fill="auto"/>
            <w:vAlign w:val="center"/>
          </w:tcPr>
          <w:p w:rsidR="00A25EBB" w:rsidRPr="00F65FAC" w:rsidRDefault="00A25EBB" w:rsidP="00F10A5D">
            <w:pPr>
              <w:pStyle w:val="NormalWeb"/>
              <w:spacing w:before="0" w:beforeAutospacing="0" w:after="0" w:afterAutospacing="0"/>
              <w:textAlignment w:val="center"/>
              <w:rPr>
                <w:rFonts w:ascii="Arial" w:hAnsi="Arial" w:cs="Arial"/>
                <w:color w:val="000000" w:themeColor="text1"/>
                <w:kern w:val="24"/>
                <w:sz w:val="20"/>
                <w:szCs w:val="28"/>
              </w:rPr>
            </w:pPr>
            <w:r w:rsidRPr="00F65FAC">
              <w:rPr>
                <w:rFonts w:ascii="Arial" w:hAnsi="Arial" w:cs="Arial"/>
                <w:color w:val="000000" w:themeColor="text1"/>
                <w:kern w:val="24"/>
                <w:sz w:val="20"/>
                <w:szCs w:val="28"/>
              </w:rPr>
              <w:t>Fomentar y proteger la diversidad de actividades territoriales que se despliegan dentro de los límites naturales, y conlleven al bienestar de la comunidad de forma transversal. Fortaleciendo la capacidad adaptativa del territorio.</w:t>
            </w:r>
          </w:p>
        </w:tc>
        <w:tc>
          <w:tcPr>
            <w:tcW w:w="425" w:type="dxa"/>
            <w:tcBorders>
              <w:top w:val="nil"/>
              <w:bottom w:val="nil"/>
            </w:tcBorders>
            <w:shd w:val="clear" w:color="auto" w:fill="FFFF00"/>
            <w:noWrap/>
            <w:vAlign w:val="center"/>
          </w:tcPr>
          <w:p w:rsidR="00A25EBB" w:rsidRPr="000E0F90" w:rsidRDefault="004856F2" w:rsidP="00F10A5D">
            <w:pPr>
              <w:spacing w:after="0" w:line="240" w:lineRule="auto"/>
              <w:jc w:val="center"/>
              <w:rPr>
                <w:rFonts w:ascii="Arial" w:eastAsia="Times New Roman" w:hAnsi="Arial" w:cs="Arial"/>
                <w:color w:val="000000" w:themeColor="text1"/>
                <w:sz w:val="20"/>
                <w:szCs w:val="20"/>
                <w:lang w:eastAsia="es-CL"/>
              </w:rPr>
            </w:pPr>
            <w:r>
              <w:rPr>
                <w:rFonts w:ascii="Arial" w:eastAsia="Times New Roman" w:hAnsi="Arial" w:cs="Arial"/>
                <w:color w:val="000000" w:themeColor="text1"/>
                <w:sz w:val="20"/>
                <w:szCs w:val="20"/>
                <w:lang w:eastAsia="es-CL"/>
              </w:rPr>
              <w:t>P</w:t>
            </w:r>
          </w:p>
        </w:tc>
        <w:tc>
          <w:tcPr>
            <w:tcW w:w="484" w:type="dxa"/>
            <w:tcBorders>
              <w:top w:val="nil"/>
              <w:bottom w:val="nil"/>
            </w:tcBorders>
            <w:shd w:val="clear" w:color="auto" w:fill="FFFF00"/>
            <w:noWrap/>
            <w:vAlign w:val="center"/>
          </w:tcPr>
          <w:p w:rsidR="00A25EBB" w:rsidRPr="000E0F90" w:rsidRDefault="004856F2" w:rsidP="00F10A5D">
            <w:pPr>
              <w:spacing w:after="0" w:line="240" w:lineRule="auto"/>
              <w:jc w:val="center"/>
              <w:rPr>
                <w:rFonts w:ascii="Arial" w:eastAsia="Times New Roman" w:hAnsi="Arial" w:cs="Arial"/>
                <w:color w:val="000000" w:themeColor="text1"/>
                <w:sz w:val="20"/>
                <w:szCs w:val="20"/>
                <w:lang w:eastAsia="es-CL"/>
              </w:rPr>
            </w:pPr>
            <w:r>
              <w:rPr>
                <w:rFonts w:ascii="Arial" w:eastAsia="Times New Roman" w:hAnsi="Arial" w:cs="Arial"/>
                <w:color w:val="000000" w:themeColor="text1"/>
                <w:sz w:val="20"/>
                <w:szCs w:val="20"/>
                <w:lang w:eastAsia="es-CL"/>
              </w:rPr>
              <w:t>P</w:t>
            </w:r>
          </w:p>
        </w:tc>
      </w:tr>
      <w:tr w:rsidR="00F10D43" w:rsidRPr="000E0F90" w:rsidTr="002A21E4">
        <w:trPr>
          <w:trHeight w:val="58"/>
          <w:jc w:val="center"/>
        </w:trPr>
        <w:tc>
          <w:tcPr>
            <w:tcW w:w="343" w:type="dxa"/>
            <w:tcBorders>
              <w:top w:val="nil"/>
              <w:bottom w:val="nil"/>
            </w:tcBorders>
          </w:tcPr>
          <w:p w:rsidR="00F10D43" w:rsidRPr="000E0F90" w:rsidRDefault="00F10D43" w:rsidP="001B06D1">
            <w:pPr>
              <w:pStyle w:val="NormalWeb"/>
              <w:spacing w:before="0" w:beforeAutospacing="0" w:after="0" w:afterAutospacing="0"/>
              <w:textAlignment w:val="center"/>
              <w:rPr>
                <w:rFonts w:ascii="Arial" w:hAnsi="Arial" w:cs="Arial"/>
                <w:color w:val="000000" w:themeColor="text1"/>
                <w:kern w:val="24"/>
                <w:sz w:val="20"/>
                <w:szCs w:val="28"/>
              </w:rPr>
            </w:pPr>
            <w:r w:rsidRPr="000E0F90">
              <w:rPr>
                <w:rFonts w:ascii="Arial" w:hAnsi="Arial" w:cs="Arial"/>
                <w:color w:val="000000" w:themeColor="text1"/>
                <w:kern w:val="24"/>
                <w:sz w:val="20"/>
                <w:szCs w:val="28"/>
              </w:rPr>
              <w:t>4</w:t>
            </w:r>
          </w:p>
        </w:tc>
        <w:tc>
          <w:tcPr>
            <w:tcW w:w="7387" w:type="dxa"/>
            <w:tcBorders>
              <w:top w:val="nil"/>
              <w:bottom w:val="nil"/>
            </w:tcBorders>
            <w:shd w:val="clear" w:color="auto" w:fill="auto"/>
            <w:vAlign w:val="center"/>
          </w:tcPr>
          <w:p w:rsidR="00F10D43" w:rsidRPr="00F65FAC" w:rsidRDefault="00F10D43" w:rsidP="008C45D1">
            <w:pPr>
              <w:pStyle w:val="NormalWeb"/>
              <w:spacing w:before="0" w:beforeAutospacing="0" w:after="0" w:afterAutospacing="0"/>
              <w:textAlignment w:val="center"/>
              <w:rPr>
                <w:rFonts w:ascii="Arial" w:hAnsi="Arial" w:cs="Arial"/>
                <w:color w:val="000000" w:themeColor="text1"/>
                <w:kern w:val="24"/>
                <w:sz w:val="20"/>
                <w:szCs w:val="28"/>
              </w:rPr>
            </w:pPr>
            <w:r w:rsidRPr="00F65FAC">
              <w:rPr>
                <w:rFonts w:ascii="Arial" w:hAnsi="Arial" w:cs="Arial"/>
                <w:color w:val="000000" w:themeColor="text1"/>
                <w:kern w:val="24"/>
                <w:sz w:val="20"/>
                <w:szCs w:val="28"/>
              </w:rPr>
              <w:t>Reducir al mínimo las amenazas antropogénicas a los sistemas ecológicos, evitando acciones que generen detrimento o degradación tanto a los sistemas ecológicos como a los usos territoriales existentes.</w:t>
            </w:r>
            <w:r w:rsidR="008C45D1" w:rsidRPr="00F65FAC">
              <w:rPr>
                <w:rFonts w:ascii="Arial" w:hAnsi="Arial" w:cs="Arial"/>
                <w:color w:val="000000" w:themeColor="text1"/>
                <w:kern w:val="24"/>
                <w:sz w:val="20"/>
                <w:szCs w:val="28"/>
              </w:rPr>
              <w:t xml:space="preserve"> </w:t>
            </w:r>
          </w:p>
        </w:tc>
        <w:tc>
          <w:tcPr>
            <w:tcW w:w="425" w:type="dxa"/>
            <w:tcBorders>
              <w:top w:val="nil"/>
              <w:bottom w:val="nil"/>
            </w:tcBorders>
            <w:shd w:val="clear" w:color="auto" w:fill="FF0000"/>
            <w:noWrap/>
            <w:vAlign w:val="center"/>
          </w:tcPr>
          <w:p w:rsidR="00F10D43" w:rsidRPr="000E0F90" w:rsidRDefault="00F10D43" w:rsidP="001B06D1">
            <w:pPr>
              <w:spacing w:after="0" w:line="240" w:lineRule="auto"/>
              <w:jc w:val="center"/>
              <w:rPr>
                <w:rFonts w:ascii="Arial" w:eastAsia="Times New Roman" w:hAnsi="Arial" w:cs="Arial"/>
                <w:color w:val="000000" w:themeColor="text1"/>
                <w:sz w:val="20"/>
                <w:szCs w:val="20"/>
                <w:lang w:eastAsia="es-CL"/>
              </w:rPr>
            </w:pPr>
            <w:r w:rsidRPr="000E0F90">
              <w:rPr>
                <w:rFonts w:ascii="Arial" w:eastAsia="Times New Roman" w:hAnsi="Arial" w:cs="Arial"/>
                <w:color w:val="000000" w:themeColor="text1"/>
                <w:sz w:val="20"/>
                <w:szCs w:val="20"/>
                <w:lang w:eastAsia="es-CL"/>
              </w:rPr>
              <w:t>N</w:t>
            </w:r>
          </w:p>
        </w:tc>
        <w:tc>
          <w:tcPr>
            <w:tcW w:w="484" w:type="dxa"/>
            <w:tcBorders>
              <w:top w:val="nil"/>
              <w:bottom w:val="nil"/>
            </w:tcBorders>
            <w:shd w:val="clear" w:color="auto" w:fill="FF0000"/>
            <w:noWrap/>
            <w:vAlign w:val="center"/>
          </w:tcPr>
          <w:p w:rsidR="00F10D43" w:rsidRPr="000E0F90" w:rsidRDefault="00F10D43" w:rsidP="001B06D1">
            <w:pPr>
              <w:spacing w:after="0" w:line="240" w:lineRule="auto"/>
              <w:jc w:val="center"/>
              <w:rPr>
                <w:rFonts w:ascii="Arial" w:eastAsia="Times New Roman" w:hAnsi="Arial" w:cs="Arial"/>
                <w:color w:val="000000" w:themeColor="text1"/>
                <w:sz w:val="20"/>
                <w:szCs w:val="20"/>
                <w:lang w:eastAsia="es-CL"/>
              </w:rPr>
            </w:pPr>
            <w:r w:rsidRPr="000E0F90">
              <w:rPr>
                <w:rFonts w:ascii="Arial" w:eastAsia="Times New Roman" w:hAnsi="Arial" w:cs="Arial"/>
                <w:color w:val="000000" w:themeColor="text1"/>
                <w:sz w:val="20"/>
                <w:szCs w:val="20"/>
                <w:lang w:eastAsia="es-CL"/>
              </w:rPr>
              <w:t>N</w:t>
            </w:r>
          </w:p>
        </w:tc>
      </w:tr>
      <w:tr w:rsidR="00F10D43" w:rsidRPr="000E0F90" w:rsidTr="002A21E4">
        <w:trPr>
          <w:trHeight w:val="58"/>
          <w:jc w:val="center"/>
        </w:trPr>
        <w:tc>
          <w:tcPr>
            <w:tcW w:w="343" w:type="dxa"/>
            <w:tcBorders>
              <w:top w:val="nil"/>
              <w:bottom w:val="nil"/>
            </w:tcBorders>
          </w:tcPr>
          <w:p w:rsidR="00F10D43" w:rsidRPr="000E0F90" w:rsidRDefault="00F10D43" w:rsidP="001B06D1">
            <w:pPr>
              <w:pStyle w:val="NormalWeb"/>
              <w:spacing w:before="0" w:beforeAutospacing="0" w:after="0" w:afterAutospacing="0"/>
              <w:textAlignment w:val="center"/>
              <w:rPr>
                <w:rFonts w:ascii="Arial" w:hAnsi="Arial" w:cs="Arial"/>
                <w:color w:val="000000" w:themeColor="text1"/>
                <w:sz w:val="20"/>
                <w:szCs w:val="36"/>
              </w:rPr>
            </w:pPr>
            <w:r w:rsidRPr="000E0F90">
              <w:rPr>
                <w:rFonts w:ascii="Arial" w:hAnsi="Arial" w:cs="Arial"/>
                <w:color w:val="000000" w:themeColor="text1"/>
                <w:sz w:val="20"/>
                <w:szCs w:val="36"/>
              </w:rPr>
              <w:t>5</w:t>
            </w:r>
          </w:p>
        </w:tc>
        <w:tc>
          <w:tcPr>
            <w:tcW w:w="7387" w:type="dxa"/>
            <w:tcBorders>
              <w:top w:val="nil"/>
              <w:bottom w:val="nil"/>
            </w:tcBorders>
            <w:shd w:val="clear" w:color="auto" w:fill="auto"/>
            <w:vAlign w:val="center"/>
          </w:tcPr>
          <w:p w:rsidR="00F10D43" w:rsidRPr="00F65FAC" w:rsidRDefault="00AA2647" w:rsidP="00AA2647">
            <w:pPr>
              <w:pStyle w:val="NormalWeb"/>
              <w:spacing w:after="0"/>
              <w:textAlignment w:val="center"/>
              <w:rPr>
                <w:rFonts w:ascii="Arial" w:hAnsi="Arial" w:cs="Arial"/>
                <w:color w:val="000000" w:themeColor="text1"/>
                <w:sz w:val="20"/>
                <w:szCs w:val="36"/>
              </w:rPr>
            </w:pPr>
            <w:r w:rsidRPr="00F65FAC">
              <w:rPr>
                <w:rFonts w:ascii="Arial" w:hAnsi="Arial" w:cs="Arial"/>
                <w:color w:val="000000" w:themeColor="text1"/>
                <w:sz w:val="20"/>
                <w:szCs w:val="36"/>
              </w:rPr>
              <w:t>No sobrepasar la capacidad de los sistemas ecológicos de neutralizar los efectos adversos provenientes de la acción humana, como contaminación y utilización de recursos.</w:t>
            </w:r>
          </w:p>
        </w:tc>
        <w:tc>
          <w:tcPr>
            <w:tcW w:w="425" w:type="dxa"/>
            <w:tcBorders>
              <w:top w:val="nil"/>
              <w:bottom w:val="nil"/>
            </w:tcBorders>
            <w:shd w:val="clear" w:color="auto" w:fill="FFFF00"/>
            <w:noWrap/>
            <w:vAlign w:val="center"/>
          </w:tcPr>
          <w:p w:rsidR="00F10D43" w:rsidRPr="000E0F90" w:rsidRDefault="008A09F0" w:rsidP="00FE7406">
            <w:pPr>
              <w:spacing w:after="0" w:line="240" w:lineRule="auto"/>
              <w:jc w:val="center"/>
              <w:rPr>
                <w:rFonts w:ascii="Arial" w:eastAsia="Times New Roman" w:hAnsi="Arial" w:cs="Arial"/>
                <w:color w:val="000000" w:themeColor="text1"/>
                <w:sz w:val="20"/>
                <w:szCs w:val="20"/>
                <w:lang w:eastAsia="es-CL"/>
              </w:rPr>
            </w:pPr>
            <w:r w:rsidRPr="000E0F90">
              <w:rPr>
                <w:rFonts w:ascii="Arial" w:eastAsia="Times New Roman" w:hAnsi="Arial" w:cs="Arial"/>
                <w:color w:val="000000" w:themeColor="text1"/>
                <w:sz w:val="20"/>
                <w:szCs w:val="20"/>
                <w:lang w:eastAsia="es-CL"/>
              </w:rPr>
              <w:t>P</w:t>
            </w:r>
          </w:p>
        </w:tc>
        <w:tc>
          <w:tcPr>
            <w:tcW w:w="484" w:type="dxa"/>
            <w:tcBorders>
              <w:top w:val="nil"/>
              <w:bottom w:val="nil"/>
            </w:tcBorders>
            <w:shd w:val="clear" w:color="auto" w:fill="FFFF00"/>
            <w:noWrap/>
            <w:vAlign w:val="center"/>
          </w:tcPr>
          <w:p w:rsidR="00F10D43" w:rsidRPr="000E0F90" w:rsidRDefault="008A09F0" w:rsidP="00526589">
            <w:pPr>
              <w:spacing w:after="0" w:line="240" w:lineRule="auto"/>
              <w:jc w:val="center"/>
              <w:rPr>
                <w:rFonts w:ascii="Arial" w:eastAsia="Times New Roman" w:hAnsi="Arial" w:cs="Arial"/>
                <w:color w:val="000000" w:themeColor="text1"/>
                <w:sz w:val="20"/>
                <w:szCs w:val="20"/>
                <w:lang w:eastAsia="es-CL"/>
              </w:rPr>
            </w:pPr>
            <w:r w:rsidRPr="000E0F90">
              <w:rPr>
                <w:rFonts w:ascii="Arial" w:eastAsia="Times New Roman" w:hAnsi="Arial" w:cs="Arial"/>
                <w:color w:val="000000" w:themeColor="text1"/>
                <w:sz w:val="20"/>
                <w:szCs w:val="20"/>
                <w:lang w:eastAsia="es-CL"/>
              </w:rPr>
              <w:t>P</w:t>
            </w:r>
          </w:p>
        </w:tc>
      </w:tr>
      <w:tr w:rsidR="000E0F90" w:rsidRPr="000E0F90" w:rsidTr="002A21E4">
        <w:trPr>
          <w:trHeight w:val="401"/>
          <w:jc w:val="center"/>
        </w:trPr>
        <w:tc>
          <w:tcPr>
            <w:tcW w:w="343" w:type="dxa"/>
            <w:tcBorders>
              <w:top w:val="nil"/>
              <w:bottom w:val="nil"/>
            </w:tcBorders>
          </w:tcPr>
          <w:p w:rsidR="00E76B71" w:rsidRPr="000E0F90" w:rsidRDefault="002576A6" w:rsidP="001B06D1">
            <w:pPr>
              <w:pStyle w:val="NormalWeb"/>
              <w:spacing w:before="0" w:beforeAutospacing="0" w:after="0" w:afterAutospacing="0"/>
              <w:textAlignment w:val="center"/>
              <w:rPr>
                <w:rFonts w:ascii="Arial" w:hAnsi="Arial" w:cs="Arial"/>
                <w:color w:val="000000" w:themeColor="text1"/>
                <w:sz w:val="20"/>
                <w:szCs w:val="36"/>
              </w:rPr>
            </w:pPr>
            <w:r w:rsidRPr="000E0F90">
              <w:rPr>
                <w:rFonts w:ascii="Arial" w:hAnsi="Arial" w:cs="Arial"/>
                <w:color w:val="000000" w:themeColor="text1"/>
                <w:sz w:val="20"/>
                <w:szCs w:val="36"/>
              </w:rPr>
              <w:t>6</w:t>
            </w:r>
          </w:p>
        </w:tc>
        <w:tc>
          <w:tcPr>
            <w:tcW w:w="7387" w:type="dxa"/>
            <w:tcBorders>
              <w:top w:val="nil"/>
              <w:bottom w:val="nil"/>
            </w:tcBorders>
            <w:shd w:val="clear" w:color="auto" w:fill="auto"/>
            <w:vAlign w:val="center"/>
          </w:tcPr>
          <w:p w:rsidR="0028241E" w:rsidRPr="00F65FAC" w:rsidRDefault="00E76B71" w:rsidP="00A278F6">
            <w:pPr>
              <w:pStyle w:val="NormalWeb"/>
              <w:spacing w:before="0" w:beforeAutospacing="0" w:after="0" w:afterAutospacing="0"/>
              <w:textAlignment w:val="center"/>
              <w:rPr>
                <w:rFonts w:ascii="Arial" w:hAnsi="Arial" w:cs="Arial"/>
                <w:color w:val="000000" w:themeColor="text1"/>
                <w:sz w:val="20"/>
                <w:szCs w:val="36"/>
              </w:rPr>
            </w:pPr>
            <w:r w:rsidRPr="00F65FAC">
              <w:rPr>
                <w:rFonts w:ascii="Arial" w:hAnsi="Arial" w:cs="Arial"/>
                <w:color w:val="000000" w:themeColor="text1"/>
                <w:sz w:val="20"/>
                <w:szCs w:val="36"/>
              </w:rPr>
              <w:t xml:space="preserve">Implementar medidas de mitigación efectivas frente a impactos </w:t>
            </w:r>
            <w:r w:rsidR="00A278F6" w:rsidRPr="00F65FAC">
              <w:rPr>
                <w:rFonts w:ascii="Arial" w:hAnsi="Arial" w:cs="Arial"/>
                <w:color w:val="000000" w:themeColor="text1"/>
                <w:sz w:val="20"/>
                <w:szCs w:val="36"/>
              </w:rPr>
              <w:t>en</w:t>
            </w:r>
            <w:r w:rsidR="00560ABC" w:rsidRPr="00F65FAC">
              <w:rPr>
                <w:rFonts w:ascii="Arial" w:hAnsi="Arial" w:cs="Arial"/>
                <w:color w:val="000000" w:themeColor="text1"/>
                <w:sz w:val="20"/>
                <w:szCs w:val="36"/>
              </w:rPr>
              <w:t xml:space="preserve"> los</w:t>
            </w:r>
            <w:r w:rsidRPr="00F65FAC">
              <w:rPr>
                <w:rFonts w:ascii="Arial" w:hAnsi="Arial" w:cs="Arial"/>
                <w:color w:val="000000" w:themeColor="text1"/>
                <w:kern w:val="24"/>
                <w:sz w:val="20"/>
                <w:szCs w:val="28"/>
              </w:rPr>
              <w:t xml:space="preserve"> sistemas ecológicos </w:t>
            </w:r>
            <w:r w:rsidR="007041A7" w:rsidRPr="00F65FAC">
              <w:rPr>
                <w:rFonts w:ascii="Arial" w:hAnsi="Arial" w:cs="Arial"/>
                <w:color w:val="000000" w:themeColor="text1"/>
                <w:kern w:val="24"/>
                <w:sz w:val="20"/>
                <w:szCs w:val="28"/>
              </w:rPr>
              <w:t>y actividades territoriales locales</w:t>
            </w:r>
            <w:r w:rsidRPr="00F65FAC">
              <w:rPr>
                <w:rFonts w:ascii="Arial" w:hAnsi="Arial" w:cs="Arial"/>
                <w:color w:val="000000" w:themeColor="text1"/>
                <w:sz w:val="20"/>
                <w:szCs w:val="36"/>
              </w:rPr>
              <w:t xml:space="preserve">, </w:t>
            </w:r>
            <w:r w:rsidR="00A278F6" w:rsidRPr="00F65FAC">
              <w:rPr>
                <w:rFonts w:ascii="Arial" w:hAnsi="Arial" w:cs="Arial"/>
                <w:color w:val="000000" w:themeColor="text1"/>
                <w:sz w:val="20"/>
                <w:szCs w:val="36"/>
              </w:rPr>
              <w:t>evitar</w:t>
            </w:r>
            <w:r w:rsidRPr="00F65FAC">
              <w:rPr>
                <w:rFonts w:ascii="Arial" w:hAnsi="Arial" w:cs="Arial"/>
                <w:color w:val="000000" w:themeColor="text1"/>
                <w:sz w:val="20"/>
                <w:szCs w:val="36"/>
              </w:rPr>
              <w:t xml:space="preserve"> consecuencias irreversibles, realizar compensaciones en tales casos.</w:t>
            </w:r>
            <w:r w:rsidR="00A278F6" w:rsidRPr="00F65FAC">
              <w:rPr>
                <w:rFonts w:ascii="Arial" w:hAnsi="Arial" w:cs="Arial"/>
                <w:color w:val="000000" w:themeColor="text1"/>
                <w:sz w:val="20"/>
                <w:szCs w:val="36"/>
              </w:rPr>
              <w:t xml:space="preserve"> Considerar no proceder cuando los impactos negativos superen a los positivos</w:t>
            </w:r>
          </w:p>
        </w:tc>
        <w:tc>
          <w:tcPr>
            <w:tcW w:w="425" w:type="dxa"/>
            <w:tcBorders>
              <w:top w:val="nil"/>
              <w:bottom w:val="nil"/>
            </w:tcBorders>
            <w:shd w:val="clear" w:color="auto" w:fill="FFFF00"/>
            <w:noWrap/>
            <w:vAlign w:val="center"/>
          </w:tcPr>
          <w:p w:rsidR="00E76B71" w:rsidRPr="000E0F90" w:rsidRDefault="00144F5E" w:rsidP="00144F5E">
            <w:pPr>
              <w:spacing w:after="0" w:line="240" w:lineRule="auto"/>
              <w:jc w:val="center"/>
              <w:rPr>
                <w:rFonts w:ascii="Arial" w:eastAsia="Times New Roman" w:hAnsi="Arial" w:cs="Arial"/>
                <w:color w:val="000000" w:themeColor="text1"/>
                <w:sz w:val="20"/>
                <w:szCs w:val="20"/>
                <w:lang w:eastAsia="es-CL"/>
              </w:rPr>
            </w:pPr>
            <w:r w:rsidRPr="000E0F90">
              <w:rPr>
                <w:rFonts w:ascii="Arial" w:eastAsia="Times New Roman" w:hAnsi="Arial" w:cs="Arial"/>
                <w:color w:val="000000" w:themeColor="text1"/>
                <w:sz w:val="20"/>
                <w:szCs w:val="20"/>
                <w:lang w:eastAsia="es-CL"/>
              </w:rPr>
              <w:t>P</w:t>
            </w:r>
          </w:p>
        </w:tc>
        <w:tc>
          <w:tcPr>
            <w:tcW w:w="484" w:type="dxa"/>
            <w:tcBorders>
              <w:top w:val="nil"/>
              <w:bottom w:val="nil"/>
            </w:tcBorders>
            <w:shd w:val="clear" w:color="auto" w:fill="FFFF00"/>
            <w:noWrap/>
            <w:vAlign w:val="center"/>
          </w:tcPr>
          <w:p w:rsidR="00E76B71" w:rsidRPr="000E0F90" w:rsidRDefault="00144F5E" w:rsidP="001B06D1">
            <w:pPr>
              <w:spacing w:after="0" w:line="240" w:lineRule="auto"/>
              <w:jc w:val="center"/>
              <w:rPr>
                <w:rFonts w:ascii="Arial" w:eastAsia="Times New Roman" w:hAnsi="Arial" w:cs="Arial"/>
                <w:color w:val="000000" w:themeColor="text1"/>
                <w:sz w:val="20"/>
                <w:szCs w:val="20"/>
                <w:lang w:eastAsia="es-CL"/>
              </w:rPr>
            </w:pPr>
            <w:r w:rsidRPr="000E0F90">
              <w:rPr>
                <w:rFonts w:ascii="Arial" w:eastAsia="Times New Roman" w:hAnsi="Arial" w:cs="Arial"/>
                <w:color w:val="000000" w:themeColor="text1"/>
                <w:sz w:val="20"/>
                <w:szCs w:val="20"/>
                <w:lang w:eastAsia="es-CL"/>
              </w:rPr>
              <w:t>P</w:t>
            </w:r>
          </w:p>
        </w:tc>
      </w:tr>
      <w:tr w:rsidR="001405F1" w:rsidRPr="000E0F90" w:rsidTr="002A21E4">
        <w:trPr>
          <w:trHeight w:val="58"/>
          <w:jc w:val="center"/>
        </w:trPr>
        <w:tc>
          <w:tcPr>
            <w:tcW w:w="343" w:type="dxa"/>
            <w:tcBorders>
              <w:top w:val="nil"/>
              <w:bottom w:val="nil"/>
            </w:tcBorders>
          </w:tcPr>
          <w:p w:rsidR="001405F1" w:rsidRPr="000E0F90" w:rsidRDefault="002576A6" w:rsidP="002C295A">
            <w:pPr>
              <w:pStyle w:val="NormalWeb"/>
              <w:spacing w:before="0" w:beforeAutospacing="0" w:after="0" w:afterAutospacing="0"/>
              <w:textAlignment w:val="center"/>
              <w:rPr>
                <w:rFonts w:ascii="Arial" w:hAnsi="Arial" w:cs="Arial"/>
                <w:color w:val="000000" w:themeColor="text1"/>
                <w:kern w:val="24"/>
                <w:sz w:val="20"/>
                <w:szCs w:val="28"/>
              </w:rPr>
            </w:pPr>
            <w:r w:rsidRPr="000E0F90">
              <w:rPr>
                <w:rFonts w:ascii="Arial" w:hAnsi="Arial" w:cs="Arial"/>
                <w:color w:val="000000" w:themeColor="text1"/>
                <w:kern w:val="24"/>
                <w:sz w:val="20"/>
                <w:szCs w:val="28"/>
              </w:rPr>
              <w:t>7</w:t>
            </w:r>
          </w:p>
        </w:tc>
        <w:tc>
          <w:tcPr>
            <w:tcW w:w="7387" w:type="dxa"/>
            <w:tcBorders>
              <w:top w:val="nil"/>
              <w:bottom w:val="nil"/>
            </w:tcBorders>
            <w:shd w:val="clear" w:color="auto" w:fill="auto"/>
            <w:vAlign w:val="center"/>
          </w:tcPr>
          <w:p w:rsidR="001405F1" w:rsidRPr="00F65FAC" w:rsidRDefault="002576A6" w:rsidP="002C295A">
            <w:pPr>
              <w:pStyle w:val="NormalWeb"/>
              <w:spacing w:before="0" w:beforeAutospacing="0" w:after="0" w:afterAutospacing="0"/>
              <w:textAlignment w:val="center"/>
              <w:rPr>
                <w:rFonts w:ascii="Arial" w:hAnsi="Arial" w:cs="Arial"/>
                <w:color w:val="000000" w:themeColor="text1"/>
                <w:kern w:val="24"/>
                <w:sz w:val="20"/>
                <w:szCs w:val="28"/>
              </w:rPr>
            </w:pPr>
            <w:r w:rsidRPr="00F65FAC">
              <w:rPr>
                <w:rFonts w:ascii="Arial" w:hAnsi="Arial" w:cs="Arial"/>
                <w:color w:val="000000" w:themeColor="text1"/>
                <w:sz w:val="20"/>
              </w:rPr>
              <w:t>Abordar responsablemente los impactos generados por las actividades territoriales (El que contamina paga). Asumir costos de contaminación y daños asociados; y pérdida de recursos y fuentes de desarrollo.</w:t>
            </w:r>
          </w:p>
        </w:tc>
        <w:tc>
          <w:tcPr>
            <w:tcW w:w="425" w:type="dxa"/>
            <w:tcBorders>
              <w:top w:val="nil"/>
              <w:bottom w:val="nil"/>
            </w:tcBorders>
            <w:shd w:val="clear" w:color="auto" w:fill="FF0000"/>
            <w:noWrap/>
            <w:vAlign w:val="center"/>
          </w:tcPr>
          <w:p w:rsidR="001405F1" w:rsidRPr="000E0F90" w:rsidRDefault="001405F1" w:rsidP="002C295A">
            <w:pPr>
              <w:spacing w:after="0" w:line="240" w:lineRule="auto"/>
              <w:jc w:val="center"/>
              <w:rPr>
                <w:rFonts w:ascii="Arial" w:eastAsia="Times New Roman" w:hAnsi="Arial" w:cs="Arial"/>
                <w:color w:val="000000" w:themeColor="text1"/>
                <w:sz w:val="20"/>
                <w:szCs w:val="20"/>
                <w:lang w:eastAsia="es-CL"/>
              </w:rPr>
            </w:pPr>
            <w:r w:rsidRPr="000E0F90">
              <w:rPr>
                <w:rFonts w:ascii="Arial" w:eastAsia="Times New Roman" w:hAnsi="Arial" w:cs="Arial"/>
                <w:color w:val="000000" w:themeColor="text1"/>
                <w:sz w:val="20"/>
                <w:szCs w:val="20"/>
                <w:lang w:eastAsia="es-CL"/>
              </w:rPr>
              <w:t>N</w:t>
            </w:r>
          </w:p>
        </w:tc>
        <w:tc>
          <w:tcPr>
            <w:tcW w:w="484" w:type="dxa"/>
            <w:tcBorders>
              <w:top w:val="nil"/>
              <w:bottom w:val="nil"/>
            </w:tcBorders>
            <w:shd w:val="clear" w:color="auto" w:fill="FFFF00"/>
            <w:noWrap/>
            <w:vAlign w:val="center"/>
          </w:tcPr>
          <w:p w:rsidR="001405F1" w:rsidRPr="000E0F90" w:rsidRDefault="001405F1" w:rsidP="002C295A">
            <w:pPr>
              <w:spacing w:after="0" w:line="240" w:lineRule="auto"/>
              <w:jc w:val="center"/>
              <w:rPr>
                <w:rFonts w:ascii="Arial" w:eastAsia="Times New Roman" w:hAnsi="Arial" w:cs="Arial"/>
                <w:color w:val="000000" w:themeColor="text1"/>
                <w:sz w:val="20"/>
                <w:szCs w:val="20"/>
                <w:lang w:eastAsia="es-CL"/>
              </w:rPr>
            </w:pPr>
            <w:r w:rsidRPr="000E0F90">
              <w:rPr>
                <w:rFonts w:ascii="Arial" w:eastAsia="Times New Roman" w:hAnsi="Arial" w:cs="Arial"/>
                <w:color w:val="000000" w:themeColor="text1"/>
                <w:sz w:val="20"/>
                <w:szCs w:val="20"/>
                <w:lang w:eastAsia="es-CL"/>
              </w:rPr>
              <w:t>P</w:t>
            </w:r>
          </w:p>
        </w:tc>
      </w:tr>
      <w:tr w:rsidR="001405F1" w:rsidRPr="000E0F90" w:rsidTr="002A21E4">
        <w:trPr>
          <w:trHeight w:val="58"/>
          <w:jc w:val="center"/>
        </w:trPr>
        <w:tc>
          <w:tcPr>
            <w:tcW w:w="343" w:type="dxa"/>
            <w:tcBorders>
              <w:top w:val="nil"/>
              <w:bottom w:val="nil"/>
            </w:tcBorders>
          </w:tcPr>
          <w:p w:rsidR="001405F1" w:rsidRPr="000E0F90" w:rsidRDefault="002576A6" w:rsidP="002C295A">
            <w:pPr>
              <w:pStyle w:val="NormalWeb"/>
              <w:spacing w:before="0" w:beforeAutospacing="0" w:after="0" w:afterAutospacing="0"/>
              <w:textAlignment w:val="center"/>
              <w:rPr>
                <w:rFonts w:ascii="Arial" w:hAnsi="Arial" w:cs="Arial"/>
                <w:color w:val="000000" w:themeColor="text1"/>
                <w:kern w:val="24"/>
                <w:sz w:val="20"/>
                <w:szCs w:val="28"/>
              </w:rPr>
            </w:pPr>
            <w:r w:rsidRPr="000E0F90">
              <w:rPr>
                <w:rFonts w:ascii="Arial" w:hAnsi="Arial" w:cs="Arial"/>
                <w:color w:val="000000" w:themeColor="text1"/>
                <w:kern w:val="24"/>
                <w:sz w:val="20"/>
                <w:szCs w:val="28"/>
              </w:rPr>
              <w:t>8</w:t>
            </w:r>
          </w:p>
        </w:tc>
        <w:tc>
          <w:tcPr>
            <w:tcW w:w="7387" w:type="dxa"/>
            <w:tcBorders>
              <w:top w:val="nil"/>
              <w:bottom w:val="nil"/>
            </w:tcBorders>
            <w:shd w:val="clear" w:color="auto" w:fill="auto"/>
            <w:vAlign w:val="center"/>
          </w:tcPr>
          <w:p w:rsidR="001405F1" w:rsidRPr="00F65FAC" w:rsidRDefault="001405F1" w:rsidP="002C295A">
            <w:pPr>
              <w:pStyle w:val="NormalWeb"/>
              <w:spacing w:before="0" w:beforeAutospacing="0" w:after="0" w:afterAutospacing="0"/>
              <w:textAlignment w:val="center"/>
              <w:rPr>
                <w:rFonts w:ascii="Arial" w:hAnsi="Arial" w:cs="Arial"/>
                <w:color w:val="000000" w:themeColor="text1"/>
                <w:kern w:val="24"/>
                <w:sz w:val="20"/>
                <w:szCs w:val="28"/>
              </w:rPr>
            </w:pPr>
            <w:r w:rsidRPr="00F65FAC">
              <w:rPr>
                <w:rFonts w:ascii="Arial" w:hAnsi="Arial" w:cs="Arial"/>
                <w:color w:val="000000" w:themeColor="text1"/>
                <w:kern w:val="24"/>
                <w:sz w:val="20"/>
                <w:szCs w:val="28"/>
              </w:rPr>
              <w:t xml:space="preserve">Promover y proteger la diversidad biológica. Proteger hábitats y especies amenazadas, así como prevenir su degradación. </w:t>
            </w:r>
          </w:p>
        </w:tc>
        <w:tc>
          <w:tcPr>
            <w:tcW w:w="425" w:type="dxa"/>
            <w:tcBorders>
              <w:top w:val="nil"/>
              <w:bottom w:val="nil"/>
            </w:tcBorders>
            <w:shd w:val="clear" w:color="auto" w:fill="FF0000"/>
            <w:noWrap/>
            <w:vAlign w:val="center"/>
          </w:tcPr>
          <w:p w:rsidR="001405F1" w:rsidRPr="000E0F90" w:rsidRDefault="001405F1" w:rsidP="002C295A">
            <w:pPr>
              <w:spacing w:after="0" w:line="240" w:lineRule="auto"/>
              <w:jc w:val="center"/>
              <w:rPr>
                <w:rFonts w:ascii="Arial" w:eastAsia="Times New Roman" w:hAnsi="Arial" w:cs="Arial"/>
                <w:color w:val="000000" w:themeColor="text1"/>
                <w:sz w:val="20"/>
                <w:szCs w:val="20"/>
                <w:lang w:eastAsia="es-CL"/>
              </w:rPr>
            </w:pPr>
            <w:r w:rsidRPr="000E0F90">
              <w:rPr>
                <w:rFonts w:ascii="Arial" w:eastAsia="Times New Roman" w:hAnsi="Arial" w:cs="Arial"/>
                <w:color w:val="000000" w:themeColor="text1"/>
                <w:sz w:val="20"/>
                <w:szCs w:val="20"/>
                <w:lang w:eastAsia="es-CL"/>
              </w:rPr>
              <w:t>N</w:t>
            </w:r>
          </w:p>
        </w:tc>
        <w:tc>
          <w:tcPr>
            <w:tcW w:w="484" w:type="dxa"/>
            <w:tcBorders>
              <w:top w:val="nil"/>
              <w:bottom w:val="nil"/>
            </w:tcBorders>
            <w:shd w:val="clear" w:color="auto" w:fill="auto"/>
            <w:noWrap/>
            <w:vAlign w:val="center"/>
          </w:tcPr>
          <w:p w:rsidR="001405F1" w:rsidRPr="000E0F90" w:rsidRDefault="001405F1" w:rsidP="002C295A">
            <w:pPr>
              <w:spacing w:after="0" w:line="240" w:lineRule="auto"/>
              <w:jc w:val="center"/>
              <w:rPr>
                <w:rFonts w:ascii="Arial" w:eastAsia="Times New Roman" w:hAnsi="Arial" w:cs="Arial"/>
                <w:color w:val="000000" w:themeColor="text1"/>
                <w:sz w:val="20"/>
                <w:szCs w:val="20"/>
                <w:lang w:eastAsia="es-CL"/>
              </w:rPr>
            </w:pPr>
          </w:p>
        </w:tc>
      </w:tr>
      <w:tr w:rsidR="000E0F90" w:rsidRPr="000E0F90" w:rsidTr="002A21E4">
        <w:trPr>
          <w:trHeight w:val="58"/>
          <w:jc w:val="center"/>
        </w:trPr>
        <w:tc>
          <w:tcPr>
            <w:tcW w:w="343" w:type="dxa"/>
            <w:tcBorders>
              <w:top w:val="nil"/>
              <w:bottom w:val="nil"/>
            </w:tcBorders>
          </w:tcPr>
          <w:p w:rsidR="00526589" w:rsidRPr="000E0F90" w:rsidRDefault="002576A6" w:rsidP="002C295A">
            <w:pPr>
              <w:pStyle w:val="NormalWeb"/>
              <w:spacing w:before="0" w:beforeAutospacing="0" w:after="0" w:afterAutospacing="0"/>
              <w:textAlignment w:val="center"/>
              <w:rPr>
                <w:rFonts w:ascii="Arial" w:hAnsi="Arial" w:cs="Arial"/>
                <w:color w:val="000000" w:themeColor="text1"/>
                <w:sz w:val="20"/>
                <w:szCs w:val="36"/>
              </w:rPr>
            </w:pPr>
            <w:r w:rsidRPr="000E0F90">
              <w:rPr>
                <w:rFonts w:ascii="Arial" w:hAnsi="Arial" w:cs="Arial"/>
                <w:color w:val="000000" w:themeColor="text1"/>
                <w:sz w:val="20"/>
                <w:szCs w:val="36"/>
              </w:rPr>
              <w:t>9</w:t>
            </w:r>
          </w:p>
        </w:tc>
        <w:tc>
          <w:tcPr>
            <w:tcW w:w="7387" w:type="dxa"/>
            <w:tcBorders>
              <w:top w:val="nil"/>
              <w:bottom w:val="nil"/>
            </w:tcBorders>
            <w:shd w:val="clear" w:color="auto" w:fill="auto"/>
            <w:vAlign w:val="center"/>
          </w:tcPr>
          <w:p w:rsidR="00526589" w:rsidRPr="00F65FAC" w:rsidRDefault="00526589" w:rsidP="002C295A">
            <w:pPr>
              <w:pStyle w:val="NormalWeb"/>
              <w:spacing w:before="0" w:beforeAutospacing="0" w:after="0" w:afterAutospacing="0"/>
              <w:textAlignment w:val="center"/>
              <w:rPr>
                <w:rFonts w:ascii="Arial" w:hAnsi="Arial" w:cs="Arial"/>
                <w:color w:val="000000" w:themeColor="text1"/>
                <w:sz w:val="20"/>
                <w:szCs w:val="20"/>
              </w:rPr>
            </w:pPr>
            <w:r w:rsidRPr="00F65FAC">
              <w:rPr>
                <w:rFonts w:ascii="Arial" w:hAnsi="Arial" w:cs="Arial"/>
                <w:color w:val="000000" w:themeColor="text1"/>
                <w:sz w:val="20"/>
                <w:szCs w:val="20"/>
              </w:rPr>
              <w:t>Rehabilitar o restaurar ecosistemas locales que entreguen recursos naturales o servicios ecológicos para la sobrevida y desarrollo humano. Restaurar regímenes hidrológicos, recurso suelo y hábitats.</w:t>
            </w:r>
            <w:r w:rsidR="002C295A" w:rsidRPr="00F65FAC">
              <w:rPr>
                <w:rFonts w:ascii="Arial" w:hAnsi="Arial" w:cs="Arial"/>
                <w:color w:val="000000" w:themeColor="text1"/>
                <w:sz w:val="20"/>
                <w:szCs w:val="20"/>
              </w:rPr>
              <w:t xml:space="preserve"> </w:t>
            </w:r>
            <w:r w:rsidR="00AA2647" w:rsidRPr="00F65FAC">
              <w:rPr>
                <w:rFonts w:ascii="Arial" w:hAnsi="Arial" w:cs="Arial"/>
                <w:color w:val="000000" w:themeColor="text1"/>
                <w:sz w:val="20"/>
                <w:szCs w:val="20"/>
              </w:rPr>
              <w:t>Realizar el cierre efectivos de los pasivos ambientales mineros.</w:t>
            </w:r>
          </w:p>
        </w:tc>
        <w:tc>
          <w:tcPr>
            <w:tcW w:w="425" w:type="dxa"/>
            <w:tcBorders>
              <w:top w:val="nil"/>
              <w:bottom w:val="nil"/>
            </w:tcBorders>
            <w:shd w:val="clear" w:color="auto" w:fill="FF0000"/>
            <w:noWrap/>
            <w:vAlign w:val="center"/>
          </w:tcPr>
          <w:p w:rsidR="00526589" w:rsidRPr="000E0F90" w:rsidRDefault="00526589" w:rsidP="002C295A">
            <w:pPr>
              <w:spacing w:after="0" w:line="240" w:lineRule="auto"/>
              <w:jc w:val="center"/>
              <w:rPr>
                <w:rFonts w:ascii="Arial" w:eastAsia="Times New Roman" w:hAnsi="Arial" w:cs="Arial"/>
                <w:color w:val="000000" w:themeColor="text1"/>
                <w:sz w:val="20"/>
                <w:szCs w:val="20"/>
                <w:lang w:eastAsia="es-CL"/>
              </w:rPr>
            </w:pPr>
            <w:r w:rsidRPr="000E0F90">
              <w:rPr>
                <w:rFonts w:ascii="Arial" w:eastAsia="Times New Roman" w:hAnsi="Arial" w:cs="Arial"/>
                <w:color w:val="000000" w:themeColor="text1"/>
                <w:sz w:val="20"/>
                <w:szCs w:val="20"/>
                <w:lang w:eastAsia="es-CL"/>
              </w:rPr>
              <w:t>N</w:t>
            </w:r>
          </w:p>
        </w:tc>
        <w:tc>
          <w:tcPr>
            <w:tcW w:w="484" w:type="dxa"/>
            <w:tcBorders>
              <w:top w:val="nil"/>
              <w:bottom w:val="nil"/>
            </w:tcBorders>
            <w:shd w:val="clear" w:color="auto" w:fill="FF0000"/>
            <w:noWrap/>
            <w:vAlign w:val="center"/>
          </w:tcPr>
          <w:p w:rsidR="00526589" w:rsidRPr="000E0F90" w:rsidRDefault="00217C99" w:rsidP="002C295A">
            <w:pPr>
              <w:spacing w:after="0" w:line="240" w:lineRule="auto"/>
              <w:jc w:val="center"/>
              <w:rPr>
                <w:rFonts w:ascii="Arial" w:eastAsia="Times New Roman" w:hAnsi="Arial" w:cs="Arial"/>
                <w:color w:val="000000" w:themeColor="text1"/>
                <w:sz w:val="20"/>
                <w:szCs w:val="20"/>
                <w:lang w:eastAsia="es-CL"/>
              </w:rPr>
            </w:pPr>
            <w:r>
              <w:rPr>
                <w:rFonts w:ascii="Arial" w:eastAsia="Times New Roman" w:hAnsi="Arial" w:cs="Arial"/>
                <w:color w:val="000000" w:themeColor="text1"/>
                <w:sz w:val="20"/>
                <w:szCs w:val="20"/>
                <w:lang w:eastAsia="es-CL"/>
              </w:rPr>
              <w:t>N</w:t>
            </w:r>
          </w:p>
        </w:tc>
      </w:tr>
      <w:tr w:rsidR="00526589" w:rsidRPr="000E0F90" w:rsidTr="002A21E4">
        <w:trPr>
          <w:trHeight w:val="58"/>
          <w:jc w:val="center"/>
        </w:trPr>
        <w:tc>
          <w:tcPr>
            <w:tcW w:w="343" w:type="dxa"/>
            <w:tcBorders>
              <w:top w:val="nil"/>
            </w:tcBorders>
          </w:tcPr>
          <w:p w:rsidR="00526589" w:rsidRPr="000E0F90" w:rsidRDefault="00526589" w:rsidP="001B06D1">
            <w:pPr>
              <w:pStyle w:val="NormalWeb"/>
              <w:spacing w:before="0" w:beforeAutospacing="0" w:after="0" w:afterAutospacing="0"/>
              <w:textAlignment w:val="center"/>
              <w:rPr>
                <w:rFonts w:ascii="Arial" w:hAnsi="Arial" w:cs="Arial"/>
                <w:color w:val="000000" w:themeColor="text1"/>
                <w:sz w:val="20"/>
                <w:szCs w:val="36"/>
              </w:rPr>
            </w:pPr>
            <w:r w:rsidRPr="000E0F90">
              <w:rPr>
                <w:rFonts w:ascii="Arial" w:hAnsi="Arial" w:cs="Arial"/>
                <w:color w:val="000000" w:themeColor="text1"/>
                <w:sz w:val="20"/>
                <w:szCs w:val="36"/>
              </w:rPr>
              <w:t>10</w:t>
            </w:r>
          </w:p>
        </w:tc>
        <w:tc>
          <w:tcPr>
            <w:tcW w:w="7387" w:type="dxa"/>
            <w:tcBorders>
              <w:top w:val="nil"/>
            </w:tcBorders>
            <w:shd w:val="clear" w:color="auto" w:fill="auto"/>
            <w:vAlign w:val="center"/>
          </w:tcPr>
          <w:p w:rsidR="00526589" w:rsidRPr="00F65FAC" w:rsidRDefault="00526589" w:rsidP="001B06D1">
            <w:pPr>
              <w:pStyle w:val="NormalWeb"/>
              <w:spacing w:before="0" w:beforeAutospacing="0" w:after="0" w:afterAutospacing="0"/>
              <w:textAlignment w:val="center"/>
              <w:rPr>
                <w:rFonts w:ascii="Arial" w:hAnsi="Arial" w:cs="Arial"/>
                <w:color w:val="000000" w:themeColor="text1"/>
                <w:sz w:val="20"/>
                <w:szCs w:val="36"/>
              </w:rPr>
            </w:pPr>
            <w:r w:rsidRPr="00F65FAC">
              <w:rPr>
                <w:rFonts w:ascii="Arial" w:hAnsi="Arial" w:cs="Arial"/>
                <w:color w:val="000000" w:themeColor="text1"/>
                <w:sz w:val="20"/>
                <w:szCs w:val="36"/>
              </w:rPr>
              <w:t>Minimizar impactos de las acciones territoriales de largo alcance temporal y espacial, evitar acciones que generen efectos de legado, así como efectos directos e indirectos en los territorios contiguos. Desarrollo Territorial Responsable.</w:t>
            </w:r>
          </w:p>
        </w:tc>
        <w:tc>
          <w:tcPr>
            <w:tcW w:w="425" w:type="dxa"/>
            <w:tcBorders>
              <w:top w:val="nil"/>
            </w:tcBorders>
            <w:shd w:val="clear" w:color="auto" w:fill="FF0000"/>
            <w:noWrap/>
            <w:vAlign w:val="center"/>
          </w:tcPr>
          <w:p w:rsidR="00526589" w:rsidRPr="000E0F90" w:rsidRDefault="00526589" w:rsidP="001B06D1">
            <w:pPr>
              <w:spacing w:after="0" w:line="240" w:lineRule="auto"/>
              <w:jc w:val="center"/>
              <w:rPr>
                <w:rFonts w:ascii="Arial" w:eastAsia="Times New Roman" w:hAnsi="Arial" w:cs="Arial"/>
                <w:color w:val="000000" w:themeColor="text1"/>
                <w:sz w:val="20"/>
                <w:szCs w:val="20"/>
                <w:lang w:eastAsia="es-CL"/>
              </w:rPr>
            </w:pPr>
            <w:r w:rsidRPr="000E0F90">
              <w:rPr>
                <w:rFonts w:ascii="Arial" w:eastAsia="Times New Roman" w:hAnsi="Arial" w:cs="Arial"/>
                <w:color w:val="000000" w:themeColor="text1"/>
                <w:sz w:val="20"/>
                <w:szCs w:val="20"/>
                <w:lang w:eastAsia="es-CL"/>
              </w:rPr>
              <w:t>N</w:t>
            </w:r>
          </w:p>
        </w:tc>
        <w:tc>
          <w:tcPr>
            <w:tcW w:w="484" w:type="dxa"/>
            <w:tcBorders>
              <w:top w:val="nil"/>
            </w:tcBorders>
            <w:shd w:val="clear" w:color="auto" w:fill="FF0000"/>
            <w:noWrap/>
            <w:vAlign w:val="center"/>
          </w:tcPr>
          <w:p w:rsidR="00526589" w:rsidRPr="000E0F90" w:rsidRDefault="00526589" w:rsidP="001B06D1">
            <w:pPr>
              <w:spacing w:after="0" w:line="240" w:lineRule="auto"/>
              <w:jc w:val="center"/>
              <w:rPr>
                <w:rFonts w:ascii="Arial" w:eastAsia="Times New Roman" w:hAnsi="Arial" w:cs="Arial"/>
                <w:color w:val="000000" w:themeColor="text1"/>
                <w:sz w:val="20"/>
                <w:szCs w:val="20"/>
                <w:lang w:eastAsia="es-CL"/>
              </w:rPr>
            </w:pPr>
            <w:r w:rsidRPr="000E0F90">
              <w:rPr>
                <w:rFonts w:ascii="Arial" w:eastAsia="Times New Roman" w:hAnsi="Arial" w:cs="Arial"/>
                <w:color w:val="000000" w:themeColor="text1"/>
                <w:sz w:val="20"/>
                <w:szCs w:val="20"/>
                <w:lang w:eastAsia="es-CL"/>
              </w:rPr>
              <w:t>N</w:t>
            </w:r>
          </w:p>
        </w:tc>
      </w:tr>
    </w:tbl>
    <w:p w:rsidR="00104E74" w:rsidRPr="000E0F90" w:rsidRDefault="00104E74" w:rsidP="006A5290">
      <w:pPr>
        <w:rPr>
          <w:rFonts w:ascii="Arial" w:hAnsi="Arial" w:cs="Arial"/>
          <w:color w:val="000000" w:themeColor="text1"/>
        </w:rPr>
      </w:pPr>
    </w:p>
    <w:p w:rsidR="000109A6" w:rsidRPr="000E0F90" w:rsidRDefault="000109A6">
      <w:pPr>
        <w:jc w:val="left"/>
        <w:rPr>
          <w:rFonts w:ascii="Arial" w:eastAsiaTheme="majorEastAsia" w:hAnsi="Arial" w:cs="Arial"/>
          <w:b/>
          <w:bCs/>
          <w:color w:val="000000" w:themeColor="text1"/>
        </w:rPr>
      </w:pPr>
      <w:r w:rsidRPr="000E0F90">
        <w:rPr>
          <w:rFonts w:ascii="Arial" w:hAnsi="Arial" w:cs="Arial"/>
          <w:color w:val="000000" w:themeColor="text1"/>
        </w:rPr>
        <w:br w:type="page"/>
      </w:r>
    </w:p>
    <w:p w:rsidR="00B4144D" w:rsidRPr="000E0F90" w:rsidRDefault="00B1789A" w:rsidP="00F7220D">
      <w:pPr>
        <w:pStyle w:val="Ttulo3"/>
        <w:spacing w:after="0" w:line="360" w:lineRule="auto"/>
        <w:rPr>
          <w:rFonts w:ascii="Arial" w:hAnsi="Arial" w:cs="Arial"/>
        </w:rPr>
      </w:pPr>
      <w:r w:rsidRPr="000E0F90">
        <w:rPr>
          <w:rFonts w:ascii="Arial" w:hAnsi="Arial" w:cs="Arial"/>
        </w:rPr>
        <w:lastRenderedPageBreak/>
        <w:t>2</w:t>
      </w:r>
      <w:r w:rsidR="00B4144D" w:rsidRPr="000E0F90">
        <w:rPr>
          <w:rFonts w:ascii="Arial" w:hAnsi="Arial" w:cs="Arial"/>
        </w:rPr>
        <w:t xml:space="preserve">. Calidad de vida </w:t>
      </w:r>
      <w:r w:rsidR="00A76B75" w:rsidRPr="000E0F90">
        <w:rPr>
          <w:rFonts w:ascii="Arial" w:hAnsi="Arial" w:cs="Arial"/>
        </w:rPr>
        <w:t xml:space="preserve">y Equidad </w:t>
      </w:r>
    </w:p>
    <w:p w:rsidR="004671B9" w:rsidRPr="000E0F90" w:rsidRDefault="00047572" w:rsidP="00702D9A">
      <w:pPr>
        <w:spacing w:line="360" w:lineRule="auto"/>
        <w:rPr>
          <w:rFonts w:ascii="Arial" w:hAnsi="Arial" w:cs="Arial"/>
          <w:color w:val="000000" w:themeColor="text1"/>
        </w:rPr>
      </w:pPr>
      <w:r w:rsidRPr="000E0F90">
        <w:rPr>
          <w:rFonts w:ascii="Arial" w:hAnsi="Arial" w:cs="Arial"/>
          <w:color w:val="000000" w:themeColor="text1"/>
        </w:rPr>
        <w:t xml:space="preserve">En relación a las condiciones de calidad de vida y equidad </w:t>
      </w:r>
      <w:r w:rsidR="00A661EB" w:rsidRPr="000E0F90">
        <w:rPr>
          <w:rFonts w:ascii="Arial" w:hAnsi="Arial" w:cs="Arial"/>
          <w:color w:val="000000" w:themeColor="text1"/>
        </w:rPr>
        <w:t>evidenciadas por los actores locales</w:t>
      </w:r>
      <w:r w:rsidR="00D03446" w:rsidRPr="000E0F90">
        <w:rPr>
          <w:rFonts w:ascii="Arial" w:hAnsi="Arial" w:cs="Arial"/>
          <w:color w:val="000000" w:themeColor="text1"/>
        </w:rPr>
        <w:t xml:space="preserve">, </w:t>
      </w:r>
      <w:r w:rsidR="00067994" w:rsidRPr="000E0F90">
        <w:rPr>
          <w:rFonts w:ascii="Arial" w:hAnsi="Arial" w:cs="Arial"/>
          <w:color w:val="000000" w:themeColor="text1"/>
        </w:rPr>
        <w:t xml:space="preserve">en el cuadro siguiente se presentan los resultados de la evaluación. </w:t>
      </w:r>
    </w:p>
    <w:p w:rsidR="00740D3D" w:rsidRPr="000E0F90" w:rsidRDefault="00740D3D" w:rsidP="00F7220D">
      <w:pPr>
        <w:pStyle w:val="Epgrafe"/>
        <w:spacing w:after="0" w:line="360" w:lineRule="auto"/>
        <w:rPr>
          <w:rFonts w:ascii="Arial" w:hAnsi="Arial" w:cs="Arial"/>
          <w:b w:val="0"/>
          <w:color w:val="000000" w:themeColor="text1"/>
          <w:sz w:val="22"/>
          <w:szCs w:val="22"/>
        </w:rPr>
      </w:pPr>
      <w:r w:rsidRPr="000E0F90">
        <w:rPr>
          <w:rFonts w:ascii="Arial" w:hAnsi="Arial" w:cs="Arial"/>
          <w:b w:val="0"/>
          <w:color w:val="000000" w:themeColor="text1"/>
          <w:sz w:val="22"/>
          <w:szCs w:val="22"/>
        </w:rPr>
        <w:t xml:space="preserve">Cuadro </w:t>
      </w:r>
      <w:r w:rsidRPr="000E0F90">
        <w:rPr>
          <w:rFonts w:ascii="Arial" w:hAnsi="Arial" w:cs="Arial"/>
          <w:b w:val="0"/>
          <w:color w:val="000000" w:themeColor="text1"/>
          <w:sz w:val="22"/>
          <w:szCs w:val="22"/>
        </w:rPr>
        <w:fldChar w:fldCharType="begin"/>
      </w:r>
      <w:r w:rsidRPr="000E0F90">
        <w:rPr>
          <w:rFonts w:ascii="Arial" w:hAnsi="Arial" w:cs="Arial"/>
          <w:b w:val="0"/>
          <w:color w:val="000000" w:themeColor="text1"/>
          <w:sz w:val="22"/>
          <w:szCs w:val="22"/>
        </w:rPr>
        <w:instrText xml:space="preserve"> SEQ Cuadro \* ARABIC </w:instrText>
      </w:r>
      <w:r w:rsidRPr="000E0F90">
        <w:rPr>
          <w:rFonts w:ascii="Arial" w:hAnsi="Arial" w:cs="Arial"/>
          <w:b w:val="0"/>
          <w:color w:val="000000" w:themeColor="text1"/>
          <w:sz w:val="22"/>
          <w:szCs w:val="22"/>
        </w:rPr>
        <w:fldChar w:fldCharType="separate"/>
      </w:r>
      <w:r w:rsidR="00225844">
        <w:rPr>
          <w:rFonts w:ascii="Arial" w:hAnsi="Arial" w:cs="Arial"/>
          <w:b w:val="0"/>
          <w:noProof/>
          <w:color w:val="000000" w:themeColor="text1"/>
          <w:sz w:val="22"/>
          <w:szCs w:val="22"/>
        </w:rPr>
        <w:t>15</w:t>
      </w:r>
      <w:r w:rsidRPr="000E0F90">
        <w:rPr>
          <w:rFonts w:ascii="Arial" w:hAnsi="Arial" w:cs="Arial"/>
          <w:b w:val="0"/>
          <w:color w:val="000000" w:themeColor="text1"/>
          <w:sz w:val="22"/>
          <w:szCs w:val="22"/>
        </w:rPr>
        <w:fldChar w:fldCharType="end"/>
      </w:r>
      <w:r w:rsidRPr="000E0F90">
        <w:rPr>
          <w:rFonts w:ascii="Arial" w:hAnsi="Arial" w:cs="Arial"/>
          <w:b w:val="0"/>
          <w:color w:val="000000" w:themeColor="text1"/>
          <w:sz w:val="22"/>
          <w:szCs w:val="22"/>
        </w:rPr>
        <w:t xml:space="preserve">: </w:t>
      </w:r>
      <w:r w:rsidR="008A28B4" w:rsidRPr="000E0F90">
        <w:rPr>
          <w:rFonts w:ascii="Arial" w:hAnsi="Arial" w:cs="Arial"/>
          <w:b w:val="0"/>
          <w:color w:val="000000" w:themeColor="text1"/>
          <w:sz w:val="22"/>
        </w:rPr>
        <w:t>Estado actual de los territorios mineros bajo estudio de acuerdo a principios de sostenibilidad elaborados, en relación a los criterios de Calidad de vida y Equidad.</w:t>
      </w:r>
    </w:p>
    <w:tbl>
      <w:tblPr>
        <w:tblW w:w="0" w:type="auto"/>
        <w:tblInd w:w="65" w:type="dxa"/>
        <w:tblBorders>
          <w:top w:val="single" w:sz="4" w:space="0" w:color="auto"/>
          <w:bottom w:val="single" w:sz="4" w:space="0" w:color="auto"/>
          <w:insideH w:val="single" w:sz="4" w:space="0" w:color="auto"/>
        </w:tblBorders>
        <w:tblCellMar>
          <w:left w:w="70" w:type="dxa"/>
          <w:right w:w="70" w:type="dxa"/>
        </w:tblCellMar>
        <w:tblLook w:val="04A0" w:firstRow="1" w:lastRow="0" w:firstColumn="1" w:lastColumn="0" w:noHBand="0" w:noVBand="1"/>
      </w:tblPr>
      <w:tblGrid>
        <w:gridCol w:w="343"/>
        <w:gridCol w:w="7455"/>
        <w:gridCol w:w="401"/>
        <w:gridCol w:w="417"/>
      </w:tblGrid>
      <w:tr w:rsidR="002A40B5" w:rsidRPr="000E0F90" w:rsidTr="002A21E4">
        <w:trPr>
          <w:trHeight w:val="255"/>
        </w:trPr>
        <w:tc>
          <w:tcPr>
            <w:tcW w:w="343" w:type="dxa"/>
            <w:tcBorders>
              <w:bottom w:val="nil"/>
            </w:tcBorders>
            <w:shd w:val="clear" w:color="auto" w:fill="D9D9D9" w:themeFill="background1" w:themeFillShade="D9"/>
            <w:tcMar>
              <w:left w:w="57" w:type="dxa"/>
              <w:right w:w="57" w:type="dxa"/>
            </w:tcMar>
          </w:tcPr>
          <w:p w:rsidR="002A40B5" w:rsidRPr="000E0F90" w:rsidRDefault="002A40B5" w:rsidP="00BC7720">
            <w:pPr>
              <w:spacing w:after="0" w:line="240" w:lineRule="auto"/>
              <w:jc w:val="left"/>
              <w:rPr>
                <w:rFonts w:ascii="Arial" w:eastAsia="Times New Roman" w:hAnsi="Arial" w:cs="Arial"/>
                <w:b/>
                <w:bCs/>
                <w:color w:val="000000" w:themeColor="text1"/>
                <w:sz w:val="20"/>
                <w:szCs w:val="20"/>
                <w:lang w:eastAsia="es-CL"/>
              </w:rPr>
            </w:pPr>
          </w:p>
        </w:tc>
        <w:tc>
          <w:tcPr>
            <w:tcW w:w="7503" w:type="dxa"/>
            <w:tcBorders>
              <w:bottom w:val="nil"/>
            </w:tcBorders>
            <w:shd w:val="clear" w:color="auto" w:fill="D9D9D9" w:themeFill="background1" w:themeFillShade="D9"/>
            <w:vAlign w:val="bottom"/>
          </w:tcPr>
          <w:p w:rsidR="002A40B5" w:rsidRPr="000E0F90" w:rsidRDefault="002A40B5" w:rsidP="0043148E">
            <w:pPr>
              <w:spacing w:after="0" w:line="240" w:lineRule="auto"/>
              <w:jc w:val="left"/>
              <w:rPr>
                <w:rFonts w:ascii="Arial" w:eastAsia="Times New Roman" w:hAnsi="Arial" w:cs="Arial"/>
                <w:b/>
                <w:bCs/>
                <w:color w:val="000000" w:themeColor="text1"/>
                <w:sz w:val="20"/>
                <w:szCs w:val="20"/>
                <w:lang w:eastAsia="es-CL"/>
              </w:rPr>
            </w:pPr>
          </w:p>
        </w:tc>
        <w:tc>
          <w:tcPr>
            <w:tcW w:w="770" w:type="dxa"/>
            <w:gridSpan w:val="2"/>
            <w:tcBorders>
              <w:bottom w:val="nil"/>
            </w:tcBorders>
            <w:shd w:val="clear" w:color="auto" w:fill="D9D9D9" w:themeFill="background1" w:themeFillShade="D9"/>
          </w:tcPr>
          <w:p w:rsidR="002A40B5" w:rsidRPr="000E0F90" w:rsidRDefault="002A40B5" w:rsidP="00683B98">
            <w:pPr>
              <w:spacing w:after="0" w:line="240" w:lineRule="auto"/>
              <w:jc w:val="center"/>
              <w:rPr>
                <w:rFonts w:ascii="Arial" w:eastAsia="Times New Roman" w:hAnsi="Arial" w:cs="Arial"/>
                <w:b/>
                <w:iCs/>
                <w:color w:val="000000" w:themeColor="text1"/>
                <w:sz w:val="20"/>
                <w:szCs w:val="20"/>
                <w:lang w:eastAsia="es-CL"/>
              </w:rPr>
            </w:pPr>
            <w:r w:rsidRPr="000E0F90">
              <w:rPr>
                <w:rFonts w:ascii="Arial" w:eastAsia="Times New Roman" w:hAnsi="Arial" w:cs="Arial"/>
                <w:b/>
                <w:iCs/>
                <w:color w:val="000000" w:themeColor="text1"/>
                <w:sz w:val="20"/>
                <w:szCs w:val="20"/>
                <w:lang w:eastAsia="es-CL"/>
              </w:rPr>
              <w:t>Región</w:t>
            </w:r>
          </w:p>
        </w:tc>
      </w:tr>
      <w:tr w:rsidR="00AD4845" w:rsidRPr="000E0F90" w:rsidTr="002A21E4">
        <w:trPr>
          <w:trHeight w:val="255"/>
        </w:trPr>
        <w:tc>
          <w:tcPr>
            <w:tcW w:w="343" w:type="dxa"/>
            <w:tcBorders>
              <w:top w:val="nil"/>
              <w:bottom w:val="single" w:sz="4" w:space="0" w:color="auto"/>
            </w:tcBorders>
            <w:shd w:val="clear" w:color="auto" w:fill="D9D9D9" w:themeFill="background1" w:themeFillShade="D9"/>
            <w:tcMar>
              <w:left w:w="57" w:type="dxa"/>
              <w:right w:w="57" w:type="dxa"/>
            </w:tcMar>
          </w:tcPr>
          <w:p w:rsidR="00AD4845" w:rsidRPr="000E0F90" w:rsidRDefault="00AD4845" w:rsidP="00BC7720">
            <w:pPr>
              <w:spacing w:after="0" w:line="240" w:lineRule="auto"/>
              <w:jc w:val="left"/>
              <w:rPr>
                <w:rFonts w:ascii="Arial" w:eastAsia="Times New Roman" w:hAnsi="Arial" w:cs="Arial"/>
                <w:b/>
                <w:bCs/>
                <w:color w:val="000000" w:themeColor="text1"/>
                <w:sz w:val="20"/>
                <w:szCs w:val="20"/>
                <w:lang w:eastAsia="es-CL"/>
              </w:rPr>
            </w:pPr>
          </w:p>
        </w:tc>
        <w:tc>
          <w:tcPr>
            <w:tcW w:w="7503" w:type="dxa"/>
            <w:tcBorders>
              <w:top w:val="nil"/>
              <w:bottom w:val="single" w:sz="4" w:space="0" w:color="auto"/>
            </w:tcBorders>
            <w:shd w:val="clear" w:color="auto" w:fill="D9D9D9" w:themeFill="background1" w:themeFillShade="D9"/>
            <w:vAlign w:val="bottom"/>
            <w:hideMark/>
          </w:tcPr>
          <w:p w:rsidR="00AD4845" w:rsidRPr="000E0F90" w:rsidRDefault="00225844" w:rsidP="00BC7720">
            <w:pPr>
              <w:spacing w:after="0" w:line="240" w:lineRule="auto"/>
              <w:jc w:val="left"/>
              <w:rPr>
                <w:rFonts w:ascii="Arial" w:eastAsia="Times New Roman" w:hAnsi="Arial" w:cs="Arial"/>
                <w:b/>
                <w:bCs/>
                <w:color w:val="000000" w:themeColor="text1"/>
                <w:sz w:val="20"/>
                <w:szCs w:val="20"/>
                <w:lang w:eastAsia="es-CL"/>
              </w:rPr>
            </w:pPr>
            <w:r w:rsidRPr="000E0F90">
              <w:rPr>
                <w:rFonts w:ascii="Arial" w:eastAsia="Times New Roman" w:hAnsi="Arial" w:cs="Arial"/>
                <w:b/>
                <w:bCs/>
                <w:color w:val="000000" w:themeColor="text1"/>
                <w:sz w:val="20"/>
                <w:szCs w:val="20"/>
                <w:lang w:eastAsia="es-CL"/>
              </w:rPr>
              <w:t>Criterios Calidad de Vida y Equidad</w:t>
            </w:r>
          </w:p>
        </w:tc>
        <w:tc>
          <w:tcPr>
            <w:tcW w:w="383" w:type="dxa"/>
            <w:tcBorders>
              <w:top w:val="nil"/>
              <w:bottom w:val="single" w:sz="4" w:space="0" w:color="auto"/>
            </w:tcBorders>
            <w:shd w:val="clear" w:color="auto" w:fill="D9D9D9" w:themeFill="background1" w:themeFillShade="D9"/>
          </w:tcPr>
          <w:p w:rsidR="00AD4845" w:rsidRPr="000E0F90" w:rsidRDefault="00AD4845" w:rsidP="00683B98">
            <w:pPr>
              <w:spacing w:after="0" w:line="240" w:lineRule="auto"/>
              <w:jc w:val="center"/>
              <w:rPr>
                <w:rFonts w:ascii="Arial" w:eastAsia="Times New Roman" w:hAnsi="Arial" w:cs="Arial"/>
                <w:b/>
                <w:iCs/>
                <w:color w:val="000000" w:themeColor="text1"/>
                <w:sz w:val="20"/>
                <w:szCs w:val="20"/>
                <w:lang w:eastAsia="es-CL"/>
              </w:rPr>
            </w:pPr>
            <w:r w:rsidRPr="000E0F90">
              <w:rPr>
                <w:rFonts w:ascii="Arial" w:eastAsia="Times New Roman" w:hAnsi="Arial" w:cs="Arial"/>
                <w:b/>
                <w:iCs/>
                <w:color w:val="000000" w:themeColor="text1"/>
                <w:sz w:val="20"/>
                <w:szCs w:val="20"/>
                <w:lang w:eastAsia="es-CL"/>
              </w:rPr>
              <w:t>III</w:t>
            </w:r>
          </w:p>
        </w:tc>
        <w:tc>
          <w:tcPr>
            <w:tcW w:w="387" w:type="dxa"/>
            <w:tcBorders>
              <w:top w:val="nil"/>
              <w:bottom w:val="single" w:sz="4" w:space="0" w:color="auto"/>
            </w:tcBorders>
            <w:shd w:val="clear" w:color="auto" w:fill="D9D9D9" w:themeFill="background1" w:themeFillShade="D9"/>
          </w:tcPr>
          <w:p w:rsidR="00AD4845" w:rsidRPr="000E0F90" w:rsidRDefault="00AD4845" w:rsidP="00683B98">
            <w:pPr>
              <w:spacing w:after="0" w:line="240" w:lineRule="auto"/>
              <w:jc w:val="center"/>
              <w:rPr>
                <w:rFonts w:ascii="Arial" w:eastAsia="Times New Roman" w:hAnsi="Arial" w:cs="Arial"/>
                <w:b/>
                <w:iCs/>
                <w:color w:val="000000" w:themeColor="text1"/>
                <w:sz w:val="20"/>
                <w:szCs w:val="20"/>
                <w:lang w:eastAsia="es-CL"/>
              </w:rPr>
            </w:pPr>
            <w:r w:rsidRPr="000E0F90">
              <w:rPr>
                <w:rFonts w:ascii="Arial" w:eastAsia="Times New Roman" w:hAnsi="Arial" w:cs="Arial"/>
                <w:b/>
                <w:iCs/>
                <w:color w:val="000000" w:themeColor="text1"/>
                <w:sz w:val="20"/>
                <w:szCs w:val="20"/>
                <w:lang w:eastAsia="es-CL"/>
              </w:rPr>
              <w:t>IV</w:t>
            </w:r>
          </w:p>
        </w:tc>
      </w:tr>
      <w:tr w:rsidR="00AD4845" w:rsidRPr="000E0F90" w:rsidTr="002A21E4">
        <w:trPr>
          <w:trHeight w:val="255"/>
        </w:trPr>
        <w:tc>
          <w:tcPr>
            <w:tcW w:w="343" w:type="dxa"/>
            <w:tcBorders>
              <w:bottom w:val="nil"/>
            </w:tcBorders>
            <w:tcMar>
              <w:left w:w="57" w:type="dxa"/>
              <w:right w:w="57" w:type="dxa"/>
            </w:tcMar>
          </w:tcPr>
          <w:p w:rsidR="00AD4845" w:rsidRPr="000E0F90" w:rsidRDefault="00AD4845" w:rsidP="00960558">
            <w:pPr>
              <w:pStyle w:val="NormalWeb"/>
              <w:spacing w:before="0" w:beforeAutospacing="0" w:after="0" w:afterAutospacing="0"/>
              <w:textAlignment w:val="top"/>
              <w:rPr>
                <w:rFonts w:ascii="Arial" w:hAnsi="Arial" w:cs="Arial"/>
                <w:color w:val="000000" w:themeColor="text1"/>
                <w:kern w:val="24"/>
                <w:sz w:val="20"/>
                <w:szCs w:val="22"/>
              </w:rPr>
            </w:pPr>
            <w:r w:rsidRPr="000E0F90">
              <w:rPr>
                <w:rFonts w:ascii="Arial" w:hAnsi="Arial" w:cs="Arial"/>
                <w:color w:val="000000" w:themeColor="text1"/>
                <w:kern w:val="24"/>
                <w:sz w:val="20"/>
                <w:szCs w:val="22"/>
              </w:rPr>
              <w:t>1</w:t>
            </w:r>
          </w:p>
        </w:tc>
        <w:tc>
          <w:tcPr>
            <w:tcW w:w="7503" w:type="dxa"/>
            <w:tcBorders>
              <w:bottom w:val="nil"/>
            </w:tcBorders>
            <w:shd w:val="clear" w:color="auto" w:fill="auto"/>
          </w:tcPr>
          <w:p w:rsidR="00AD4845" w:rsidRPr="009C7871" w:rsidRDefault="00AD4845" w:rsidP="007041A7">
            <w:pPr>
              <w:pStyle w:val="NormalWeb"/>
              <w:spacing w:before="0" w:beforeAutospacing="0" w:after="0" w:afterAutospacing="0"/>
              <w:textAlignment w:val="top"/>
              <w:rPr>
                <w:rFonts w:ascii="Arial" w:hAnsi="Arial" w:cs="Arial"/>
                <w:color w:val="000000" w:themeColor="text1"/>
                <w:sz w:val="20"/>
                <w:szCs w:val="36"/>
              </w:rPr>
            </w:pPr>
            <w:r w:rsidRPr="009C7871">
              <w:rPr>
                <w:rFonts w:ascii="Arial" w:hAnsi="Arial" w:cs="Arial"/>
                <w:color w:val="000000" w:themeColor="text1"/>
                <w:kern w:val="24"/>
                <w:sz w:val="20"/>
                <w:szCs w:val="22"/>
              </w:rPr>
              <w:t xml:space="preserve">Proporcionar servicios </w:t>
            </w:r>
            <w:r w:rsidR="007041A7" w:rsidRPr="009C7871">
              <w:rPr>
                <w:rFonts w:ascii="Arial" w:hAnsi="Arial" w:cs="Arial"/>
                <w:color w:val="000000" w:themeColor="text1"/>
                <w:kern w:val="24"/>
                <w:sz w:val="20"/>
                <w:szCs w:val="22"/>
              </w:rPr>
              <w:t xml:space="preserve">básicos (i.e. </w:t>
            </w:r>
            <w:r w:rsidRPr="009C7871">
              <w:rPr>
                <w:rFonts w:ascii="Arial" w:hAnsi="Arial" w:cs="Arial"/>
                <w:color w:val="000000" w:themeColor="text1"/>
                <w:kern w:val="24"/>
                <w:sz w:val="20"/>
                <w:szCs w:val="22"/>
              </w:rPr>
              <w:t>salud, educación, transporte, conectividad, infraestructura</w:t>
            </w:r>
            <w:r w:rsidR="007041A7" w:rsidRPr="009C7871">
              <w:rPr>
                <w:rFonts w:ascii="Arial" w:hAnsi="Arial" w:cs="Arial"/>
                <w:color w:val="000000" w:themeColor="text1"/>
                <w:kern w:val="24"/>
                <w:sz w:val="20"/>
                <w:szCs w:val="22"/>
              </w:rPr>
              <w:t>)</w:t>
            </w:r>
            <w:r w:rsidRPr="009C7871">
              <w:rPr>
                <w:rFonts w:ascii="Arial" w:hAnsi="Arial" w:cs="Arial"/>
                <w:color w:val="000000" w:themeColor="text1"/>
                <w:kern w:val="24"/>
                <w:sz w:val="20"/>
                <w:szCs w:val="22"/>
              </w:rPr>
              <w:t xml:space="preserve"> y servicios complementarios, que permitan alcanzar un estándar de vida aceptable, en forma igualitaria y total en el territorio, incluyendo a  aquellos más desaventajados. </w:t>
            </w:r>
          </w:p>
        </w:tc>
        <w:tc>
          <w:tcPr>
            <w:tcW w:w="383" w:type="dxa"/>
            <w:tcBorders>
              <w:bottom w:val="nil"/>
            </w:tcBorders>
            <w:shd w:val="clear" w:color="auto" w:fill="FFFF00"/>
            <w:vAlign w:val="center"/>
          </w:tcPr>
          <w:p w:rsidR="00AD4845" w:rsidRPr="000E0F90" w:rsidRDefault="00767A30" w:rsidP="00960558">
            <w:pPr>
              <w:spacing w:after="0" w:line="240" w:lineRule="auto"/>
              <w:jc w:val="center"/>
              <w:rPr>
                <w:rFonts w:ascii="Arial" w:eastAsia="Times New Roman" w:hAnsi="Arial" w:cs="Arial"/>
                <w:iCs/>
                <w:color w:val="000000" w:themeColor="text1"/>
                <w:sz w:val="20"/>
                <w:szCs w:val="20"/>
                <w:lang w:eastAsia="es-CL"/>
              </w:rPr>
            </w:pPr>
            <w:r w:rsidRPr="000E0F90">
              <w:rPr>
                <w:rFonts w:ascii="Arial" w:eastAsia="Times New Roman" w:hAnsi="Arial" w:cs="Arial"/>
                <w:iCs/>
                <w:color w:val="000000" w:themeColor="text1"/>
                <w:sz w:val="20"/>
                <w:szCs w:val="20"/>
                <w:lang w:eastAsia="es-CL"/>
              </w:rPr>
              <w:t>P</w:t>
            </w:r>
          </w:p>
        </w:tc>
        <w:tc>
          <w:tcPr>
            <w:tcW w:w="387" w:type="dxa"/>
            <w:tcBorders>
              <w:bottom w:val="nil"/>
            </w:tcBorders>
            <w:shd w:val="clear" w:color="auto" w:fill="FFFF00"/>
            <w:vAlign w:val="center"/>
          </w:tcPr>
          <w:p w:rsidR="00AD4845" w:rsidRPr="000E0F90" w:rsidRDefault="00767A30" w:rsidP="00960558">
            <w:pPr>
              <w:spacing w:after="0" w:line="240" w:lineRule="auto"/>
              <w:jc w:val="center"/>
              <w:rPr>
                <w:rFonts w:ascii="Arial" w:eastAsia="Times New Roman" w:hAnsi="Arial" w:cs="Arial"/>
                <w:iCs/>
                <w:color w:val="000000" w:themeColor="text1"/>
                <w:sz w:val="20"/>
                <w:szCs w:val="20"/>
                <w:lang w:eastAsia="es-CL"/>
              </w:rPr>
            </w:pPr>
            <w:r w:rsidRPr="000E0F90">
              <w:rPr>
                <w:rFonts w:ascii="Arial" w:eastAsia="Times New Roman" w:hAnsi="Arial" w:cs="Arial"/>
                <w:iCs/>
                <w:color w:val="000000" w:themeColor="text1"/>
                <w:sz w:val="20"/>
                <w:szCs w:val="20"/>
                <w:lang w:eastAsia="es-CL"/>
              </w:rPr>
              <w:t>P</w:t>
            </w:r>
          </w:p>
        </w:tc>
      </w:tr>
      <w:tr w:rsidR="00AD4845" w:rsidRPr="000E0F90" w:rsidTr="002A21E4">
        <w:trPr>
          <w:trHeight w:val="255"/>
        </w:trPr>
        <w:tc>
          <w:tcPr>
            <w:tcW w:w="343" w:type="dxa"/>
            <w:tcBorders>
              <w:top w:val="nil"/>
              <w:bottom w:val="nil"/>
            </w:tcBorders>
            <w:tcMar>
              <w:left w:w="57" w:type="dxa"/>
              <w:right w:w="57" w:type="dxa"/>
            </w:tcMar>
          </w:tcPr>
          <w:p w:rsidR="00AD4845" w:rsidRPr="000E0F90" w:rsidRDefault="00AD4845" w:rsidP="001B06D1">
            <w:pPr>
              <w:pStyle w:val="NormalWeb"/>
              <w:spacing w:before="0" w:beforeAutospacing="0" w:after="0" w:afterAutospacing="0"/>
              <w:textAlignment w:val="center"/>
              <w:rPr>
                <w:rFonts w:ascii="Arial" w:hAnsi="Arial" w:cs="Arial"/>
                <w:color w:val="000000" w:themeColor="text1"/>
                <w:kern w:val="24"/>
                <w:sz w:val="20"/>
                <w:szCs w:val="22"/>
              </w:rPr>
            </w:pPr>
            <w:r w:rsidRPr="000E0F90">
              <w:rPr>
                <w:rFonts w:ascii="Arial" w:hAnsi="Arial" w:cs="Arial"/>
                <w:color w:val="000000" w:themeColor="text1"/>
                <w:kern w:val="24"/>
                <w:sz w:val="20"/>
                <w:szCs w:val="22"/>
              </w:rPr>
              <w:t>2</w:t>
            </w:r>
          </w:p>
        </w:tc>
        <w:tc>
          <w:tcPr>
            <w:tcW w:w="7503" w:type="dxa"/>
            <w:tcBorders>
              <w:top w:val="nil"/>
              <w:bottom w:val="nil"/>
            </w:tcBorders>
            <w:shd w:val="clear" w:color="auto" w:fill="auto"/>
            <w:vAlign w:val="center"/>
          </w:tcPr>
          <w:p w:rsidR="00AD4845" w:rsidRPr="009C7871" w:rsidRDefault="00AD4845" w:rsidP="001B06D1">
            <w:pPr>
              <w:pStyle w:val="NormalWeb"/>
              <w:spacing w:before="0" w:beforeAutospacing="0" w:after="0" w:afterAutospacing="0"/>
              <w:textAlignment w:val="center"/>
              <w:rPr>
                <w:rFonts w:ascii="Arial" w:hAnsi="Arial" w:cs="Arial"/>
                <w:color w:val="000000" w:themeColor="text1"/>
                <w:sz w:val="20"/>
                <w:szCs w:val="36"/>
              </w:rPr>
            </w:pPr>
            <w:r w:rsidRPr="009C7871">
              <w:rPr>
                <w:rFonts w:ascii="Arial" w:hAnsi="Arial" w:cs="Arial"/>
                <w:color w:val="000000" w:themeColor="text1"/>
                <w:kern w:val="24"/>
                <w:sz w:val="20"/>
                <w:szCs w:val="22"/>
              </w:rPr>
              <w:t>Evitar, bajo cualquier situación, acciones que pongan en riesgo la vida humana o que deterioren su condición, como son situaciones de inseguridad o bien que afecten la salud humana.  Se debe evitar el deterioro la calidad de vida.</w:t>
            </w:r>
          </w:p>
        </w:tc>
        <w:tc>
          <w:tcPr>
            <w:tcW w:w="383" w:type="dxa"/>
            <w:tcBorders>
              <w:top w:val="nil"/>
              <w:bottom w:val="nil"/>
            </w:tcBorders>
            <w:shd w:val="clear" w:color="auto" w:fill="FF0000"/>
            <w:vAlign w:val="center"/>
          </w:tcPr>
          <w:p w:rsidR="00AD4845" w:rsidRPr="000E0F90" w:rsidRDefault="00AD4845" w:rsidP="00683B98">
            <w:pPr>
              <w:spacing w:after="0" w:line="240" w:lineRule="auto"/>
              <w:jc w:val="center"/>
              <w:rPr>
                <w:rFonts w:ascii="Arial" w:eastAsia="Times New Roman" w:hAnsi="Arial" w:cs="Arial"/>
                <w:iCs/>
                <w:color w:val="000000" w:themeColor="text1"/>
                <w:sz w:val="20"/>
                <w:szCs w:val="20"/>
                <w:lang w:eastAsia="es-CL"/>
              </w:rPr>
            </w:pPr>
            <w:r w:rsidRPr="000E0F90">
              <w:rPr>
                <w:rFonts w:ascii="Arial" w:eastAsia="Times New Roman" w:hAnsi="Arial" w:cs="Arial"/>
                <w:iCs/>
                <w:color w:val="000000" w:themeColor="text1"/>
                <w:sz w:val="20"/>
                <w:szCs w:val="20"/>
                <w:lang w:eastAsia="es-CL"/>
              </w:rPr>
              <w:t>N</w:t>
            </w:r>
          </w:p>
        </w:tc>
        <w:tc>
          <w:tcPr>
            <w:tcW w:w="387" w:type="dxa"/>
            <w:tcBorders>
              <w:top w:val="nil"/>
              <w:bottom w:val="nil"/>
            </w:tcBorders>
            <w:shd w:val="clear" w:color="auto" w:fill="FF0000"/>
            <w:vAlign w:val="center"/>
          </w:tcPr>
          <w:p w:rsidR="00AD4845" w:rsidRPr="000E0F90" w:rsidRDefault="00AD4845" w:rsidP="00683B98">
            <w:pPr>
              <w:spacing w:after="0" w:line="240" w:lineRule="auto"/>
              <w:jc w:val="center"/>
              <w:rPr>
                <w:rFonts w:ascii="Arial" w:eastAsia="Times New Roman" w:hAnsi="Arial" w:cs="Arial"/>
                <w:iCs/>
                <w:color w:val="000000" w:themeColor="text1"/>
                <w:sz w:val="20"/>
                <w:szCs w:val="20"/>
                <w:lang w:eastAsia="es-CL"/>
              </w:rPr>
            </w:pPr>
            <w:r w:rsidRPr="000E0F90">
              <w:rPr>
                <w:rFonts w:ascii="Arial" w:eastAsia="Times New Roman" w:hAnsi="Arial" w:cs="Arial"/>
                <w:iCs/>
                <w:color w:val="000000" w:themeColor="text1"/>
                <w:sz w:val="20"/>
                <w:szCs w:val="20"/>
                <w:lang w:eastAsia="es-CL"/>
              </w:rPr>
              <w:t>N</w:t>
            </w:r>
          </w:p>
        </w:tc>
      </w:tr>
      <w:tr w:rsidR="00AD4845" w:rsidRPr="000E0F90" w:rsidTr="002A21E4">
        <w:trPr>
          <w:trHeight w:val="255"/>
        </w:trPr>
        <w:tc>
          <w:tcPr>
            <w:tcW w:w="343" w:type="dxa"/>
            <w:tcBorders>
              <w:top w:val="nil"/>
              <w:bottom w:val="nil"/>
            </w:tcBorders>
            <w:tcMar>
              <w:left w:w="57" w:type="dxa"/>
              <w:right w:w="57" w:type="dxa"/>
            </w:tcMar>
          </w:tcPr>
          <w:p w:rsidR="00AD4845" w:rsidRPr="000E0F90" w:rsidRDefault="00AD4845" w:rsidP="001B06D1">
            <w:pPr>
              <w:pStyle w:val="NormalWeb"/>
              <w:spacing w:before="0" w:beforeAutospacing="0" w:after="0" w:afterAutospacing="0"/>
              <w:textAlignment w:val="top"/>
              <w:rPr>
                <w:rFonts w:ascii="Arial" w:hAnsi="Arial" w:cs="Arial"/>
                <w:color w:val="000000" w:themeColor="text1"/>
                <w:kern w:val="24"/>
                <w:sz w:val="20"/>
                <w:szCs w:val="22"/>
              </w:rPr>
            </w:pPr>
            <w:r w:rsidRPr="000E0F90">
              <w:rPr>
                <w:rFonts w:ascii="Arial" w:hAnsi="Arial" w:cs="Arial"/>
                <w:color w:val="000000" w:themeColor="text1"/>
                <w:kern w:val="24"/>
                <w:sz w:val="20"/>
                <w:szCs w:val="22"/>
              </w:rPr>
              <w:t>3</w:t>
            </w:r>
          </w:p>
        </w:tc>
        <w:tc>
          <w:tcPr>
            <w:tcW w:w="7503" w:type="dxa"/>
            <w:tcBorders>
              <w:top w:val="nil"/>
              <w:bottom w:val="nil"/>
            </w:tcBorders>
            <w:shd w:val="clear" w:color="auto" w:fill="auto"/>
          </w:tcPr>
          <w:p w:rsidR="00AD4845" w:rsidRPr="009C7871" w:rsidRDefault="00AD4845" w:rsidP="001B06D1">
            <w:pPr>
              <w:pStyle w:val="NormalWeb"/>
              <w:spacing w:before="0" w:beforeAutospacing="0" w:after="0" w:afterAutospacing="0"/>
              <w:textAlignment w:val="top"/>
              <w:rPr>
                <w:rFonts w:ascii="Arial" w:hAnsi="Arial" w:cs="Arial"/>
                <w:color w:val="000000" w:themeColor="text1"/>
                <w:sz w:val="20"/>
                <w:szCs w:val="36"/>
              </w:rPr>
            </w:pPr>
            <w:r w:rsidRPr="009C7871">
              <w:rPr>
                <w:rFonts w:ascii="Arial" w:hAnsi="Arial" w:cs="Arial"/>
                <w:color w:val="000000" w:themeColor="text1"/>
                <w:kern w:val="24"/>
                <w:sz w:val="20"/>
                <w:szCs w:val="22"/>
              </w:rPr>
              <w:t>El territorio debe ser vivible, por tanto</w:t>
            </w:r>
            <w:r w:rsidR="00E76B71" w:rsidRPr="009C7871">
              <w:rPr>
                <w:rFonts w:ascii="Arial" w:hAnsi="Arial" w:cs="Arial"/>
                <w:color w:val="000000" w:themeColor="text1"/>
                <w:kern w:val="24"/>
                <w:sz w:val="20"/>
                <w:szCs w:val="22"/>
              </w:rPr>
              <w:t>,</w:t>
            </w:r>
            <w:r w:rsidRPr="009C7871">
              <w:rPr>
                <w:rFonts w:ascii="Arial" w:hAnsi="Arial" w:cs="Arial"/>
                <w:color w:val="000000" w:themeColor="text1"/>
                <w:kern w:val="24"/>
                <w:sz w:val="20"/>
                <w:szCs w:val="22"/>
              </w:rPr>
              <w:t xml:space="preserve"> se deben disponer espacios y actividades que fomenten el ocio, el intercambio social, el esparcimiento y la vida al aire libre. Fomentar amenidades locales.</w:t>
            </w:r>
          </w:p>
        </w:tc>
        <w:tc>
          <w:tcPr>
            <w:tcW w:w="383" w:type="dxa"/>
            <w:tcBorders>
              <w:top w:val="nil"/>
              <w:bottom w:val="nil"/>
            </w:tcBorders>
            <w:shd w:val="clear" w:color="auto" w:fill="FFFF00"/>
            <w:vAlign w:val="center"/>
          </w:tcPr>
          <w:p w:rsidR="00AD4845" w:rsidRPr="000E0F90" w:rsidRDefault="00AD4845" w:rsidP="00683B98">
            <w:pPr>
              <w:spacing w:after="0" w:line="240" w:lineRule="auto"/>
              <w:jc w:val="center"/>
              <w:rPr>
                <w:rFonts w:ascii="Arial" w:eastAsia="Times New Roman" w:hAnsi="Arial" w:cs="Arial"/>
                <w:iCs/>
                <w:color w:val="000000" w:themeColor="text1"/>
                <w:sz w:val="20"/>
                <w:szCs w:val="20"/>
                <w:lang w:eastAsia="es-CL"/>
              </w:rPr>
            </w:pPr>
            <w:r w:rsidRPr="000E0F90">
              <w:rPr>
                <w:rFonts w:ascii="Arial" w:eastAsia="Times New Roman" w:hAnsi="Arial" w:cs="Arial"/>
                <w:iCs/>
                <w:color w:val="000000" w:themeColor="text1"/>
                <w:sz w:val="20"/>
                <w:szCs w:val="20"/>
                <w:lang w:eastAsia="es-CL"/>
              </w:rPr>
              <w:t>P</w:t>
            </w:r>
          </w:p>
        </w:tc>
        <w:tc>
          <w:tcPr>
            <w:tcW w:w="387" w:type="dxa"/>
            <w:tcBorders>
              <w:top w:val="nil"/>
              <w:bottom w:val="nil"/>
            </w:tcBorders>
            <w:shd w:val="clear" w:color="auto" w:fill="FFFF00"/>
            <w:vAlign w:val="center"/>
          </w:tcPr>
          <w:p w:rsidR="00AD4845" w:rsidRPr="000E0F90" w:rsidRDefault="004D4561" w:rsidP="00683B98">
            <w:pPr>
              <w:spacing w:after="0" w:line="240" w:lineRule="auto"/>
              <w:jc w:val="center"/>
              <w:rPr>
                <w:rFonts w:ascii="Arial" w:eastAsia="Times New Roman" w:hAnsi="Arial" w:cs="Arial"/>
                <w:iCs/>
                <w:color w:val="000000" w:themeColor="text1"/>
                <w:sz w:val="20"/>
                <w:szCs w:val="20"/>
                <w:lang w:eastAsia="es-CL"/>
              </w:rPr>
            </w:pPr>
            <w:r w:rsidRPr="000E0F90">
              <w:rPr>
                <w:rFonts w:ascii="Arial" w:eastAsia="Times New Roman" w:hAnsi="Arial" w:cs="Arial"/>
                <w:iCs/>
                <w:color w:val="000000" w:themeColor="text1"/>
                <w:sz w:val="20"/>
                <w:szCs w:val="20"/>
                <w:lang w:eastAsia="es-CL"/>
              </w:rPr>
              <w:t>P</w:t>
            </w:r>
          </w:p>
        </w:tc>
      </w:tr>
      <w:tr w:rsidR="000E0F90" w:rsidRPr="000E0F90" w:rsidTr="002A21E4">
        <w:trPr>
          <w:trHeight w:val="255"/>
        </w:trPr>
        <w:tc>
          <w:tcPr>
            <w:tcW w:w="343" w:type="dxa"/>
            <w:tcBorders>
              <w:top w:val="nil"/>
              <w:bottom w:val="nil"/>
            </w:tcBorders>
            <w:tcMar>
              <w:left w:w="57" w:type="dxa"/>
              <w:right w:w="57" w:type="dxa"/>
            </w:tcMar>
          </w:tcPr>
          <w:p w:rsidR="004D4561" w:rsidRPr="000E0F90" w:rsidRDefault="004D4561">
            <w:pPr>
              <w:pStyle w:val="NormalWeb"/>
              <w:spacing w:before="0" w:beforeAutospacing="0" w:after="0" w:afterAutospacing="0"/>
              <w:textAlignment w:val="top"/>
              <w:rPr>
                <w:rFonts w:ascii="Arial" w:hAnsi="Arial" w:cs="Arial"/>
                <w:color w:val="000000" w:themeColor="text1"/>
                <w:sz w:val="20"/>
                <w:szCs w:val="36"/>
              </w:rPr>
            </w:pPr>
            <w:r w:rsidRPr="000E0F90">
              <w:rPr>
                <w:rFonts w:ascii="Arial" w:hAnsi="Arial" w:cs="Arial"/>
                <w:color w:val="000000" w:themeColor="text1"/>
                <w:sz w:val="20"/>
                <w:szCs w:val="36"/>
              </w:rPr>
              <w:t>4</w:t>
            </w:r>
          </w:p>
        </w:tc>
        <w:tc>
          <w:tcPr>
            <w:tcW w:w="7503" w:type="dxa"/>
            <w:tcBorders>
              <w:top w:val="nil"/>
              <w:bottom w:val="nil"/>
            </w:tcBorders>
            <w:shd w:val="clear" w:color="auto" w:fill="auto"/>
          </w:tcPr>
          <w:p w:rsidR="004D4561" w:rsidRPr="00CC033B" w:rsidRDefault="004D4561" w:rsidP="00CC033B">
            <w:pPr>
              <w:pStyle w:val="NormalWeb"/>
              <w:spacing w:before="0" w:beforeAutospacing="0" w:after="0" w:afterAutospacing="0"/>
              <w:textAlignment w:val="top"/>
              <w:rPr>
                <w:rFonts w:ascii="Arial" w:hAnsi="Arial" w:cs="Arial"/>
                <w:color w:val="000000" w:themeColor="text1"/>
                <w:sz w:val="20"/>
                <w:szCs w:val="36"/>
              </w:rPr>
            </w:pPr>
            <w:r w:rsidRPr="00CC033B">
              <w:rPr>
                <w:rFonts w:ascii="Arial" w:hAnsi="Arial" w:cs="Arial"/>
                <w:color w:val="000000" w:themeColor="text1"/>
                <w:sz w:val="20"/>
                <w:szCs w:val="36"/>
              </w:rPr>
              <w:t>Fomentar y mantener las diversas formas de vida que coexisten en el territorio, evitando la disrupción proveniente de actividades de alto impacto.</w:t>
            </w:r>
            <w:r w:rsidR="003B3162" w:rsidRPr="00CC033B">
              <w:rPr>
                <w:rFonts w:ascii="Arial" w:hAnsi="Arial" w:cs="Arial"/>
                <w:color w:val="000000" w:themeColor="text1"/>
                <w:sz w:val="20"/>
                <w:szCs w:val="36"/>
              </w:rPr>
              <w:t xml:space="preserve"> Considerar todas las dimensiones </w:t>
            </w:r>
            <w:r w:rsidR="00E76B71" w:rsidRPr="00CC033B">
              <w:rPr>
                <w:rFonts w:ascii="Arial" w:hAnsi="Arial" w:cs="Arial"/>
                <w:color w:val="000000" w:themeColor="text1"/>
                <w:sz w:val="20"/>
                <w:szCs w:val="36"/>
              </w:rPr>
              <w:t xml:space="preserve">territoriales </w:t>
            </w:r>
            <w:r w:rsidR="003B3162" w:rsidRPr="00CC033B">
              <w:rPr>
                <w:rFonts w:ascii="Arial" w:hAnsi="Arial" w:cs="Arial"/>
                <w:color w:val="000000" w:themeColor="text1"/>
                <w:sz w:val="20"/>
                <w:szCs w:val="36"/>
              </w:rPr>
              <w:t>que generan bienestar local.</w:t>
            </w:r>
            <w:r w:rsidR="00CC033B" w:rsidRPr="00CC033B">
              <w:rPr>
                <w:rFonts w:ascii="Arial" w:hAnsi="Arial" w:cs="Arial"/>
                <w:color w:val="000000" w:themeColor="text1"/>
                <w:sz w:val="20"/>
                <w:szCs w:val="36"/>
              </w:rPr>
              <w:t xml:space="preserve"> Favorecer formas de vida sostenible.</w:t>
            </w:r>
          </w:p>
        </w:tc>
        <w:tc>
          <w:tcPr>
            <w:tcW w:w="383" w:type="dxa"/>
            <w:tcBorders>
              <w:top w:val="nil"/>
              <w:bottom w:val="nil"/>
            </w:tcBorders>
            <w:shd w:val="clear" w:color="auto" w:fill="FF0000"/>
            <w:vAlign w:val="center"/>
          </w:tcPr>
          <w:p w:rsidR="004D4561" w:rsidRPr="000E0F90" w:rsidRDefault="00F524C1" w:rsidP="00683B98">
            <w:pPr>
              <w:spacing w:after="0" w:line="240" w:lineRule="auto"/>
              <w:jc w:val="center"/>
              <w:rPr>
                <w:rFonts w:ascii="Arial" w:eastAsia="Times New Roman" w:hAnsi="Arial" w:cs="Arial"/>
                <w:iCs/>
                <w:color w:val="000000" w:themeColor="text1"/>
                <w:sz w:val="20"/>
                <w:szCs w:val="20"/>
                <w:lang w:eastAsia="es-CL"/>
              </w:rPr>
            </w:pPr>
            <w:r w:rsidRPr="000E0F90">
              <w:rPr>
                <w:rFonts w:ascii="Arial" w:eastAsia="Times New Roman" w:hAnsi="Arial" w:cs="Arial"/>
                <w:iCs/>
                <w:color w:val="000000" w:themeColor="text1"/>
                <w:sz w:val="20"/>
                <w:szCs w:val="20"/>
                <w:lang w:eastAsia="es-CL"/>
              </w:rPr>
              <w:t>N</w:t>
            </w:r>
          </w:p>
        </w:tc>
        <w:tc>
          <w:tcPr>
            <w:tcW w:w="387" w:type="dxa"/>
            <w:tcBorders>
              <w:top w:val="nil"/>
              <w:bottom w:val="nil"/>
            </w:tcBorders>
            <w:shd w:val="clear" w:color="auto" w:fill="FF0000"/>
            <w:vAlign w:val="center"/>
          </w:tcPr>
          <w:p w:rsidR="004D4561" w:rsidRPr="000E0F90" w:rsidRDefault="00F524C1" w:rsidP="00683B98">
            <w:pPr>
              <w:spacing w:after="0" w:line="240" w:lineRule="auto"/>
              <w:jc w:val="center"/>
              <w:rPr>
                <w:rFonts w:ascii="Arial" w:eastAsia="Times New Roman" w:hAnsi="Arial" w:cs="Arial"/>
                <w:iCs/>
                <w:color w:val="000000" w:themeColor="text1"/>
                <w:sz w:val="20"/>
                <w:szCs w:val="20"/>
                <w:lang w:eastAsia="es-CL"/>
              </w:rPr>
            </w:pPr>
            <w:r w:rsidRPr="000E0F90">
              <w:rPr>
                <w:rFonts w:ascii="Arial" w:eastAsia="Times New Roman" w:hAnsi="Arial" w:cs="Arial"/>
                <w:iCs/>
                <w:color w:val="000000" w:themeColor="text1"/>
                <w:sz w:val="20"/>
                <w:szCs w:val="20"/>
                <w:lang w:eastAsia="es-CL"/>
              </w:rPr>
              <w:t>N</w:t>
            </w:r>
          </w:p>
        </w:tc>
      </w:tr>
      <w:tr w:rsidR="00AD4845" w:rsidRPr="000E0F90" w:rsidTr="002A21E4">
        <w:trPr>
          <w:trHeight w:val="255"/>
        </w:trPr>
        <w:tc>
          <w:tcPr>
            <w:tcW w:w="343" w:type="dxa"/>
            <w:tcBorders>
              <w:top w:val="nil"/>
              <w:bottom w:val="nil"/>
            </w:tcBorders>
            <w:tcMar>
              <w:left w:w="57" w:type="dxa"/>
              <w:right w:w="57" w:type="dxa"/>
            </w:tcMar>
          </w:tcPr>
          <w:p w:rsidR="00AD4845" w:rsidRPr="000E0F90" w:rsidRDefault="004D4561">
            <w:pPr>
              <w:pStyle w:val="NormalWeb"/>
              <w:spacing w:before="0" w:beforeAutospacing="0" w:after="0" w:afterAutospacing="0"/>
              <w:textAlignment w:val="top"/>
              <w:rPr>
                <w:rFonts w:ascii="Arial" w:hAnsi="Arial" w:cs="Arial"/>
                <w:color w:val="000000" w:themeColor="text1"/>
                <w:sz w:val="20"/>
                <w:szCs w:val="36"/>
              </w:rPr>
            </w:pPr>
            <w:r w:rsidRPr="000E0F90">
              <w:rPr>
                <w:rFonts w:ascii="Arial" w:hAnsi="Arial" w:cs="Arial"/>
                <w:color w:val="000000" w:themeColor="text1"/>
                <w:sz w:val="20"/>
                <w:szCs w:val="36"/>
              </w:rPr>
              <w:t>5</w:t>
            </w:r>
          </w:p>
        </w:tc>
        <w:tc>
          <w:tcPr>
            <w:tcW w:w="7503" w:type="dxa"/>
            <w:tcBorders>
              <w:top w:val="nil"/>
              <w:bottom w:val="nil"/>
            </w:tcBorders>
            <w:shd w:val="clear" w:color="auto" w:fill="auto"/>
          </w:tcPr>
          <w:p w:rsidR="00AD4845" w:rsidRPr="009C7871" w:rsidRDefault="00C54E0A" w:rsidP="001A35CF">
            <w:pPr>
              <w:pStyle w:val="NormalWeb"/>
              <w:spacing w:before="0" w:beforeAutospacing="0" w:after="0" w:afterAutospacing="0"/>
              <w:textAlignment w:val="top"/>
              <w:rPr>
                <w:rFonts w:ascii="Arial" w:hAnsi="Arial" w:cs="Arial"/>
                <w:color w:val="000000" w:themeColor="text1"/>
                <w:sz w:val="20"/>
                <w:szCs w:val="36"/>
              </w:rPr>
            </w:pPr>
            <w:r w:rsidRPr="009C7871">
              <w:rPr>
                <w:rFonts w:ascii="Arial" w:hAnsi="Arial" w:cs="Arial"/>
                <w:color w:val="000000" w:themeColor="text1"/>
                <w:sz w:val="20"/>
                <w:szCs w:val="36"/>
              </w:rPr>
              <w:t xml:space="preserve">Fomentar el desarrollo cultural local, potenciar </w:t>
            </w:r>
            <w:r w:rsidR="003B3162" w:rsidRPr="009C7871">
              <w:rPr>
                <w:rFonts w:ascii="Arial" w:hAnsi="Arial" w:cs="Arial"/>
                <w:color w:val="000000" w:themeColor="text1"/>
                <w:sz w:val="20"/>
                <w:szCs w:val="36"/>
              </w:rPr>
              <w:t xml:space="preserve">elementos que </w:t>
            </w:r>
            <w:r w:rsidR="00AD4845" w:rsidRPr="009C7871">
              <w:rPr>
                <w:rFonts w:ascii="Arial" w:hAnsi="Arial" w:cs="Arial"/>
                <w:color w:val="000000" w:themeColor="text1"/>
                <w:sz w:val="20"/>
                <w:szCs w:val="36"/>
              </w:rPr>
              <w:t xml:space="preserve">participan en la cultura e identidad </w:t>
            </w:r>
            <w:r w:rsidR="007041A7" w:rsidRPr="009C7871">
              <w:rPr>
                <w:rFonts w:ascii="Arial" w:hAnsi="Arial" w:cs="Arial"/>
                <w:color w:val="000000" w:themeColor="text1"/>
                <w:sz w:val="20"/>
                <w:szCs w:val="36"/>
              </w:rPr>
              <w:t>y</w:t>
            </w:r>
            <w:r w:rsidR="003B3162" w:rsidRPr="009C7871">
              <w:rPr>
                <w:rFonts w:ascii="Arial" w:hAnsi="Arial" w:cs="Arial"/>
                <w:color w:val="000000" w:themeColor="text1"/>
                <w:sz w:val="20"/>
                <w:szCs w:val="36"/>
              </w:rPr>
              <w:t xml:space="preserve"> fomenten sentido de arraigo y pertenencia</w:t>
            </w:r>
            <w:r w:rsidR="00AD4845" w:rsidRPr="009C7871">
              <w:rPr>
                <w:rFonts w:ascii="Arial" w:hAnsi="Arial" w:cs="Arial"/>
                <w:color w:val="000000" w:themeColor="text1"/>
                <w:sz w:val="20"/>
                <w:szCs w:val="36"/>
              </w:rPr>
              <w:t xml:space="preserve">. </w:t>
            </w:r>
            <w:r w:rsidR="001A5C05" w:rsidRPr="009C7871">
              <w:rPr>
                <w:rFonts w:ascii="Arial" w:hAnsi="Arial" w:cs="Arial"/>
                <w:color w:val="000000" w:themeColor="text1"/>
                <w:sz w:val="20"/>
                <w:szCs w:val="36"/>
              </w:rPr>
              <w:t>Retener elementos únicos que reflejen las características históricas</w:t>
            </w:r>
            <w:r w:rsidR="00C77D61" w:rsidRPr="009C7871">
              <w:rPr>
                <w:rFonts w:ascii="Arial" w:hAnsi="Arial" w:cs="Arial"/>
                <w:color w:val="000000" w:themeColor="text1"/>
                <w:sz w:val="20"/>
                <w:szCs w:val="36"/>
              </w:rPr>
              <w:t>.</w:t>
            </w:r>
            <w:r w:rsidR="001A5C05" w:rsidRPr="009C7871">
              <w:rPr>
                <w:rFonts w:ascii="Arial" w:hAnsi="Arial" w:cs="Arial"/>
                <w:color w:val="000000" w:themeColor="text1"/>
                <w:sz w:val="20"/>
                <w:szCs w:val="36"/>
              </w:rPr>
              <w:t xml:space="preserve"> </w:t>
            </w:r>
            <w:r w:rsidR="00AD4845" w:rsidRPr="009C7871">
              <w:rPr>
                <w:rFonts w:ascii="Arial" w:hAnsi="Arial" w:cs="Arial"/>
                <w:color w:val="000000" w:themeColor="text1"/>
                <w:sz w:val="20"/>
                <w:szCs w:val="36"/>
              </w:rPr>
              <w:t>Fortalecer el sentido de lugar.</w:t>
            </w:r>
          </w:p>
        </w:tc>
        <w:tc>
          <w:tcPr>
            <w:tcW w:w="383" w:type="dxa"/>
            <w:tcBorders>
              <w:top w:val="nil"/>
              <w:bottom w:val="nil"/>
            </w:tcBorders>
            <w:shd w:val="clear" w:color="auto" w:fill="00B050"/>
            <w:vAlign w:val="center"/>
          </w:tcPr>
          <w:p w:rsidR="00AD4845" w:rsidRPr="000E0F90" w:rsidRDefault="004D4561" w:rsidP="00683B98">
            <w:pPr>
              <w:spacing w:after="0" w:line="240" w:lineRule="auto"/>
              <w:jc w:val="center"/>
              <w:rPr>
                <w:rFonts w:ascii="Arial" w:eastAsia="Times New Roman" w:hAnsi="Arial" w:cs="Arial"/>
                <w:iCs/>
                <w:color w:val="000000" w:themeColor="text1"/>
                <w:sz w:val="20"/>
                <w:szCs w:val="20"/>
                <w:lang w:eastAsia="es-CL"/>
              </w:rPr>
            </w:pPr>
            <w:r w:rsidRPr="000E0F90">
              <w:rPr>
                <w:rFonts w:ascii="Arial" w:eastAsia="Times New Roman" w:hAnsi="Arial" w:cs="Arial"/>
                <w:iCs/>
                <w:color w:val="000000" w:themeColor="text1"/>
                <w:sz w:val="20"/>
                <w:szCs w:val="20"/>
                <w:lang w:eastAsia="es-CL"/>
              </w:rPr>
              <w:t>S</w:t>
            </w:r>
          </w:p>
        </w:tc>
        <w:tc>
          <w:tcPr>
            <w:tcW w:w="387" w:type="dxa"/>
            <w:tcBorders>
              <w:top w:val="nil"/>
              <w:bottom w:val="nil"/>
            </w:tcBorders>
            <w:shd w:val="clear" w:color="auto" w:fill="FFFF00"/>
            <w:vAlign w:val="center"/>
          </w:tcPr>
          <w:p w:rsidR="00AD4845" w:rsidRPr="000E0F90" w:rsidRDefault="00067994" w:rsidP="00683B98">
            <w:pPr>
              <w:spacing w:after="0" w:line="240" w:lineRule="auto"/>
              <w:jc w:val="center"/>
              <w:rPr>
                <w:rFonts w:ascii="Arial" w:eastAsia="Times New Roman" w:hAnsi="Arial" w:cs="Arial"/>
                <w:iCs/>
                <w:color w:val="000000" w:themeColor="text1"/>
                <w:sz w:val="20"/>
                <w:szCs w:val="20"/>
                <w:lang w:eastAsia="es-CL"/>
              </w:rPr>
            </w:pPr>
            <w:r w:rsidRPr="000E0F90">
              <w:rPr>
                <w:rFonts w:ascii="Arial" w:eastAsia="Times New Roman" w:hAnsi="Arial" w:cs="Arial"/>
                <w:iCs/>
                <w:color w:val="000000" w:themeColor="text1"/>
                <w:sz w:val="20"/>
                <w:szCs w:val="20"/>
                <w:lang w:eastAsia="es-CL"/>
              </w:rPr>
              <w:t>P</w:t>
            </w:r>
          </w:p>
        </w:tc>
      </w:tr>
      <w:tr w:rsidR="00AD4845" w:rsidRPr="000E0F90" w:rsidTr="002A21E4">
        <w:trPr>
          <w:trHeight w:val="255"/>
        </w:trPr>
        <w:tc>
          <w:tcPr>
            <w:tcW w:w="343" w:type="dxa"/>
            <w:tcBorders>
              <w:top w:val="nil"/>
              <w:bottom w:val="nil"/>
            </w:tcBorders>
            <w:tcMar>
              <w:left w:w="57" w:type="dxa"/>
              <w:right w:w="57" w:type="dxa"/>
            </w:tcMar>
          </w:tcPr>
          <w:p w:rsidR="00AD4845" w:rsidRPr="000E0F90" w:rsidRDefault="004D4561" w:rsidP="00960558">
            <w:pPr>
              <w:pStyle w:val="NormalWeb"/>
              <w:spacing w:before="0" w:beforeAutospacing="0" w:after="0" w:afterAutospacing="0"/>
              <w:textAlignment w:val="top"/>
              <w:rPr>
                <w:rFonts w:ascii="Arial" w:hAnsi="Arial" w:cs="Arial"/>
                <w:color w:val="000000" w:themeColor="text1"/>
                <w:kern w:val="24"/>
                <w:sz w:val="20"/>
                <w:szCs w:val="22"/>
              </w:rPr>
            </w:pPr>
            <w:r w:rsidRPr="000E0F90">
              <w:rPr>
                <w:rFonts w:ascii="Arial" w:hAnsi="Arial" w:cs="Arial"/>
                <w:color w:val="000000" w:themeColor="text1"/>
                <w:kern w:val="24"/>
                <w:sz w:val="20"/>
                <w:szCs w:val="22"/>
              </w:rPr>
              <w:t>6</w:t>
            </w:r>
          </w:p>
        </w:tc>
        <w:tc>
          <w:tcPr>
            <w:tcW w:w="7503" w:type="dxa"/>
            <w:tcBorders>
              <w:top w:val="nil"/>
              <w:bottom w:val="nil"/>
            </w:tcBorders>
            <w:shd w:val="clear" w:color="auto" w:fill="auto"/>
          </w:tcPr>
          <w:p w:rsidR="00AD4845" w:rsidRPr="009C7871" w:rsidRDefault="00AD4845" w:rsidP="00960558">
            <w:pPr>
              <w:pStyle w:val="NormalWeb"/>
              <w:spacing w:before="0" w:beforeAutospacing="0" w:after="0" w:afterAutospacing="0"/>
              <w:textAlignment w:val="top"/>
              <w:rPr>
                <w:rFonts w:ascii="Arial" w:hAnsi="Arial" w:cs="Arial"/>
                <w:color w:val="000000" w:themeColor="text1"/>
                <w:kern w:val="24"/>
                <w:sz w:val="20"/>
                <w:szCs w:val="22"/>
              </w:rPr>
            </w:pPr>
            <w:r w:rsidRPr="009C7871">
              <w:rPr>
                <w:rFonts w:ascii="Arial" w:hAnsi="Arial" w:cs="Arial"/>
                <w:color w:val="000000" w:themeColor="text1"/>
                <w:kern w:val="24"/>
                <w:sz w:val="20"/>
                <w:szCs w:val="22"/>
              </w:rPr>
              <w:t>Proveer oportunidades de empleos estables y satisfactorios que permitan optar a una mejor calidad de vida en forma sostenida, privilegiando a los trabajadores locales por sobre la contratación foránea</w:t>
            </w:r>
            <w:r w:rsidR="003418D0" w:rsidRPr="009C7871">
              <w:rPr>
                <w:rFonts w:ascii="Arial" w:hAnsi="Arial" w:cs="Arial"/>
                <w:color w:val="000000" w:themeColor="text1"/>
                <w:kern w:val="24"/>
                <w:sz w:val="20"/>
                <w:szCs w:val="22"/>
              </w:rPr>
              <w:t>.</w:t>
            </w:r>
          </w:p>
        </w:tc>
        <w:tc>
          <w:tcPr>
            <w:tcW w:w="383" w:type="dxa"/>
            <w:tcBorders>
              <w:top w:val="nil"/>
              <w:bottom w:val="nil"/>
            </w:tcBorders>
            <w:shd w:val="clear" w:color="auto" w:fill="FF0000"/>
            <w:vAlign w:val="center"/>
          </w:tcPr>
          <w:p w:rsidR="00AD4845" w:rsidRPr="000E0F90" w:rsidRDefault="00AD4845" w:rsidP="00683B98">
            <w:pPr>
              <w:spacing w:after="0" w:line="240" w:lineRule="auto"/>
              <w:jc w:val="center"/>
              <w:rPr>
                <w:rFonts w:ascii="Arial" w:eastAsia="Times New Roman" w:hAnsi="Arial" w:cs="Arial"/>
                <w:bCs/>
                <w:color w:val="000000" w:themeColor="text1"/>
                <w:sz w:val="20"/>
                <w:szCs w:val="20"/>
                <w:lang w:eastAsia="es-CL"/>
              </w:rPr>
            </w:pPr>
            <w:r w:rsidRPr="000E0F90">
              <w:rPr>
                <w:rFonts w:ascii="Arial" w:eastAsia="Times New Roman" w:hAnsi="Arial" w:cs="Arial"/>
                <w:bCs/>
                <w:color w:val="000000" w:themeColor="text1"/>
                <w:sz w:val="20"/>
                <w:szCs w:val="20"/>
                <w:lang w:eastAsia="es-CL"/>
              </w:rPr>
              <w:t>N</w:t>
            </w:r>
          </w:p>
        </w:tc>
        <w:tc>
          <w:tcPr>
            <w:tcW w:w="387" w:type="dxa"/>
            <w:tcBorders>
              <w:top w:val="nil"/>
              <w:bottom w:val="nil"/>
            </w:tcBorders>
            <w:shd w:val="clear" w:color="auto" w:fill="FF0000"/>
            <w:vAlign w:val="center"/>
          </w:tcPr>
          <w:p w:rsidR="00AD4845" w:rsidRPr="000E0F90" w:rsidRDefault="00AD4845" w:rsidP="00683B98">
            <w:pPr>
              <w:spacing w:after="0" w:line="240" w:lineRule="auto"/>
              <w:jc w:val="center"/>
              <w:rPr>
                <w:rFonts w:ascii="Arial" w:eastAsia="Times New Roman" w:hAnsi="Arial" w:cs="Arial"/>
                <w:bCs/>
                <w:color w:val="000000" w:themeColor="text1"/>
                <w:sz w:val="20"/>
                <w:szCs w:val="20"/>
                <w:lang w:eastAsia="es-CL"/>
              </w:rPr>
            </w:pPr>
            <w:r w:rsidRPr="000E0F90">
              <w:rPr>
                <w:rFonts w:ascii="Arial" w:eastAsia="Times New Roman" w:hAnsi="Arial" w:cs="Arial"/>
                <w:bCs/>
                <w:color w:val="000000" w:themeColor="text1"/>
                <w:sz w:val="20"/>
                <w:szCs w:val="20"/>
                <w:lang w:eastAsia="es-CL"/>
              </w:rPr>
              <w:t>N</w:t>
            </w:r>
          </w:p>
        </w:tc>
      </w:tr>
      <w:tr w:rsidR="00A74D05" w:rsidRPr="000E0F90" w:rsidTr="002A21E4">
        <w:trPr>
          <w:trHeight w:val="255"/>
        </w:trPr>
        <w:tc>
          <w:tcPr>
            <w:tcW w:w="343" w:type="dxa"/>
            <w:tcBorders>
              <w:top w:val="nil"/>
              <w:bottom w:val="nil"/>
            </w:tcBorders>
            <w:tcMar>
              <w:left w:w="57" w:type="dxa"/>
              <w:right w:w="57" w:type="dxa"/>
            </w:tcMar>
          </w:tcPr>
          <w:p w:rsidR="00A74D05" w:rsidRPr="000E0F90" w:rsidRDefault="001A5C05" w:rsidP="00960558">
            <w:pPr>
              <w:pStyle w:val="NormalWeb"/>
              <w:spacing w:before="0" w:beforeAutospacing="0" w:after="0" w:afterAutospacing="0"/>
              <w:textAlignment w:val="top"/>
              <w:rPr>
                <w:rFonts w:ascii="Arial" w:hAnsi="Arial" w:cs="Arial"/>
                <w:color w:val="000000" w:themeColor="text1"/>
                <w:sz w:val="20"/>
                <w:szCs w:val="36"/>
              </w:rPr>
            </w:pPr>
            <w:r w:rsidRPr="000E0F90">
              <w:rPr>
                <w:rFonts w:ascii="Arial" w:hAnsi="Arial" w:cs="Arial"/>
                <w:color w:val="000000" w:themeColor="text1"/>
                <w:sz w:val="20"/>
                <w:szCs w:val="36"/>
              </w:rPr>
              <w:t>7</w:t>
            </w:r>
          </w:p>
        </w:tc>
        <w:tc>
          <w:tcPr>
            <w:tcW w:w="7503" w:type="dxa"/>
            <w:tcBorders>
              <w:top w:val="nil"/>
              <w:bottom w:val="nil"/>
            </w:tcBorders>
            <w:shd w:val="clear" w:color="auto" w:fill="auto"/>
          </w:tcPr>
          <w:p w:rsidR="00A74D05" w:rsidRPr="009C7871" w:rsidRDefault="0043148E" w:rsidP="003418D0">
            <w:pPr>
              <w:pStyle w:val="NormalWeb"/>
              <w:spacing w:before="0" w:beforeAutospacing="0" w:after="0" w:afterAutospacing="0"/>
              <w:textAlignment w:val="top"/>
              <w:rPr>
                <w:rFonts w:ascii="Arial" w:hAnsi="Arial" w:cs="Arial"/>
                <w:color w:val="000000" w:themeColor="text1"/>
                <w:sz w:val="20"/>
                <w:szCs w:val="36"/>
              </w:rPr>
            </w:pPr>
            <w:r w:rsidRPr="009C7871">
              <w:rPr>
                <w:rFonts w:ascii="Arial" w:eastAsia="Times New Roman" w:hAnsi="Arial" w:cs="Arial"/>
                <w:iCs/>
                <w:color w:val="000000" w:themeColor="text1"/>
                <w:sz w:val="20"/>
                <w:szCs w:val="20"/>
              </w:rPr>
              <w:t xml:space="preserve">Mejorar la capacidad técnica </w:t>
            </w:r>
            <w:r w:rsidR="003418D0" w:rsidRPr="009C7871">
              <w:rPr>
                <w:rFonts w:ascii="Arial" w:eastAsia="Times New Roman" w:hAnsi="Arial" w:cs="Arial"/>
                <w:iCs/>
                <w:color w:val="000000" w:themeColor="text1"/>
                <w:sz w:val="20"/>
                <w:szCs w:val="20"/>
              </w:rPr>
              <w:t>laboral</w:t>
            </w:r>
            <w:r w:rsidRPr="009C7871">
              <w:rPr>
                <w:rFonts w:ascii="Arial" w:eastAsia="Times New Roman" w:hAnsi="Arial" w:cs="Arial"/>
                <w:iCs/>
                <w:color w:val="000000" w:themeColor="text1"/>
                <w:sz w:val="20"/>
                <w:szCs w:val="20"/>
              </w:rPr>
              <w:t xml:space="preserve"> en diferentes ámbitos y niveles, especialmente a trabajadores de mina y mano de obra local. Favoreciendo a los más desaventajados.</w:t>
            </w:r>
          </w:p>
        </w:tc>
        <w:tc>
          <w:tcPr>
            <w:tcW w:w="383" w:type="dxa"/>
            <w:tcBorders>
              <w:top w:val="nil"/>
              <w:bottom w:val="nil"/>
            </w:tcBorders>
            <w:shd w:val="clear" w:color="auto" w:fill="FF0000"/>
            <w:vAlign w:val="center"/>
          </w:tcPr>
          <w:p w:rsidR="00A74D05" w:rsidRPr="000E0F90" w:rsidRDefault="00B2108C" w:rsidP="00683B98">
            <w:pPr>
              <w:spacing w:after="0" w:line="240" w:lineRule="auto"/>
              <w:jc w:val="center"/>
              <w:rPr>
                <w:rFonts w:ascii="Arial" w:eastAsia="Times New Roman" w:hAnsi="Arial" w:cs="Arial"/>
                <w:bCs/>
                <w:color w:val="000000" w:themeColor="text1"/>
                <w:sz w:val="20"/>
                <w:szCs w:val="20"/>
                <w:lang w:eastAsia="es-CL"/>
              </w:rPr>
            </w:pPr>
            <w:r w:rsidRPr="000E0F90">
              <w:rPr>
                <w:rFonts w:ascii="Arial" w:eastAsia="Times New Roman" w:hAnsi="Arial" w:cs="Arial"/>
                <w:bCs/>
                <w:color w:val="000000" w:themeColor="text1"/>
                <w:sz w:val="20"/>
                <w:szCs w:val="20"/>
                <w:lang w:eastAsia="es-CL"/>
              </w:rPr>
              <w:t>N</w:t>
            </w:r>
          </w:p>
        </w:tc>
        <w:tc>
          <w:tcPr>
            <w:tcW w:w="387" w:type="dxa"/>
            <w:tcBorders>
              <w:top w:val="nil"/>
              <w:bottom w:val="nil"/>
            </w:tcBorders>
            <w:shd w:val="clear" w:color="auto" w:fill="FFFF00"/>
            <w:vAlign w:val="center"/>
          </w:tcPr>
          <w:p w:rsidR="00A74D05" w:rsidRPr="000E0F90" w:rsidRDefault="0043148E" w:rsidP="00683B98">
            <w:pPr>
              <w:spacing w:after="0" w:line="240" w:lineRule="auto"/>
              <w:jc w:val="center"/>
              <w:rPr>
                <w:rFonts w:ascii="Arial" w:eastAsia="Times New Roman" w:hAnsi="Arial" w:cs="Arial"/>
                <w:bCs/>
                <w:color w:val="000000" w:themeColor="text1"/>
                <w:sz w:val="20"/>
                <w:szCs w:val="20"/>
                <w:lang w:eastAsia="es-CL"/>
              </w:rPr>
            </w:pPr>
            <w:r w:rsidRPr="000E0F90">
              <w:rPr>
                <w:rFonts w:ascii="Arial" w:eastAsia="Times New Roman" w:hAnsi="Arial" w:cs="Arial"/>
                <w:bCs/>
                <w:color w:val="000000" w:themeColor="text1"/>
                <w:sz w:val="20"/>
                <w:szCs w:val="20"/>
                <w:lang w:eastAsia="es-CL"/>
              </w:rPr>
              <w:t>P</w:t>
            </w:r>
          </w:p>
        </w:tc>
      </w:tr>
      <w:tr w:rsidR="00AD4845" w:rsidRPr="000E0F90" w:rsidTr="002A21E4">
        <w:trPr>
          <w:trHeight w:val="255"/>
        </w:trPr>
        <w:tc>
          <w:tcPr>
            <w:tcW w:w="343" w:type="dxa"/>
            <w:tcBorders>
              <w:top w:val="nil"/>
              <w:bottom w:val="nil"/>
            </w:tcBorders>
            <w:tcMar>
              <w:left w:w="57" w:type="dxa"/>
              <w:right w:w="57" w:type="dxa"/>
            </w:tcMar>
          </w:tcPr>
          <w:p w:rsidR="00AD4845" w:rsidRPr="000E0F90" w:rsidRDefault="001A5C05" w:rsidP="00960558">
            <w:pPr>
              <w:pStyle w:val="NormalWeb"/>
              <w:spacing w:before="0" w:beforeAutospacing="0" w:after="0" w:afterAutospacing="0"/>
              <w:textAlignment w:val="top"/>
              <w:rPr>
                <w:rFonts w:ascii="Arial" w:hAnsi="Arial" w:cs="Arial"/>
                <w:color w:val="000000" w:themeColor="text1"/>
                <w:sz w:val="20"/>
                <w:szCs w:val="36"/>
              </w:rPr>
            </w:pPr>
            <w:r w:rsidRPr="000E0F90">
              <w:rPr>
                <w:rFonts w:ascii="Arial" w:hAnsi="Arial" w:cs="Arial"/>
                <w:color w:val="000000" w:themeColor="text1"/>
                <w:sz w:val="20"/>
                <w:szCs w:val="36"/>
              </w:rPr>
              <w:t>8</w:t>
            </w:r>
          </w:p>
        </w:tc>
        <w:tc>
          <w:tcPr>
            <w:tcW w:w="7503" w:type="dxa"/>
            <w:tcBorders>
              <w:top w:val="nil"/>
              <w:bottom w:val="nil"/>
            </w:tcBorders>
            <w:shd w:val="clear" w:color="auto" w:fill="auto"/>
          </w:tcPr>
          <w:p w:rsidR="00AD4845" w:rsidRPr="009C7871" w:rsidRDefault="00AD4845" w:rsidP="004A0A6E">
            <w:pPr>
              <w:pStyle w:val="NormalWeb"/>
              <w:spacing w:before="0" w:beforeAutospacing="0" w:after="0" w:afterAutospacing="0"/>
              <w:textAlignment w:val="top"/>
              <w:rPr>
                <w:rFonts w:ascii="Arial" w:hAnsi="Arial" w:cs="Arial"/>
                <w:color w:val="000000" w:themeColor="text1"/>
                <w:sz w:val="20"/>
                <w:szCs w:val="36"/>
              </w:rPr>
            </w:pPr>
            <w:r w:rsidRPr="009C7871">
              <w:rPr>
                <w:rFonts w:ascii="Arial" w:hAnsi="Arial" w:cs="Arial"/>
                <w:color w:val="000000" w:themeColor="text1"/>
                <w:sz w:val="20"/>
                <w:szCs w:val="36"/>
              </w:rPr>
              <w:t>Promover un desarrollo territorial múltiple y duradero, reflejado en la diversificación de actividades productivas, fomentando negocios y emprendimientos</w:t>
            </w:r>
            <w:r w:rsidR="001875E9" w:rsidRPr="009C7871">
              <w:rPr>
                <w:rFonts w:ascii="Arial" w:hAnsi="Arial" w:cs="Arial"/>
                <w:color w:val="000000" w:themeColor="text1"/>
                <w:sz w:val="20"/>
                <w:szCs w:val="36"/>
              </w:rPr>
              <w:t xml:space="preserve"> locales</w:t>
            </w:r>
            <w:r w:rsidRPr="009C7871">
              <w:rPr>
                <w:rFonts w:ascii="Arial" w:hAnsi="Arial" w:cs="Arial"/>
                <w:color w:val="000000" w:themeColor="text1"/>
                <w:sz w:val="20"/>
                <w:szCs w:val="36"/>
              </w:rPr>
              <w:t xml:space="preserve"> </w:t>
            </w:r>
            <w:r w:rsidR="004A0A6E" w:rsidRPr="009C7871">
              <w:rPr>
                <w:rFonts w:ascii="Arial" w:hAnsi="Arial" w:cs="Arial"/>
                <w:color w:val="000000" w:themeColor="text1"/>
                <w:sz w:val="20"/>
                <w:szCs w:val="36"/>
              </w:rPr>
              <w:t>y</w:t>
            </w:r>
            <w:r w:rsidRPr="009C7871">
              <w:rPr>
                <w:rFonts w:ascii="Arial" w:hAnsi="Arial" w:cs="Arial"/>
                <w:color w:val="000000" w:themeColor="text1"/>
                <w:sz w:val="20"/>
                <w:szCs w:val="36"/>
              </w:rPr>
              <w:t xml:space="preserve">  encadenamientos productivos. Favoreciendo usos territoriales basados en características locales. Diversidad Territorial</w:t>
            </w:r>
          </w:p>
        </w:tc>
        <w:tc>
          <w:tcPr>
            <w:tcW w:w="383" w:type="dxa"/>
            <w:tcBorders>
              <w:top w:val="nil"/>
              <w:bottom w:val="nil"/>
            </w:tcBorders>
            <w:shd w:val="clear" w:color="auto" w:fill="FF0000"/>
            <w:vAlign w:val="center"/>
          </w:tcPr>
          <w:p w:rsidR="00AD4845" w:rsidRPr="000E0F90" w:rsidRDefault="006C3F97" w:rsidP="00683B98">
            <w:pPr>
              <w:spacing w:after="0" w:line="240" w:lineRule="auto"/>
              <w:jc w:val="center"/>
              <w:rPr>
                <w:rFonts w:ascii="Arial" w:eastAsia="Times New Roman" w:hAnsi="Arial" w:cs="Arial"/>
                <w:bCs/>
                <w:color w:val="000000" w:themeColor="text1"/>
                <w:sz w:val="20"/>
                <w:szCs w:val="20"/>
                <w:lang w:eastAsia="es-CL"/>
              </w:rPr>
            </w:pPr>
            <w:r w:rsidRPr="000E0F90">
              <w:rPr>
                <w:rFonts w:ascii="Arial" w:eastAsia="Times New Roman" w:hAnsi="Arial" w:cs="Arial"/>
                <w:bCs/>
                <w:color w:val="000000" w:themeColor="text1"/>
                <w:sz w:val="20"/>
                <w:szCs w:val="20"/>
                <w:lang w:eastAsia="es-CL"/>
              </w:rPr>
              <w:t>N</w:t>
            </w:r>
          </w:p>
        </w:tc>
        <w:tc>
          <w:tcPr>
            <w:tcW w:w="387" w:type="dxa"/>
            <w:tcBorders>
              <w:top w:val="nil"/>
              <w:bottom w:val="nil"/>
            </w:tcBorders>
            <w:shd w:val="clear" w:color="auto" w:fill="FFFF00"/>
            <w:vAlign w:val="center"/>
          </w:tcPr>
          <w:p w:rsidR="00AD4845" w:rsidRPr="000E0F90" w:rsidRDefault="00767A30" w:rsidP="00683B98">
            <w:pPr>
              <w:spacing w:after="0" w:line="240" w:lineRule="auto"/>
              <w:jc w:val="center"/>
              <w:rPr>
                <w:rFonts w:ascii="Arial" w:eastAsia="Times New Roman" w:hAnsi="Arial" w:cs="Arial"/>
                <w:bCs/>
                <w:color w:val="000000" w:themeColor="text1"/>
                <w:sz w:val="20"/>
                <w:szCs w:val="20"/>
                <w:lang w:eastAsia="es-CL"/>
              </w:rPr>
            </w:pPr>
            <w:r w:rsidRPr="000E0F90">
              <w:rPr>
                <w:rFonts w:ascii="Arial" w:eastAsia="Times New Roman" w:hAnsi="Arial" w:cs="Arial"/>
                <w:bCs/>
                <w:color w:val="000000" w:themeColor="text1"/>
                <w:sz w:val="20"/>
                <w:szCs w:val="20"/>
                <w:lang w:eastAsia="es-CL"/>
              </w:rPr>
              <w:t>P</w:t>
            </w:r>
          </w:p>
        </w:tc>
      </w:tr>
      <w:tr w:rsidR="000E0F90" w:rsidRPr="000E0F90" w:rsidTr="002A21E4">
        <w:trPr>
          <w:trHeight w:val="255"/>
        </w:trPr>
        <w:tc>
          <w:tcPr>
            <w:tcW w:w="343" w:type="dxa"/>
            <w:tcBorders>
              <w:top w:val="nil"/>
              <w:bottom w:val="nil"/>
            </w:tcBorders>
            <w:tcMar>
              <w:left w:w="57" w:type="dxa"/>
              <w:right w:w="57" w:type="dxa"/>
            </w:tcMar>
          </w:tcPr>
          <w:p w:rsidR="008D72DF" w:rsidRPr="000E0F90" w:rsidRDefault="001A5C05" w:rsidP="00250AAB">
            <w:pPr>
              <w:pStyle w:val="NormalWeb"/>
              <w:spacing w:before="0" w:beforeAutospacing="0" w:after="0" w:afterAutospacing="0"/>
              <w:textAlignment w:val="center"/>
              <w:rPr>
                <w:rFonts w:ascii="Arial" w:hAnsi="Arial" w:cs="Arial"/>
                <w:color w:val="000000" w:themeColor="text1"/>
                <w:sz w:val="20"/>
                <w:szCs w:val="36"/>
              </w:rPr>
            </w:pPr>
            <w:r w:rsidRPr="000E0F90">
              <w:rPr>
                <w:rFonts w:ascii="Arial" w:hAnsi="Arial" w:cs="Arial"/>
                <w:color w:val="000000" w:themeColor="text1"/>
                <w:sz w:val="20"/>
                <w:szCs w:val="36"/>
              </w:rPr>
              <w:t>9</w:t>
            </w:r>
          </w:p>
        </w:tc>
        <w:tc>
          <w:tcPr>
            <w:tcW w:w="7503" w:type="dxa"/>
            <w:tcBorders>
              <w:top w:val="nil"/>
              <w:bottom w:val="nil"/>
            </w:tcBorders>
            <w:shd w:val="clear" w:color="auto" w:fill="auto"/>
            <w:vAlign w:val="center"/>
          </w:tcPr>
          <w:p w:rsidR="008D72DF" w:rsidRPr="00CC033B" w:rsidRDefault="008D72DF" w:rsidP="007B215D">
            <w:pPr>
              <w:pStyle w:val="NormalWeb"/>
              <w:spacing w:before="0" w:beforeAutospacing="0" w:after="0" w:afterAutospacing="0"/>
              <w:textAlignment w:val="center"/>
              <w:rPr>
                <w:rFonts w:ascii="Arial" w:hAnsi="Arial" w:cs="Arial"/>
                <w:color w:val="000000" w:themeColor="text1"/>
                <w:sz w:val="20"/>
                <w:szCs w:val="36"/>
              </w:rPr>
            </w:pPr>
            <w:r w:rsidRPr="00CC033B">
              <w:rPr>
                <w:rFonts w:ascii="Arial" w:hAnsi="Arial" w:cs="Arial"/>
                <w:color w:val="000000" w:themeColor="text1"/>
                <w:sz w:val="20"/>
                <w:szCs w:val="36"/>
              </w:rPr>
              <w:t>Desarrollar el territorio en forma equivalente</w:t>
            </w:r>
            <w:r w:rsidR="00390DEE" w:rsidRPr="00CC033B">
              <w:rPr>
                <w:rFonts w:ascii="Arial" w:hAnsi="Arial" w:cs="Arial"/>
                <w:color w:val="000000" w:themeColor="text1"/>
                <w:sz w:val="20"/>
                <w:szCs w:val="36"/>
              </w:rPr>
              <w:t xml:space="preserve"> y</w:t>
            </w:r>
            <w:r w:rsidRPr="00CC033B">
              <w:rPr>
                <w:rFonts w:ascii="Arial" w:hAnsi="Arial" w:cs="Arial"/>
                <w:color w:val="000000" w:themeColor="text1"/>
                <w:sz w:val="20"/>
                <w:szCs w:val="36"/>
              </w:rPr>
              <w:t xml:space="preserve"> transversal, fomentando el desarrollo </w:t>
            </w:r>
            <w:r w:rsidR="00741671" w:rsidRPr="00CC033B">
              <w:rPr>
                <w:rFonts w:ascii="Arial" w:hAnsi="Arial" w:cs="Arial"/>
                <w:color w:val="000000" w:themeColor="text1"/>
                <w:sz w:val="20"/>
                <w:szCs w:val="36"/>
              </w:rPr>
              <w:t xml:space="preserve">igualitario </w:t>
            </w:r>
            <w:r w:rsidRPr="00CC033B">
              <w:rPr>
                <w:rFonts w:ascii="Arial" w:hAnsi="Arial" w:cs="Arial"/>
                <w:color w:val="000000" w:themeColor="text1"/>
                <w:sz w:val="20"/>
                <w:szCs w:val="36"/>
              </w:rPr>
              <w:t xml:space="preserve">de todas las actividades territoriales, </w:t>
            </w:r>
            <w:r w:rsidRPr="00CC033B">
              <w:rPr>
                <w:rFonts w:ascii="Arial" w:hAnsi="Arial" w:cs="Arial"/>
                <w:color w:val="000000" w:themeColor="text1"/>
                <w:kern w:val="24"/>
                <w:sz w:val="20"/>
                <w:szCs w:val="22"/>
              </w:rPr>
              <w:t xml:space="preserve">que </w:t>
            </w:r>
            <w:r w:rsidR="005D1F00" w:rsidRPr="00CC033B">
              <w:rPr>
                <w:rFonts w:ascii="Arial" w:hAnsi="Arial" w:cs="Arial"/>
                <w:color w:val="000000" w:themeColor="text1"/>
                <w:kern w:val="24"/>
                <w:sz w:val="20"/>
                <w:szCs w:val="22"/>
              </w:rPr>
              <w:t>contribuyan a</w:t>
            </w:r>
            <w:r w:rsidRPr="00CC033B">
              <w:rPr>
                <w:rFonts w:ascii="Arial" w:hAnsi="Arial" w:cs="Arial"/>
                <w:color w:val="000000" w:themeColor="text1"/>
                <w:kern w:val="24"/>
                <w:sz w:val="20"/>
                <w:szCs w:val="22"/>
              </w:rPr>
              <w:t xml:space="preserve"> mejorar la calid</w:t>
            </w:r>
            <w:r w:rsidR="005D1F00" w:rsidRPr="00CC033B">
              <w:rPr>
                <w:rFonts w:ascii="Arial" w:hAnsi="Arial" w:cs="Arial"/>
                <w:color w:val="000000" w:themeColor="text1"/>
                <w:kern w:val="24"/>
                <w:sz w:val="20"/>
                <w:szCs w:val="22"/>
              </w:rPr>
              <w:t>ad de vida de todos los actores</w:t>
            </w:r>
            <w:r w:rsidRPr="00CC033B">
              <w:rPr>
                <w:rFonts w:ascii="Arial" w:hAnsi="Arial" w:cs="Arial"/>
                <w:color w:val="000000" w:themeColor="text1"/>
                <w:sz w:val="20"/>
                <w:szCs w:val="36"/>
              </w:rPr>
              <w:t>. Equidad Territorial</w:t>
            </w:r>
          </w:p>
        </w:tc>
        <w:tc>
          <w:tcPr>
            <w:tcW w:w="383" w:type="dxa"/>
            <w:tcBorders>
              <w:top w:val="nil"/>
              <w:bottom w:val="nil"/>
            </w:tcBorders>
            <w:shd w:val="clear" w:color="auto" w:fill="FF0000"/>
            <w:vAlign w:val="center"/>
          </w:tcPr>
          <w:p w:rsidR="008D72DF" w:rsidRPr="000E0F90" w:rsidRDefault="001A35CF" w:rsidP="00960558">
            <w:pPr>
              <w:spacing w:after="0" w:line="240" w:lineRule="auto"/>
              <w:jc w:val="center"/>
              <w:rPr>
                <w:rFonts w:ascii="Arial" w:eastAsia="Times New Roman" w:hAnsi="Arial" w:cs="Arial"/>
                <w:bCs/>
                <w:color w:val="000000" w:themeColor="text1"/>
                <w:sz w:val="20"/>
                <w:szCs w:val="20"/>
                <w:lang w:eastAsia="es-CL"/>
              </w:rPr>
            </w:pPr>
            <w:r w:rsidRPr="000E0F90">
              <w:rPr>
                <w:rFonts w:ascii="Arial" w:eastAsia="Times New Roman" w:hAnsi="Arial" w:cs="Arial"/>
                <w:bCs/>
                <w:color w:val="000000" w:themeColor="text1"/>
                <w:sz w:val="20"/>
                <w:szCs w:val="20"/>
                <w:lang w:eastAsia="es-CL"/>
              </w:rPr>
              <w:t>N</w:t>
            </w:r>
          </w:p>
        </w:tc>
        <w:tc>
          <w:tcPr>
            <w:tcW w:w="387" w:type="dxa"/>
            <w:tcBorders>
              <w:top w:val="nil"/>
              <w:bottom w:val="nil"/>
            </w:tcBorders>
            <w:shd w:val="clear" w:color="auto" w:fill="FF0000"/>
            <w:vAlign w:val="center"/>
          </w:tcPr>
          <w:p w:rsidR="008D72DF" w:rsidRPr="000E0F90" w:rsidRDefault="001A35CF" w:rsidP="00960558">
            <w:pPr>
              <w:spacing w:after="0" w:line="240" w:lineRule="auto"/>
              <w:jc w:val="center"/>
              <w:rPr>
                <w:rFonts w:ascii="Arial" w:eastAsia="Times New Roman" w:hAnsi="Arial" w:cs="Arial"/>
                <w:bCs/>
                <w:color w:val="000000" w:themeColor="text1"/>
                <w:sz w:val="20"/>
                <w:szCs w:val="20"/>
                <w:lang w:eastAsia="es-CL"/>
              </w:rPr>
            </w:pPr>
            <w:r w:rsidRPr="000E0F90">
              <w:rPr>
                <w:rFonts w:ascii="Arial" w:eastAsia="Times New Roman" w:hAnsi="Arial" w:cs="Arial"/>
                <w:bCs/>
                <w:color w:val="000000" w:themeColor="text1"/>
                <w:sz w:val="20"/>
                <w:szCs w:val="20"/>
                <w:lang w:eastAsia="es-CL"/>
              </w:rPr>
              <w:t>N</w:t>
            </w:r>
          </w:p>
        </w:tc>
      </w:tr>
      <w:tr w:rsidR="008D72DF" w:rsidRPr="000E0F90" w:rsidTr="002A21E4">
        <w:trPr>
          <w:trHeight w:val="255"/>
        </w:trPr>
        <w:tc>
          <w:tcPr>
            <w:tcW w:w="343" w:type="dxa"/>
            <w:tcBorders>
              <w:top w:val="nil"/>
              <w:bottom w:val="nil"/>
            </w:tcBorders>
            <w:tcMar>
              <w:left w:w="57" w:type="dxa"/>
              <w:right w:w="57" w:type="dxa"/>
            </w:tcMar>
          </w:tcPr>
          <w:p w:rsidR="008D72DF" w:rsidRPr="000E0F90" w:rsidRDefault="001A5C05">
            <w:pPr>
              <w:pStyle w:val="NormalWeb"/>
              <w:spacing w:before="0" w:beforeAutospacing="0" w:after="0" w:afterAutospacing="0"/>
              <w:textAlignment w:val="center"/>
              <w:rPr>
                <w:rFonts w:ascii="Arial" w:hAnsi="Arial" w:cs="Arial"/>
                <w:color w:val="000000" w:themeColor="text1"/>
                <w:kern w:val="24"/>
                <w:sz w:val="20"/>
                <w:szCs w:val="22"/>
              </w:rPr>
            </w:pPr>
            <w:r w:rsidRPr="000E0F90">
              <w:rPr>
                <w:rFonts w:ascii="Arial" w:hAnsi="Arial" w:cs="Arial"/>
                <w:color w:val="000000" w:themeColor="text1"/>
                <w:kern w:val="24"/>
                <w:sz w:val="20"/>
                <w:szCs w:val="22"/>
              </w:rPr>
              <w:t>10</w:t>
            </w:r>
          </w:p>
        </w:tc>
        <w:tc>
          <w:tcPr>
            <w:tcW w:w="7503" w:type="dxa"/>
            <w:tcBorders>
              <w:top w:val="nil"/>
              <w:bottom w:val="nil"/>
            </w:tcBorders>
            <w:shd w:val="clear" w:color="auto" w:fill="auto"/>
            <w:vAlign w:val="center"/>
          </w:tcPr>
          <w:p w:rsidR="008D72DF" w:rsidRPr="009C7871" w:rsidRDefault="008D72DF" w:rsidP="00CC033B">
            <w:pPr>
              <w:pStyle w:val="NormalWeb"/>
              <w:spacing w:before="0" w:beforeAutospacing="0" w:after="0" w:afterAutospacing="0"/>
              <w:textAlignment w:val="center"/>
              <w:rPr>
                <w:rFonts w:ascii="Arial" w:hAnsi="Arial" w:cs="Arial"/>
                <w:color w:val="000000" w:themeColor="text1"/>
                <w:sz w:val="20"/>
                <w:szCs w:val="36"/>
              </w:rPr>
            </w:pPr>
            <w:r w:rsidRPr="009C7871">
              <w:rPr>
                <w:rFonts w:ascii="Arial" w:hAnsi="Arial" w:cs="Arial"/>
                <w:color w:val="000000" w:themeColor="text1"/>
                <w:kern w:val="24"/>
                <w:sz w:val="20"/>
                <w:szCs w:val="22"/>
              </w:rPr>
              <w:t xml:space="preserve">Promover la distribución equitativa de los beneficios que se generan por la extracción de recursos </w:t>
            </w:r>
            <w:r w:rsidR="00F82CED" w:rsidRPr="009C7871">
              <w:rPr>
                <w:rFonts w:ascii="Arial" w:hAnsi="Arial" w:cs="Arial"/>
                <w:color w:val="000000" w:themeColor="text1"/>
                <w:kern w:val="24"/>
                <w:sz w:val="20"/>
                <w:szCs w:val="22"/>
              </w:rPr>
              <w:t>de</w:t>
            </w:r>
            <w:r w:rsidRPr="009C7871">
              <w:rPr>
                <w:rFonts w:ascii="Arial" w:hAnsi="Arial" w:cs="Arial"/>
                <w:color w:val="000000" w:themeColor="text1"/>
                <w:kern w:val="24"/>
                <w:sz w:val="20"/>
                <w:szCs w:val="22"/>
              </w:rPr>
              <w:t>l territorio. Particularmente en aquellos territorios donde se produce la extracción de minerales y se generan externalidades negativas medioambientales y sociales</w:t>
            </w:r>
            <w:r w:rsidR="00E76B71" w:rsidRPr="009C7871">
              <w:rPr>
                <w:rFonts w:ascii="Arial" w:hAnsi="Arial" w:cs="Arial"/>
                <w:color w:val="000000" w:themeColor="text1"/>
                <w:kern w:val="24"/>
                <w:sz w:val="20"/>
                <w:szCs w:val="22"/>
              </w:rPr>
              <w:t>, asociados a la actividad</w:t>
            </w:r>
            <w:r w:rsidRPr="009C7871">
              <w:rPr>
                <w:rFonts w:ascii="Arial" w:hAnsi="Arial" w:cs="Arial"/>
                <w:color w:val="000000" w:themeColor="text1"/>
                <w:kern w:val="24"/>
                <w:sz w:val="20"/>
                <w:szCs w:val="22"/>
              </w:rPr>
              <w:t xml:space="preserve">. </w:t>
            </w:r>
            <w:r w:rsidR="00E76B71" w:rsidRPr="009C7871">
              <w:rPr>
                <w:rFonts w:ascii="Arial" w:hAnsi="Arial" w:cs="Arial"/>
                <w:color w:val="000000" w:themeColor="text1"/>
                <w:kern w:val="24"/>
                <w:sz w:val="20"/>
                <w:szCs w:val="22"/>
              </w:rPr>
              <w:t>E</w:t>
            </w:r>
            <w:r w:rsidRPr="009C7871">
              <w:rPr>
                <w:rFonts w:ascii="Arial" w:hAnsi="Arial" w:cs="Arial"/>
                <w:color w:val="000000" w:themeColor="text1"/>
                <w:kern w:val="24"/>
                <w:sz w:val="20"/>
                <w:szCs w:val="22"/>
              </w:rPr>
              <w:t>vitar zonas de sacrificio.</w:t>
            </w:r>
          </w:p>
        </w:tc>
        <w:tc>
          <w:tcPr>
            <w:tcW w:w="383" w:type="dxa"/>
            <w:tcBorders>
              <w:top w:val="nil"/>
              <w:bottom w:val="nil"/>
            </w:tcBorders>
            <w:shd w:val="clear" w:color="auto" w:fill="FF0000"/>
            <w:vAlign w:val="center"/>
          </w:tcPr>
          <w:p w:rsidR="008D72DF" w:rsidRPr="000E0F90" w:rsidRDefault="008D72DF" w:rsidP="00683B98">
            <w:pPr>
              <w:spacing w:after="0" w:line="240" w:lineRule="auto"/>
              <w:jc w:val="center"/>
              <w:rPr>
                <w:rFonts w:ascii="Arial" w:eastAsia="Times New Roman" w:hAnsi="Arial" w:cs="Arial"/>
                <w:bCs/>
                <w:color w:val="000000" w:themeColor="text1"/>
                <w:sz w:val="20"/>
                <w:szCs w:val="20"/>
                <w:lang w:eastAsia="es-CL"/>
              </w:rPr>
            </w:pPr>
            <w:r w:rsidRPr="000E0F90">
              <w:rPr>
                <w:rFonts w:ascii="Arial" w:eastAsia="Times New Roman" w:hAnsi="Arial" w:cs="Arial"/>
                <w:bCs/>
                <w:color w:val="000000" w:themeColor="text1"/>
                <w:sz w:val="20"/>
                <w:szCs w:val="20"/>
                <w:lang w:eastAsia="es-CL"/>
              </w:rPr>
              <w:t>N</w:t>
            </w:r>
          </w:p>
        </w:tc>
        <w:tc>
          <w:tcPr>
            <w:tcW w:w="387" w:type="dxa"/>
            <w:tcBorders>
              <w:top w:val="nil"/>
              <w:bottom w:val="nil"/>
            </w:tcBorders>
            <w:shd w:val="clear" w:color="auto" w:fill="FF0000"/>
            <w:vAlign w:val="center"/>
          </w:tcPr>
          <w:p w:rsidR="008D72DF" w:rsidRPr="000E0F90" w:rsidRDefault="008D72DF" w:rsidP="00683B98">
            <w:pPr>
              <w:spacing w:after="0" w:line="240" w:lineRule="auto"/>
              <w:jc w:val="center"/>
              <w:rPr>
                <w:rFonts w:ascii="Arial" w:eastAsia="Times New Roman" w:hAnsi="Arial" w:cs="Arial"/>
                <w:bCs/>
                <w:color w:val="000000" w:themeColor="text1"/>
                <w:sz w:val="20"/>
                <w:szCs w:val="20"/>
                <w:lang w:eastAsia="es-CL"/>
              </w:rPr>
            </w:pPr>
            <w:r w:rsidRPr="000E0F90">
              <w:rPr>
                <w:rFonts w:ascii="Arial" w:eastAsia="Times New Roman" w:hAnsi="Arial" w:cs="Arial"/>
                <w:bCs/>
                <w:color w:val="000000" w:themeColor="text1"/>
                <w:sz w:val="20"/>
                <w:szCs w:val="20"/>
                <w:lang w:eastAsia="es-CL"/>
              </w:rPr>
              <w:t>N</w:t>
            </w:r>
          </w:p>
        </w:tc>
      </w:tr>
      <w:tr w:rsidR="008D72DF" w:rsidRPr="000E0F90" w:rsidTr="002A21E4">
        <w:trPr>
          <w:trHeight w:val="255"/>
        </w:trPr>
        <w:tc>
          <w:tcPr>
            <w:tcW w:w="343" w:type="dxa"/>
            <w:tcBorders>
              <w:top w:val="nil"/>
              <w:bottom w:val="nil"/>
            </w:tcBorders>
            <w:tcMar>
              <w:left w:w="57" w:type="dxa"/>
              <w:right w:w="57" w:type="dxa"/>
            </w:tcMar>
          </w:tcPr>
          <w:p w:rsidR="008D72DF" w:rsidRPr="000E0F90" w:rsidRDefault="001A5C05" w:rsidP="003814B6">
            <w:pPr>
              <w:pStyle w:val="NormalWeb"/>
              <w:spacing w:before="0" w:beforeAutospacing="0" w:after="0" w:afterAutospacing="0"/>
              <w:textAlignment w:val="center"/>
              <w:rPr>
                <w:rFonts w:ascii="Arial" w:hAnsi="Arial" w:cs="Arial"/>
                <w:color w:val="000000" w:themeColor="text1"/>
                <w:kern w:val="24"/>
                <w:sz w:val="20"/>
                <w:szCs w:val="22"/>
              </w:rPr>
            </w:pPr>
            <w:r w:rsidRPr="000E0F90">
              <w:rPr>
                <w:rFonts w:ascii="Arial" w:hAnsi="Arial" w:cs="Arial"/>
                <w:color w:val="000000" w:themeColor="text1"/>
                <w:kern w:val="24"/>
                <w:sz w:val="20"/>
                <w:szCs w:val="22"/>
              </w:rPr>
              <w:t>11</w:t>
            </w:r>
          </w:p>
        </w:tc>
        <w:tc>
          <w:tcPr>
            <w:tcW w:w="7503" w:type="dxa"/>
            <w:tcBorders>
              <w:top w:val="nil"/>
              <w:bottom w:val="nil"/>
            </w:tcBorders>
            <w:shd w:val="clear" w:color="auto" w:fill="auto"/>
            <w:vAlign w:val="center"/>
          </w:tcPr>
          <w:p w:rsidR="008D72DF" w:rsidRPr="009C7871" w:rsidRDefault="008D72DF" w:rsidP="005D1F00">
            <w:pPr>
              <w:pStyle w:val="NormalWeb"/>
              <w:spacing w:before="0" w:beforeAutospacing="0" w:after="0" w:afterAutospacing="0"/>
              <w:textAlignment w:val="center"/>
              <w:rPr>
                <w:rFonts w:ascii="Arial" w:hAnsi="Arial" w:cs="Arial"/>
                <w:color w:val="000000" w:themeColor="text1"/>
                <w:kern w:val="24"/>
                <w:sz w:val="20"/>
                <w:szCs w:val="22"/>
              </w:rPr>
            </w:pPr>
            <w:r w:rsidRPr="009C7871">
              <w:rPr>
                <w:rFonts w:ascii="Arial" w:hAnsi="Arial" w:cs="Arial"/>
                <w:color w:val="000000" w:themeColor="text1"/>
                <w:kern w:val="24"/>
                <w:sz w:val="20"/>
                <w:szCs w:val="22"/>
              </w:rPr>
              <w:t xml:space="preserve">Reducir la brecha de los más necesitados, satisfaciendo sus necesidades y mejorando su calidad de vida, mitigando los </w:t>
            </w:r>
            <w:r w:rsidR="00F82CED" w:rsidRPr="009C7871">
              <w:rPr>
                <w:rFonts w:ascii="Arial" w:hAnsi="Arial" w:cs="Arial"/>
                <w:color w:val="000000" w:themeColor="text1"/>
                <w:kern w:val="24"/>
                <w:sz w:val="20"/>
                <w:szCs w:val="22"/>
              </w:rPr>
              <w:t>impactos</w:t>
            </w:r>
            <w:r w:rsidRPr="009C7871">
              <w:rPr>
                <w:rFonts w:ascii="Arial" w:hAnsi="Arial" w:cs="Arial"/>
                <w:color w:val="000000" w:themeColor="text1"/>
                <w:kern w:val="24"/>
                <w:sz w:val="20"/>
                <w:szCs w:val="22"/>
              </w:rPr>
              <w:t xml:space="preserve"> de las actividades territoriales, promoviendo la inclusión social en las consideraciones de desarrollo. Implementar iniciativas de mejoramiento de la calidad de vida a largo plazo.</w:t>
            </w:r>
          </w:p>
        </w:tc>
        <w:tc>
          <w:tcPr>
            <w:tcW w:w="383" w:type="dxa"/>
            <w:tcBorders>
              <w:top w:val="nil"/>
              <w:bottom w:val="nil"/>
            </w:tcBorders>
            <w:shd w:val="clear" w:color="auto" w:fill="FFFF00"/>
            <w:vAlign w:val="center"/>
          </w:tcPr>
          <w:p w:rsidR="008D72DF" w:rsidRPr="000E0F90" w:rsidRDefault="008D72DF" w:rsidP="00683B98">
            <w:pPr>
              <w:spacing w:after="0" w:line="240" w:lineRule="auto"/>
              <w:jc w:val="center"/>
              <w:rPr>
                <w:rFonts w:ascii="Arial" w:eastAsia="Times New Roman" w:hAnsi="Arial" w:cs="Arial"/>
                <w:bCs/>
                <w:color w:val="000000" w:themeColor="text1"/>
                <w:sz w:val="20"/>
                <w:szCs w:val="20"/>
                <w:lang w:eastAsia="es-CL"/>
              </w:rPr>
            </w:pPr>
            <w:r w:rsidRPr="000E0F90">
              <w:rPr>
                <w:rFonts w:ascii="Arial" w:eastAsia="Times New Roman" w:hAnsi="Arial" w:cs="Arial"/>
                <w:bCs/>
                <w:color w:val="000000" w:themeColor="text1"/>
                <w:sz w:val="20"/>
                <w:szCs w:val="20"/>
                <w:lang w:eastAsia="es-CL"/>
              </w:rPr>
              <w:t>P</w:t>
            </w:r>
          </w:p>
        </w:tc>
        <w:tc>
          <w:tcPr>
            <w:tcW w:w="387" w:type="dxa"/>
            <w:tcBorders>
              <w:top w:val="nil"/>
              <w:bottom w:val="nil"/>
            </w:tcBorders>
            <w:shd w:val="clear" w:color="auto" w:fill="FFFF00"/>
            <w:vAlign w:val="center"/>
          </w:tcPr>
          <w:p w:rsidR="008D72DF" w:rsidRPr="000E0F90" w:rsidRDefault="008D72DF" w:rsidP="00683B98">
            <w:pPr>
              <w:spacing w:after="0" w:line="240" w:lineRule="auto"/>
              <w:jc w:val="center"/>
              <w:rPr>
                <w:rFonts w:ascii="Arial" w:eastAsia="Times New Roman" w:hAnsi="Arial" w:cs="Arial"/>
                <w:bCs/>
                <w:color w:val="000000" w:themeColor="text1"/>
                <w:sz w:val="20"/>
                <w:szCs w:val="20"/>
                <w:lang w:eastAsia="es-CL"/>
              </w:rPr>
            </w:pPr>
            <w:r w:rsidRPr="000E0F90">
              <w:rPr>
                <w:rFonts w:ascii="Arial" w:eastAsia="Times New Roman" w:hAnsi="Arial" w:cs="Arial"/>
                <w:bCs/>
                <w:color w:val="000000" w:themeColor="text1"/>
                <w:sz w:val="20"/>
                <w:szCs w:val="20"/>
                <w:lang w:eastAsia="es-CL"/>
              </w:rPr>
              <w:t>P</w:t>
            </w:r>
          </w:p>
        </w:tc>
      </w:tr>
      <w:tr w:rsidR="008D72DF" w:rsidRPr="000E0F90" w:rsidTr="002A21E4">
        <w:trPr>
          <w:trHeight w:val="255"/>
        </w:trPr>
        <w:tc>
          <w:tcPr>
            <w:tcW w:w="343" w:type="dxa"/>
            <w:tcBorders>
              <w:top w:val="nil"/>
              <w:bottom w:val="nil"/>
            </w:tcBorders>
            <w:tcMar>
              <w:left w:w="57" w:type="dxa"/>
              <w:right w:w="57" w:type="dxa"/>
            </w:tcMar>
          </w:tcPr>
          <w:p w:rsidR="008D72DF" w:rsidRPr="000E0F90" w:rsidRDefault="001A5C05" w:rsidP="003814B6">
            <w:pPr>
              <w:pStyle w:val="NormalWeb"/>
              <w:spacing w:before="0" w:beforeAutospacing="0" w:after="0" w:afterAutospacing="0"/>
              <w:textAlignment w:val="center"/>
              <w:rPr>
                <w:rFonts w:ascii="Arial" w:hAnsi="Arial" w:cs="Arial"/>
                <w:color w:val="000000" w:themeColor="text1"/>
                <w:kern w:val="24"/>
                <w:sz w:val="20"/>
                <w:szCs w:val="22"/>
              </w:rPr>
            </w:pPr>
            <w:r w:rsidRPr="000E0F90">
              <w:rPr>
                <w:rFonts w:ascii="Arial" w:hAnsi="Arial" w:cs="Arial"/>
                <w:color w:val="000000" w:themeColor="text1"/>
                <w:kern w:val="24"/>
                <w:sz w:val="20"/>
                <w:szCs w:val="22"/>
              </w:rPr>
              <w:t>12</w:t>
            </w:r>
          </w:p>
        </w:tc>
        <w:tc>
          <w:tcPr>
            <w:tcW w:w="7503" w:type="dxa"/>
            <w:tcBorders>
              <w:top w:val="nil"/>
              <w:bottom w:val="nil"/>
            </w:tcBorders>
            <w:shd w:val="clear" w:color="auto" w:fill="auto"/>
            <w:vAlign w:val="center"/>
          </w:tcPr>
          <w:p w:rsidR="008D72DF" w:rsidRPr="009C7871" w:rsidRDefault="008D72DF" w:rsidP="00CC033B">
            <w:pPr>
              <w:pStyle w:val="NormalWeb"/>
              <w:spacing w:before="0" w:beforeAutospacing="0" w:after="0" w:afterAutospacing="0"/>
              <w:textAlignment w:val="center"/>
              <w:rPr>
                <w:rFonts w:ascii="Arial" w:hAnsi="Arial" w:cs="Arial"/>
                <w:color w:val="000000" w:themeColor="text1"/>
                <w:kern w:val="24"/>
                <w:sz w:val="20"/>
                <w:szCs w:val="22"/>
              </w:rPr>
            </w:pPr>
            <w:r w:rsidRPr="009C7871">
              <w:rPr>
                <w:rFonts w:ascii="Arial" w:hAnsi="Arial" w:cs="Arial"/>
                <w:color w:val="000000" w:themeColor="text1"/>
                <w:kern w:val="24"/>
                <w:sz w:val="20"/>
                <w:szCs w:val="22"/>
              </w:rPr>
              <w:t>Evitar traspasar externalidades ne</w:t>
            </w:r>
            <w:r w:rsidR="00CC033B">
              <w:rPr>
                <w:rFonts w:ascii="Arial" w:hAnsi="Arial" w:cs="Arial"/>
                <w:color w:val="000000" w:themeColor="text1"/>
                <w:kern w:val="24"/>
                <w:sz w:val="20"/>
                <w:szCs w:val="22"/>
              </w:rPr>
              <w:t>gativas a otros territorios,</w:t>
            </w:r>
            <w:r w:rsidRPr="009C7871">
              <w:rPr>
                <w:rFonts w:ascii="Arial" w:hAnsi="Arial" w:cs="Arial"/>
                <w:color w:val="000000" w:themeColor="text1"/>
                <w:kern w:val="24"/>
                <w:sz w:val="20"/>
                <w:szCs w:val="22"/>
              </w:rPr>
              <w:t xml:space="preserve"> considerar el impacto de sus decisiones dentro y fuera de los límites territoriales. Equidad espacial</w:t>
            </w:r>
          </w:p>
        </w:tc>
        <w:tc>
          <w:tcPr>
            <w:tcW w:w="383" w:type="dxa"/>
            <w:tcBorders>
              <w:top w:val="nil"/>
              <w:bottom w:val="nil"/>
            </w:tcBorders>
            <w:shd w:val="clear" w:color="auto" w:fill="FF0000"/>
            <w:vAlign w:val="center"/>
          </w:tcPr>
          <w:p w:rsidR="008D72DF" w:rsidRPr="000E0F90" w:rsidRDefault="008D72DF" w:rsidP="00683B98">
            <w:pPr>
              <w:spacing w:after="0" w:line="240" w:lineRule="auto"/>
              <w:jc w:val="center"/>
              <w:rPr>
                <w:rFonts w:ascii="Arial" w:eastAsia="Times New Roman" w:hAnsi="Arial" w:cs="Arial"/>
                <w:bCs/>
                <w:color w:val="000000" w:themeColor="text1"/>
                <w:sz w:val="20"/>
                <w:szCs w:val="20"/>
                <w:lang w:eastAsia="es-CL"/>
              </w:rPr>
            </w:pPr>
            <w:r w:rsidRPr="000E0F90">
              <w:rPr>
                <w:rFonts w:ascii="Arial" w:eastAsia="Times New Roman" w:hAnsi="Arial" w:cs="Arial"/>
                <w:bCs/>
                <w:color w:val="000000" w:themeColor="text1"/>
                <w:sz w:val="20"/>
                <w:szCs w:val="20"/>
                <w:lang w:eastAsia="es-CL"/>
              </w:rPr>
              <w:t>N</w:t>
            </w:r>
          </w:p>
        </w:tc>
        <w:tc>
          <w:tcPr>
            <w:tcW w:w="387" w:type="dxa"/>
            <w:tcBorders>
              <w:top w:val="nil"/>
              <w:bottom w:val="nil"/>
            </w:tcBorders>
            <w:shd w:val="clear" w:color="auto" w:fill="FF0000"/>
            <w:vAlign w:val="center"/>
          </w:tcPr>
          <w:p w:rsidR="008D72DF" w:rsidRPr="000E0F90" w:rsidRDefault="008D72DF" w:rsidP="00683B98">
            <w:pPr>
              <w:spacing w:after="0" w:line="240" w:lineRule="auto"/>
              <w:jc w:val="center"/>
              <w:rPr>
                <w:rFonts w:ascii="Arial" w:eastAsia="Times New Roman" w:hAnsi="Arial" w:cs="Arial"/>
                <w:bCs/>
                <w:color w:val="000000" w:themeColor="text1"/>
                <w:sz w:val="20"/>
                <w:szCs w:val="20"/>
                <w:lang w:eastAsia="es-CL"/>
              </w:rPr>
            </w:pPr>
            <w:r w:rsidRPr="000E0F90">
              <w:rPr>
                <w:rFonts w:ascii="Arial" w:eastAsia="Times New Roman" w:hAnsi="Arial" w:cs="Arial"/>
                <w:bCs/>
                <w:color w:val="000000" w:themeColor="text1"/>
                <w:sz w:val="20"/>
                <w:szCs w:val="20"/>
                <w:lang w:eastAsia="es-CL"/>
              </w:rPr>
              <w:t>N</w:t>
            </w:r>
          </w:p>
        </w:tc>
      </w:tr>
      <w:tr w:rsidR="00741671" w:rsidRPr="000E0F90" w:rsidTr="002A21E4">
        <w:trPr>
          <w:trHeight w:val="296"/>
        </w:trPr>
        <w:tc>
          <w:tcPr>
            <w:tcW w:w="343" w:type="dxa"/>
            <w:tcBorders>
              <w:top w:val="nil"/>
            </w:tcBorders>
            <w:tcMar>
              <w:left w:w="57" w:type="dxa"/>
              <w:right w:w="57" w:type="dxa"/>
            </w:tcMar>
          </w:tcPr>
          <w:p w:rsidR="00741671" w:rsidRPr="000E0F90" w:rsidRDefault="007B215D" w:rsidP="003814B6">
            <w:pPr>
              <w:pStyle w:val="NormalWeb"/>
              <w:spacing w:before="0" w:beforeAutospacing="0" w:after="0" w:afterAutospacing="0"/>
              <w:textAlignment w:val="center"/>
              <w:rPr>
                <w:rFonts w:ascii="Arial" w:hAnsi="Arial" w:cs="Arial"/>
                <w:color w:val="000000" w:themeColor="text1"/>
                <w:kern w:val="24"/>
                <w:sz w:val="20"/>
                <w:szCs w:val="22"/>
              </w:rPr>
            </w:pPr>
            <w:r>
              <w:rPr>
                <w:rFonts w:ascii="Arial" w:hAnsi="Arial" w:cs="Arial"/>
                <w:color w:val="000000" w:themeColor="text1"/>
                <w:kern w:val="24"/>
                <w:sz w:val="20"/>
                <w:szCs w:val="22"/>
              </w:rPr>
              <w:t>13</w:t>
            </w:r>
          </w:p>
        </w:tc>
        <w:tc>
          <w:tcPr>
            <w:tcW w:w="7503" w:type="dxa"/>
            <w:tcBorders>
              <w:top w:val="nil"/>
            </w:tcBorders>
            <w:shd w:val="clear" w:color="auto" w:fill="auto"/>
            <w:vAlign w:val="center"/>
          </w:tcPr>
          <w:p w:rsidR="00741671" w:rsidRPr="007B215D" w:rsidRDefault="00741671" w:rsidP="003814B6">
            <w:pPr>
              <w:pStyle w:val="NormalWeb"/>
              <w:spacing w:before="0" w:beforeAutospacing="0" w:after="0" w:afterAutospacing="0"/>
              <w:textAlignment w:val="center"/>
              <w:rPr>
                <w:rFonts w:ascii="Arial" w:hAnsi="Arial" w:cs="Arial"/>
                <w:color w:val="000000" w:themeColor="text1"/>
                <w:kern w:val="24"/>
                <w:sz w:val="20"/>
                <w:szCs w:val="22"/>
              </w:rPr>
            </w:pPr>
            <w:r w:rsidRPr="007B215D">
              <w:rPr>
                <w:rFonts w:ascii="Arial" w:hAnsi="Arial" w:cs="Arial"/>
                <w:color w:val="000000" w:themeColor="text1"/>
                <w:kern w:val="24"/>
                <w:sz w:val="20"/>
                <w:szCs w:val="22"/>
              </w:rPr>
              <w:t xml:space="preserve">Reducir la huella ecológica </w:t>
            </w:r>
            <w:r w:rsidR="00CC033B" w:rsidRPr="007B215D">
              <w:rPr>
                <w:rFonts w:ascii="Arial" w:hAnsi="Arial" w:cs="Arial"/>
                <w:color w:val="000000" w:themeColor="text1"/>
                <w:kern w:val="24"/>
                <w:sz w:val="20"/>
                <w:szCs w:val="22"/>
              </w:rPr>
              <w:t xml:space="preserve">del territorio, </w:t>
            </w:r>
            <w:r w:rsidRPr="007B215D">
              <w:rPr>
                <w:rFonts w:ascii="Arial" w:hAnsi="Arial" w:cs="Arial"/>
                <w:color w:val="000000" w:themeColor="text1"/>
                <w:kern w:val="24"/>
                <w:sz w:val="20"/>
                <w:szCs w:val="22"/>
              </w:rPr>
              <w:t>asegurando la calidad de vida para todos</w:t>
            </w:r>
            <w:r w:rsidR="00BA472B" w:rsidRPr="007B215D">
              <w:rPr>
                <w:rFonts w:ascii="Arial" w:hAnsi="Arial" w:cs="Arial"/>
                <w:color w:val="000000" w:themeColor="text1"/>
                <w:kern w:val="24"/>
                <w:sz w:val="20"/>
                <w:szCs w:val="22"/>
              </w:rPr>
              <w:t xml:space="preserve"> en el corto y largo plazo</w:t>
            </w:r>
          </w:p>
        </w:tc>
        <w:tc>
          <w:tcPr>
            <w:tcW w:w="383" w:type="dxa"/>
            <w:tcBorders>
              <w:top w:val="nil"/>
            </w:tcBorders>
            <w:shd w:val="clear" w:color="auto" w:fill="FF0000"/>
            <w:vAlign w:val="center"/>
          </w:tcPr>
          <w:p w:rsidR="00741671" w:rsidRPr="000E0F90" w:rsidRDefault="007B215D" w:rsidP="00683B98">
            <w:pPr>
              <w:spacing w:after="0" w:line="240" w:lineRule="auto"/>
              <w:jc w:val="center"/>
              <w:rPr>
                <w:rFonts w:ascii="Arial" w:eastAsia="Times New Roman" w:hAnsi="Arial" w:cs="Arial"/>
                <w:bCs/>
                <w:color w:val="000000" w:themeColor="text1"/>
                <w:sz w:val="20"/>
                <w:szCs w:val="20"/>
                <w:lang w:eastAsia="es-CL"/>
              </w:rPr>
            </w:pPr>
            <w:r>
              <w:rPr>
                <w:rFonts w:ascii="Arial" w:eastAsia="Times New Roman" w:hAnsi="Arial" w:cs="Arial"/>
                <w:bCs/>
                <w:color w:val="000000" w:themeColor="text1"/>
                <w:sz w:val="20"/>
                <w:szCs w:val="20"/>
                <w:lang w:eastAsia="es-CL"/>
              </w:rPr>
              <w:t>N</w:t>
            </w:r>
          </w:p>
        </w:tc>
        <w:tc>
          <w:tcPr>
            <w:tcW w:w="387" w:type="dxa"/>
            <w:tcBorders>
              <w:top w:val="nil"/>
            </w:tcBorders>
            <w:shd w:val="clear" w:color="auto" w:fill="FF0000"/>
            <w:vAlign w:val="center"/>
          </w:tcPr>
          <w:p w:rsidR="00741671" w:rsidRPr="000E0F90" w:rsidRDefault="007B215D" w:rsidP="00683B98">
            <w:pPr>
              <w:spacing w:after="0" w:line="240" w:lineRule="auto"/>
              <w:jc w:val="center"/>
              <w:rPr>
                <w:rFonts w:ascii="Arial" w:eastAsia="Times New Roman" w:hAnsi="Arial" w:cs="Arial"/>
                <w:bCs/>
                <w:color w:val="000000" w:themeColor="text1"/>
                <w:sz w:val="20"/>
                <w:szCs w:val="20"/>
                <w:lang w:eastAsia="es-CL"/>
              </w:rPr>
            </w:pPr>
            <w:r>
              <w:rPr>
                <w:rFonts w:ascii="Arial" w:eastAsia="Times New Roman" w:hAnsi="Arial" w:cs="Arial"/>
                <w:bCs/>
                <w:color w:val="000000" w:themeColor="text1"/>
                <w:sz w:val="20"/>
                <w:szCs w:val="20"/>
                <w:lang w:eastAsia="es-CL"/>
              </w:rPr>
              <w:t>N</w:t>
            </w:r>
          </w:p>
        </w:tc>
      </w:tr>
    </w:tbl>
    <w:p w:rsidR="00B4144D" w:rsidRPr="000E0F90" w:rsidRDefault="00B4144D" w:rsidP="00F7220D">
      <w:pPr>
        <w:pStyle w:val="Ttulo3"/>
        <w:spacing w:after="0" w:line="360" w:lineRule="auto"/>
        <w:rPr>
          <w:rFonts w:ascii="Arial" w:hAnsi="Arial" w:cs="Arial"/>
        </w:rPr>
      </w:pPr>
      <w:r w:rsidRPr="000E0F90">
        <w:rPr>
          <w:rFonts w:ascii="Arial" w:hAnsi="Arial" w:cs="Arial"/>
        </w:rPr>
        <w:lastRenderedPageBreak/>
        <w:t>3. Equidad entre generaciones</w:t>
      </w:r>
    </w:p>
    <w:p w:rsidR="00D459B7" w:rsidRPr="000E0F90" w:rsidRDefault="00080D8D" w:rsidP="00702D9A">
      <w:pPr>
        <w:spacing w:line="360" w:lineRule="auto"/>
        <w:rPr>
          <w:rFonts w:ascii="Arial" w:hAnsi="Arial" w:cs="Arial"/>
          <w:color w:val="000000" w:themeColor="text1"/>
        </w:rPr>
      </w:pPr>
      <w:r w:rsidRPr="000E0F90">
        <w:rPr>
          <w:rFonts w:ascii="Arial" w:hAnsi="Arial" w:cs="Arial"/>
          <w:color w:val="000000" w:themeColor="text1"/>
        </w:rPr>
        <w:t>De acuerdo a lo expresado en las entrevistas</w:t>
      </w:r>
      <w:r w:rsidR="00F82CED" w:rsidRPr="000E0F90">
        <w:rPr>
          <w:rFonts w:ascii="Arial" w:hAnsi="Arial" w:cs="Arial"/>
          <w:color w:val="000000" w:themeColor="text1"/>
        </w:rPr>
        <w:t xml:space="preserve">, </w:t>
      </w:r>
      <w:r w:rsidR="009C7871">
        <w:rPr>
          <w:rFonts w:ascii="Arial" w:hAnsi="Arial" w:cs="Arial"/>
          <w:color w:val="000000" w:themeColor="text1"/>
        </w:rPr>
        <w:t xml:space="preserve">se presentan los resultados de la evaluación de la sostenibilidad de los territorios bajo estudio, de acuerdo a la Equidad entre generaciones. </w:t>
      </w:r>
    </w:p>
    <w:p w:rsidR="007041A7" w:rsidRPr="000E0F90" w:rsidRDefault="005761D0" w:rsidP="00F7220D">
      <w:pPr>
        <w:pStyle w:val="Epgrafe"/>
        <w:spacing w:after="0" w:line="360" w:lineRule="auto"/>
        <w:rPr>
          <w:rFonts w:ascii="Arial" w:hAnsi="Arial" w:cs="Arial"/>
          <w:b w:val="0"/>
          <w:color w:val="000000" w:themeColor="text1"/>
          <w:sz w:val="22"/>
        </w:rPr>
      </w:pPr>
      <w:r w:rsidRPr="000E0F90">
        <w:rPr>
          <w:rFonts w:ascii="Arial" w:hAnsi="Arial" w:cs="Arial"/>
          <w:b w:val="0"/>
          <w:color w:val="000000" w:themeColor="text1"/>
          <w:sz w:val="22"/>
        </w:rPr>
        <w:t xml:space="preserve">Cuadro </w:t>
      </w:r>
      <w:r w:rsidRPr="000E0F90">
        <w:rPr>
          <w:rFonts w:ascii="Arial" w:hAnsi="Arial" w:cs="Arial"/>
          <w:b w:val="0"/>
          <w:color w:val="000000" w:themeColor="text1"/>
          <w:sz w:val="22"/>
        </w:rPr>
        <w:fldChar w:fldCharType="begin"/>
      </w:r>
      <w:r w:rsidRPr="000E0F90">
        <w:rPr>
          <w:rFonts w:ascii="Arial" w:hAnsi="Arial" w:cs="Arial"/>
          <w:b w:val="0"/>
          <w:color w:val="000000" w:themeColor="text1"/>
          <w:sz w:val="22"/>
        </w:rPr>
        <w:instrText xml:space="preserve"> SEQ Cuadro \* ARABIC </w:instrText>
      </w:r>
      <w:r w:rsidRPr="000E0F90">
        <w:rPr>
          <w:rFonts w:ascii="Arial" w:hAnsi="Arial" w:cs="Arial"/>
          <w:b w:val="0"/>
          <w:color w:val="000000" w:themeColor="text1"/>
          <w:sz w:val="22"/>
        </w:rPr>
        <w:fldChar w:fldCharType="separate"/>
      </w:r>
      <w:r w:rsidR="00225844">
        <w:rPr>
          <w:rFonts w:ascii="Arial" w:hAnsi="Arial" w:cs="Arial"/>
          <w:b w:val="0"/>
          <w:noProof/>
          <w:color w:val="000000" w:themeColor="text1"/>
          <w:sz w:val="22"/>
        </w:rPr>
        <w:t>16</w:t>
      </w:r>
      <w:r w:rsidRPr="000E0F90">
        <w:rPr>
          <w:rFonts w:ascii="Arial" w:hAnsi="Arial" w:cs="Arial"/>
          <w:b w:val="0"/>
          <w:color w:val="000000" w:themeColor="text1"/>
          <w:sz w:val="22"/>
        </w:rPr>
        <w:fldChar w:fldCharType="end"/>
      </w:r>
      <w:r w:rsidR="00D01867" w:rsidRPr="000E0F90">
        <w:rPr>
          <w:rFonts w:ascii="Arial" w:hAnsi="Arial" w:cs="Arial"/>
          <w:b w:val="0"/>
          <w:color w:val="000000" w:themeColor="text1"/>
          <w:sz w:val="22"/>
        </w:rPr>
        <w:t xml:space="preserve">: </w:t>
      </w:r>
      <w:r w:rsidR="008A28B4" w:rsidRPr="000E0F90">
        <w:rPr>
          <w:rFonts w:ascii="Arial" w:hAnsi="Arial" w:cs="Arial"/>
          <w:b w:val="0"/>
          <w:color w:val="000000" w:themeColor="text1"/>
          <w:sz w:val="22"/>
        </w:rPr>
        <w:t>Estado</w:t>
      </w:r>
      <w:r w:rsidR="00D01867" w:rsidRPr="000E0F90">
        <w:rPr>
          <w:rFonts w:ascii="Arial" w:hAnsi="Arial" w:cs="Arial"/>
          <w:b w:val="0"/>
          <w:color w:val="000000" w:themeColor="text1"/>
          <w:sz w:val="22"/>
        </w:rPr>
        <w:t xml:space="preserve"> actual de los territorios mineros bajo estudio</w:t>
      </w:r>
      <w:r w:rsidR="008A28B4" w:rsidRPr="000E0F90">
        <w:rPr>
          <w:rFonts w:ascii="Arial" w:hAnsi="Arial" w:cs="Arial"/>
          <w:b w:val="0"/>
          <w:color w:val="000000" w:themeColor="text1"/>
          <w:sz w:val="22"/>
        </w:rPr>
        <w:t xml:space="preserve">, en base </w:t>
      </w:r>
      <w:r w:rsidR="00D01867" w:rsidRPr="000E0F90">
        <w:rPr>
          <w:rFonts w:ascii="Arial" w:hAnsi="Arial" w:cs="Arial"/>
          <w:b w:val="0"/>
          <w:color w:val="000000" w:themeColor="text1"/>
          <w:sz w:val="22"/>
        </w:rPr>
        <w:t xml:space="preserve">a propuesta de </w:t>
      </w:r>
      <w:r w:rsidRPr="000E0F90">
        <w:rPr>
          <w:rFonts w:ascii="Arial" w:hAnsi="Arial" w:cs="Arial"/>
          <w:b w:val="0"/>
          <w:color w:val="000000" w:themeColor="text1"/>
          <w:sz w:val="22"/>
        </w:rPr>
        <w:t xml:space="preserve">principios de </w:t>
      </w:r>
      <w:r w:rsidR="00D01867" w:rsidRPr="000E0F90">
        <w:rPr>
          <w:rFonts w:ascii="Arial" w:hAnsi="Arial" w:cs="Arial"/>
          <w:b w:val="0"/>
          <w:color w:val="000000" w:themeColor="text1"/>
          <w:sz w:val="22"/>
        </w:rPr>
        <w:t>sostenibilidad</w:t>
      </w:r>
      <w:r w:rsidR="008A28B4" w:rsidRPr="000E0F90">
        <w:rPr>
          <w:rFonts w:ascii="Arial" w:hAnsi="Arial" w:cs="Arial"/>
          <w:b w:val="0"/>
          <w:color w:val="000000" w:themeColor="text1"/>
          <w:sz w:val="22"/>
        </w:rPr>
        <w:t xml:space="preserve">, de acuerdo </w:t>
      </w:r>
      <w:r w:rsidR="00D01867" w:rsidRPr="000E0F90">
        <w:rPr>
          <w:rFonts w:ascii="Arial" w:hAnsi="Arial" w:cs="Arial"/>
          <w:b w:val="0"/>
          <w:color w:val="000000" w:themeColor="text1"/>
          <w:sz w:val="22"/>
        </w:rPr>
        <w:t>a los criterios de Equidad entre Generaciones</w:t>
      </w:r>
    </w:p>
    <w:tbl>
      <w:tblPr>
        <w:tblW w:w="8652" w:type="dxa"/>
        <w:tblInd w:w="65" w:type="dxa"/>
        <w:tblBorders>
          <w:top w:val="single" w:sz="4" w:space="0" w:color="auto"/>
          <w:bottom w:val="single" w:sz="4" w:space="0" w:color="auto"/>
          <w:insideH w:val="single" w:sz="4" w:space="0" w:color="auto"/>
        </w:tblBorders>
        <w:tblLayout w:type="fixed"/>
        <w:tblCellMar>
          <w:left w:w="70" w:type="dxa"/>
          <w:right w:w="70" w:type="dxa"/>
        </w:tblCellMar>
        <w:tblLook w:val="04A0" w:firstRow="1" w:lastRow="0" w:firstColumn="1" w:lastColumn="0" w:noHBand="0" w:noVBand="1"/>
      </w:tblPr>
      <w:tblGrid>
        <w:gridCol w:w="340"/>
        <w:gridCol w:w="7178"/>
        <w:gridCol w:w="567"/>
        <w:gridCol w:w="567"/>
      </w:tblGrid>
      <w:tr w:rsidR="006E3C86" w:rsidRPr="00983747" w:rsidTr="00983747">
        <w:trPr>
          <w:trHeight w:val="255"/>
        </w:trPr>
        <w:tc>
          <w:tcPr>
            <w:tcW w:w="340" w:type="dxa"/>
            <w:tcBorders>
              <w:bottom w:val="nil"/>
            </w:tcBorders>
            <w:shd w:val="clear" w:color="auto" w:fill="D9D9D9" w:themeFill="background1" w:themeFillShade="D9"/>
          </w:tcPr>
          <w:p w:rsidR="006E3C86" w:rsidRPr="00983747" w:rsidRDefault="006E3C86" w:rsidP="0014129C">
            <w:pPr>
              <w:spacing w:after="0" w:line="240" w:lineRule="auto"/>
              <w:jc w:val="left"/>
              <w:rPr>
                <w:rFonts w:ascii="Arial" w:hAnsi="Arial" w:cs="Arial"/>
                <w:b/>
                <w:bCs/>
                <w:color w:val="000000" w:themeColor="text1"/>
                <w:szCs w:val="20"/>
              </w:rPr>
            </w:pPr>
          </w:p>
        </w:tc>
        <w:tc>
          <w:tcPr>
            <w:tcW w:w="7178" w:type="dxa"/>
            <w:tcBorders>
              <w:bottom w:val="nil"/>
            </w:tcBorders>
            <w:shd w:val="clear" w:color="auto" w:fill="D9D9D9" w:themeFill="background1" w:themeFillShade="D9"/>
            <w:vAlign w:val="bottom"/>
          </w:tcPr>
          <w:p w:rsidR="006E3C86" w:rsidRPr="00983747" w:rsidRDefault="006E3C86" w:rsidP="00D01867">
            <w:pPr>
              <w:spacing w:after="0" w:line="240" w:lineRule="auto"/>
              <w:jc w:val="left"/>
              <w:rPr>
                <w:rFonts w:ascii="Arial" w:eastAsia="Times New Roman" w:hAnsi="Arial" w:cs="Arial"/>
                <w:b/>
                <w:bCs/>
                <w:i/>
                <w:iCs/>
                <w:color w:val="000000" w:themeColor="text1"/>
                <w:szCs w:val="20"/>
                <w:lang w:eastAsia="es-CL"/>
              </w:rPr>
            </w:pPr>
          </w:p>
        </w:tc>
        <w:tc>
          <w:tcPr>
            <w:tcW w:w="1134" w:type="dxa"/>
            <w:gridSpan w:val="2"/>
            <w:tcBorders>
              <w:bottom w:val="nil"/>
            </w:tcBorders>
            <w:shd w:val="clear" w:color="auto" w:fill="D9D9D9" w:themeFill="background1" w:themeFillShade="D9"/>
            <w:noWrap/>
            <w:vAlign w:val="bottom"/>
          </w:tcPr>
          <w:p w:rsidR="006E3C86" w:rsidRPr="00983747" w:rsidRDefault="006E3C86" w:rsidP="0014129C">
            <w:pPr>
              <w:spacing w:after="0" w:line="240" w:lineRule="auto"/>
              <w:jc w:val="center"/>
              <w:rPr>
                <w:rFonts w:ascii="Arial" w:eastAsia="Times New Roman" w:hAnsi="Arial" w:cs="Arial"/>
                <w:b/>
                <w:color w:val="000000" w:themeColor="text1"/>
                <w:szCs w:val="18"/>
                <w:lang w:eastAsia="es-CL"/>
              </w:rPr>
            </w:pPr>
            <w:r w:rsidRPr="00983747">
              <w:rPr>
                <w:rFonts w:ascii="Arial" w:eastAsia="Times New Roman" w:hAnsi="Arial" w:cs="Arial"/>
                <w:b/>
                <w:color w:val="000000" w:themeColor="text1"/>
                <w:szCs w:val="18"/>
                <w:lang w:eastAsia="es-CL"/>
              </w:rPr>
              <w:t>Región</w:t>
            </w:r>
          </w:p>
        </w:tc>
      </w:tr>
      <w:tr w:rsidR="006E3C86" w:rsidRPr="00983747" w:rsidTr="00983747">
        <w:trPr>
          <w:trHeight w:val="255"/>
        </w:trPr>
        <w:tc>
          <w:tcPr>
            <w:tcW w:w="340" w:type="dxa"/>
            <w:tcBorders>
              <w:top w:val="nil"/>
            </w:tcBorders>
            <w:shd w:val="clear" w:color="auto" w:fill="D9D9D9" w:themeFill="background1" w:themeFillShade="D9"/>
          </w:tcPr>
          <w:p w:rsidR="006E3C86" w:rsidRPr="00983747" w:rsidRDefault="006E3C86" w:rsidP="0014129C">
            <w:pPr>
              <w:spacing w:after="0" w:line="240" w:lineRule="auto"/>
              <w:jc w:val="left"/>
              <w:rPr>
                <w:rFonts w:ascii="Arial" w:eastAsia="Times New Roman" w:hAnsi="Arial" w:cs="Arial"/>
                <w:b/>
                <w:bCs/>
                <w:i/>
                <w:iCs/>
                <w:color w:val="000000" w:themeColor="text1"/>
                <w:szCs w:val="20"/>
                <w:lang w:eastAsia="es-CL"/>
              </w:rPr>
            </w:pPr>
          </w:p>
        </w:tc>
        <w:tc>
          <w:tcPr>
            <w:tcW w:w="7178" w:type="dxa"/>
            <w:tcBorders>
              <w:top w:val="nil"/>
            </w:tcBorders>
            <w:shd w:val="clear" w:color="auto" w:fill="D9D9D9" w:themeFill="background1" w:themeFillShade="D9"/>
            <w:vAlign w:val="bottom"/>
          </w:tcPr>
          <w:p w:rsidR="006E3C86" w:rsidRPr="00983747" w:rsidRDefault="00225844" w:rsidP="0014129C">
            <w:pPr>
              <w:spacing w:after="0" w:line="240" w:lineRule="auto"/>
              <w:jc w:val="left"/>
              <w:rPr>
                <w:rFonts w:ascii="Arial" w:eastAsia="Times New Roman" w:hAnsi="Arial" w:cs="Arial"/>
                <w:b/>
                <w:bCs/>
                <w:iCs/>
                <w:color w:val="000000" w:themeColor="text1"/>
                <w:szCs w:val="20"/>
                <w:lang w:eastAsia="es-CL"/>
              </w:rPr>
            </w:pPr>
            <w:r w:rsidRPr="00983747">
              <w:rPr>
                <w:rFonts w:ascii="Arial" w:eastAsia="Times New Roman" w:hAnsi="Arial" w:cs="Arial"/>
                <w:b/>
                <w:bCs/>
                <w:iCs/>
                <w:color w:val="000000" w:themeColor="text1"/>
                <w:szCs w:val="20"/>
                <w:lang w:eastAsia="es-CL"/>
              </w:rPr>
              <w:t>Criterios</w:t>
            </w:r>
            <w:r w:rsidRPr="00983747">
              <w:rPr>
                <w:rFonts w:ascii="Arial" w:hAnsi="Arial" w:cs="Arial"/>
                <w:b/>
                <w:bCs/>
                <w:color w:val="000000" w:themeColor="text1"/>
                <w:szCs w:val="20"/>
              </w:rPr>
              <w:t xml:space="preserve"> Equidad entre Generaciones</w:t>
            </w:r>
          </w:p>
        </w:tc>
        <w:tc>
          <w:tcPr>
            <w:tcW w:w="567" w:type="dxa"/>
            <w:tcBorders>
              <w:top w:val="nil"/>
            </w:tcBorders>
            <w:shd w:val="clear" w:color="auto" w:fill="D9D9D9" w:themeFill="background1" w:themeFillShade="D9"/>
            <w:noWrap/>
            <w:vAlign w:val="bottom"/>
          </w:tcPr>
          <w:p w:rsidR="006E3C86" w:rsidRPr="00983747" w:rsidRDefault="006E3C86" w:rsidP="0014129C">
            <w:pPr>
              <w:spacing w:after="0" w:line="240" w:lineRule="auto"/>
              <w:jc w:val="center"/>
              <w:rPr>
                <w:rFonts w:ascii="Arial" w:eastAsia="Times New Roman" w:hAnsi="Arial" w:cs="Arial"/>
                <w:b/>
                <w:color w:val="000000" w:themeColor="text1"/>
                <w:szCs w:val="20"/>
                <w:lang w:eastAsia="es-CL"/>
              </w:rPr>
            </w:pPr>
            <w:r w:rsidRPr="00983747">
              <w:rPr>
                <w:rFonts w:ascii="Arial" w:eastAsia="Times New Roman" w:hAnsi="Arial" w:cs="Arial"/>
                <w:b/>
                <w:color w:val="000000" w:themeColor="text1"/>
                <w:szCs w:val="20"/>
                <w:lang w:eastAsia="es-CL"/>
              </w:rPr>
              <w:t>III</w:t>
            </w:r>
          </w:p>
        </w:tc>
        <w:tc>
          <w:tcPr>
            <w:tcW w:w="567" w:type="dxa"/>
            <w:tcBorders>
              <w:top w:val="nil"/>
            </w:tcBorders>
            <w:shd w:val="clear" w:color="auto" w:fill="D9D9D9" w:themeFill="background1" w:themeFillShade="D9"/>
            <w:noWrap/>
            <w:vAlign w:val="bottom"/>
          </w:tcPr>
          <w:p w:rsidR="006E3C86" w:rsidRPr="00983747" w:rsidRDefault="006E3C86" w:rsidP="0014129C">
            <w:pPr>
              <w:spacing w:after="0" w:line="240" w:lineRule="auto"/>
              <w:jc w:val="center"/>
              <w:rPr>
                <w:rFonts w:ascii="Arial" w:eastAsia="Times New Roman" w:hAnsi="Arial" w:cs="Arial"/>
                <w:b/>
                <w:color w:val="000000" w:themeColor="text1"/>
                <w:szCs w:val="18"/>
                <w:lang w:eastAsia="es-CL"/>
              </w:rPr>
            </w:pPr>
            <w:r w:rsidRPr="00983747">
              <w:rPr>
                <w:rFonts w:ascii="Arial" w:eastAsia="Times New Roman" w:hAnsi="Arial" w:cs="Arial"/>
                <w:b/>
                <w:color w:val="000000" w:themeColor="text1"/>
                <w:szCs w:val="18"/>
                <w:lang w:eastAsia="es-CL"/>
              </w:rPr>
              <w:t>IV</w:t>
            </w:r>
          </w:p>
        </w:tc>
      </w:tr>
      <w:tr w:rsidR="006E3C86" w:rsidRPr="000E0F90" w:rsidTr="00983747">
        <w:trPr>
          <w:trHeight w:val="255"/>
        </w:trPr>
        <w:tc>
          <w:tcPr>
            <w:tcW w:w="340" w:type="dxa"/>
          </w:tcPr>
          <w:p w:rsidR="006E3C86" w:rsidRPr="000E0F90" w:rsidRDefault="006E3C86" w:rsidP="00D95253">
            <w:pPr>
              <w:pStyle w:val="NormalWeb"/>
              <w:spacing w:before="0" w:beforeAutospacing="0" w:after="0" w:afterAutospacing="0"/>
              <w:textAlignment w:val="top"/>
              <w:rPr>
                <w:rFonts w:ascii="Arial" w:hAnsi="Arial" w:cs="Arial"/>
                <w:color w:val="000000" w:themeColor="text1"/>
                <w:sz w:val="20"/>
                <w:szCs w:val="36"/>
              </w:rPr>
            </w:pPr>
            <w:r w:rsidRPr="000E0F90">
              <w:rPr>
                <w:rFonts w:ascii="Arial" w:hAnsi="Arial" w:cs="Arial"/>
                <w:color w:val="000000" w:themeColor="text1"/>
                <w:sz w:val="20"/>
                <w:szCs w:val="36"/>
              </w:rPr>
              <w:t>1</w:t>
            </w:r>
          </w:p>
        </w:tc>
        <w:tc>
          <w:tcPr>
            <w:tcW w:w="7178" w:type="dxa"/>
            <w:shd w:val="clear" w:color="auto" w:fill="auto"/>
          </w:tcPr>
          <w:p w:rsidR="006E3C86" w:rsidRPr="000E0F90" w:rsidRDefault="00390DEE" w:rsidP="004A0A6E">
            <w:pPr>
              <w:pStyle w:val="NormalWeb"/>
              <w:spacing w:before="0" w:beforeAutospacing="0" w:after="0" w:afterAutospacing="0"/>
              <w:textAlignment w:val="top"/>
              <w:rPr>
                <w:rFonts w:ascii="Arial" w:hAnsi="Arial" w:cs="Arial"/>
                <w:color w:val="000000" w:themeColor="text1"/>
                <w:sz w:val="20"/>
                <w:szCs w:val="36"/>
              </w:rPr>
            </w:pPr>
            <w:r w:rsidRPr="000E0F90">
              <w:rPr>
                <w:rFonts w:ascii="Arial" w:hAnsi="Arial" w:cs="Arial"/>
                <w:iCs/>
                <w:color w:val="000000" w:themeColor="text1"/>
                <w:sz w:val="20"/>
                <w:szCs w:val="20"/>
              </w:rPr>
              <w:t>Fomentar las opciones futuras de uso del territorio</w:t>
            </w:r>
            <w:r w:rsidRPr="000E0F90">
              <w:rPr>
                <w:rFonts w:ascii="Arial" w:hAnsi="Arial" w:cs="Arial"/>
                <w:i/>
                <w:iCs/>
                <w:color w:val="000000" w:themeColor="text1"/>
                <w:sz w:val="20"/>
                <w:szCs w:val="20"/>
              </w:rPr>
              <w:t>.</w:t>
            </w:r>
            <w:r w:rsidRPr="000E0F90">
              <w:rPr>
                <w:rFonts w:ascii="Arial" w:hAnsi="Arial" w:cs="Arial"/>
                <w:color w:val="000000" w:themeColor="text1"/>
                <w:kern w:val="24"/>
                <w:sz w:val="20"/>
              </w:rPr>
              <w:t xml:space="preserve"> </w:t>
            </w:r>
            <w:r w:rsidR="00D77E3E" w:rsidRPr="000E0F90">
              <w:rPr>
                <w:rFonts w:ascii="Arial" w:hAnsi="Arial" w:cs="Arial"/>
                <w:color w:val="000000" w:themeColor="text1"/>
                <w:kern w:val="24"/>
                <w:sz w:val="20"/>
              </w:rPr>
              <w:t>Resguardar los ecosistemas y recursos críticos del territorio</w:t>
            </w:r>
            <w:r w:rsidR="00AC76CF" w:rsidRPr="000E0F90">
              <w:rPr>
                <w:rFonts w:ascii="Arial" w:hAnsi="Arial" w:cs="Arial"/>
                <w:color w:val="000000" w:themeColor="text1"/>
                <w:kern w:val="24"/>
                <w:sz w:val="20"/>
              </w:rPr>
              <w:t xml:space="preserve">. Preservar la calidad de los recursos. </w:t>
            </w:r>
            <w:r w:rsidR="001A5C05" w:rsidRPr="000E0F90">
              <w:rPr>
                <w:rFonts w:ascii="Arial" w:hAnsi="Arial" w:cs="Arial"/>
                <w:color w:val="000000" w:themeColor="text1"/>
                <w:kern w:val="24"/>
                <w:sz w:val="20"/>
              </w:rPr>
              <w:t>Resguardar</w:t>
            </w:r>
            <w:r w:rsidR="00225683" w:rsidRPr="000E0F90">
              <w:rPr>
                <w:rFonts w:ascii="Arial" w:hAnsi="Arial" w:cs="Arial"/>
                <w:color w:val="000000" w:themeColor="text1"/>
                <w:kern w:val="24"/>
                <w:sz w:val="20"/>
              </w:rPr>
              <w:t xml:space="preserve"> atributos relevante</w:t>
            </w:r>
            <w:r w:rsidR="00767A30" w:rsidRPr="000E0F90">
              <w:rPr>
                <w:rFonts w:ascii="Arial" w:hAnsi="Arial" w:cs="Arial"/>
                <w:color w:val="000000" w:themeColor="text1"/>
                <w:kern w:val="24"/>
                <w:sz w:val="20"/>
              </w:rPr>
              <w:t>s para la diversidad biológica</w:t>
            </w:r>
          </w:p>
        </w:tc>
        <w:tc>
          <w:tcPr>
            <w:tcW w:w="567" w:type="dxa"/>
            <w:shd w:val="clear" w:color="auto" w:fill="FF0000"/>
            <w:noWrap/>
            <w:vAlign w:val="center"/>
          </w:tcPr>
          <w:p w:rsidR="006E3C86" w:rsidRPr="000E0F90" w:rsidRDefault="00B2108C" w:rsidP="00D01867">
            <w:pPr>
              <w:spacing w:after="0" w:line="240" w:lineRule="auto"/>
              <w:jc w:val="center"/>
              <w:rPr>
                <w:rFonts w:ascii="Arial" w:eastAsia="Times New Roman" w:hAnsi="Arial" w:cs="Arial"/>
                <w:color w:val="000000" w:themeColor="text1"/>
                <w:sz w:val="20"/>
                <w:szCs w:val="20"/>
                <w:lang w:eastAsia="es-CL"/>
              </w:rPr>
            </w:pPr>
            <w:r w:rsidRPr="000E0F90">
              <w:rPr>
                <w:rFonts w:ascii="Arial" w:eastAsia="Times New Roman" w:hAnsi="Arial" w:cs="Arial"/>
                <w:color w:val="000000" w:themeColor="text1"/>
                <w:sz w:val="20"/>
                <w:szCs w:val="20"/>
                <w:lang w:eastAsia="es-CL"/>
              </w:rPr>
              <w:t>N</w:t>
            </w:r>
          </w:p>
        </w:tc>
        <w:tc>
          <w:tcPr>
            <w:tcW w:w="567" w:type="dxa"/>
            <w:shd w:val="clear" w:color="auto" w:fill="FF0000"/>
            <w:noWrap/>
            <w:vAlign w:val="center"/>
          </w:tcPr>
          <w:p w:rsidR="006E3C86" w:rsidRPr="000E0F90" w:rsidRDefault="00B2108C" w:rsidP="00D01867">
            <w:pPr>
              <w:spacing w:after="0" w:line="240" w:lineRule="auto"/>
              <w:jc w:val="center"/>
              <w:rPr>
                <w:rFonts w:ascii="Arial" w:eastAsia="Times New Roman" w:hAnsi="Arial" w:cs="Arial"/>
                <w:color w:val="000000" w:themeColor="text1"/>
                <w:sz w:val="20"/>
                <w:szCs w:val="18"/>
                <w:lang w:eastAsia="es-CL"/>
              </w:rPr>
            </w:pPr>
            <w:r w:rsidRPr="000E0F90">
              <w:rPr>
                <w:rFonts w:ascii="Arial" w:eastAsia="Times New Roman" w:hAnsi="Arial" w:cs="Arial"/>
                <w:color w:val="000000" w:themeColor="text1"/>
                <w:sz w:val="20"/>
                <w:szCs w:val="18"/>
                <w:lang w:eastAsia="es-CL"/>
              </w:rPr>
              <w:t>N</w:t>
            </w:r>
          </w:p>
        </w:tc>
      </w:tr>
      <w:tr w:rsidR="00030FDF" w:rsidRPr="000E0F90" w:rsidTr="00983747">
        <w:trPr>
          <w:trHeight w:val="255"/>
        </w:trPr>
        <w:tc>
          <w:tcPr>
            <w:tcW w:w="340" w:type="dxa"/>
          </w:tcPr>
          <w:p w:rsidR="00030FDF" w:rsidRPr="000E0F90" w:rsidRDefault="00B90CA2">
            <w:pPr>
              <w:pStyle w:val="NormalWeb"/>
              <w:spacing w:before="0" w:beforeAutospacing="0" w:after="0" w:afterAutospacing="0"/>
              <w:textAlignment w:val="center"/>
              <w:rPr>
                <w:rFonts w:ascii="Arial" w:hAnsi="Arial" w:cs="Arial"/>
                <w:color w:val="000000" w:themeColor="text1"/>
                <w:kern w:val="24"/>
                <w:sz w:val="20"/>
              </w:rPr>
            </w:pPr>
            <w:r w:rsidRPr="000E0F90">
              <w:rPr>
                <w:rFonts w:ascii="Arial" w:hAnsi="Arial" w:cs="Arial"/>
                <w:color w:val="000000" w:themeColor="text1"/>
                <w:kern w:val="24"/>
                <w:sz w:val="20"/>
              </w:rPr>
              <w:t>2</w:t>
            </w:r>
          </w:p>
        </w:tc>
        <w:tc>
          <w:tcPr>
            <w:tcW w:w="7178" w:type="dxa"/>
            <w:shd w:val="clear" w:color="auto" w:fill="auto"/>
            <w:vAlign w:val="bottom"/>
          </w:tcPr>
          <w:p w:rsidR="00030FDF" w:rsidRPr="00E51C30" w:rsidRDefault="00030FDF" w:rsidP="00C77D61">
            <w:pPr>
              <w:pStyle w:val="NormalWeb"/>
              <w:spacing w:before="0" w:beforeAutospacing="0" w:after="0" w:afterAutospacing="0"/>
              <w:textAlignment w:val="bottom"/>
              <w:rPr>
                <w:rFonts w:ascii="Arial" w:hAnsi="Arial" w:cs="Arial"/>
                <w:color w:val="000000" w:themeColor="text1"/>
                <w:sz w:val="20"/>
                <w:szCs w:val="36"/>
              </w:rPr>
            </w:pPr>
            <w:r w:rsidRPr="00E51C30">
              <w:rPr>
                <w:rFonts w:ascii="Arial" w:hAnsi="Arial" w:cs="Arial"/>
                <w:color w:val="000000" w:themeColor="text1"/>
                <w:kern w:val="24"/>
                <w:sz w:val="20"/>
              </w:rPr>
              <w:t xml:space="preserve">Asegurar el valor duradero del territorio, mediante la mantención y diversificación de la base de </w:t>
            </w:r>
            <w:r w:rsidR="00390DEE" w:rsidRPr="00E51C30">
              <w:rPr>
                <w:rFonts w:ascii="Arial" w:hAnsi="Arial" w:cs="Arial"/>
                <w:color w:val="000000" w:themeColor="text1"/>
                <w:kern w:val="24"/>
                <w:sz w:val="20"/>
              </w:rPr>
              <w:t>recursos naturales y sistemas sociales.</w:t>
            </w:r>
            <w:r w:rsidR="00390DEE" w:rsidRPr="00E51C30">
              <w:rPr>
                <w:rFonts w:ascii="Arial" w:hAnsi="Arial" w:cs="Arial"/>
                <w:iCs/>
                <w:color w:val="000000" w:themeColor="text1"/>
                <w:sz w:val="20"/>
                <w:szCs w:val="20"/>
              </w:rPr>
              <w:t xml:space="preserve"> </w:t>
            </w:r>
            <w:r w:rsidR="00AC76CF" w:rsidRPr="00E51C30">
              <w:rPr>
                <w:rFonts w:ascii="Arial" w:hAnsi="Arial" w:cs="Arial"/>
                <w:iCs/>
                <w:color w:val="000000" w:themeColor="text1"/>
                <w:sz w:val="20"/>
                <w:szCs w:val="20"/>
              </w:rPr>
              <w:t>Se deben fomentar las opciones de uso del territorio</w:t>
            </w:r>
            <w:r w:rsidR="00225683" w:rsidRPr="00E51C30">
              <w:rPr>
                <w:rFonts w:ascii="Arial" w:hAnsi="Arial" w:cs="Arial"/>
                <w:iCs/>
                <w:color w:val="000000" w:themeColor="text1"/>
                <w:sz w:val="20"/>
                <w:szCs w:val="20"/>
              </w:rPr>
              <w:t xml:space="preserve"> que favorezcan la viabilidad económica local</w:t>
            </w:r>
            <w:r w:rsidR="001A5C05" w:rsidRPr="00E51C30">
              <w:rPr>
                <w:rFonts w:ascii="Arial" w:hAnsi="Arial" w:cs="Arial"/>
                <w:iCs/>
                <w:color w:val="000000" w:themeColor="text1"/>
                <w:sz w:val="20"/>
                <w:szCs w:val="20"/>
              </w:rPr>
              <w:t xml:space="preserve"> en el futuro</w:t>
            </w:r>
            <w:r w:rsidR="00AC76CF" w:rsidRPr="00E51C30">
              <w:rPr>
                <w:rFonts w:ascii="Arial" w:hAnsi="Arial" w:cs="Arial"/>
                <w:iCs/>
                <w:color w:val="000000" w:themeColor="text1"/>
                <w:sz w:val="20"/>
                <w:szCs w:val="20"/>
              </w:rPr>
              <w:t>.</w:t>
            </w:r>
          </w:p>
        </w:tc>
        <w:tc>
          <w:tcPr>
            <w:tcW w:w="567" w:type="dxa"/>
            <w:shd w:val="clear" w:color="auto" w:fill="FFFF00"/>
            <w:noWrap/>
            <w:vAlign w:val="center"/>
          </w:tcPr>
          <w:p w:rsidR="00030FDF" w:rsidRPr="000E0F90" w:rsidRDefault="009C7871" w:rsidP="00D01867">
            <w:pPr>
              <w:spacing w:after="0" w:line="240" w:lineRule="auto"/>
              <w:jc w:val="center"/>
              <w:rPr>
                <w:rFonts w:ascii="Arial" w:eastAsia="Times New Roman" w:hAnsi="Arial" w:cs="Arial"/>
                <w:color w:val="000000" w:themeColor="text1"/>
                <w:sz w:val="20"/>
                <w:szCs w:val="20"/>
                <w:lang w:eastAsia="es-CL"/>
              </w:rPr>
            </w:pPr>
            <w:r>
              <w:rPr>
                <w:rFonts w:ascii="Arial" w:eastAsia="Times New Roman" w:hAnsi="Arial" w:cs="Arial"/>
                <w:color w:val="000000" w:themeColor="text1"/>
                <w:sz w:val="20"/>
                <w:szCs w:val="20"/>
                <w:lang w:eastAsia="es-CL"/>
              </w:rPr>
              <w:t>P</w:t>
            </w:r>
          </w:p>
        </w:tc>
        <w:tc>
          <w:tcPr>
            <w:tcW w:w="567" w:type="dxa"/>
            <w:shd w:val="clear" w:color="auto" w:fill="FFFF00"/>
            <w:noWrap/>
            <w:vAlign w:val="center"/>
          </w:tcPr>
          <w:p w:rsidR="00030FDF" w:rsidRPr="000E0F90" w:rsidRDefault="00B2108C" w:rsidP="00D01867">
            <w:pPr>
              <w:spacing w:after="0" w:line="240" w:lineRule="auto"/>
              <w:jc w:val="center"/>
              <w:rPr>
                <w:rFonts w:ascii="Arial" w:eastAsia="Times New Roman" w:hAnsi="Arial" w:cs="Arial"/>
                <w:color w:val="000000" w:themeColor="text1"/>
                <w:sz w:val="20"/>
                <w:szCs w:val="18"/>
                <w:lang w:eastAsia="es-CL"/>
              </w:rPr>
            </w:pPr>
            <w:r w:rsidRPr="000E0F90">
              <w:rPr>
                <w:rFonts w:ascii="Arial" w:eastAsia="Times New Roman" w:hAnsi="Arial" w:cs="Arial"/>
                <w:color w:val="000000" w:themeColor="text1"/>
                <w:sz w:val="20"/>
                <w:szCs w:val="18"/>
                <w:lang w:eastAsia="es-CL"/>
              </w:rPr>
              <w:t>P</w:t>
            </w:r>
          </w:p>
        </w:tc>
      </w:tr>
      <w:tr w:rsidR="00B90CA2" w:rsidRPr="000E0F90" w:rsidTr="00983747">
        <w:trPr>
          <w:trHeight w:val="255"/>
        </w:trPr>
        <w:tc>
          <w:tcPr>
            <w:tcW w:w="340" w:type="dxa"/>
          </w:tcPr>
          <w:p w:rsidR="00B90CA2" w:rsidRPr="000E0F90" w:rsidRDefault="00B90CA2" w:rsidP="00F10A5D">
            <w:pPr>
              <w:spacing w:after="0" w:line="240" w:lineRule="auto"/>
              <w:rPr>
                <w:rFonts w:ascii="Arial" w:hAnsi="Arial" w:cs="Arial"/>
                <w:color w:val="000000" w:themeColor="text1"/>
                <w:sz w:val="20"/>
                <w:szCs w:val="20"/>
              </w:rPr>
            </w:pPr>
            <w:r w:rsidRPr="000E0F90">
              <w:rPr>
                <w:rFonts w:ascii="Arial" w:hAnsi="Arial" w:cs="Arial"/>
                <w:color w:val="000000" w:themeColor="text1"/>
                <w:sz w:val="20"/>
                <w:szCs w:val="20"/>
              </w:rPr>
              <w:t>3</w:t>
            </w:r>
          </w:p>
        </w:tc>
        <w:tc>
          <w:tcPr>
            <w:tcW w:w="7178" w:type="dxa"/>
            <w:shd w:val="clear" w:color="auto" w:fill="auto"/>
          </w:tcPr>
          <w:p w:rsidR="00B90CA2" w:rsidRPr="00E51C30" w:rsidRDefault="00B90CA2" w:rsidP="00B90CA2">
            <w:pPr>
              <w:spacing w:after="0" w:line="240" w:lineRule="auto"/>
              <w:rPr>
                <w:rFonts w:ascii="Arial" w:hAnsi="Arial" w:cs="Arial"/>
                <w:color w:val="000000" w:themeColor="text1"/>
                <w:sz w:val="20"/>
                <w:szCs w:val="20"/>
              </w:rPr>
            </w:pPr>
            <w:r w:rsidRPr="00E51C30">
              <w:rPr>
                <w:rFonts w:ascii="Arial" w:hAnsi="Arial" w:cs="Arial"/>
                <w:color w:val="000000" w:themeColor="text1"/>
                <w:sz w:val="20"/>
                <w:szCs w:val="20"/>
              </w:rPr>
              <w:t xml:space="preserve">Preservar el sentido de lugar del territorio, dado por elementos identitarios y culturales significativos, así como por su rareza, calidad estética, cultural o espiritual. </w:t>
            </w:r>
          </w:p>
        </w:tc>
        <w:tc>
          <w:tcPr>
            <w:tcW w:w="567" w:type="dxa"/>
            <w:shd w:val="clear" w:color="auto" w:fill="00B050"/>
            <w:noWrap/>
            <w:vAlign w:val="center"/>
          </w:tcPr>
          <w:p w:rsidR="00B90CA2" w:rsidRPr="000E0F90" w:rsidRDefault="009C7871" w:rsidP="00F10A5D">
            <w:pPr>
              <w:spacing w:after="0" w:line="240" w:lineRule="auto"/>
              <w:jc w:val="center"/>
              <w:rPr>
                <w:rFonts w:ascii="Arial" w:hAnsi="Arial" w:cs="Arial"/>
                <w:color w:val="000000" w:themeColor="text1"/>
                <w:sz w:val="20"/>
                <w:szCs w:val="20"/>
              </w:rPr>
            </w:pPr>
            <w:r>
              <w:rPr>
                <w:rFonts w:ascii="Arial" w:hAnsi="Arial" w:cs="Arial"/>
                <w:color w:val="000000" w:themeColor="text1"/>
                <w:sz w:val="20"/>
                <w:szCs w:val="20"/>
              </w:rPr>
              <w:t>S</w:t>
            </w:r>
          </w:p>
        </w:tc>
        <w:tc>
          <w:tcPr>
            <w:tcW w:w="567" w:type="dxa"/>
            <w:shd w:val="clear" w:color="auto" w:fill="FFFF00"/>
            <w:noWrap/>
            <w:vAlign w:val="center"/>
          </w:tcPr>
          <w:p w:rsidR="00B90CA2" w:rsidRPr="000E0F90" w:rsidRDefault="009C7871" w:rsidP="00F10A5D">
            <w:pPr>
              <w:spacing w:after="0" w:line="240" w:lineRule="auto"/>
              <w:jc w:val="center"/>
              <w:rPr>
                <w:rFonts w:ascii="Arial" w:hAnsi="Arial" w:cs="Arial"/>
                <w:color w:val="000000" w:themeColor="text1"/>
                <w:sz w:val="20"/>
                <w:szCs w:val="20"/>
              </w:rPr>
            </w:pPr>
            <w:r>
              <w:rPr>
                <w:rFonts w:ascii="Arial" w:hAnsi="Arial" w:cs="Arial"/>
                <w:color w:val="000000" w:themeColor="text1"/>
                <w:sz w:val="20"/>
                <w:szCs w:val="20"/>
              </w:rPr>
              <w:t>P</w:t>
            </w:r>
          </w:p>
        </w:tc>
      </w:tr>
      <w:tr w:rsidR="00030FDF" w:rsidRPr="000E0F90" w:rsidTr="00983747">
        <w:trPr>
          <w:trHeight w:val="255"/>
        </w:trPr>
        <w:tc>
          <w:tcPr>
            <w:tcW w:w="340" w:type="dxa"/>
          </w:tcPr>
          <w:p w:rsidR="00030FDF" w:rsidRPr="000E0F90" w:rsidRDefault="00E76B71" w:rsidP="00F058A6">
            <w:pPr>
              <w:pStyle w:val="NormalWeb"/>
              <w:spacing w:after="0"/>
              <w:textAlignment w:val="center"/>
              <w:rPr>
                <w:rFonts w:ascii="Arial" w:hAnsi="Arial" w:cs="Arial"/>
                <w:color w:val="000000" w:themeColor="text1"/>
                <w:kern w:val="24"/>
                <w:sz w:val="20"/>
              </w:rPr>
            </w:pPr>
            <w:r w:rsidRPr="000E0F90">
              <w:rPr>
                <w:rFonts w:ascii="Arial" w:hAnsi="Arial" w:cs="Arial"/>
                <w:color w:val="000000" w:themeColor="text1"/>
                <w:kern w:val="24"/>
                <w:sz w:val="20"/>
              </w:rPr>
              <w:t>4</w:t>
            </w:r>
          </w:p>
        </w:tc>
        <w:tc>
          <w:tcPr>
            <w:tcW w:w="7178" w:type="dxa"/>
            <w:shd w:val="clear" w:color="auto" w:fill="auto"/>
            <w:vAlign w:val="center"/>
          </w:tcPr>
          <w:p w:rsidR="00030FDF" w:rsidRPr="00E51C30" w:rsidRDefault="00AC76CF" w:rsidP="004A0A6E">
            <w:pPr>
              <w:pStyle w:val="NormalWeb"/>
              <w:spacing w:after="0"/>
              <w:textAlignment w:val="center"/>
              <w:rPr>
                <w:rFonts w:ascii="Arial" w:hAnsi="Arial" w:cs="Arial"/>
                <w:color w:val="000000" w:themeColor="text1"/>
                <w:kern w:val="24"/>
                <w:sz w:val="20"/>
              </w:rPr>
            </w:pPr>
            <w:r w:rsidRPr="00E51C30">
              <w:rPr>
                <w:rFonts w:ascii="Arial" w:hAnsi="Arial" w:cs="Arial"/>
                <w:color w:val="000000" w:themeColor="text1"/>
                <w:kern w:val="24"/>
                <w:sz w:val="20"/>
              </w:rPr>
              <w:t>C</w:t>
            </w:r>
            <w:r w:rsidR="00390DEE" w:rsidRPr="00E51C30">
              <w:rPr>
                <w:rFonts w:ascii="Arial" w:hAnsi="Arial" w:cs="Arial"/>
                <w:color w:val="000000" w:themeColor="text1"/>
                <w:kern w:val="24"/>
                <w:sz w:val="20"/>
              </w:rPr>
              <w:t xml:space="preserve">apitalizar </w:t>
            </w:r>
            <w:r w:rsidR="00030FDF" w:rsidRPr="00E51C30">
              <w:rPr>
                <w:rFonts w:ascii="Arial" w:hAnsi="Arial" w:cs="Arial"/>
                <w:color w:val="000000" w:themeColor="text1"/>
                <w:kern w:val="24"/>
                <w:sz w:val="20"/>
              </w:rPr>
              <w:t xml:space="preserve">los beneficios obtenidos </w:t>
            </w:r>
            <w:r w:rsidR="00390DEE" w:rsidRPr="00E51C30">
              <w:rPr>
                <w:rFonts w:ascii="Arial" w:hAnsi="Arial" w:cs="Arial"/>
                <w:color w:val="000000" w:themeColor="text1"/>
                <w:kern w:val="24"/>
                <w:sz w:val="20"/>
              </w:rPr>
              <w:t>de la actividad extractiva, como forma de compensar la reducción del patrimonio territorial</w:t>
            </w:r>
            <w:r w:rsidRPr="00E51C30">
              <w:rPr>
                <w:rFonts w:ascii="Arial" w:hAnsi="Arial" w:cs="Arial"/>
                <w:color w:val="000000" w:themeColor="text1"/>
                <w:kern w:val="24"/>
                <w:sz w:val="20"/>
              </w:rPr>
              <w:t>,</w:t>
            </w:r>
            <w:r w:rsidR="00390DEE" w:rsidRPr="00E51C30">
              <w:rPr>
                <w:rFonts w:ascii="Arial" w:hAnsi="Arial" w:cs="Arial"/>
                <w:color w:val="000000" w:themeColor="text1"/>
                <w:kern w:val="24"/>
                <w:sz w:val="20"/>
              </w:rPr>
              <w:t xml:space="preserve"> </w:t>
            </w:r>
            <w:r w:rsidRPr="00E51C30">
              <w:rPr>
                <w:rFonts w:ascii="Arial" w:hAnsi="Arial" w:cs="Arial"/>
                <w:color w:val="000000" w:themeColor="text1"/>
                <w:kern w:val="24"/>
                <w:sz w:val="20"/>
              </w:rPr>
              <w:t xml:space="preserve">así como pérdidas irreversibles y de gran magnitud </w:t>
            </w:r>
            <w:r w:rsidR="004A0A6E" w:rsidRPr="00E51C30">
              <w:rPr>
                <w:rFonts w:ascii="Arial" w:hAnsi="Arial" w:cs="Arial"/>
                <w:color w:val="000000" w:themeColor="text1"/>
                <w:kern w:val="24"/>
                <w:sz w:val="20"/>
              </w:rPr>
              <w:t>provocada en los territorios.</w:t>
            </w:r>
          </w:p>
        </w:tc>
        <w:tc>
          <w:tcPr>
            <w:tcW w:w="567" w:type="dxa"/>
            <w:shd w:val="clear" w:color="auto" w:fill="FF0000"/>
            <w:noWrap/>
            <w:vAlign w:val="center"/>
          </w:tcPr>
          <w:p w:rsidR="00030FDF" w:rsidRPr="000E0F90" w:rsidRDefault="00B2108C" w:rsidP="00D01867">
            <w:pPr>
              <w:spacing w:after="0" w:line="240" w:lineRule="auto"/>
              <w:jc w:val="center"/>
              <w:rPr>
                <w:rFonts w:ascii="Arial" w:eastAsia="Times New Roman" w:hAnsi="Arial" w:cs="Arial"/>
                <w:color w:val="000000" w:themeColor="text1"/>
                <w:sz w:val="20"/>
                <w:szCs w:val="20"/>
                <w:lang w:eastAsia="es-CL"/>
              </w:rPr>
            </w:pPr>
            <w:r w:rsidRPr="000E0F90">
              <w:rPr>
                <w:rFonts w:ascii="Arial" w:eastAsia="Times New Roman" w:hAnsi="Arial" w:cs="Arial"/>
                <w:color w:val="000000" w:themeColor="text1"/>
                <w:sz w:val="20"/>
                <w:szCs w:val="20"/>
                <w:lang w:eastAsia="es-CL"/>
              </w:rPr>
              <w:t>N</w:t>
            </w:r>
          </w:p>
        </w:tc>
        <w:tc>
          <w:tcPr>
            <w:tcW w:w="567" w:type="dxa"/>
            <w:shd w:val="clear" w:color="auto" w:fill="FFFF00"/>
            <w:noWrap/>
            <w:vAlign w:val="center"/>
          </w:tcPr>
          <w:p w:rsidR="00030FDF" w:rsidRPr="000E0F90" w:rsidRDefault="009C7871" w:rsidP="00D01867">
            <w:pPr>
              <w:spacing w:after="0" w:line="240" w:lineRule="auto"/>
              <w:jc w:val="center"/>
              <w:rPr>
                <w:rFonts w:ascii="Arial" w:eastAsia="Times New Roman" w:hAnsi="Arial" w:cs="Arial"/>
                <w:color w:val="000000" w:themeColor="text1"/>
                <w:sz w:val="20"/>
                <w:szCs w:val="18"/>
                <w:lang w:eastAsia="es-CL"/>
              </w:rPr>
            </w:pPr>
            <w:r>
              <w:rPr>
                <w:rFonts w:ascii="Arial" w:eastAsia="Times New Roman" w:hAnsi="Arial" w:cs="Arial"/>
                <w:color w:val="000000" w:themeColor="text1"/>
                <w:sz w:val="20"/>
                <w:szCs w:val="18"/>
                <w:lang w:eastAsia="es-CL"/>
              </w:rPr>
              <w:t>P</w:t>
            </w:r>
          </w:p>
        </w:tc>
      </w:tr>
      <w:tr w:rsidR="0043148E" w:rsidRPr="000E0F90" w:rsidTr="00983747">
        <w:trPr>
          <w:trHeight w:val="255"/>
        </w:trPr>
        <w:tc>
          <w:tcPr>
            <w:tcW w:w="340" w:type="dxa"/>
          </w:tcPr>
          <w:p w:rsidR="0043148E" w:rsidRPr="000E0F90" w:rsidRDefault="00CC27F6" w:rsidP="00EA7634">
            <w:pPr>
              <w:pStyle w:val="NormalWeb"/>
              <w:spacing w:before="0" w:beforeAutospacing="0" w:after="0" w:afterAutospacing="0"/>
              <w:textAlignment w:val="center"/>
              <w:rPr>
                <w:rFonts w:ascii="Arial" w:hAnsi="Arial" w:cs="Arial"/>
                <w:color w:val="000000" w:themeColor="text1"/>
                <w:kern w:val="24"/>
                <w:sz w:val="20"/>
              </w:rPr>
            </w:pPr>
            <w:r>
              <w:rPr>
                <w:rFonts w:ascii="Arial" w:hAnsi="Arial" w:cs="Arial"/>
                <w:color w:val="000000" w:themeColor="text1"/>
                <w:kern w:val="24"/>
                <w:sz w:val="20"/>
              </w:rPr>
              <w:t>5</w:t>
            </w:r>
          </w:p>
        </w:tc>
        <w:tc>
          <w:tcPr>
            <w:tcW w:w="7178" w:type="dxa"/>
            <w:shd w:val="clear" w:color="auto" w:fill="auto"/>
            <w:vAlign w:val="center"/>
          </w:tcPr>
          <w:p w:rsidR="0043148E" w:rsidRPr="000E0F90" w:rsidRDefault="006E1E91" w:rsidP="00225683">
            <w:pPr>
              <w:pStyle w:val="NormalWeb"/>
              <w:spacing w:before="0" w:beforeAutospacing="0" w:after="0" w:afterAutospacing="0"/>
              <w:textAlignment w:val="center"/>
              <w:rPr>
                <w:rFonts w:ascii="Arial" w:hAnsi="Arial" w:cs="Arial"/>
                <w:color w:val="000000" w:themeColor="text1"/>
                <w:kern w:val="24"/>
                <w:sz w:val="20"/>
              </w:rPr>
            </w:pPr>
            <w:r w:rsidRPr="000E0F90">
              <w:rPr>
                <w:rFonts w:ascii="Arial" w:hAnsi="Arial" w:cs="Arial"/>
                <w:color w:val="000000" w:themeColor="text1"/>
                <w:kern w:val="24"/>
                <w:sz w:val="20"/>
              </w:rPr>
              <w:t>A</w:t>
            </w:r>
            <w:r w:rsidR="00225683" w:rsidRPr="000E0F90">
              <w:rPr>
                <w:rFonts w:ascii="Arial" w:hAnsi="Arial" w:cs="Arial"/>
                <w:color w:val="000000" w:themeColor="text1"/>
                <w:kern w:val="24"/>
                <w:sz w:val="20"/>
              </w:rPr>
              <w:t xml:space="preserve">bordar situaciones de daño significativo medioambiental y humano, generados en el pasado y presente, de forma de que las generaciones futuras, no deban hacerse cargo de los impactos negativos pasados. </w:t>
            </w:r>
            <w:r w:rsidR="0043148E" w:rsidRPr="000E0F90">
              <w:rPr>
                <w:rFonts w:ascii="Arial" w:hAnsi="Arial" w:cs="Arial"/>
                <w:color w:val="000000" w:themeColor="text1"/>
                <w:kern w:val="24"/>
                <w:sz w:val="20"/>
              </w:rPr>
              <w:t xml:space="preserve">Rehabilitar </w:t>
            </w:r>
            <w:r w:rsidR="00225683" w:rsidRPr="000E0F90">
              <w:rPr>
                <w:rFonts w:ascii="Arial" w:hAnsi="Arial" w:cs="Arial"/>
                <w:color w:val="000000" w:themeColor="text1"/>
                <w:kern w:val="24"/>
                <w:sz w:val="20"/>
              </w:rPr>
              <w:t>y/o restaurar sistemas ecológicos y humanos perturbados</w:t>
            </w:r>
            <w:r w:rsidR="001A5C05" w:rsidRPr="000E0F90">
              <w:rPr>
                <w:rFonts w:ascii="Arial" w:hAnsi="Arial" w:cs="Arial"/>
                <w:color w:val="000000" w:themeColor="text1"/>
                <w:kern w:val="24"/>
                <w:sz w:val="20"/>
              </w:rPr>
              <w:t>.</w:t>
            </w:r>
          </w:p>
        </w:tc>
        <w:tc>
          <w:tcPr>
            <w:tcW w:w="567" w:type="dxa"/>
            <w:shd w:val="clear" w:color="auto" w:fill="FF0000"/>
            <w:noWrap/>
            <w:vAlign w:val="center"/>
          </w:tcPr>
          <w:p w:rsidR="0043148E" w:rsidRPr="000E0F90" w:rsidRDefault="00B2108C" w:rsidP="00D01867">
            <w:pPr>
              <w:spacing w:after="0" w:line="240" w:lineRule="auto"/>
              <w:jc w:val="center"/>
              <w:rPr>
                <w:rFonts w:ascii="Arial" w:eastAsia="Times New Roman" w:hAnsi="Arial" w:cs="Arial"/>
                <w:color w:val="000000" w:themeColor="text1"/>
                <w:sz w:val="20"/>
                <w:szCs w:val="20"/>
                <w:lang w:eastAsia="es-CL"/>
              </w:rPr>
            </w:pPr>
            <w:r w:rsidRPr="000E0F90">
              <w:rPr>
                <w:rFonts w:ascii="Arial" w:eastAsia="Times New Roman" w:hAnsi="Arial" w:cs="Arial"/>
                <w:color w:val="000000" w:themeColor="text1"/>
                <w:sz w:val="20"/>
                <w:szCs w:val="20"/>
                <w:lang w:eastAsia="es-CL"/>
              </w:rPr>
              <w:t>N</w:t>
            </w:r>
          </w:p>
        </w:tc>
        <w:tc>
          <w:tcPr>
            <w:tcW w:w="567" w:type="dxa"/>
            <w:shd w:val="clear" w:color="auto" w:fill="FF0000"/>
            <w:noWrap/>
            <w:vAlign w:val="center"/>
          </w:tcPr>
          <w:p w:rsidR="0043148E" w:rsidRPr="000E0F90" w:rsidRDefault="00B2108C" w:rsidP="00D01867">
            <w:pPr>
              <w:spacing w:after="0" w:line="240" w:lineRule="auto"/>
              <w:jc w:val="center"/>
              <w:rPr>
                <w:rFonts w:ascii="Arial" w:eastAsia="Times New Roman" w:hAnsi="Arial" w:cs="Arial"/>
                <w:color w:val="000000" w:themeColor="text1"/>
                <w:sz w:val="20"/>
                <w:szCs w:val="18"/>
                <w:lang w:eastAsia="es-CL"/>
              </w:rPr>
            </w:pPr>
            <w:r w:rsidRPr="000E0F90">
              <w:rPr>
                <w:rFonts w:ascii="Arial" w:eastAsia="Times New Roman" w:hAnsi="Arial" w:cs="Arial"/>
                <w:color w:val="000000" w:themeColor="text1"/>
                <w:sz w:val="20"/>
                <w:szCs w:val="18"/>
                <w:lang w:eastAsia="es-CL"/>
              </w:rPr>
              <w:t>N</w:t>
            </w:r>
          </w:p>
        </w:tc>
      </w:tr>
      <w:tr w:rsidR="00CC27F6" w:rsidRPr="000E0F90" w:rsidTr="00983747">
        <w:trPr>
          <w:trHeight w:val="255"/>
        </w:trPr>
        <w:tc>
          <w:tcPr>
            <w:tcW w:w="340" w:type="dxa"/>
          </w:tcPr>
          <w:p w:rsidR="00CC27F6" w:rsidRDefault="00CC27F6" w:rsidP="00EA7634">
            <w:pPr>
              <w:pStyle w:val="NormalWeb"/>
              <w:spacing w:before="0" w:beforeAutospacing="0" w:after="0" w:afterAutospacing="0"/>
              <w:textAlignment w:val="center"/>
              <w:rPr>
                <w:rFonts w:ascii="Arial" w:hAnsi="Arial" w:cs="Arial"/>
                <w:color w:val="000000" w:themeColor="text1"/>
                <w:kern w:val="24"/>
                <w:sz w:val="20"/>
              </w:rPr>
            </w:pPr>
            <w:r>
              <w:rPr>
                <w:rFonts w:ascii="Arial" w:hAnsi="Arial" w:cs="Arial"/>
                <w:color w:val="000000" w:themeColor="text1"/>
                <w:kern w:val="24"/>
                <w:sz w:val="20"/>
              </w:rPr>
              <w:t>6</w:t>
            </w:r>
          </w:p>
        </w:tc>
        <w:tc>
          <w:tcPr>
            <w:tcW w:w="7178" w:type="dxa"/>
            <w:shd w:val="clear" w:color="auto" w:fill="auto"/>
            <w:vAlign w:val="center"/>
          </w:tcPr>
          <w:p w:rsidR="00CC27F6" w:rsidRPr="000E0F90" w:rsidRDefault="00CC27F6" w:rsidP="00CC27F6">
            <w:pPr>
              <w:pStyle w:val="NormalWeb"/>
              <w:spacing w:before="0" w:beforeAutospacing="0" w:after="0" w:afterAutospacing="0"/>
              <w:textAlignment w:val="center"/>
              <w:rPr>
                <w:rFonts w:ascii="Arial" w:hAnsi="Arial" w:cs="Arial"/>
                <w:color w:val="000000" w:themeColor="text1"/>
                <w:kern w:val="24"/>
                <w:sz w:val="20"/>
              </w:rPr>
            </w:pPr>
            <w:r w:rsidRPr="00CC27F6">
              <w:rPr>
                <w:rFonts w:ascii="Arial" w:hAnsi="Arial" w:cs="Arial"/>
                <w:color w:val="000000" w:themeColor="text1"/>
                <w:kern w:val="24"/>
                <w:sz w:val="20"/>
              </w:rPr>
              <w:t xml:space="preserve">Planificar la gestión territorial de acuerdo limitantes futuras (i.e. cambio climático, sociedades, mercados). Es fundamental considerar los cambios futuros y poder adaptarse a ellos, al igual que identificar como las acciones presentes impactaran en el futuro. </w:t>
            </w:r>
          </w:p>
        </w:tc>
        <w:tc>
          <w:tcPr>
            <w:tcW w:w="567" w:type="dxa"/>
            <w:shd w:val="clear" w:color="auto" w:fill="FF0000"/>
            <w:noWrap/>
            <w:vAlign w:val="center"/>
          </w:tcPr>
          <w:p w:rsidR="00CC27F6" w:rsidRPr="000E0F90" w:rsidRDefault="00CC27F6" w:rsidP="00D01867">
            <w:pPr>
              <w:spacing w:after="0" w:line="240" w:lineRule="auto"/>
              <w:jc w:val="center"/>
              <w:rPr>
                <w:rFonts w:ascii="Arial" w:eastAsia="Times New Roman" w:hAnsi="Arial" w:cs="Arial"/>
                <w:color w:val="000000" w:themeColor="text1"/>
                <w:sz w:val="20"/>
                <w:szCs w:val="20"/>
                <w:lang w:eastAsia="es-CL"/>
              </w:rPr>
            </w:pPr>
            <w:r>
              <w:rPr>
                <w:rFonts w:ascii="Arial" w:eastAsia="Times New Roman" w:hAnsi="Arial" w:cs="Arial"/>
                <w:color w:val="000000" w:themeColor="text1"/>
                <w:sz w:val="20"/>
                <w:szCs w:val="20"/>
                <w:lang w:eastAsia="es-CL"/>
              </w:rPr>
              <w:t>N</w:t>
            </w:r>
          </w:p>
        </w:tc>
        <w:tc>
          <w:tcPr>
            <w:tcW w:w="567" w:type="dxa"/>
            <w:shd w:val="clear" w:color="auto" w:fill="FF0000"/>
            <w:noWrap/>
            <w:vAlign w:val="center"/>
          </w:tcPr>
          <w:p w:rsidR="00CC27F6" w:rsidRPr="000E0F90" w:rsidRDefault="00CC27F6" w:rsidP="00D01867">
            <w:pPr>
              <w:spacing w:after="0" w:line="240" w:lineRule="auto"/>
              <w:jc w:val="center"/>
              <w:rPr>
                <w:rFonts w:ascii="Arial" w:eastAsia="Times New Roman" w:hAnsi="Arial" w:cs="Arial"/>
                <w:color w:val="000000" w:themeColor="text1"/>
                <w:sz w:val="20"/>
                <w:szCs w:val="18"/>
                <w:lang w:eastAsia="es-CL"/>
              </w:rPr>
            </w:pPr>
            <w:r>
              <w:rPr>
                <w:rFonts w:ascii="Arial" w:eastAsia="Times New Roman" w:hAnsi="Arial" w:cs="Arial"/>
                <w:color w:val="000000" w:themeColor="text1"/>
                <w:sz w:val="20"/>
                <w:szCs w:val="18"/>
                <w:lang w:eastAsia="es-CL"/>
              </w:rPr>
              <w:t>N</w:t>
            </w:r>
          </w:p>
        </w:tc>
      </w:tr>
    </w:tbl>
    <w:p w:rsidR="005453AD" w:rsidRPr="000E0F90" w:rsidRDefault="005453AD">
      <w:pPr>
        <w:jc w:val="left"/>
        <w:rPr>
          <w:rFonts w:ascii="Arial" w:eastAsiaTheme="majorEastAsia" w:hAnsi="Arial" w:cs="Arial"/>
          <w:b/>
          <w:bCs/>
          <w:color w:val="000000" w:themeColor="text1"/>
        </w:rPr>
      </w:pPr>
    </w:p>
    <w:p w:rsidR="005453AD" w:rsidRDefault="005453AD">
      <w:pPr>
        <w:jc w:val="left"/>
        <w:rPr>
          <w:rFonts w:ascii="Arial" w:eastAsiaTheme="majorEastAsia" w:hAnsi="Arial" w:cs="Arial"/>
          <w:b/>
          <w:bCs/>
          <w:color w:val="000000" w:themeColor="text1"/>
        </w:rPr>
      </w:pPr>
      <w:r>
        <w:rPr>
          <w:rFonts w:ascii="Arial" w:hAnsi="Arial" w:cs="Arial"/>
        </w:rPr>
        <w:br w:type="page"/>
      </w:r>
    </w:p>
    <w:p w:rsidR="00B4144D" w:rsidRPr="000E0F90" w:rsidRDefault="00B4144D" w:rsidP="00F7220D">
      <w:pPr>
        <w:pStyle w:val="Ttulo3"/>
        <w:spacing w:after="0" w:line="360" w:lineRule="auto"/>
        <w:rPr>
          <w:rFonts w:ascii="Arial" w:hAnsi="Arial" w:cs="Arial"/>
        </w:rPr>
      </w:pPr>
      <w:r w:rsidRPr="000E0F90">
        <w:rPr>
          <w:rFonts w:ascii="Arial" w:hAnsi="Arial" w:cs="Arial"/>
        </w:rPr>
        <w:lastRenderedPageBreak/>
        <w:t>4. Mantención de Recursos y Eficiencia</w:t>
      </w:r>
    </w:p>
    <w:p w:rsidR="00D21A0F" w:rsidRPr="000E0F90" w:rsidRDefault="00CC27F6" w:rsidP="00702D9A">
      <w:pPr>
        <w:spacing w:line="360" w:lineRule="auto"/>
        <w:rPr>
          <w:rFonts w:ascii="Arial" w:hAnsi="Arial" w:cs="Arial"/>
          <w:color w:val="000000" w:themeColor="text1"/>
        </w:rPr>
      </w:pPr>
      <w:r>
        <w:rPr>
          <w:rFonts w:ascii="Arial" w:hAnsi="Arial" w:cs="Arial"/>
          <w:color w:val="000000" w:themeColor="text1"/>
        </w:rPr>
        <w:t>Respecto a la Mantención de Recursos y Eficiencia, se presentan los resultados de la evaluación, por parte de los actores sociales.</w:t>
      </w:r>
    </w:p>
    <w:p w:rsidR="005761D0" w:rsidRPr="000E0F90" w:rsidRDefault="005761D0" w:rsidP="00F7220D">
      <w:pPr>
        <w:pStyle w:val="Epgrafe"/>
        <w:spacing w:after="0" w:line="360" w:lineRule="auto"/>
        <w:rPr>
          <w:rFonts w:ascii="Arial" w:hAnsi="Arial" w:cs="Arial"/>
          <w:b w:val="0"/>
          <w:color w:val="000000" w:themeColor="text1"/>
          <w:sz w:val="22"/>
        </w:rPr>
      </w:pPr>
      <w:r w:rsidRPr="000E0F90">
        <w:rPr>
          <w:rFonts w:ascii="Arial" w:hAnsi="Arial" w:cs="Arial"/>
          <w:b w:val="0"/>
          <w:color w:val="000000" w:themeColor="text1"/>
          <w:sz w:val="22"/>
        </w:rPr>
        <w:t xml:space="preserve">Cuadro </w:t>
      </w:r>
      <w:r w:rsidRPr="000E0F90">
        <w:rPr>
          <w:rFonts w:ascii="Arial" w:hAnsi="Arial" w:cs="Arial"/>
          <w:b w:val="0"/>
          <w:color w:val="000000" w:themeColor="text1"/>
          <w:sz w:val="22"/>
        </w:rPr>
        <w:fldChar w:fldCharType="begin"/>
      </w:r>
      <w:r w:rsidRPr="000E0F90">
        <w:rPr>
          <w:rFonts w:ascii="Arial" w:hAnsi="Arial" w:cs="Arial"/>
          <w:b w:val="0"/>
          <w:color w:val="000000" w:themeColor="text1"/>
          <w:sz w:val="22"/>
        </w:rPr>
        <w:instrText xml:space="preserve"> SEQ Cuadro \* ARABIC </w:instrText>
      </w:r>
      <w:r w:rsidRPr="000E0F90">
        <w:rPr>
          <w:rFonts w:ascii="Arial" w:hAnsi="Arial" w:cs="Arial"/>
          <w:b w:val="0"/>
          <w:color w:val="000000" w:themeColor="text1"/>
          <w:sz w:val="22"/>
        </w:rPr>
        <w:fldChar w:fldCharType="separate"/>
      </w:r>
      <w:r w:rsidR="00225844">
        <w:rPr>
          <w:rFonts w:ascii="Arial" w:hAnsi="Arial" w:cs="Arial"/>
          <w:b w:val="0"/>
          <w:noProof/>
          <w:color w:val="000000" w:themeColor="text1"/>
          <w:sz w:val="22"/>
        </w:rPr>
        <w:t>17</w:t>
      </w:r>
      <w:r w:rsidRPr="000E0F90">
        <w:rPr>
          <w:rFonts w:ascii="Arial" w:hAnsi="Arial" w:cs="Arial"/>
          <w:b w:val="0"/>
          <w:color w:val="000000" w:themeColor="text1"/>
          <w:sz w:val="22"/>
        </w:rPr>
        <w:fldChar w:fldCharType="end"/>
      </w:r>
      <w:r w:rsidRPr="000E0F90">
        <w:rPr>
          <w:rFonts w:ascii="Arial" w:hAnsi="Arial" w:cs="Arial"/>
          <w:b w:val="0"/>
          <w:color w:val="000000" w:themeColor="text1"/>
          <w:sz w:val="22"/>
        </w:rPr>
        <w:t xml:space="preserve">: </w:t>
      </w:r>
      <w:r w:rsidR="008A28B4" w:rsidRPr="000E0F90">
        <w:rPr>
          <w:rFonts w:ascii="Arial" w:hAnsi="Arial" w:cs="Arial"/>
          <w:b w:val="0"/>
          <w:color w:val="000000" w:themeColor="text1"/>
          <w:sz w:val="22"/>
        </w:rPr>
        <w:t xml:space="preserve">Estado </w:t>
      </w:r>
      <w:r w:rsidR="00DE6813" w:rsidRPr="000E0F90">
        <w:rPr>
          <w:rFonts w:ascii="Arial" w:hAnsi="Arial" w:cs="Arial"/>
          <w:b w:val="0"/>
          <w:color w:val="000000" w:themeColor="text1"/>
          <w:sz w:val="22"/>
        </w:rPr>
        <w:t>actual de los territorios mineros bajo estudio</w:t>
      </w:r>
      <w:r w:rsidR="008A28B4" w:rsidRPr="000E0F90">
        <w:rPr>
          <w:rFonts w:ascii="Arial" w:hAnsi="Arial" w:cs="Arial"/>
          <w:b w:val="0"/>
          <w:color w:val="000000" w:themeColor="text1"/>
          <w:sz w:val="22"/>
        </w:rPr>
        <w:t xml:space="preserve">, en relación </w:t>
      </w:r>
      <w:r w:rsidR="00DE6813" w:rsidRPr="000E0F90">
        <w:rPr>
          <w:rFonts w:ascii="Arial" w:hAnsi="Arial" w:cs="Arial"/>
          <w:b w:val="0"/>
          <w:color w:val="000000" w:themeColor="text1"/>
          <w:sz w:val="22"/>
        </w:rPr>
        <w:t>a propuesta de principios de sostenibilidad</w:t>
      </w:r>
      <w:r w:rsidR="008A28B4" w:rsidRPr="000E0F90">
        <w:rPr>
          <w:rFonts w:ascii="Arial" w:hAnsi="Arial" w:cs="Arial"/>
          <w:b w:val="0"/>
          <w:color w:val="000000" w:themeColor="text1"/>
          <w:sz w:val="22"/>
        </w:rPr>
        <w:t>, de acuerdo a</w:t>
      </w:r>
      <w:r w:rsidR="00DE6813" w:rsidRPr="000E0F90">
        <w:rPr>
          <w:rFonts w:ascii="Arial" w:hAnsi="Arial" w:cs="Arial"/>
          <w:b w:val="0"/>
          <w:color w:val="000000" w:themeColor="text1"/>
          <w:sz w:val="22"/>
        </w:rPr>
        <w:t xml:space="preserve"> criterios de Mantención de Recursos y Eficiencia</w:t>
      </w:r>
    </w:p>
    <w:tbl>
      <w:tblPr>
        <w:tblW w:w="8903" w:type="dxa"/>
        <w:tblBorders>
          <w:top w:val="single" w:sz="4" w:space="0" w:color="auto"/>
          <w:bottom w:val="single" w:sz="4" w:space="0" w:color="auto"/>
          <w:insideH w:val="single" w:sz="4" w:space="0" w:color="auto"/>
        </w:tblBorders>
        <w:tblLayout w:type="fixed"/>
        <w:tblCellMar>
          <w:left w:w="57" w:type="dxa"/>
          <w:right w:w="57" w:type="dxa"/>
        </w:tblCellMar>
        <w:tblLook w:val="04A0" w:firstRow="1" w:lastRow="0" w:firstColumn="1" w:lastColumn="0" w:noHBand="0" w:noVBand="1"/>
      </w:tblPr>
      <w:tblGrid>
        <w:gridCol w:w="341"/>
        <w:gridCol w:w="7654"/>
        <w:gridCol w:w="454"/>
        <w:gridCol w:w="454"/>
      </w:tblGrid>
      <w:tr w:rsidR="00BC081E" w:rsidRPr="000E0F90" w:rsidTr="00983747">
        <w:trPr>
          <w:trHeight w:val="64"/>
        </w:trPr>
        <w:tc>
          <w:tcPr>
            <w:tcW w:w="341" w:type="dxa"/>
            <w:tcBorders>
              <w:bottom w:val="nil"/>
            </w:tcBorders>
            <w:shd w:val="clear" w:color="auto" w:fill="D9D9D9" w:themeFill="background1" w:themeFillShade="D9"/>
            <w:tcMar>
              <w:left w:w="57" w:type="dxa"/>
              <w:right w:w="57" w:type="dxa"/>
            </w:tcMar>
          </w:tcPr>
          <w:p w:rsidR="00BC081E" w:rsidRPr="000E0F90" w:rsidRDefault="00BC081E" w:rsidP="00F43604">
            <w:pPr>
              <w:spacing w:after="0"/>
              <w:rPr>
                <w:rFonts w:ascii="Arial" w:hAnsi="Arial" w:cs="Arial"/>
                <w:b/>
                <w:color w:val="000000" w:themeColor="text1"/>
                <w:szCs w:val="20"/>
              </w:rPr>
            </w:pPr>
          </w:p>
        </w:tc>
        <w:tc>
          <w:tcPr>
            <w:tcW w:w="7654" w:type="dxa"/>
            <w:tcBorders>
              <w:bottom w:val="nil"/>
            </w:tcBorders>
            <w:shd w:val="clear" w:color="auto" w:fill="D9D9D9" w:themeFill="background1" w:themeFillShade="D9"/>
          </w:tcPr>
          <w:p w:rsidR="00BC081E" w:rsidRPr="000E0F90" w:rsidRDefault="00BC081E" w:rsidP="00F43604">
            <w:pPr>
              <w:spacing w:after="0"/>
              <w:rPr>
                <w:rFonts w:ascii="Arial" w:hAnsi="Arial" w:cs="Arial"/>
                <w:b/>
                <w:color w:val="000000" w:themeColor="text1"/>
                <w:szCs w:val="20"/>
              </w:rPr>
            </w:pPr>
          </w:p>
        </w:tc>
        <w:tc>
          <w:tcPr>
            <w:tcW w:w="908" w:type="dxa"/>
            <w:gridSpan w:val="2"/>
            <w:tcBorders>
              <w:bottom w:val="nil"/>
            </w:tcBorders>
            <w:shd w:val="clear" w:color="auto" w:fill="D9D9D9" w:themeFill="background1" w:themeFillShade="D9"/>
          </w:tcPr>
          <w:p w:rsidR="00BC081E" w:rsidRPr="000E0F90" w:rsidRDefault="00BC081E" w:rsidP="002B7616">
            <w:pPr>
              <w:spacing w:after="0"/>
              <w:jc w:val="center"/>
              <w:rPr>
                <w:rFonts w:ascii="Arial" w:hAnsi="Arial" w:cs="Arial"/>
                <w:b/>
                <w:color w:val="000000" w:themeColor="text1"/>
                <w:szCs w:val="20"/>
              </w:rPr>
            </w:pPr>
            <w:r w:rsidRPr="000E0F90">
              <w:rPr>
                <w:rFonts w:ascii="Arial" w:hAnsi="Arial" w:cs="Arial"/>
                <w:b/>
                <w:color w:val="000000" w:themeColor="text1"/>
                <w:szCs w:val="20"/>
              </w:rPr>
              <w:t>Región</w:t>
            </w:r>
          </w:p>
        </w:tc>
      </w:tr>
      <w:tr w:rsidR="00BC081E" w:rsidRPr="000E0F90" w:rsidTr="00983747">
        <w:trPr>
          <w:trHeight w:val="64"/>
        </w:trPr>
        <w:tc>
          <w:tcPr>
            <w:tcW w:w="341" w:type="dxa"/>
            <w:tcBorders>
              <w:top w:val="nil"/>
              <w:bottom w:val="single" w:sz="4" w:space="0" w:color="auto"/>
            </w:tcBorders>
            <w:shd w:val="clear" w:color="auto" w:fill="D9D9D9" w:themeFill="background1" w:themeFillShade="D9"/>
            <w:tcMar>
              <w:left w:w="57" w:type="dxa"/>
              <w:right w:w="57" w:type="dxa"/>
            </w:tcMar>
          </w:tcPr>
          <w:p w:rsidR="00BC081E" w:rsidRPr="000E0F90" w:rsidRDefault="00BC081E" w:rsidP="00F43604">
            <w:pPr>
              <w:spacing w:after="0"/>
              <w:rPr>
                <w:rFonts w:ascii="Arial" w:hAnsi="Arial" w:cs="Arial"/>
                <w:b/>
                <w:color w:val="000000" w:themeColor="text1"/>
                <w:szCs w:val="20"/>
              </w:rPr>
            </w:pPr>
          </w:p>
        </w:tc>
        <w:tc>
          <w:tcPr>
            <w:tcW w:w="7654" w:type="dxa"/>
            <w:tcBorders>
              <w:top w:val="nil"/>
              <w:bottom w:val="single" w:sz="4" w:space="0" w:color="auto"/>
            </w:tcBorders>
            <w:shd w:val="clear" w:color="auto" w:fill="D9D9D9" w:themeFill="background1" w:themeFillShade="D9"/>
          </w:tcPr>
          <w:p w:rsidR="00BC081E" w:rsidRPr="000E0F90" w:rsidRDefault="00225844" w:rsidP="00F43604">
            <w:pPr>
              <w:spacing w:after="0"/>
              <w:rPr>
                <w:rFonts w:ascii="Arial" w:hAnsi="Arial" w:cs="Arial"/>
                <w:b/>
                <w:color w:val="000000" w:themeColor="text1"/>
                <w:szCs w:val="20"/>
              </w:rPr>
            </w:pPr>
            <w:r w:rsidRPr="000E0F90">
              <w:rPr>
                <w:rFonts w:ascii="Arial" w:hAnsi="Arial" w:cs="Arial"/>
                <w:b/>
                <w:color w:val="000000" w:themeColor="text1"/>
                <w:szCs w:val="20"/>
              </w:rPr>
              <w:t>Criterios Mantención de Recursos y Eficiencia</w:t>
            </w:r>
          </w:p>
        </w:tc>
        <w:tc>
          <w:tcPr>
            <w:tcW w:w="454" w:type="dxa"/>
            <w:tcBorders>
              <w:top w:val="nil"/>
              <w:bottom w:val="single" w:sz="4" w:space="0" w:color="auto"/>
            </w:tcBorders>
            <w:shd w:val="clear" w:color="auto" w:fill="D9D9D9" w:themeFill="background1" w:themeFillShade="D9"/>
          </w:tcPr>
          <w:p w:rsidR="00BC081E" w:rsidRPr="000E0F90" w:rsidRDefault="00BC081E" w:rsidP="005E5EE8">
            <w:pPr>
              <w:spacing w:after="0"/>
              <w:jc w:val="center"/>
              <w:rPr>
                <w:rFonts w:ascii="Arial" w:hAnsi="Arial" w:cs="Arial"/>
                <w:b/>
                <w:color w:val="000000" w:themeColor="text1"/>
                <w:szCs w:val="20"/>
              </w:rPr>
            </w:pPr>
            <w:r w:rsidRPr="000E0F90">
              <w:rPr>
                <w:rFonts w:ascii="Arial" w:hAnsi="Arial" w:cs="Arial"/>
                <w:b/>
                <w:color w:val="000000" w:themeColor="text1"/>
                <w:szCs w:val="20"/>
              </w:rPr>
              <w:t>III</w:t>
            </w:r>
          </w:p>
        </w:tc>
        <w:tc>
          <w:tcPr>
            <w:tcW w:w="454" w:type="dxa"/>
            <w:tcBorders>
              <w:top w:val="nil"/>
              <w:bottom w:val="single" w:sz="4" w:space="0" w:color="auto"/>
            </w:tcBorders>
            <w:shd w:val="clear" w:color="auto" w:fill="D9D9D9" w:themeFill="background1" w:themeFillShade="D9"/>
          </w:tcPr>
          <w:p w:rsidR="00BC081E" w:rsidRPr="000E0F90" w:rsidRDefault="00BC081E" w:rsidP="005E5EE8">
            <w:pPr>
              <w:spacing w:after="0"/>
              <w:jc w:val="center"/>
              <w:rPr>
                <w:rFonts w:ascii="Arial" w:hAnsi="Arial" w:cs="Arial"/>
                <w:b/>
                <w:color w:val="000000" w:themeColor="text1"/>
                <w:szCs w:val="20"/>
              </w:rPr>
            </w:pPr>
            <w:r w:rsidRPr="000E0F90">
              <w:rPr>
                <w:rFonts w:ascii="Arial" w:hAnsi="Arial" w:cs="Arial"/>
                <w:b/>
                <w:color w:val="000000" w:themeColor="text1"/>
                <w:szCs w:val="20"/>
              </w:rPr>
              <w:t>IV</w:t>
            </w:r>
          </w:p>
        </w:tc>
      </w:tr>
      <w:tr w:rsidR="00BC081E" w:rsidRPr="000E0F90" w:rsidTr="00983747">
        <w:tc>
          <w:tcPr>
            <w:tcW w:w="341" w:type="dxa"/>
            <w:tcBorders>
              <w:bottom w:val="nil"/>
            </w:tcBorders>
            <w:tcMar>
              <w:left w:w="57" w:type="dxa"/>
              <w:right w:w="57" w:type="dxa"/>
            </w:tcMar>
          </w:tcPr>
          <w:p w:rsidR="00BC081E" w:rsidRPr="001862A5" w:rsidRDefault="00BC081E" w:rsidP="00960558">
            <w:pPr>
              <w:pStyle w:val="NormalWeb"/>
              <w:spacing w:before="0" w:beforeAutospacing="0" w:after="0" w:afterAutospacing="0"/>
              <w:textAlignment w:val="center"/>
              <w:rPr>
                <w:rFonts w:ascii="Arial" w:hAnsi="Arial" w:cs="Arial"/>
                <w:color w:val="000000" w:themeColor="text1"/>
                <w:sz w:val="20"/>
                <w:szCs w:val="20"/>
              </w:rPr>
            </w:pPr>
            <w:r w:rsidRPr="001862A5">
              <w:rPr>
                <w:rFonts w:ascii="Arial" w:hAnsi="Arial" w:cs="Arial"/>
                <w:color w:val="000000" w:themeColor="text1"/>
                <w:sz w:val="20"/>
                <w:szCs w:val="20"/>
              </w:rPr>
              <w:t>1</w:t>
            </w:r>
          </w:p>
        </w:tc>
        <w:tc>
          <w:tcPr>
            <w:tcW w:w="7654" w:type="dxa"/>
            <w:tcBorders>
              <w:bottom w:val="nil"/>
            </w:tcBorders>
            <w:vAlign w:val="center"/>
          </w:tcPr>
          <w:p w:rsidR="00BC081E" w:rsidRPr="002B546D" w:rsidRDefault="00BC081E" w:rsidP="00EC548B">
            <w:pPr>
              <w:pStyle w:val="NormalWeb"/>
              <w:spacing w:before="0" w:beforeAutospacing="0" w:after="0" w:afterAutospacing="0"/>
              <w:textAlignment w:val="center"/>
              <w:rPr>
                <w:rFonts w:ascii="Arial" w:hAnsi="Arial" w:cs="Arial"/>
                <w:color w:val="000000" w:themeColor="text1"/>
                <w:sz w:val="20"/>
                <w:szCs w:val="20"/>
              </w:rPr>
            </w:pPr>
            <w:r w:rsidRPr="002B546D">
              <w:rPr>
                <w:rFonts w:ascii="Arial" w:hAnsi="Arial" w:cs="Arial"/>
                <w:color w:val="000000" w:themeColor="text1"/>
                <w:sz w:val="20"/>
                <w:szCs w:val="20"/>
              </w:rPr>
              <w:t>Las actividades territoriales deben operar dentro de límites naturales, sin provocar deterioro sobre la base de recursos naturales, que son utilizados por diversas actividades territoriales, incluyendo el uso humano, y que serán activos de usos territoriales futuros.</w:t>
            </w:r>
            <w:r w:rsidRPr="002B546D">
              <w:rPr>
                <w:rFonts w:ascii="Arial" w:hAnsi="Arial" w:cs="Arial"/>
                <w:color w:val="000000" w:themeColor="text1"/>
                <w:kern w:val="24"/>
                <w:sz w:val="20"/>
                <w:szCs w:val="20"/>
              </w:rPr>
              <w:t xml:space="preserve"> Evitar competencia por recursos entre usos territoriales.</w:t>
            </w:r>
          </w:p>
        </w:tc>
        <w:tc>
          <w:tcPr>
            <w:tcW w:w="454" w:type="dxa"/>
            <w:tcBorders>
              <w:bottom w:val="nil"/>
            </w:tcBorders>
            <w:shd w:val="clear" w:color="auto" w:fill="FF0000"/>
            <w:vAlign w:val="center"/>
          </w:tcPr>
          <w:p w:rsidR="00BC081E" w:rsidRPr="000E0F90" w:rsidRDefault="00BC081E" w:rsidP="005E5EE8">
            <w:pPr>
              <w:spacing w:after="0"/>
              <w:jc w:val="center"/>
              <w:rPr>
                <w:rFonts w:ascii="Arial" w:hAnsi="Arial" w:cs="Arial"/>
                <w:color w:val="000000" w:themeColor="text1"/>
                <w:sz w:val="20"/>
                <w:szCs w:val="20"/>
              </w:rPr>
            </w:pPr>
            <w:r w:rsidRPr="000E0F90">
              <w:rPr>
                <w:rFonts w:ascii="Arial" w:hAnsi="Arial" w:cs="Arial"/>
                <w:color w:val="000000" w:themeColor="text1"/>
                <w:sz w:val="20"/>
                <w:szCs w:val="20"/>
              </w:rPr>
              <w:t>N</w:t>
            </w:r>
          </w:p>
        </w:tc>
        <w:tc>
          <w:tcPr>
            <w:tcW w:w="454" w:type="dxa"/>
            <w:tcBorders>
              <w:bottom w:val="nil"/>
            </w:tcBorders>
            <w:shd w:val="clear" w:color="auto" w:fill="FF0000"/>
            <w:vAlign w:val="center"/>
          </w:tcPr>
          <w:p w:rsidR="00BC081E" w:rsidRPr="000E0F90" w:rsidRDefault="00BC081E" w:rsidP="005E5EE8">
            <w:pPr>
              <w:spacing w:after="0"/>
              <w:jc w:val="center"/>
              <w:rPr>
                <w:rFonts w:ascii="Arial" w:hAnsi="Arial" w:cs="Arial"/>
                <w:color w:val="000000" w:themeColor="text1"/>
                <w:sz w:val="20"/>
                <w:szCs w:val="20"/>
              </w:rPr>
            </w:pPr>
            <w:r w:rsidRPr="000E0F90">
              <w:rPr>
                <w:rFonts w:ascii="Arial" w:hAnsi="Arial" w:cs="Arial"/>
                <w:color w:val="000000" w:themeColor="text1"/>
                <w:sz w:val="20"/>
                <w:szCs w:val="20"/>
              </w:rPr>
              <w:t>N</w:t>
            </w:r>
          </w:p>
        </w:tc>
      </w:tr>
      <w:tr w:rsidR="000E0F90" w:rsidRPr="000E0F90" w:rsidTr="00983747">
        <w:tc>
          <w:tcPr>
            <w:tcW w:w="341" w:type="dxa"/>
            <w:tcBorders>
              <w:top w:val="nil"/>
              <w:bottom w:val="nil"/>
            </w:tcBorders>
            <w:tcMar>
              <w:left w:w="57" w:type="dxa"/>
              <w:right w:w="57" w:type="dxa"/>
            </w:tcMar>
          </w:tcPr>
          <w:p w:rsidR="00BC081E" w:rsidRPr="001862A5" w:rsidRDefault="00BC081E" w:rsidP="00767988">
            <w:pPr>
              <w:pStyle w:val="NormalWeb"/>
              <w:spacing w:before="0" w:beforeAutospacing="0" w:after="0" w:afterAutospacing="0"/>
              <w:textAlignment w:val="center"/>
              <w:rPr>
                <w:rFonts w:ascii="Arial" w:hAnsi="Arial" w:cs="Arial"/>
                <w:color w:val="000000" w:themeColor="text1"/>
                <w:kern w:val="24"/>
                <w:sz w:val="20"/>
                <w:szCs w:val="20"/>
              </w:rPr>
            </w:pPr>
            <w:r w:rsidRPr="001862A5">
              <w:rPr>
                <w:rFonts w:ascii="Arial" w:hAnsi="Arial" w:cs="Arial"/>
                <w:color w:val="000000" w:themeColor="text1"/>
                <w:kern w:val="24"/>
                <w:sz w:val="20"/>
                <w:szCs w:val="20"/>
              </w:rPr>
              <w:t>2</w:t>
            </w:r>
          </w:p>
        </w:tc>
        <w:tc>
          <w:tcPr>
            <w:tcW w:w="7654" w:type="dxa"/>
            <w:tcBorders>
              <w:top w:val="nil"/>
              <w:bottom w:val="nil"/>
            </w:tcBorders>
            <w:vAlign w:val="center"/>
          </w:tcPr>
          <w:p w:rsidR="00BC081E" w:rsidRPr="002B546D" w:rsidRDefault="00BC081E" w:rsidP="0013649C">
            <w:pPr>
              <w:pStyle w:val="NormalWeb"/>
              <w:spacing w:before="0" w:beforeAutospacing="0" w:after="0" w:afterAutospacing="0"/>
              <w:textAlignment w:val="center"/>
              <w:rPr>
                <w:rFonts w:ascii="Arial" w:hAnsi="Arial" w:cs="Arial"/>
                <w:color w:val="000000" w:themeColor="text1"/>
                <w:sz w:val="20"/>
                <w:szCs w:val="20"/>
              </w:rPr>
            </w:pPr>
            <w:r w:rsidRPr="002B546D">
              <w:rPr>
                <w:rFonts w:ascii="Arial" w:hAnsi="Arial" w:cs="Arial"/>
                <w:color w:val="000000" w:themeColor="text1"/>
                <w:kern w:val="24"/>
                <w:sz w:val="20"/>
                <w:szCs w:val="20"/>
              </w:rPr>
              <w:t>Utilizar los recursos renovables dentro de las tasas de recuperación o renovación, en especial en aquellos recursos que están en estados críticos y/o de los cuales depende la vida humana. Evitando cualquier acción que conlleve a una situación de deterioro irreversible o agotamiento. M</w:t>
            </w:r>
            <w:r w:rsidRPr="002B546D">
              <w:rPr>
                <w:rFonts w:ascii="Arial" w:hAnsi="Arial" w:cs="Arial"/>
                <w:color w:val="000000" w:themeColor="text1"/>
                <w:kern w:val="24"/>
                <w:sz w:val="20"/>
              </w:rPr>
              <w:t xml:space="preserve">ejorar la calidad del recurso. </w:t>
            </w:r>
          </w:p>
        </w:tc>
        <w:tc>
          <w:tcPr>
            <w:tcW w:w="454" w:type="dxa"/>
            <w:tcBorders>
              <w:top w:val="nil"/>
              <w:bottom w:val="nil"/>
            </w:tcBorders>
            <w:shd w:val="clear" w:color="auto" w:fill="FF0000"/>
            <w:vAlign w:val="center"/>
          </w:tcPr>
          <w:p w:rsidR="00BC081E" w:rsidRPr="000E0F90" w:rsidRDefault="0071298A" w:rsidP="005E5EE8">
            <w:pPr>
              <w:spacing w:after="0"/>
              <w:jc w:val="center"/>
              <w:rPr>
                <w:rFonts w:ascii="Arial" w:hAnsi="Arial" w:cs="Arial"/>
                <w:color w:val="000000" w:themeColor="text1"/>
                <w:sz w:val="20"/>
                <w:szCs w:val="20"/>
              </w:rPr>
            </w:pPr>
            <w:r w:rsidRPr="000E0F90">
              <w:rPr>
                <w:rFonts w:ascii="Arial" w:hAnsi="Arial" w:cs="Arial"/>
                <w:color w:val="000000" w:themeColor="text1"/>
                <w:sz w:val="20"/>
                <w:szCs w:val="20"/>
              </w:rPr>
              <w:t>N</w:t>
            </w:r>
          </w:p>
        </w:tc>
        <w:tc>
          <w:tcPr>
            <w:tcW w:w="454" w:type="dxa"/>
            <w:tcBorders>
              <w:top w:val="nil"/>
              <w:bottom w:val="nil"/>
            </w:tcBorders>
            <w:shd w:val="clear" w:color="auto" w:fill="FF0000"/>
            <w:vAlign w:val="center"/>
          </w:tcPr>
          <w:p w:rsidR="00BC081E" w:rsidRPr="000E0F90" w:rsidRDefault="0071298A" w:rsidP="005E5EE8">
            <w:pPr>
              <w:spacing w:after="0"/>
              <w:jc w:val="center"/>
              <w:rPr>
                <w:rFonts w:ascii="Arial" w:hAnsi="Arial" w:cs="Arial"/>
                <w:color w:val="000000" w:themeColor="text1"/>
                <w:sz w:val="20"/>
                <w:szCs w:val="20"/>
              </w:rPr>
            </w:pPr>
            <w:r w:rsidRPr="000E0F90">
              <w:rPr>
                <w:rFonts w:ascii="Arial" w:hAnsi="Arial" w:cs="Arial"/>
                <w:color w:val="000000" w:themeColor="text1"/>
                <w:sz w:val="20"/>
                <w:szCs w:val="20"/>
              </w:rPr>
              <w:t>N</w:t>
            </w:r>
          </w:p>
        </w:tc>
      </w:tr>
      <w:tr w:rsidR="000E0F90" w:rsidRPr="000E0F90" w:rsidTr="00983747">
        <w:tc>
          <w:tcPr>
            <w:tcW w:w="341" w:type="dxa"/>
            <w:tcBorders>
              <w:top w:val="nil"/>
              <w:bottom w:val="nil"/>
            </w:tcBorders>
            <w:tcMar>
              <w:left w:w="57" w:type="dxa"/>
              <w:right w:w="57" w:type="dxa"/>
            </w:tcMar>
          </w:tcPr>
          <w:p w:rsidR="00BC081E" w:rsidRPr="000E0F90" w:rsidRDefault="00BC081E" w:rsidP="009055A3">
            <w:pPr>
              <w:pStyle w:val="NormalWeb"/>
              <w:spacing w:before="0" w:beforeAutospacing="0" w:after="0" w:afterAutospacing="0"/>
              <w:textAlignment w:val="center"/>
              <w:rPr>
                <w:rFonts w:ascii="Arial" w:hAnsi="Arial" w:cs="Arial"/>
                <w:b/>
                <w:color w:val="000000" w:themeColor="text1"/>
                <w:kern w:val="24"/>
                <w:sz w:val="20"/>
                <w:szCs w:val="20"/>
              </w:rPr>
            </w:pPr>
            <w:r w:rsidRPr="000E0F90">
              <w:rPr>
                <w:rFonts w:ascii="Arial" w:hAnsi="Arial" w:cs="Arial"/>
                <w:b/>
                <w:color w:val="000000" w:themeColor="text1"/>
                <w:kern w:val="24"/>
                <w:sz w:val="20"/>
                <w:szCs w:val="20"/>
              </w:rPr>
              <w:t>3</w:t>
            </w:r>
          </w:p>
        </w:tc>
        <w:tc>
          <w:tcPr>
            <w:tcW w:w="7654" w:type="dxa"/>
            <w:tcBorders>
              <w:top w:val="nil"/>
              <w:bottom w:val="nil"/>
            </w:tcBorders>
            <w:vAlign w:val="center"/>
          </w:tcPr>
          <w:p w:rsidR="00BC081E" w:rsidRPr="002B546D" w:rsidRDefault="00BC081E" w:rsidP="00EC548B">
            <w:pPr>
              <w:pStyle w:val="NormalWeb"/>
              <w:spacing w:before="0" w:beforeAutospacing="0" w:after="0" w:afterAutospacing="0"/>
              <w:textAlignment w:val="center"/>
              <w:rPr>
                <w:rFonts w:ascii="Arial" w:hAnsi="Arial" w:cs="Arial"/>
                <w:color w:val="000000" w:themeColor="text1"/>
                <w:sz w:val="20"/>
                <w:szCs w:val="20"/>
              </w:rPr>
            </w:pPr>
            <w:r w:rsidRPr="002B546D">
              <w:rPr>
                <w:rFonts w:ascii="Arial" w:hAnsi="Arial" w:cs="Arial"/>
                <w:color w:val="000000" w:themeColor="text1"/>
                <w:kern w:val="24"/>
                <w:sz w:val="20"/>
                <w:szCs w:val="20"/>
              </w:rPr>
              <w:t>Utilizar los recursos no renovables de forma que el capital generado se reinvierta en la generación de nuevas formas de recursos naturales a nivel local, que permita fuentes de desarrollo local sostenibles</w:t>
            </w:r>
          </w:p>
        </w:tc>
        <w:tc>
          <w:tcPr>
            <w:tcW w:w="454" w:type="dxa"/>
            <w:tcBorders>
              <w:top w:val="nil"/>
              <w:bottom w:val="nil"/>
            </w:tcBorders>
            <w:shd w:val="clear" w:color="auto" w:fill="FF0000"/>
            <w:vAlign w:val="center"/>
          </w:tcPr>
          <w:p w:rsidR="00BC081E" w:rsidRPr="000E0F90" w:rsidRDefault="00BC081E" w:rsidP="005E5EE8">
            <w:pPr>
              <w:spacing w:after="0"/>
              <w:jc w:val="center"/>
              <w:rPr>
                <w:rFonts w:ascii="Arial" w:hAnsi="Arial" w:cs="Arial"/>
                <w:color w:val="000000" w:themeColor="text1"/>
                <w:sz w:val="20"/>
                <w:szCs w:val="20"/>
              </w:rPr>
            </w:pPr>
            <w:r w:rsidRPr="000E0F90">
              <w:rPr>
                <w:rFonts w:ascii="Arial" w:hAnsi="Arial" w:cs="Arial"/>
                <w:color w:val="000000" w:themeColor="text1"/>
                <w:sz w:val="20"/>
                <w:szCs w:val="20"/>
              </w:rPr>
              <w:t>N</w:t>
            </w:r>
          </w:p>
        </w:tc>
        <w:tc>
          <w:tcPr>
            <w:tcW w:w="454" w:type="dxa"/>
            <w:tcBorders>
              <w:top w:val="nil"/>
              <w:bottom w:val="nil"/>
            </w:tcBorders>
            <w:shd w:val="clear" w:color="auto" w:fill="FFFF00"/>
            <w:vAlign w:val="center"/>
          </w:tcPr>
          <w:p w:rsidR="00BC081E" w:rsidRPr="000E0F90" w:rsidRDefault="00BC081E" w:rsidP="005E5EE8">
            <w:pPr>
              <w:spacing w:after="0"/>
              <w:jc w:val="center"/>
              <w:rPr>
                <w:rFonts w:ascii="Arial" w:hAnsi="Arial" w:cs="Arial"/>
                <w:color w:val="000000" w:themeColor="text1"/>
                <w:sz w:val="20"/>
                <w:szCs w:val="20"/>
              </w:rPr>
            </w:pPr>
            <w:r w:rsidRPr="000E0F90">
              <w:rPr>
                <w:rFonts w:ascii="Arial" w:hAnsi="Arial" w:cs="Arial"/>
                <w:color w:val="000000" w:themeColor="text1"/>
                <w:sz w:val="20"/>
                <w:szCs w:val="20"/>
              </w:rPr>
              <w:t>P</w:t>
            </w:r>
          </w:p>
        </w:tc>
      </w:tr>
      <w:tr w:rsidR="00BC081E" w:rsidRPr="000E0F90" w:rsidTr="00983747">
        <w:tc>
          <w:tcPr>
            <w:tcW w:w="341" w:type="dxa"/>
            <w:tcBorders>
              <w:top w:val="nil"/>
              <w:bottom w:val="nil"/>
            </w:tcBorders>
            <w:tcMar>
              <w:left w:w="57" w:type="dxa"/>
              <w:right w:w="57" w:type="dxa"/>
            </w:tcMar>
          </w:tcPr>
          <w:p w:rsidR="00BC081E" w:rsidRPr="000E0F90" w:rsidRDefault="00BC081E" w:rsidP="00EA11A2">
            <w:pPr>
              <w:pStyle w:val="NormalWeb"/>
              <w:spacing w:before="0" w:beforeAutospacing="0" w:after="0" w:afterAutospacing="0"/>
              <w:textAlignment w:val="center"/>
              <w:rPr>
                <w:rFonts w:ascii="Arial" w:hAnsi="Arial" w:cs="Arial"/>
                <w:color w:val="000000" w:themeColor="text1"/>
                <w:kern w:val="24"/>
                <w:sz w:val="20"/>
                <w:szCs w:val="20"/>
              </w:rPr>
            </w:pPr>
            <w:r w:rsidRPr="000E0F90">
              <w:rPr>
                <w:rFonts w:ascii="Arial" w:hAnsi="Arial" w:cs="Arial"/>
                <w:color w:val="000000" w:themeColor="text1"/>
                <w:kern w:val="24"/>
                <w:sz w:val="20"/>
                <w:szCs w:val="20"/>
              </w:rPr>
              <w:t>4</w:t>
            </w:r>
          </w:p>
        </w:tc>
        <w:tc>
          <w:tcPr>
            <w:tcW w:w="7654" w:type="dxa"/>
            <w:tcBorders>
              <w:top w:val="nil"/>
              <w:bottom w:val="nil"/>
            </w:tcBorders>
            <w:vAlign w:val="center"/>
          </w:tcPr>
          <w:p w:rsidR="00BC081E" w:rsidRPr="002B546D" w:rsidRDefault="00BC081E" w:rsidP="008D72DF">
            <w:pPr>
              <w:pStyle w:val="NormalWeb"/>
              <w:spacing w:before="0" w:beforeAutospacing="0" w:after="0" w:afterAutospacing="0"/>
              <w:textAlignment w:val="center"/>
              <w:rPr>
                <w:rFonts w:ascii="Arial" w:hAnsi="Arial" w:cs="Arial"/>
                <w:color w:val="000000" w:themeColor="text1"/>
                <w:kern w:val="24"/>
                <w:sz w:val="20"/>
                <w:szCs w:val="20"/>
              </w:rPr>
            </w:pPr>
            <w:r w:rsidRPr="002B546D">
              <w:rPr>
                <w:rFonts w:ascii="Arial" w:hAnsi="Arial" w:cs="Arial"/>
                <w:color w:val="000000" w:themeColor="text1"/>
                <w:kern w:val="24"/>
                <w:sz w:val="20"/>
                <w:szCs w:val="20"/>
              </w:rPr>
              <w:t>Mejorar eficiencia de utilización de bienes y recursos. Desarrollar diseños de utilización estratégica de recursos críticos. Utilizar materiales locales y sostenibles con baja carga energética y material. Reducir el uso de recursos por cada unidad de beneficio.</w:t>
            </w:r>
          </w:p>
        </w:tc>
        <w:tc>
          <w:tcPr>
            <w:tcW w:w="454" w:type="dxa"/>
            <w:tcBorders>
              <w:top w:val="nil"/>
              <w:bottom w:val="nil"/>
            </w:tcBorders>
            <w:shd w:val="clear" w:color="auto" w:fill="FFFF00"/>
            <w:vAlign w:val="center"/>
          </w:tcPr>
          <w:p w:rsidR="00BC081E" w:rsidRPr="000E0F90" w:rsidRDefault="00BC081E" w:rsidP="005E5EE8">
            <w:pPr>
              <w:spacing w:after="0"/>
              <w:jc w:val="center"/>
              <w:rPr>
                <w:rFonts w:ascii="Arial" w:hAnsi="Arial" w:cs="Arial"/>
                <w:color w:val="000000" w:themeColor="text1"/>
                <w:sz w:val="20"/>
                <w:szCs w:val="20"/>
              </w:rPr>
            </w:pPr>
            <w:r w:rsidRPr="000E0F90">
              <w:rPr>
                <w:rFonts w:ascii="Arial" w:hAnsi="Arial" w:cs="Arial"/>
                <w:color w:val="000000" w:themeColor="text1"/>
                <w:sz w:val="20"/>
                <w:szCs w:val="20"/>
              </w:rPr>
              <w:t>P</w:t>
            </w:r>
          </w:p>
        </w:tc>
        <w:tc>
          <w:tcPr>
            <w:tcW w:w="454" w:type="dxa"/>
            <w:tcBorders>
              <w:top w:val="nil"/>
              <w:bottom w:val="nil"/>
            </w:tcBorders>
            <w:shd w:val="clear" w:color="auto" w:fill="FFFF00"/>
            <w:vAlign w:val="center"/>
          </w:tcPr>
          <w:p w:rsidR="00BC081E" w:rsidRPr="000E0F90" w:rsidRDefault="00BC081E" w:rsidP="005E5EE8">
            <w:pPr>
              <w:spacing w:after="0"/>
              <w:jc w:val="center"/>
              <w:rPr>
                <w:rFonts w:ascii="Arial" w:hAnsi="Arial" w:cs="Arial"/>
                <w:color w:val="000000" w:themeColor="text1"/>
                <w:sz w:val="20"/>
                <w:szCs w:val="20"/>
              </w:rPr>
            </w:pPr>
            <w:r w:rsidRPr="000E0F90">
              <w:rPr>
                <w:rFonts w:ascii="Arial" w:hAnsi="Arial" w:cs="Arial"/>
                <w:color w:val="000000" w:themeColor="text1"/>
                <w:sz w:val="20"/>
                <w:szCs w:val="20"/>
              </w:rPr>
              <w:t>P</w:t>
            </w:r>
          </w:p>
        </w:tc>
      </w:tr>
      <w:tr w:rsidR="000E0F90" w:rsidRPr="000E0F90" w:rsidTr="00983747">
        <w:tc>
          <w:tcPr>
            <w:tcW w:w="341" w:type="dxa"/>
            <w:tcBorders>
              <w:top w:val="nil"/>
              <w:bottom w:val="nil"/>
            </w:tcBorders>
            <w:tcMar>
              <w:left w:w="57" w:type="dxa"/>
              <w:right w:w="57" w:type="dxa"/>
            </w:tcMar>
          </w:tcPr>
          <w:p w:rsidR="00BC081E" w:rsidRPr="000E0F90" w:rsidRDefault="00BC081E" w:rsidP="00767988">
            <w:pPr>
              <w:pStyle w:val="NormalWeb"/>
              <w:spacing w:before="0" w:beforeAutospacing="0" w:after="0" w:afterAutospacing="0"/>
              <w:textAlignment w:val="center"/>
              <w:rPr>
                <w:rFonts w:ascii="Arial" w:hAnsi="Arial" w:cs="Arial"/>
                <w:color w:val="000000" w:themeColor="text1"/>
                <w:sz w:val="20"/>
                <w:szCs w:val="20"/>
              </w:rPr>
            </w:pPr>
            <w:r w:rsidRPr="000E0F90">
              <w:rPr>
                <w:rFonts w:ascii="Arial" w:hAnsi="Arial" w:cs="Arial"/>
                <w:color w:val="000000" w:themeColor="text1"/>
                <w:sz w:val="20"/>
                <w:szCs w:val="20"/>
              </w:rPr>
              <w:t>5</w:t>
            </w:r>
          </w:p>
        </w:tc>
        <w:tc>
          <w:tcPr>
            <w:tcW w:w="7654" w:type="dxa"/>
            <w:tcBorders>
              <w:top w:val="nil"/>
              <w:bottom w:val="nil"/>
            </w:tcBorders>
            <w:vAlign w:val="center"/>
          </w:tcPr>
          <w:p w:rsidR="00BC081E" w:rsidRPr="002B546D" w:rsidRDefault="00BC081E" w:rsidP="00DE6813">
            <w:pPr>
              <w:pStyle w:val="NormalWeb"/>
              <w:spacing w:before="0" w:beforeAutospacing="0" w:after="0" w:afterAutospacing="0"/>
              <w:textAlignment w:val="center"/>
              <w:rPr>
                <w:rFonts w:ascii="Arial" w:hAnsi="Arial" w:cs="Arial"/>
                <w:color w:val="000000" w:themeColor="text1"/>
                <w:sz w:val="20"/>
                <w:szCs w:val="20"/>
              </w:rPr>
            </w:pPr>
            <w:r w:rsidRPr="002B546D">
              <w:rPr>
                <w:rFonts w:ascii="Arial" w:hAnsi="Arial" w:cs="Arial"/>
                <w:color w:val="000000" w:themeColor="text1"/>
                <w:sz w:val="20"/>
                <w:szCs w:val="20"/>
              </w:rPr>
              <w:t>Reducir el uso neto de agua en las actividades territoriales, mediante iniciativas de uso eficiente del recurso, de reutilización de aguas (i.e. aguas lluvias y reciclaje de agua), teniendo en consideración, tanto las funciones ecosistémicas, como las necesidades humanas, en el corto y largo plazo. Mejorar la calidad del agua.</w:t>
            </w:r>
          </w:p>
        </w:tc>
        <w:tc>
          <w:tcPr>
            <w:tcW w:w="454" w:type="dxa"/>
            <w:tcBorders>
              <w:top w:val="nil"/>
              <w:bottom w:val="nil"/>
            </w:tcBorders>
            <w:shd w:val="clear" w:color="auto" w:fill="FFFF00"/>
            <w:vAlign w:val="center"/>
          </w:tcPr>
          <w:p w:rsidR="00BC081E" w:rsidRPr="000E0F90" w:rsidRDefault="0071298A" w:rsidP="005E5EE8">
            <w:pPr>
              <w:spacing w:after="0"/>
              <w:jc w:val="center"/>
              <w:rPr>
                <w:rFonts w:ascii="Arial" w:hAnsi="Arial" w:cs="Arial"/>
                <w:color w:val="000000" w:themeColor="text1"/>
                <w:sz w:val="20"/>
                <w:szCs w:val="20"/>
              </w:rPr>
            </w:pPr>
            <w:r w:rsidRPr="000E0F90">
              <w:rPr>
                <w:rFonts w:ascii="Arial" w:hAnsi="Arial" w:cs="Arial"/>
                <w:color w:val="000000" w:themeColor="text1"/>
                <w:sz w:val="20"/>
                <w:szCs w:val="20"/>
              </w:rPr>
              <w:t>P</w:t>
            </w:r>
          </w:p>
        </w:tc>
        <w:tc>
          <w:tcPr>
            <w:tcW w:w="454" w:type="dxa"/>
            <w:tcBorders>
              <w:top w:val="nil"/>
              <w:bottom w:val="nil"/>
            </w:tcBorders>
            <w:shd w:val="clear" w:color="auto" w:fill="FFFF00"/>
            <w:vAlign w:val="center"/>
          </w:tcPr>
          <w:p w:rsidR="00BC081E" w:rsidRPr="000E0F90" w:rsidRDefault="00BC081E" w:rsidP="005E5EE8">
            <w:pPr>
              <w:spacing w:after="0"/>
              <w:jc w:val="center"/>
              <w:rPr>
                <w:rFonts w:ascii="Arial" w:hAnsi="Arial" w:cs="Arial"/>
                <w:color w:val="000000" w:themeColor="text1"/>
                <w:sz w:val="20"/>
                <w:szCs w:val="20"/>
              </w:rPr>
            </w:pPr>
            <w:r w:rsidRPr="000E0F90">
              <w:rPr>
                <w:rFonts w:ascii="Arial" w:hAnsi="Arial" w:cs="Arial"/>
                <w:color w:val="000000" w:themeColor="text1"/>
                <w:sz w:val="20"/>
                <w:szCs w:val="20"/>
              </w:rPr>
              <w:t>P</w:t>
            </w:r>
          </w:p>
        </w:tc>
      </w:tr>
      <w:tr w:rsidR="000E0F90" w:rsidRPr="000E0F90" w:rsidTr="00983747">
        <w:tc>
          <w:tcPr>
            <w:tcW w:w="341" w:type="dxa"/>
            <w:tcBorders>
              <w:top w:val="nil"/>
              <w:bottom w:val="nil"/>
            </w:tcBorders>
            <w:tcMar>
              <w:left w:w="57" w:type="dxa"/>
              <w:right w:w="57" w:type="dxa"/>
            </w:tcMar>
          </w:tcPr>
          <w:p w:rsidR="00BC081E" w:rsidRPr="000E0F90" w:rsidRDefault="00BC081E" w:rsidP="00767988">
            <w:pPr>
              <w:pStyle w:val="NormalWeb"/>
              <w:spacing w:before="0" w:beforeAutospacing="0" w:after="0" w:afterAutospacing="0"/>
              <w:textAlignment w:val="center"/>
              <w:rPr>
                <w:rFonts w:ascii="Arial" w:hAnsi="Arial" w:cs="Arial"/>
                <w:color w:val="000000" w:themeColor="text1"/>
                <w:sz w:val="20"/>
                <w:szCs w:val="20"/>
              </w:rPr>
            </w:pPr>
            <w:r w:rsidRPr="000E0F90">
              <w:rPr>
                <w:rFonts w:ascii="Arial" w:hAnsi="Arial" w:cs="Arial"/>
                <w:color w:val="000000" w:themeColor="text1"/>
                <w:sz w:val="20"/>
                <w:szCs w:val="20"/>
              </w:rPr>
              <w:t>6</w:t>
            </w:r>
          </w:p>
        </w:tc>
        <w:tc>
          <w:tcPr>
            <w:tcW w:w="7654" w:type="dxa"/>
            <w:tcBorders>
              <w:top w:val="nil"/>
              <w:bottom w:val="nil"/>
            </w:tcBorders>
            <w:vAlign w:val="center"/>
          </w:tcPr>
          <w:p w:rsidR="00BC081E" w:rsidRPr="002B546D" w:rsidRDefault="00BC081E" w:rsidP="00767988">
            <w:pPr>
              <w:pStyle w:val="NormalWeb"/>
              <w:spacing w:before="0" w:beforeAutospacing="0" w:after="0" w:afterAutospacing="0"/>
              <w:textAlignment w:val="center"/>
              <w:rPr>
                <w:rFonts w:ascii="Arial" w:hAnsi="Arial" w:cs="Arial"/>
                <w:color w:val="000000" w:themeColor="text1"/>
                <w:sz w:val="20"/>
                <w:szCs w:val="20"/>
              </w:rPr>
            </w:pPr>
            <w:r w:rsidRPr="002B546D">
              <w:rPr>
                <w:rFonts w:ascii="Arial" w:hAnsi="Arial" w:cs="Arial"/>
                <w:color w:val="000000" w:themeColor="text1"/>
                <w:sz w:val="20"/>
                <w:szCs w:val="20"/>
              </w:rPr>
              <w:t>Reducir el uso de energía en las actividades territoriales. Incorporar iniciativas de generación de energías renovables. Promover la eficiencia y autoabastecimiento energético en los consumidores y en las actividades económicas locales. Reducir en forma progresiva el uso de combustibles fósiles.</w:t>
            </w:r>
          </w:p>
        </w:tc>
        <w:tc>
          <w:tcPr>
            <w:tcW w:w="454" w:type="dxa"/>
            <w:tcBorders>
              <w:top w:val="nil"/>
              <w:bottom w:val="nil"/>
            </w:tcBorders>
            <w:shd w:val="clear" w:color="auto" w:fill="auto"/>
            <w:vAlign w:val="center"/>
          </w:tcPr>
          <w:p w:rsidR="00BC081E" w:rsidRPr="000E0F90" w:rsidRDefault="00BC081E" w:rsidP="005E5EE8">
            <w:pPr>
              <w:spacing w:after="0"/>
              <w:jc w:val="center"/>
              <w:rPr>
                <w:rFonts w:ascii="Arial" w:hAnsi="Arial" w:cs="Arial"/>
                <w:color w:val="000000" w:themeColor="text1"/>
                <w:sz w:val="20"/>
                <w:szCs w:val="20"/>
              </w:rPr>
            </w:pPr>
          </w:p>
        </w:tc>
        <w:tc>
          <w:tcPr>
            <w:tcW w:w="454" w:type="dxa"/>
            <w:tcBorders>
              <w:top w:val="nil"/>
              <w:bottom w:val="nil"/>
            </w:tcBorders>
            <w:shd w:val="clear" w:color="auto" w:fill="auto"/>
            <w:vAlign w:val="center"/>
          </w:tcPr>
          <w:p w:rsidR="00BC081E" w:rsidRPr="000E0F90" w:rsidRDefault="00BC081E" w:rsidP="005E5EE8">
            <w:pPr>
              <w:spacing w:after="0"/>
              <w:jc w:val="center"/>
              <w:rPr>
                <w:rFonts w:ascii="Arial" w:hAnsi="Arial" w:cs="Arial"/>
                <w:color w:val="000000" w:themeColor="text1"/>
                <w:sz w:val="20"/>
                <w:szCs w:val="20"/>
              </w:rPr>
            </w:pPr>
          </w:p>
        </w:tc>
      </w:tr>
      <w:tr w:rsidR="00BC081E" w:rsidRPr="000E0F90" w:rsidTr="00983747">
        <w:tc>
          <w:tcPr>
            <w:tcW w:w="341" w:type="dxa"/>
            <w:tcBorders>
              <w:top w:val="nil"/>
              <w:bottom w:val="nil"/>
            </w:tcBorders>
            <w:tcMar>
              <w:left w:w="57" w:type="dxa"/>
              <w:right w:w="57" w:type="dxa"/>
            </w:tcMar>
          </w:tcPr>
          <w:p w:rsidR="00BC081E" w:rsidRPr="000E0F90" w:rsidRDefault="00BC081E" w:rsidP="00D17955">
            <w:pPr>
              <w:pStyle w:val="NormalWeb"/>
              <w:spacing w:before="0" w:beforeAutospacing="0" w:after="0" w:afterAutospacing="0"/>
              <w:textAlignment w:val="top"/>
              <w:rPr>
                <w:rFonts w:ascii="Arial" w:hAnsi="Arial" w:cs="Arial"/>
                <w:color w:val="000000" w:themeColor="text1"/>
                <w:kern w:val="24"/>
                <w:sz w:val="20"/>
                <w:szCs w:val="20"/>
              </w:rPr>
            </w:pPr>
            <w:r w:rsidRPr="000E0F90">
              <w:rPr>
                <w:rFonts w:ascii="Arial" w:hAnsi="Arial" w:cs="Arial"/>
                <w:color w:val="000000" w:themeColor="text1"/>
                <w:kern w:val="24"/>
                <w:sz w:val="20"/>
                <w:szCs w:val="20"/>
              </w:rPr>
              <w:t>7</w:t>
            </w:r>
          </w:p>
        </w:tc>
        <w:tc>
          <w:tcPr>
            <w:tcW w:w="7654" w:type="dxa"/>
            <w:tcBorders>
              <w:top w:val="nil"/>
              <w:bottom w:val="nil"/>
            </w:tcBorders>
          </w:tcPr>
          <w:p w:rsidR="00BC081E" w:rsidRPr="002B546D" w:rsidRDefault="00BC081E" w:rsidP="00DE6813">
            <w:pPr>
              <w:pStyle w:val="NormalWeb"/>
              <w:spacing w:before="0" w:beforeAutospacing="0" w:after="0" w:afterAutospacing="0"/>
              <w:textAlignment w:val="top"/>
              <w:rPr>
                <w:rFonts w:ascii="Arial" w:hAnsi="Arial" w:cs="Arial"/>
                <w:color w:val="000000" w:themeColor="text1"/>
                <w:kern w:val="24"/>
                <w:sz w:val="20"/>
                <w:szCs w:val="20"/>
              </w:rPr>
            </w:pPr>
            <w:r w:rsidRPr="002B546D">
              <w:rPr>
                <w:rFonts w:ascii="Arial" w:hAnsi="Arial" w:cs="Arial"/>
                <w:color w:val="000000" w:themeColor="text1"/>
                <w:kern w:val="24"/>
                <w:sz w:val="20"/>
                <w:szCs w:val="20"/>
              </w:rPr>
              <w:t xml:space="preserve">Hacer uso de características regionales, reducir cadenas de alimentación y suministro. Proveer servicios y amenidades locales. Reducir desplazamiento total de las actividades territoriales, correspondiente a insumos productivos, recursos naturales, trabajadores y desechos de la actividad. </w:t>
            </w:r>
          </w:p>
        </w:tc>
        <w:tc>
          <w:tcPr>
            <w:tcW w:w="454" w:type="dxa"/>
            <w:tcBorders>
              <w:top w:val="nil"/>
              <w:bottom w:val="nil"/>
            </w:tcBorders>
            <w:shd w:val="clear" w:color="auto" w:fill="FF0000"/>
            <w:vAlign w:val="center"/>
          </w:tcPr>
          <w:p w:rsidR="00BC081E" w:rsidRPr="000E0F90" w:rsidRDefault="00BC081E" w:rsidP="005E5EE8">
            <w:pPr>
              <w:spacing w:after="0"/>
              <w:jc w:val="center"/>
              <w:rPr>
                <w:rFonts w:ascii="Arial" w:hAnsi="Arial" w:cs="Arial"/>
                <w:color w:val="000000" w:themeColor="text1"/>
                <w:sz w:val="20"/>
                <w:szCs w:val="20"/>
              </w:rPr>
            </w:pPr>
            <w:r w:rsidRPr="000E0F90">
              <w:rPr>
                <w:rFonts w:ascii="Arial" w:hAnsi="Arial" w:cs="Arial"/>
                <w:color w:val="000000" w:themeColor="text1"/>
                <w:sz w:val="20"/>
                <w:szCs w:val="20"/>
              </w:rPr>
              <w:t>N</w:t>
            </w:r>
          </w:p>
        </w:tc>
        <w:tc>
          <w:tcPr>
            <w:tcW w:w="454" w:type="dxa"/>
            <w:tcBorders>
              <w:top w:val="nil"/>
              <w:bottom w:val="nil"/>
            </w:tcBorders>
            <w:shd w:val="clear" w:color="auto" w:fill="FF0000"/>
            <w:vAlign w:val="center"/>
          </w:tcPr>
          <w:p w:rsidR="00BC081E" w:rsidRPr="000E0F90" w:rsidRDefault="00BC081E" w:rsidP="005E5EE8">
            <w:pPr>
              <w:spacing w:after="0"/>
              <w:jc w:val="center"/>
              <w:rPr>
                <w:rFonts w:ascii="Arial" w:hAnsi="Arial" w:cs="Arial"/>
                <w:color w:val="000000" w:themeColor="text1"/>
                <w:sz w:val="20"/>
                <w:szCs w:val="20"/>
              </w:rPr>
            </w:pPr>
            <w:r w:rsidRPr="000E0F90">
              <w:rPr>
                <w:rFonts w:ascii="Arial" w:hAnsi="Arial" w:cs="Arial"/>
                <w:color w:val="000000" w:themeColor="text1"/>
                <w:sz w:val="20"/>
                <w:szCs w:val="20"/>
              </w:rPr>
              <w:t>N</w:t>
            </w:r>
          </w:p>
        </w:tc>
      </w:tr>
      <w:tr w:rsidR="00BC081E" w:rsidRPr="000E0F90" w:rsidTr="00983747">
        <w:tc>
          <w:tcPr>
            <w:tcW w:w="341" w:type="dxa"/>
            <w:tcBorders>
              <w:top w:val="nil"/>
              <w:bottom w:val="nil"/>
            </w:tcBorders>
            <w:tcMar>
              <w:left w:w="57" w:type="dxa"/>
              <w:right w:w="57" w:type="dxa"/>
            </w:tcMar>
          </w:tcPr>
          <w:p w:rsidR="00BC081E" w:rsidRPr="000E0F90" w:rsidRDefault="00BC081E" w:rsidP="00767988">
            <w:pPr>
              <w:pStyle w:val="NormalWeb"/>
              <w:spacing w:before="0" w:beforeAutospacing="0" w:after="0" w:afterAutospacing="0"/>
              <w:textAlignment w:val="center"/>
              <w:rPr>
                <w:rFonts w:ascii="Arial" w:hAnsi="Arial" w:cs="Arial"/>
                <w:color w:val="000000" w:themeColor="text1"/>
                <w:kern w:val="24"/>
                <w:sz w:val="20"/>
                <w:szCs w:val="20"/>
              </w:rPr>
            </w:pPr>
            <w:r w:rsidRPr="000E0F90">
              <w:rPr>
                <w:rFonts w:ascii="Arial" w:hAnsi="Arial" w:cs="Arial"/>
                <w:color w:val="000000" w:themeColor="text1"/>
                <w:kern w:val="24"/>
                <w:sz w:val="20"/>
                <w:szCs w:val="20"/>
              </w:rPr>
              <w:t>8</w:t>
            </w:r>
          </w:p>
        </w:tc>
        <w:tc>
          <w:tcPr>
            <w:tcW w:w="7654" w:type="dxa"/>
            <w:tcBorders>
              <w:top w:val="nil"/>
              <w:bottom w:val="nil"/>
            </w:tcBorders>
            <w:vAlign w:val="center"/>
          </w:tcPr>
          <w:p w:rsidR="00BC081E" w:rsidRPr="002B546D" w:rsidRDefault="00BC081E" w:rsidP="00767988">
            <w:pPr>
              <w:pStyle w:val="NormalWeb"/>
              <w:spacing w:before="0" w:beforeAutospacing="0" w:after="0" w:afterAutospacing="0"/>
              <w:textAlignment w:val="center"/>
              <w:rPr>
                <w:rFonts w:ascii="Arial" w:hAnsi="Arial" w:cs="Arial"/>
                <w:color w:val="000000" w:themeColor="text1"/>
                <w:sz w:val="20"/>
                <w:szCs w:val="20"/>
              </w:rPr>
            </w:pPr>
            <w:r w:rsidRPr="002B546D">
              <w:rPr>
                <w:rFonts w:ascii="Arial" w:hAnsi="Arial" w:cs="Arial"/>
                <w:color w:val="000000" w:themeColor="text1"/>
                <w:kern w:val="24"/>
                <w:sz w:val="20"/>
                <w:szCs w:val="20"/>
              </w:rPr>
              <w:t>Reducir la generación de desechos, reciclar las mayor cantidad de componentes, preferir utilizar materiales reciclados, reusar componentes y estructuras, así como renovar infraestructura existente.</w:t>
            </w:r>
            <w:r w:rsidRPr="002B546D">
              <w:rPr>
                <w:rFonts w:ascii="Arial" w:hAnsi="Arial" w:cs="Arial"/>
                <w:color w:val="000000" w:themeColor="text1"/>
              </w:rPr>
              <w:t xml:space="preserve"> </w:t>
            </w:r>
            <w:r w:rsidRPr="002B546D">
              <w:rPr>
                <w:rFonts w:ascii="Arial" w:hAnsi="Arial" w:cs="Arial"/>
                <w:color w:val="000000" w:themeColor="text1"/>
                <w:kern w:val="24"/>
                <w:sz w:val="20"/>
                <w:szCs w:val="20"/>
              </w:rPr>
              <w:t>Reutilizar y realizar el uso eficiente de los recursos minerales.</w:t>
            </w:r>
          </w:p>
        </w:tc>
        <w:tc>
          <w:tcPr>
            <w:tcW w:w="454" w:type="dxa"/>
            <w:tcBorders>
              <w:top w:val="nil"/>
              <w:bottom w:val="nil"/>
            </w:tcBorders>
            <w:shd w:val="clear" w:color="auto" w:fill="FF0000"/>
            <w:vAlign w:val="center"/>
          </w:tcPr>
          <w:p w:rsidR="00BC081E" w:rsidRPr="000E0F90" w:rsidRDefault="00BC081E" w:rsidP="005E5EE8">
            <w:pPr>
              <w:spacing w:after="0"/>
              <w:jc w:val="center"/>
              <w:rPr>
                <w:rFonts w:ascii="Arial" w:hAnsi="Arial" w:cs="Arial"/>
                <w:color w:val="000000" w:themeColor="text1"/>
                <w:sz w:val="20"/>
                <w:szCs w:val="20"/>
              </w:rPr>
            </w:pPr>
            <w:r w:rsidRPr="000E0F90">
              <w:rPr>
                <w:rFonts w:ascii="Arial" w:hAnsi="Arial" w:cs="Arial"/>
                <w:color w:val="000000" w:themeColor="text1"/>
                <w:sz w:val="20"/>
                <w:szCs w:val="20"/>
              </w:rPr>
              <w:t>N</w:t>
            </w:r>
          </w:p>
        </w:tc>
        <w:tc>
          <w:tcPr>
            <w:tcW w:w="454" w:type="dxa"/>
            <w:tcBorders>
              <w:top w:val="nil"/>
              <w:bottom w:val="nil"/>
            </w:tcBorders>
            <w:shd w:val="clear" w:color="auto" w:fill="FF0000"/>
            <w:vAlign w:val="center"/>
          </w:tcPr>
          <w:p w:rsidR="00BC081E" w:rsidRPr="000E0F90" w:rsidRDefault="00BC081E" w:rsidP="005E5EE8">
            <w:pPr>
              <w:spacing w:after="0"/>
              <w:jc w:val="center"/>
              <w:rPr>
                <w:rFonts w:ascii="Arial" w:hAnsi="Arial" w:cs="Arial"/>
                <w:color w:val="000000" w:themeColor="text1"/>
                <w:sz w:val="20"/>
                <w:szCs w:val="20"/>
              </w:rPr>
            </w:pPr>
            <w:r w:rsidRPr="000E0F90">
              <w:rPr>
                <w:rFonts w:ascii="Arial" w:hAnsi="Arial" w:cs="Arial"/>
                <w:color w:val="000000" w:themeColor="text1"/>
                <w:sz w:val="20"/>
                <w:szCs w:val="20"/>
              </w:rPr>
              <w:t>N</w:t>
            </w:r>
          </w:p>
        </w:tc>
      </w:tr>
      <w:tr w:rsidR="00BC081E" w:rsidRPr="000E0F90" w:rsidTr="00983747">
        <w:tc>
          <w:tcPr>
            <w:tcW w:w="341" w:type="dxa"/>
            <w:tcBorders>
              <w:top w:val="nil"/>
              <w:bottom w:val="nil"/>
            </w:tcBorders>
            <w:tcMar>
              <w:left w:w="57" w:type="dxa"/>
              <w:right w:w="57" w:type="dxa"/>
            </w:tcMar>
          </w:tcPr>
          <w:p w:rsidR="00BC081E" w:rsidRPr="000E0F90" w:rsidRDefault="00BC081E" w:rsidP="006C3F97">
            <w:pPr>
              <w:pStyle w:val="NormalWeb"/>
              <w:spacing w:before="0" w:beforeAutospacing="0" w:after="0" w:afterAutospacing="0"/>
              <w:textAlignment w:val="top"/>
              <w:rPr>
                <w:rFonts w:ascii="Arial" w:hAnsi="Arial" w:cs="Arial"/>
                <w:color w:val="000000" w:themeColor="text1"/>
                <w:kern w:val="24"/>
                <w:sz w:val="20"/>
                <w:szCs w:val="20"/>
              </w:rPr>
            </w:pPr>
            <w:r w:rsidRPr="000E0F90">
              <w:rPr>
                <w:rFonts w:ascii="Arial" w:hAnsi="Arial" w:cs="Arial"/>
                <w:color w:val="000000" w:themeColor="text1"/>
                <w:kern w:val="24"/>
                <w:sz w:val="20"/>
                <w:szCs w:val="20"/>
              </w:rPr>
              <w:t>9</w:t>
            </w:r>
          </w:p>
        </w:tc>
        <w:tc>
          <w:tcPr>
            <w:tcW w:w="7654" w:type="dxa"/>
            <w:tcBorders>
              <w:top w:val="nil"/>
              <w:bottom w:val="nil"/>
            </w:tcBorders>
          </w:tcPr>
          <w:p w:rsidR="00BC081E" w:rsidRPr="00BA472B" w:rsidRDefault="00BC081E" w:rsidP="0098640F">
            <w:pPr>
              <w:pStyle w:val="NormalWeb"/>
              <w:spacing w:before="0" w:beforeAutospacing="0" w:after="0" w:afterAutospacing="0"/>
              <w:textAlignment w:val="top"/>
              <w:rPr>
                <w:rFonts w:ascii="Arial" w:hAnsi="Arial" w:cs="Arial"/>
                <w:color w:val="000000" w:themeColor="text1"/>
                <w:sz w:val="20"/>
                <w:szCs w:val="20"/>
              </w:rPr>
            </w:pPr>
            <w:r w:rsidRPr="00BA472B">
              <w:rPr>
                <w:rFonts w:ascii="Arial" w:hAnsi="Arial" w:cs="Arial"/>
                <w:color w:val="000000" w:themeColor="text1"/>
                <w:kern w:val="24"/>
                <w:sz w:val="20"/>
                <w:szCs w:val="20"/>
              </w:rPr>
              <w:t xml:space="preserve">Reducir la contaminación al medioambiente de las actividades territoriales, prevenir la descarga de contaminantes al suelo, aguas superficial y profunda, y emisiones a la atmosfera (Contaminantes químicos, físicos, biológicos). Ajustar la descarga a la capacidad de asimilación de los sistemas de soporte. </w:t>
            </w:r>
            <w:r w:rsidR="005453AD" w:rsidRPr="00BA472B">
              <w:rPr>
                <w:rFonts w:ascii="Arial" w:hAnsi="Arial" w:cs="Arial"/>
                <w:color w:val="000000" w:themeColor="text1"/>
                <w:kern w:val="24"/>
                <w:sz w:val="20"/>
                <w:szCs w:val="20"/>
              </w:rPr>
              <w:t>Minimizar huella ecológica</w:t>
            </w:r>
          </w:p>
        </w:tc>
        <w:tc>
          <w:tcPr>
            <w:tcW w:w="454" w:type="dxa"/>
            <w:tcBorders>
              <w:top w:val="nil"/>
              <w:bottom w:val="nil"/>
            </w:tcBorders>
            <w:shd w:val="clear" w:color="auto" w:fill="FF0000"/>
            <w:vAlign w:val="center"/>
          </w:tcPr>
          <w:p w:rsidR="00BC081E" w:rsidRPr="000E0F90" w:rsidRDefault="00BC081E" w:rsidP="005E5EE8">
            <w:pPr>
              <w:spacing w:after="0"/>
              <w:jc w:val="center"/>
              <w:rPr>
                <w:rFonts w:ascii="Arial" w:hAnsi="Arial" w:cs="Arial"/>
                <w:color w:val="000000" w:themeColor="text1"/>
                <w:sz w:val="20"/>
                <w:szCs w:val="20"/>
              </w:rPr>
            </w:pPr>
            <w:r w:rsidRPr="000E0F90">
              <w:rPr>
                <w:rFonts w:ascii="Arial" w:hAnsi="Arial" w:cs="Arial"/>
                <w:color w:val="000000" w:themeColor="text1"/>
                <w:sz w:val="20"/>
                <w:szCs w:val="20"/>
              </w:rPr>
              <w:t>N</w:t>
            </w:r>
          </w:p>
        </w:tc>
        <w:tc>
          <w:tcPr>
            <w:tcW w:w="454" w:type="dxa"/>
            <w:tcBorders>
              <w:top w:val="nil"/>
              <w:bottom w:val="nil"/>
            </w:tcBorders>
            <w:shd w:val="clear" w:color="auto" w:fill="FF0000"/>
            <w:vAlign w:val="center"/>
          </w:tcPr>
          <w:p w:rsidR="00BC081E" w:rsidRPr="000E0F90" w:rsidRDefault="00BC081E" w:rsidP="005E5EE8">
            <w:pPr>
              <w:spacing w:after="0"/>
              <w:jc w:val="center"/>
              <w:rPr>
                <w:rFonts w:ascii="Arial" w:hAnsi="Arial" w:cs="Arial"/>
                <w:color w:val="000000" w:themeColor="text1"/>
                <w:sz w:val="20"/>
                <w:szCs w:val="20"/>
              </w:rPr>
            </w:pPr>
            <w:r w:rsidRPr="000E0F90">
              <w:rPr>
                <w:rFonts w:ascii="Arial" w:hAnsi="Arial" w:cs="Arial"/>
                <w:color w:val="000000" w:themeColor="text1"/>
                <w:sz w:val="20"/>
                <w:szCs w:val="20"/>
              </w:rPr>
              <w:t>N</w:t>
            </w:r>
          </w:p>
        </w:tc>
      </w:tr>
      <w:tr w:rsidR="000E0F90" w:rsidRPr="000E0F90" w:rsidTr="00983747">
        <w:tc>
          <w:tcPr>
            <w:tcW w:w="341" w:type="dxa"/>
            <w:tcBorders>
              <w:top w:val="nil"/>
            </w:tcBorders>
            <w:tcMar>
              <w:left w:w="57" w:type="dxa"/>
              <w:right w:w="57" w:type="dxa"/>
            </w:tcMar>
          </w:tcPr>
          <w:p w:rsidR="00BC081E" w:rsidRPr="000E0F90" w:rsidRDefault="00BC081E" w:rsidP="006C3F97">
            <w:pPr>
              <w:pStyle w:val="NormalWeb"/>
              <w:spacing w:before="0" w:beforeAutospacing="0" w:after="0" w:afterAutospacing="0"/>
              <w:textAlignment w:val="top"/>
              <w:rPr>
                <w:rFonts w:ascii="Arial" w:hAnsi="Arial" w:cs="Arial"/>
                <w:color w:val="000000" w:themeColor="text1"/>
                <w:kern w:val="24"/>
                <w:sz w:val="20"/>
                <w:szCs w:val="20"/>
              </w:rPr>
            </w:pPr>
            <w:r w:rsidRPr="000E0F90">
              <w:rPr>
                <w:rFonts w:ascii="Arial" w:hAnsi="Arial" w:cs="Arial"/>
                <w:color w:val="000000" w:themeColor="text1"/>
                <w:kern w:val="24"/>
                <w:sz w:val="20"/>
                <w:szCs w:val="20"/>
              </w:rPr>
              <w:t>10</w:t>
            </w:r>
          </w:p>
        </w:tc>
        <w:tc>
          <w:tcPr>
            <w:tcW w:w="7654" w:type="dxa"/>
            <w:tcBorders>
              <w:top w:val="nil"/>
            </w:tcBorders>
          </w:tcPr>
          <w:p w:rsidR="00BC081E" w:rsidRPr="00BA472B" w:rsidRDefault="00BC081E" w:rsidP="0098640F">
            <w:pPr>
              <w:pStyle w:val="NormalWeb"/>
              <w:spacing w:before="0" w:beforeAutospacing="0" w:after="0" w:afterAutospacing="0"/>
              <w:textAlignment w:val="top"/>
              <w:rPr>
                <w:rFonts w:ascii="Arial" w:hAnsi="Arial" w:cs="Arial"/>
                <w:color w:val="000000" w:themeColor="text1"/>
                <w:kern w:val="24"/>
                <w:sz w:val="20"/>
                <w:szCs w:val="20"/>
              </w:rPr>
            </w:pPr>
            <w:r w:rsidRPr="00BA472B">
              <w:rPr>
                <w:rFonts w:ascii="Arial" w:hAnsi="Arial" w:cs="Arial"/>
                <w:color w:val="000000" w:themeColor="text1"/>
                <w:kern w:val="24"/>
                <w:sz w:val="20"/>
                <w:szCs w:val="20"/>
              </w:rPr>
              <w:t>Prevenir que la utilización de recursos provenientes de otros territorios, generen condiciones de insostenibilidad, y por tanto se importe sostenibilidad a costa de otros territorios</w:t>
            </w:r>
            <w:r w:rsidR="005453AD" w:rsidRPr="00BA472B">
              <w:rPr>
                <w:rFonts w:ascii="Arial" w:hAnsi="Arial" w:cs="Arial"/>
                <w:color w:val="000000" w:themeColor="text1"/>
                <w:kern w:val="24"/>
                <w:sz w:val="20"/>
                <w:szCs w:val="20"/>
              </w:rPr>
              <w:t xml:space="preserve"> (Efecto rebote)</w:t>
            </w:r>
            <w:r w:rsidRPr="00BA472B">
              <w:rPr>
                <w:rFonts w:ascii="Arial" w:hAnsi="Arial" w:cs="Arial"/>
                <w:color w:val="000000" w:themeColor="text1"/>
                <w:kern w:val="24"/>
                <w:sz w:val="20"/>
                <w:szCs w:val="20"/>
              </w:rPr>
              <w:t>. Se debe armonizar la sostenibilidad dentro y entre territorios</w:t>
            </w:r>
          </w:p>
        </w:tc>
        <w:tc>
          <w:tcPr>
            <w:tcW w:w="454" w:type="dxa"/>
            <w:tcBorders>
              <w:top w:val="nil"/>
            </w:tcBorders>
            <w:shd w:val="clear" w:color="auto" w:fill="FFFF00"/>
            <w:vAlign w:val="center"/>
          </w:tcPr>
          <w:p w:rsidR="00BC081E" w:rsidRPr="000E0F90" w:rsidRDefault="00BA472B" w:rsidP="005E5EE8">
            <w:pPr>
              <w:spacing w:after="0"/>
              <w:jc w:val="center"/>
              <w:rPr>
                <w:rFonts w:ascii="Arial" w:hAnsi="Arial" w:cs="Arial"/>
                <w:color w:val="000000" w:themeColor="text1"/>
                <w:sz w:val="20"/>
                <w:szCs w:val="20"/>
              </w:rPr>
            </w:pPr>
            <w:r>
              <w:rPr>
                <w:rFonts w:ascii="Arial" w:hAnsi="Arial" w:cs="Arial"/>
                <w:color w:val="000000" w:themeColor="text1"/>
                <w:sz w:val="20"/>
                <w:szCs w:val="20"/>
              </w:rPr>
              <w:t>P</w:t>
            </w:r>
          </w:p>
        </w:tc>
        <w:tc>
          <w:tcPr>
            <w:tcW w:w="454" w:type="dxa"/>
            <w:tcBorders>
              <w:top w:val="nil"/>
            </w:tcBorders>
            <w:shd w:val="clear" w:color="auto" w:fill="FFFF00"/>
            <w:vAlign w:val="center"/>
          </w:tcPr>
          <w:p w:rsidR="00BC081E" w:rsidRPr="000E0F90" w:rsidRDefault="00BA472B" w:rsidP="005E5EE8">
            <w:pPr>
              <w:spacing w:after="0"/>
              <w:jc w:val="center"/>
              <w:rPr>
                <w:rFonts w:ascii="Arial" w:hAnsi="Arial" w:cs="Arial"/>
                <w:color w:val="000000" w:themeColor="text1"/>
                <w:sz w:val="20"/>
                <w:szCs w:val="20"/>
              </w:rPr>
            </w:pPr>
            <w:r>
              <w:rPr>
                <w:rFonts w:ascii="Arial" w:hAnsi="Arial" w:cs="Arial"/>
                <w:color w:val="000000" w:themeColor="text1"/>
                <w:sz w:val="20"/>
                <w:szCs w:val="20"/>
              </w:rPr>
              <w:t>P</w:t>
            </w:r>
          </w:p>
        </w:tc>
      </w:tr>
    </w:tbl>
    <w:p w:rsidR="00B4144D" w:rsidRPr="000E0F90" w:rsidRDefault="00B4144D" w:rsidP="00F7220D">
      <w:pPr>
        <w:pStyle w:val="Ttulo3"/>
        <w:spacing w:after="0" w:line="360" w:lineRule="auto"/>
        <w:rPr>
          <w:rFonts w:ascii="Arial" w:hAnsi="Arial" w:cs="Arial"/>
        </w:rPr>
      </w:pPr>
      <w:r w:rsidRPr="000E0F90">
        <w:rPr>
          <w:rFonts w:ascii="Arial" w:hAnsi="Arial" w:cs="Arial"/>
        </w:rPr>
        <w:lastRenderedPageBreak/>
        <w:t>5. Gobernanza y Civilidad</w:t>
      </w:r>
    </w:p>
    <w:p w:rsidR="00BE09F1" w:rsidRPr="000E0F90" w:rsidRDefault="0014292F" w:rsidP="00702D9A">
      <w:pPr>
        <w:spacing w:line="360" w:lineRule="auto"/>
        <w:rPr>
          <w:rFonts w:ascii="Arial" w:hAnsi="Arial" w:cs="Arial"/>
          <w:color w:val="000000" w:themeColor="text1"/>
        </w:rPr>
      </w:pPr>
      <w:r w:rsidRPr="000E0F90">
        <w:rPr>
          <w:rFonts w:ascii="Arial" w:hAnsi="Arial" w:cs="Arial"/>
          <w:color w:val="000000" w:themeColor="text1"/>
        </w:rPr>
        <w:t xml:space="preserve">Respecto a las acciones de gobernanza y civilidad identificadas en los territorios bajo estudio, </w:t>
      </w:r>
      <w:r w:rsidR="002B546D">
        <w:rPr>
          <w:rFonts w:ascii="Arial" w:hAnsi="Arial" w:cs="Arial"/>
          <w:color w:val="000000" w:themeColor="text1"/>
        </w:rPr>
        <w:t>se presentan los resultados de la evaluación a continuación.</w:t>
      </w:r>
    </w:p>
    <w:p w:rsidR="005761D0" w:rsidRPr="000E0F90" w:rsidRDefault="005761D0" w:rsidP="00F7220D">
      <w:pPr>
        <w:pStyle w:val="Epgrafe"/>
        <w:spacing w:after="0" w:line="360" w:lineRule="auto"/>
        <w:rPr>
          <w:rFonts w:ascii="Arial" w:hAnsi="Arial" w:cs="Arial"/>
          <w:b w:val="0"/>
          <w:color w:val="000000" w:themeColor="text1"/>
          <w:sz w:val="22"/>
        </w:rPr>
      </w:pPr>
      <w:r w:rsidRPr="000E0F90">
        <w:rPr>
          <w:rFonts w:ascii="Arial" w:hAnsi="Arial" w:cs="Arial"/>
          <w:b w:val="0"/>
          <w:color w:val="000000" w:themeColor="text1"/>
          <w:sz w:val="22"/>
        </w:rPr>
        <w:t xml:space="preserve">Cuadro </w:t>
      </w:r>
      <w:r w:rsidRPr="000E0F90">
        <w:rPr>
          <w:rFonts w:ascii="Arial" w:hAnsi="Arial" w:cs="Arial"/>
          <w:b w:val="0"/>
          <w:color w:val="000000" w:themeColor="text1"/>
          <w:sz w:val="22"/>
        </w:rPr>
        <w:fldChar w:fldCharType="begin"/>
      </w:r>
      <w:r w:rsidRPr="000E0F90">
        <w:rPr>
          <w:rFonts w:ascii="Arial" w:hAnsi="Arial" w:cs="Arial"/>
          <w:b w:val="0"/>
          <w:color w:val="000000" w:themeColor="text1"/>
          <w:sz w:val="22"/>
        </w:rPr>
        <w:instrText xml:space="preserve"> SEQ Cuadro \* ARABIC </w:instrText>
      </w:r>
      <w:r w:rsidRPr="000E0F90">
        <w:rPr>
          <w:rFonts w:ascii="Arial" w:hAnsi="Arial" w:cs="Arial"/>
          <w:b w:val="0"/>
          <w:color w:val="000000" w:themeColor="text1"/>
          <w:sz w:val="22"/>
        </w:rPr>
        <w:fldChar w:fldCharType="separate"/>
      </w:r>
      <w:r w:rsidR="00225844">
        <w:rPr>
          <w:rFonts w:ascii="Arial" w:hAnsi="Arial" w:cs="Arial"/>
          <w:b w:val="0"/>
          <w:noProof/>
          <w:color w:val="000000" w:themeColor="text1"/>
          <w:sz w:val="22"/>
        </w:rPr>
        <w:t>18</w:t>
      </w:r>
      <w:r w:rsidRPr="000E0F90">
        <w:rPr>
          <w:rFonts w:ascii="Arial" w:hAnsi="Arial" w:cs="Arial"/>
          <w:b w:val="0"/>
          <w:color w:val="000000" w:themeColor="text1"/>
          <w:sz w:val="22"/>
        </w:rPr>
        <w:fldChar w:fldCharType="end"/>
      </w:r>
      <w:r w:rsidRPr="000E0F90">
        <w:rPr>
          <w:rFonts w:ascii="Arial" w:hAnsi="Arial" w:cs="Arial"/>
          <w:b w:val="0"/>
          <w:color w:val="000000" w:themeColor="text1"/>
          <w:sz w:val="22"/>
        </w:rPr>
        <w:t xml:space="preserve">: </w:t>
      </w:r>
      <w:r w:rsidR="008A28B4" w:rsidRPr="000E0F90">
        <w:rPr>
          <w:rFonts w:ascii="Arial" w:hAnsi="Arial" w:cs="Arial"/>
          <w:b w:val="0"/>
          <w:color w:val="000000" w:themeColor="text1"/>
          <w:sz w:val="22"/>
        </w:rPr>
        <w:t>Estado</w:t>
      </w:r>
      <w:r w:rsidR="00DE6813" w:rsidRPr="000E0F90">
        <w:rPr>
          <w:rFonts w:ascii="Arial" w:hAnsi="Arial" w:cs="Arial"/>
          <w:b w:val="0"/>
          <w:color w:val="000000" w:themeColor="text1"/>
          <w:sz w:val="22"/>
        </w:rPr>
        <w:t xml:space="preserve"> actual de los territorios mineros bajo estudio</w:t>
      </w:r>
      <w:r w:rsidR="008A28B4" w:rsidRPr="000E0F90">
        <w:rPr>
          <w:rFonts w:ascii="Arial" w:hAnsi="Arial" w:cs="Arial"/>
          <w:b w:val="0"/>
          <w:color w:val="000000" w:themeColor="text1"/>
          <w:sz w:val="22"/>
        </w:rPr>
        <w:t xml:space="preserve"> de acuerdo a</w:t>
      </w:r>
      <w:r w:rsidR="00DE6813" w:rsidRPr="000E0F90">
        <w:rPr>
          <w:rFonts w:ascii="Arial" w:hAnsi="Arial" w:cs="Arial"/>
          <w:b w:val="0"/>
          <w:color w:val="000000" w:themeColor="text1"/>
          <w:sz w:val="22"/>
        </w:rPr>
        <w:t xml:space="preserve"> principios de sostenibilidad en relación a los criterios de Gobernanza y Civilidad.</w:t>
      </w:r>
    </w:p>
    <w:tbl>
      <w:tblPr>
        <w:tblW w:w="8770" w:type="dxa"/>
        <w:tblBorders>
          <w:top w:val="single" w:sz="4" w:space="0" w:color="auto"/>
          <w:bottom w:val="single" w:sz="4" w:space="0" w:color="auto"/>
          <w:insideH w:val="single" w:sz="4" w:space="0" w:color="auto"/>
        </w:tblBorders>
        <w:tblLook w:val="04A0" w:firstRow="1" w:lastRow="0" w:firstColumn="1" w:lastColumn="0" w:noHBand="0" w:noVBand="1"/>
      </w:tblPr>
      <w:tblGrid>
        <w:gridCol w:w="439"/>
        <w:gridCol w:w="7340"/>
        <w:gridCol w:w="492"/>
        <w:gridCol w:w="499"/>
      </w:tblGrid>
      <w:tr w:rsidR="006E3C86" w:rsidRPr="000E0F90" w:rsidTr="00983747">
        <w:trPr>
          <w:trHeight w:val="23"/>
        </w:trPr>
        <w:tc>
          <w:tcPr>
            <w:tcW w:w="419" w:type="dxa"/>
            <w:tcBorders>
              <w:bottom w:val="nil"/>
            </w:tcBorders>
            <w:shd w:val="clear" w:color="auto" w:fill="D9D9D9" w:themeFill="background1" w:themeFillShade="D9"/>
          </w:tcPr>
          <w:p w:rsidR="006E3C86" w:rsidRPr="000E0F90" w:rsidRDefault="006E3C86" w:rsidP="003E5477">
            <w:pPr>
              <w:spacing w:after="0" w:line="240" w:lineRule="auto"/>
              <w:jc w:val="left"/>
              <w:rPr>
                <w:rFonts w:ascii="Arial" w:hAnsi="Arial" w:cs="Arial"/>
                <w:b/>
                <w:color w:val="000000" w:themeColor="text1"/>
              </w:rPr>
            </w:pPr>
          </w:p>
        </w:tc>
        <w:tc>
          <w:tcPr>
            <w:tcW w:w="7360" w:type="dxa"/>
            <w:tcBorders>
              <w:bottom w:val="nil"/>
            </w:tcBorders>
            <w:shd w:val="clear" w:color="auto" w:fill="D9D9D9" w:themeFill="background1" w:themeFillShade="D9"/>
          </w:tcPr>
          <w:p w:rsidR="006E3C86" w:rsidRPr="000E0F90" w:rsidRDefault="006E3C86" w:rsidP="003E5477">
            <w:pPr>
              <w:spacing w:after="0" w:line="240" w:lineRule="auto"/>
              <w:jc w:val="left"/>
              <w:rPr>
                <w:rFonts w:ascii="Arial" w:hAnsi="Arial" w:cs="Arial"/>
                <w:b/>
                <w:color w:val="000000" w:themeColor="text1"/>
              </w:rPr>
            </w:pPr>
          </w:p>
        </w:tc>
        <w:tc>
          <w:tcPr>
            <w:tcW w:w="991" w:type="dxa"/>
            <w:gridSpan w:val="2"/>
            <w:tcBorders>
              <w:bottom w:val="nil"/>
            </w:tcBorders>
            <w:shd w:val="clear" w:color="auto" w:fill="D9D9D9" w:themeFill="background1" w:themeFillShade="D9"/>
          </w:tcPr>
          <w:p w:rsidR="006E3C86" w:rsidRPr="000E0F90" w:rsidRDefault="006E3C86" w:rsidP="008B328C">
            <w:pPr>
              <w:spacing w:after="0" w:line="240" w:lineRule="auto"/>
              <w:jc w:val="center"/>
              <w:rPr>
                <w:rFonts w:ascii="Arial" w:hAnsi="Arial" w:cs="Arial"/>
                <w:b/>
                <w:color w:val="000000" w:themeColor="text1"/>
              </w:rPr>
            </w:pPr>
            <w:r w:rsidRPr="000E0F90">
              <w:rPr>
                <w:rFonts w:ascii="Arial" w:hAnsi="Arial" w:cs="Arial"/>
                <w:b/>
                <w:color w:val="000000" w:themeColor="text1"/>
              </w:rPr>
              <w:t>Región</w:t>
            </w:r>
          </w:p>
        </w:tc>
      </w:tr>
      <w:tr w:rsidR="001C6A50" w:rsidRPr="000E0F90" w:rsidTr="00983747">
        <w:trPr>
          <w:trHeight w:val="23"/>
        </w:trPr>
        <w:tc>
          <w:tcPr>
            <w:tcW w:w="419" w:type="dxa"/>
            <w:tcBorders>
              <w:top w:val="nil"/>
              <w:bottom w:val="single" w:sz="4" w:space="0" w:color="auto"/>
            </w:tcBorders>
            <w:shd w:val="clear" w:color="auto" w:fill="D9D9D9" w:themeFill="background1" w:themeFillShade="D9"/>
          </w:tcPr>
          <w:p w:rsidR="001C6A50" w:rsidRPr="000E0F90" w:rsidRDefault="001C6A50" w:rsidP="003E5477">
            <w:pPr>
              <w:spacing w:after="0" w:line="240" w:lineRule="auto"/>
              <w:jc w:val="left"/>
              <w:rPr>
                <w:rFonts w:ascii="Arial" w:hAnsi="Arial" w:cs="Arial"/>
                <w:b/>
                <w:color w:val="000000" w:themeColor="text1"/>
              </w:rPr>
            </w:pPr>
          </w:p>
        </w:tc>
        <w:tc>
          <w:tcPr>
            <w:tcW w:w="7360" w:type="dxa"/>
            <w:tcBorders>
              <w:top w:val="nil"/>
              <w:bottom w:val="single" w:sz="4" w:space="0" w:color="auto"/>
            </w:tcBorders>
            <w:shd w:val="clear" w:color="auto" w:fill="D9D9D9" w:themeFill="background1" w:themeFillShade="D9"/>
          </w:tcPr>
          <w:p w:rsidR="001C6A50" w:rsidRPr="000E0F90" w:rsidRDefault="00225844" w:rsidP="003E5477">
            <w:pPr>
              <w:spacing w:after="0" w:line="240" w:lineRule="auto"/>
              <w:jc w:val="left"/>
              <w:rPr>
                <w:rFonts w:ascii="Arial" w:hAnsi="Arial" w:cs="Arial"/>
                <w:b/>
                <w:color w:val="000000" w:themeColor="text1"/>
              </w:rPr>
            </w:pPr>
            <w:r w:rsidRPr="000E0F90">
              <w:rPr>
                <w:rFonts w:ascii="Arial" w:hAnsi="Arial" w:cs="Arial"/>
                <w:b/>
                <w:color w:val="000000" w:themeColor="text1"/>
              </w:rPr>
              <w:t>Criterios Gobernanza y Civilidad</w:t>
            </w:r>
          </w:p>
        </w:tc>
        <w:tc>
          <w:tcPr>
            <w:tcW w:w="492" w:type="dxa"/>
            <w:tcBorders>
              <w:top w:val="nil"/>
              <w:bottom w:val="single" w:sz="4" w:space="0" w:color="auto"/>
            </w:tcBorders>
            <w:shd w:val="clear" w:color="auto" w:fill="D9D9D9" w:themeFill="background1" w:themeFillShade="D9"/>
          </w:tcPr>
          <w:p w:rsidR="001C6A50" w:rsidRPr="000E0F90" w:rsidRDefault="001C6A50" w:rsidP="008B328C">
            <w:pPr>
              <w:spacing w:after="0" w:line="240" w:lineRule="auto"/>
              <w:jc w:val="center"/>
              <w:rPr>
                <w:rFonts w:ascii="Arial" w:hAnsi="Arial" w:cs="Arial"/>
                <w:b/>
                <w:color w:val="000000" w:themeColor="text1"/>
              </w:rPr>
            </w:pPr>
            <w:r w:rsidRPr="000E0F90">
              <w:rPr>
                <w:rFonts w:ascii="Arial" w:hAnsi="Arial" w:cs="Arial"/>
                <w:b/>
                <w:color w:val="000000" w:themeColor="text1"/>
              </w:rPr>
              <w:t>III</w:t>
            </w:r>
          </w:p>
        </w:tc>
        <w:tc>
          <w:tcPr>
            <w:tcW w:w="499" w:type="dxa"/>
            <w:tcBorders>
              <w:top w:val="nil"/>
              <w:bottom w:val="single" w:sz="4" w:space="0" w:color="auto"/>
            </w:tcBorders>
            <w:shd w:val="clear" w:color="auto" w:fill="D9D9D9" w:themeFill="background1" w:themeFillShade="D9"/>
          </w:tcPr>
          <w:p w:rsidR="001C6A50" w:rsidRPr="000E0F90" w:rsidRDefault="001C6A50" w:rsidP="008B328C">
            <w:pPr>
              <w:spacing w:after="0" w:line="240" w:lineRule="auto"/>
              <w:jc w:val="center"/>
              <w:rPr>
                <w:rFonts w:ascii="Arial" w:hAnsi="Arial" w:cs="Arial"/>
                <w:b/>
                <w:color w:val="000000" w:themeColor="text1"/>
              </w:rPr>
            </w:pPr>
            <w:r w:rsidRPr="000E0F90">
              <w:rPr>
                <w:rFonts w:ascii="Arial" w:hAnsi="Arial" w:cs="Arial"/>
                <w:b/>
                <w:color w:val="000000" w:themeColor="text1"/>
              </w:rPr>
              <w:t>IV</w:t>
            </w:r>
          </w:p>
        </w:tc>
      </w:tr>
      <w:tr w:rsidR="001C6A50" w:rsidRPr="000E0F90" w:rsidTr="00983747">
        <w:trPr>
          <w:trHeight w:val="23"/>
        </w:trPr>
        <w:tc>
          <w:tcPr>
            <w:tcW w:w="419" w:type="dxa"/>
            <w:tcBorders>
              <w:bottom w:val="nil"/>
            </w:tcBorders>
          </w:tcPr>
          <w:p w:rsidR="001C6A50" w:rsidRPr="000E0F90" w:rsidRDefault="001C6A50" w:rsidP="008B328C">
            <w:pPr>
              <w:pStyle w:val="NormalWeb"/>
              <w:spacing w:before="0" w:beforeAutospacing="0" w:after="0" w:afterAutospacing="0"/>
              <w:textAlignment w:val="center"/>
              <w:rPr>
                <w:rFonts w:ascii="Arial" w:hAnsi="Arial" w:cs="Arial"/>
                <w:color w:val="000000" w:themeColor="text1"/>
                <w:kern w:val="24"/>
                <w:sz w:val="20"/>
              </w:rPr>
            </w:pPr>
            <w:r w:rsidRPr="000E0F90">
              <w:rPr>
                <w:rFonts w:ascii="Arial" w:hAnsi="Arial" w:cs="Arial"/>
                <w:color w:val="000000" w:themeColor="text1"/>
                <w:kern w:val="24"/>
                <w:sz w:val="20"/>
              </w:rPr>
              <w:t>1</w:t>
            </w:r>
          </w:p>
        </w:tc>
        <w:tc>
          <w:tcPr>
            <w:tcW w:w="7360" w:type="dxa"/>
            <w:tcBorders>
              <w:bottom w:val="nil"/>
            </w:tcBorders>
            <w:vAlign w:val="center"/>
          </w:tcPr>
          <w:p w:rsidR="001C6A50" w:rsidRPr="000E0F90" w:rsidRDefault="00180060" w:rsidP="006E1E91">
            <w:pPr>
              <w:pStyle w:val="NormalWeb"/>
              <w:spacing w:before="0" w:beforeAutospacing="0" w:after="0" w:afterAutospacing="0"/>
              <w:textAlignment w:val="center"/>
              <w:rPr>
                <w:rFonts w:ascii="Arial" w:hAnsi="Arial" w:cs="Arial"/>
                <w:color w:val="000000" w:themeColor="text1"/>
                <w:kern w:val="24"/>
                <w:sz w:val="20"/>
              </w:rPr>
            </w:pPr>
            <w:r w:rsidRPr="000E0F90">
              <w:rPr>
                <w:rFonts w:ascii="Arial" w:hAnsi="Arial" w:cs="Arial"/>
                <w:color w:val="000000" w:themeColor="text1"/>
                <w:kern w:val="24"/>
                <w:sz w:val="20"/>
              </w:rPr>
              <w:t xml:space="preserve">Desarrollar procesos de toma de decisión </w:t>
            </w:r>
            <w:r w:rsidR="002B2BE3" w:rsidRPr="000E0F90">
              <w:rPr>
                <w:rFonts w:ascii="Arial" w:hAnsi="Arial" w:cs="Arial"/>
                <w:color w:val="000000" w:themeColor="text1"/>
                <w:kern w:val="24"/>
                <w:sz w:val="20"/>
              </w:rPr>
              <w:t xml:space="preserve">anticipados </w:t>
            </w:r>
            <w:r w:rsidRPr="000E0F90">
              <w:rPr>
                <w:rFonts w:ascii="Arial" w:hAnsi="Arial" w:cs="Arial"/>
                <w:color w:val="000000" w:themeColor="text1"/>
                <w:kern w:val="24"/>
                <w:sz w:val="20"/>
              </w:rPr>
              <w:t>en los asuntos considerados relevantes p</w:t>
            </w:r>
            <w:r w:rsidR="006E1E91" w:rsidRPr="000E0F90">
              <w:rPr>
                <w:rFonts w:ascii="Arial" w:hAnsi="Arial" w:cs="Arial"/>
                <w:color w:val="000000" w:themeColor="text1"/>
                <w:kern w:val="24"/>
                <w:sz w:val="20"/>
              </w:rPr>
              <w:t>ara todos los actores locales</w:t>
            </w:r>
            <w:r w:rsidR="00DE6813" w:rsidRPr="000E0F90">
              <w:rPr>
                <w:rFonts w:ascii="Arial" w:hAnsi="Arial" w:cs="Arial"/>
                <w:color w:val="000000" w:themeColor="text1"/>
                <w:kern w:val="24"/>
                <w:sz w:val="20"/>
              </w:rPr>
              <w:t>, como propuestas de desarrollo local</w:t>
            </w:r>
            <w:r w:rsidR="006E1E91" w:rsidRPr="000E0F90">
              <w:rPr>
                <w:rFonts w:ascii="Arial" w:hAnsi="Arial" w:cs="Arial"/>
                <w:color w:val="000000" w:themeColor="text1"/>
                <w:kern w:val="24"/>
                <w:sz w:val="20"/>
              </w:rPr>
              <w:t>. Especialmente</w:t>
            </w:r>
            <w:r w:rsidRPr="000E0F90">
              <w:rPr>
                <w:rFonts w:ascii="Arial" w:hAnsi="Arial" w:cs="Arial"/>
                <w:color w:val="000000" w:themeColor="text1"/>
                <w:kern w:val="24"/>
                <w:sz w:val="20"/>
              </w:rPr>
              <w:t xml:space="preserve"> en procesos de intervención de gran escala espacial y temporal.</w:t>
            </w:r>
          </w:p>
        </w:tc>
        <w:tc>
          <w:tcPr>
            <w:tcW w:w="492" w:type="dxa"/>
            <w:tcBorders>
              <w:bottom w:val="nil"/>
            </w:tcBorders>
            <w:shd w:val="clear" w:color="auto" w:fill="FFFF00"/>
            <w:vAlign w:val="center"/>
          </w:tcPr>
          <w:p w:rsidR="001C6A50" w:rsidRPr="000E0F90" w:rsidRDefault="009B13FF" w:rsidP="003E5477">
            <w:pPr>
              <w:spacing w:after="0" w:line="240" w:lineRule="auto"/>
              <w:jc w:val="center"/>
              <w:rPr>
                <w:rFonts w:ascii="Arial" w:hAnsi="Arial" w:cs="Arial"/>
                <w:color w:val="000000" w:themeColor="text1"/>
                <w:sz w:val="20"/>
                <w:szCs w:val="20"/>
              </w:rPr>
            </w:pPr>
            <w:r w:rsidRPr="000E0F90">
              <w:rPr>
                <w:rFonts w:ascii="Arial" w:hAnsi="Arial" w:cs="Arial"/>
                <w:color w:val="000000" w:themeColor="text1"/>
                <w:sz w:val="20"/>
                <w:szCs w:val="20"/>
              </w:rPr>
              <w:t>P</w:t>
            </w:r>
          </w:p>
        </w:tc>
        <w:tc>
          <w:tcPr>
            <w:tcW w:w="499" w:type="dxa"/>
            <w:tcBorders>
              <w:bottom w:val="nil"/>
            </w:tcBorders>
            <w:shd w:val="clear" w:color="auto" w:fill="FFFF00"/>
            <w:vAlign w:val="center"/>
          </w:tcPr>
          <w:p w:rsidR="001C6A50" w:rsidRPr="000E0F90" w:rsidRDefault="009B13FF" w:rsidP="003E5477">
            <w:pPr>
              <w:spacing w:after="0" w:line="240" w:lineRule="auto"/>
              <w:jc w:val="center"/>
              <w:rPr>
                <w:rFonts w:ascii="Arial" w:hAnsi="Arial" w:cs="Arial"/>
                <w:color w:val="000000" w:themeColor="text1"/>
                <w:sz w:val="20"/>
                <w:szCs w:val="20"/>
              </w:rPr>
            </w:pPr>
            <w:r w:rsidRPr="000E0F90">
              <w:rPr>
                <w:rFonts w:ascii="Arial" w:hAnsi="Arial" w:cs="Arial"/>
                <w:color w:val="000000" w:themeColor="text1"/>
                <w:sz w:val="20"/>
                <w:szCs w:val="20"/>
              </w:rPr>
              <w:t>P</w:t>
            </w:r>
          </w:p>
        </w:tc>
      </w:tr>
      <w:tr w:rsidR="001D27D9" w:rsidRPr="000E0F90" w:rsidTr="00983747">
        <w:trPr>
          <w:trHeight w:val="23"/>
        </w:trPr>
        <w:tc>
          <w:tcPr>
            <w:tcW w:w="419" w:type="dxa"/>
            <w:tcBorders>
              <w:top w:val="nil"/>
              <w:bottom w:val="nil"/>
            </w:tcBorders>
          </w:tcPr>
          <w:p w:rsidR="001D27D9" w:rsidRPr="000E0F90" w:rsidRDefault="001D27D9" w:rsidP="008B328C">
            <w:pPr>
              <w:pStyle w:val="NormalWeb"/>
              <w:spacing w:before="0" w:beforeAutospacing="0" w:after="0" w:afterAutospacing="0"/>
              <w:textAlignment w:val="center"/>
              <w:rPr>
                <w:rFonts w:ascii="Arial" w:hAnsi="Arial" w:cs="Arial"/>
                <w:color w:val="000000" w:themeColor="text1"/>
                <w:kern w:val="24"/>
                <w:sz w:val="20"/>
              </w:rPr>
            </w:pPr>
            <w:r w:rsidRPr="000E0F90">
              <w:rPr>
                <w:rFonts w:ascii="Arial" w:hAnsi="Arial" w:cs="Arial"/>
                <w:color w:val="000000" w:themeColor="text1"/>
                <w:kern w:val="24"/>
                <w:sz w:val="20"/>
              </w:rPr>
              <w:t>2</w:t>
            </w:r>
          </w:p>
        </w:tc>
        <w:tc>
          <w:tcPr>
            <w:tcW w:w="7360" w:type="dxa"/>
            <w:tcBorders>
              <w:top w:val="nil"/>
              <w:bottom w:val="nil"/>
            </w:tcBorders>
            <w:vAlign w:val="center"/>
          </w:tcPr>
          <w:p w:rsidR="001D27D9" w:rsidRPr="000E0F90" w:rsidRDefault="001D27D9" w:rsidP="002B2BE3">
            <w:pPr>
              <w:pStyle w:val="NormalWeb"/>
              <w:spacing w:before="0" w:beforeAutospacing="0" w:after="0" w:afterAutospacing="0"/>
              <w:textAlignment w:val="center"/>
              <w:rPr>
                <w:rFonts w:ascii="Arial" w:hAnsi="Arial" w:cs="Arial"/>
                <w:color w:val="000000" w:themeColor="text1"/>
                <w:kern w:val="24"/>
                <w:sz w:val="20"/>
              </w:rPr>
            </w:pPr>
            <w:r w:rsidRPr="000E0F90">
              <w:rPr>
                <w:rFonts w:ascii="Arial" w:hAnsi="Arial" w:cs="Arial"/>
                <w:color w:val="000000" w:themeColor="text1"/>
                <w:kern w:val="24"/>
                <w:sz w:val="20"/>
              </w:rPr>
              <w:t>Asegurar que los procesos de toma de decisión</w:t>
            </w:r>
            <w:r w:rsidR="002B2BE3" w:rsidRPr="000E0F90">
              <w:rPr>
                <w:rFonts w:ascii="Arial" w:hAnsi="Arial" w:cs="Arial"/>
                <w:color w:val="000000" w:themeColor="text1"/>
                <w:kern w:val="24"/>
                <w:sz w:val="20"/>
              </w:rPr>
              <w:t xml:space="preserve"> </w:t>
            </w:r>
            <w:r w:rsidRPr="000E0F90">
              <w:rPr>
                <w:rFonts w:ascii="Arial" w:hAnsi="Arial" w:cs="Arial"/>
                <w:color w:val="000000" w:themeColor="text1"/>
                <w:kern w:val="24"/>
                <w:sz w:val="20"/>
              </w:rPr>
              <w:t>se basen en participación activa, inclusiva, transparente y vinculante, de forma que la opinión de todos los actores sea tomada en consideración, procurando visibilizar los intereses de los grupos más desaventajados.</w:t>
            </w:r>
          </w:p>
        </w:tc>
        <w:tc>
          <w:tcPr>
            <w:tcW w:w="492" w:type="dxa"/>
            <w:tcBorders>
              <w:top w:val="nil"/>
              <w:bottom w:val="nil"/>
            </w:tcBorders>
            <w:shd w:val="clear" w:color="auto" w:fill="FFFF00"/>
            <w:vAlign w:val="center"/>
          </w:tcPr>
          <w:p w:rsidR="001D27D9" w:rsidRPr="000E0F90" w:rsidRDefault="003B5613" w:rsidP="008B328C">
            <w:pPr>
              <w:spacing w:after="0" w:line="240" w:lineRule="auto"/>
              <w:jc w:val="center"/>
              <w:rPr>
                <w:rFonts w:ascii="Arial" w:hAnsi="Arial" w:cs="Arial"/>
                <w:color w:val="000000" w:themeColor="text1"/>
                <w:sz w:val="20"/>
                <w:szCs w:val="20"/>
              </w:rPr>
            </w:pPr>
            <w:r w:rsidRPr="000E0F90">
              <w:rPr>
                <w:rFonts w:ascii="Arial" w:hAnsi="Arial" w:cs="Arial"/>
                <w:color w:val="000000" w:themeColor="text1"/>
                <w:sz w:val="20"/>
                <w:szCs w:val="20"/>
              </w:rPr>
              <w:t>P</w:t>
            </w:r>
          </w:p>
        </w:tc>
        <w:tc>
          <w:tcPr>
            <w:tcW w:w="499" w:type="dxa"/>
            <w:tcBorders>
              <w:top w:val="nil"/>
              <w:bottom w:val="nil"/>
            </w:tcBorders>
            <w:shd w:val="clear" w:color="auto" w:fill="FFFF00"/>
            <w:vAlign w:val="center"/>
          </w:tcPr>
          <w:p w:rsidR="001D27D9" w:rsidRPr="000E0F90" w:rsidRDefault="003B5613" w:rsidP="008B328C">
            <w:pPr>
              <w:spacing w:after="0" w:line="240" w:lineRule="auto"/>
              <w:jc w:val="center"/>
              <w:rPr>
                <w:rFonts w:ascii="Arial" w:hAnsi="Arial" w:cs="Arial"/>
                <w:color w:val="000000" w:themeColor="text1"/>
                <w:sz w:val="20"/>
                <w:szCs w:val="20"/>
              </w:rPr>
            </w:pPr>
            <w:r w:rsidRPr="000E0F90">
              <w:rPr>
                <w:rFonts w:ascii="Arial" w:hAnsi="Arial" w:cs="Arial"/>
                <w:color w:val="000000" w:themeColor="text1"/>
                <w:sz w:val="20"/>
                <w:szCs w:val="20"/>
              </w:rPr>
              <w:t>P</w:t>
            </w:r>
          </w:p>
        </w:tc>
      </w:tr>
      <w:tr w:rsidR="0066186C" w:rsidRPr="000E0F90" w:rsidTr="00983747">
        <w:trPr>
          <w:trHeight w:val="23"/>
        </w:trPr>
        <w:tc>
          <w:tcPr>
            <w:tcW w:w="419" w:type="dxa"/>
            <w:tcBorders>
              <w:top w:val="nil"/>
              <w:bottom w:val="nil"/>
            </w:tcBorders>
          </w:tcPr>
          <w:p w:rsidR="0066186C" w:rsidRPr="000E0F90" w:rsidRDefault="00BA472B" w:rsidP="008B328C">
            <w:pPr>
              <w:pStyle w:val="NormalWeb"/>
              <w:spacing w:before="0" w:beforeAutospacing="0" w:after="0" w:afterAutospacing="0"/>
              <w:textAlignment w:val="center"/>
              <w:rPr>
                <w:rFonts w:ascii="Arial" w:hAnsi="Arial" w:cs="Arial"/>
                <w:color w:val="000000" w:themeColor="text1"/>
                <w:kern w:val="24"/>
                <w:sz w:val="20"/>
              </w:rPr>
            </w:pPr>
            <w:r>
              <w:rPr>
                <w:rFonts w:ascii="Arial" w:hAnsi="Arial" w:cs="Arial"/>
                <w:color w:val="000000" w:themeColor="text1"/>
                <w:kern w:val="24"/>
                <w:sz w:val="20"/>
              </w:rPr>
              <w:t>3</w:t>
            </w:r>
          </w:p>
        </w:tc>
        <w:tc>
          <w:tcPr>
            <w:tcW w:w="7360" w:type="dxa"/>
            <w:tcBorders>
              <w:top w:val="nil"/>
              <w:bottom w:val="nil"/>
            </w:tcBorders>
            <w:vAlign w:val="center"/>
          </w:tcPr>
          <w:p w:rsidR="0066186C" w:rsidRPr="00BA472B" w:rsidRDefault="0066186C" w:rsidP="00BA472B">
            <w:pPr>
              <w:pStyle w:val="NormalWeb"/>
              <w:spacing w:before="0" w:beforeAutospacing="0" w:after="0" w:afterAutospacing="0"/>
              <w:textAlignment w:val="center"/>
              <w:rPr>
                <w:rFonts w:ascii="Arial" w:hAnsi="Arial" w:cs="Arial"/>
                <w:color w:val="000000" w:themeColor="text1"/>
                <w:kern w:val="24"/>
                <w:sz w:val="20"/>
              </w:rPr>
            </w:pPr>
            <w:r w:rsidRPr="00BA472B">
              <w:rPr>
                <w:rFonts w:ascii="Arial" w:hAnsi="Arial" w:cs="Arial"/>
                <w:color w:val="000000" w:themeColor="text1"/>
                <w:kern w:val="24"/>
                <w:sz w:val="20"/>
              </w:rPr>
              <w:t xml:space="preserve">Asegurar el acceso a la información relevante </w:t>
            </w:r>
            <w:r w:rsidR="00BA472B" w:rsidRPr="00BA472B">
              <w:rPr>
                <w:rFonts w:ascii="Arial" w:hAnsi="Arial" w:cs="Arial"/>
                <w:color w:val="000000" w:themeColor="text1"/>
                <w:kern w:val="24"/>
                <w:sz w:val="20"/>
              </w:rPr>
              <w:t xml:space="preserve">y </w:t>
            </w:r>
            <w:r w:rsidRPr="00BA472B">
              <w:rPr>
                <w:rFonts w:ascii="Arial" w:hAnsi="Arial" w:cs="Arial"/>
                <w:color w:val="000000" w:themeColor="text1"/>
                <w:kern w:val="24"/>
                <w:sz w:val="20"/>
              </w:rPr>
              <w:t>oportunamente, de las  propuestas de desarrollo</w:t>
            </w:r>
            <w:r w:rsidR="00BA472B" w:rsidRPr="00BA472B">
              <w:rPr>
                <w:rFonts w:ascii="Arial" w:hAnsi="Arial" w:cs="Arial"/>
                <w:color w:val="000000" w:themeColor="text1"/>
                <w:kern w:val="24"/>
                <w:sz w:val="20"/>
              </w:rPr>
              <w:t xml:space="preserve"> a todos los actores locales</w:t>
            </w:r>
            <w:r w:rsidRPr="00BA472B">
              <w:rPr>
                <w:rFonts w:ascii="Arial" w:hAnsi="Arial" w:cs="Arial"/>
                <w:color w:val="000000" w:themeColor="text1"/>
                <w:kern w:val="24"/>
                <w:sz w:val="20"/>
              </w:rPr>
              <w:t xml:space="preserve">, </w:t>
            </w:r>
            <w:r w:rsidR="00BA472B" w:rsidRPr="00BA472B">
              <w:rPr>
                <w:rFonts w:ascii="Arial" w:hAnsi="Arial" w:cs="Arial"/>
                <w:color w:val="000000" w:themeColor="text1"/>
                <w:kern w:val="24"/>
                <w:sz w:val="20"/>
              </w:rPr>
              <w:t>procurando e</w:t>
            </w:r>
            <w:r w:rsidRPr="00BA472B">
              <w:rPr>
                <w:rFonts w:ascii="Arial" w:hAnsi="Arial" w:cs="Arial"/>
                <w:color w:val="000000" w:themeColor="text1"/>
                <w:kern w:val="24"/>
                <w:sz w:val="20"/>
              </w:rPr>
              <w:t>l ent</w:t>
            </w:r>
            <w:r w:rsidR="00BA472B" w:rsidRPr="00BA472B">
              <w:rPr>
                <w:rFonts w:ascii="Arial" w:hAnsi="Arial" w:cs="Arial"/>
                <w:color w:val="000000" w:themeColor="text1"/>
                <w:kern w:val="24"/>
                <w:sz w:val="20"/>
              </w:rPr>
              <w:t>endimiento de los aspectos críticos</w:t>
            </w:r>
          </w:p>
        </w:tc>
        <w:tc>
          <w:tcPr>
            <w:tcW w:w="492" w:type="dxa"/>
            <w:tcBorders>
              <w:top w:val="nil"/>
              <w:bottom w:val="nil"/>
            </w:tcBorders>
            <w:shd w:val="clear" w:color="auto" w:fill="FFFF00"/>
            <w:vAlign w:val="center"/>
          </w:tcPr>
          <w:p w:rsidR="0066186C" w:rsidRPr="000E0F90" w:rsidRDefault="00BA472B" w:rsidP="008B328C">
            <w:pPr>
              <w:spacing w:after="0" w:line="240" w:lineRule="auto"/>
              <w:jc w:val="center"/>
              <w:rPr>
                <w:rFonts w:ascii="Arial" w:hAnsi="Arial" w:cs="Arial"/>
                <w:color w:val="000000" w:themeColor="text1"/>
                <w:sz w:val="20"/>
                <w:szCs w:val="20"/>
              </w:rPr>
            </w:pPr>
            <w:r>
              <w:rPr>
                <w:rFonts w:ascii="Arial" w:hAnsi="Arial" w:cs="Arial"/>
                <w:color w:val="000000" w:themeColor="text1"/>
                <w:sz w:val="20"/>
                <w:szCs w:val="20"/>
              </w:rPr>
              <w:t>P</w:t>
            </w:r>
          </w:p>
        </w:tc>
        <w:tc>
          <w:tcPr>
            <w:tcW w:w="499" w:type="dxa"/>
            <w:tcBorders>
              <w:top w:val="nil"/>
              <w:bottom w:val="nil"/>
            </w:tcBorders>
            <w:shd w:val="clear" w:color="auto" w:fill="FFFF00"/>
            <w:vAlign w:val="center"/>
          </w:tcPr>
          <w:p w:rsidR="0066186C" w:rsidRPr="000E0F90" w:rsidRDefault="00BA472B" w:rsidP="008B328C">
            <w:pPr>
              <w:spacing w:after="0" w:line="240" w:lineRule="auto"/>
              <w:jc w:val="center"/>
              <w:rPr>
                <w:rFonts w:ascii="Arial" w:hAnsi="Arial" w:cs="Arial"/>
                <w:color w:val="000000" w:themeColor="text1"/>
                <w:sz w:val="20"/>
                <w:szCs w:val="20"/>
              </w:rPr>
            </w:pPr>
            <w:r>
              <w:rPr>
                <w:rFonts w:ascii="Arial" w:hAnsi="Arial" w:cs="Arial"/>
                <w:color w:val="000000" w:themeColor="text1"/>
                <w:sz w:val="20"/>
                <w:szCs w:val="20"/>
              </w:rPr>
              <w:t>P</w:t>
            </w:r>
          </w:p>
        </w:tc>
      </w:tr>
      <w:tr w:rsidR="001D27D9" w:rsidRPr="000E0F90" w:rsidTr="00983747">
        <w:trPr>
          <w:trHeight w:val="23"/>
        </w:trPr>
        <w:tc>
          <w:tcPr>
            <w:tcW w:w="419" w:type="dxa"/>
            <w:tcBorders>
              <w:top w:val="nil"/>
              <w:bottom w:val="nil"/>
            </w:tcBorders>
          </w:tcPr>
          <w:p w:rsidR="001D27D9" w:rsidRPr="000E0F90" w:rsidRDefault="00BA472B" w:rsidP="008B328C">
            <w:pPr>
              <w:pStyle w:val="NormalWeb"/>
              <w:spacing w:before="0" w:beforeAutospacing="0" w:after="0" w:afterAutospacing="0"/>
              <w:textAlignment w:val="center"/>
              <w:rPr>
                <w:rFonts w:ascii="Arial" w:hAnsi="Arial" w:cs="Arial"/>
                <w:color w:val="000000" w:themeColor="text1"/>
                <w:kern w:val="24"/>
                <w:sz w:val="20"/>
              </w:rPr>
            </w:pPr>
            <w:r>
              <w:rPr>
                <w:rFonts w:ascii="Arial" w:hAnsi="Arial" w:cs="Arial"/>
                <w:color w:val="000000" w:themeColor="text1"/>
                <w:kern w:val="24"/>
                <w:sz w:val="20"/>
              </w:rPr>
              <w:t>4</w:t>
            </w:r>
          </w:p>
        </w:tc>
        <w:tc>
          <w:tcPr>
            <w:tcW w:w="7360" w:type="dxa"/>
            <w:tcBorders>
              <w:top w:val="nil"/>
              <w:bottom w:val="nil"/>
            </w:tcBorders>
            <w:vAlign w:val="center"/>
          </w:tcPr>
          <w:p w:rsidR="001D27D9" w:rsidRPr="000E0F90" w:rsidRDefault="001D27D9" w:rsidP="006A76AD">
            <w:pPr>
              <w:pStyle w:val="NormalWeb"/>
              <w:spacing w:before="0" w:beforeAutospacing="0" w:after="0" w:afterAutospacing="0"/>
              <w:textAlignment w:val="center"/>
              <w:rPr>
                <w:rFonts w:ascii="Arial" w:hAnsi="Arial" w:cs="Arial"/>
                <w:color w:val="000000" w:themeColor="text1"/>
                <w:kern w:val="24"/>
                <w:sz w:val="20"/>
              </w:rPr>
            </w:pPr>
            <w:r w:rsidRPr="000E0F90">
              <w:rPr>
                <w:rFonts w:ascii="Arial" w:hAnsi="Arial" w:cs="Arial"/>
                <w:color w:val="000000" w:themeColor="text1"/>
                <w:kern w:val="24"/>
                <w:sz w:val="20"/>
              </w:rPr>
              <w:t>Los procesos de toma de decisión deben velar por la igualdad de condiciones de los actores participantes. Se deben evitar las inequidades entre los actores sociales que participan en l</w:t>
            </w:r>
            <w:r w:rsidR="006A76AD" w:rsidRPr="000E0F90">
              <w:rPr>
                <w:rFonts w:ascii="Arial" w:hAnsi="Arial" w:cs="Arial"/>
                <w:color w:val="000000" w:themeColor="text1"/>
                <w:kern w:val="24"/>
                <w:sz w:val="20"/>
              </w:rPr>
              <w:t>os procesos de toma de decisión. Fortalecer</w:t>
            </w:r>
            <w:r w:rsidRPr="000E0F90">
              <w:rPr>
                <w:rFonts w:ascii="Arial" w:hAnsi="Arial" w:cs="Arial"/>
                <w:color w:val="000000" w:themeColor="text1"/>
                <w:kern w:val="24"/>
                <w:sz w:val="20"/>
              </w:rPr>
              <w:t xml:space="preserve"> de</w:t>
            </w:r>
            <w:r w:rsidR="00A27ACA" w:rsidRPr="000E0F90">
              <w:rPr>
                <w:rFonts w:ascii="Arial" w:hAnsi="Arial" w:cs="Arial"/>
                <w:color w:val="000000" w:themeColor="text1"/>
                <w:kern w:val="24"/>
                <w:sz w:val="20"/>
              </w:rPr>
              <w:t xml:space="preserve"> competencias de</w:t>
            </w:r>
            <w:r w:rsidRPr="000E0F90">
              <w:rPr>
                <w:rFonts w:ascii="Arial" w:hAnsi="Arial" w:cs="Arial"/>
                <w:color w:val="000000" w:themeColor="text1"/>
                <w:kern w:val="24"/>
                <w:sz w:val="20"/>
              </w:rPr>
              <w:t xml:space="preserve"> tipo técnica, económica y política, entre otras.</w:t>
            </w:r>
          </w:p>
        </w:tc>
        <w:tc>
          <w:tcPr>
            <w:tcW w:w="492" w:type="dxa"/>
            <w:tcBorders>
              <w:top w:val="nil"/>
              <w:bottom w:val="nil"/>
            </w:tcBorders>
            <w:shd w:val="clear" w:color="auto" w:fill="FF0000"/>
            <w:vAlign w:val="center"/>
          </w:tcPr>
          <w:p w:rsidR="001D27D9" w:rsidRPr="000E0F90" w:rsidRDefault="00B2108C" w:rsidP="008B328C">
            <w:pPr>
              <w:spacing w:after="0" w:line="240" w:lineRule="auto"/>
              <w:jc w:val="center"/>
              <w:rPr>
                <w:rFonts w:ascii="Arial" w:hAnsi="Arial" w:cs="Arial"/>
                <w:color w:val="000000" w:themeColor="text1"/>
                <w:sz w:val="20"/>
                <w:szCs w:val="20"/>
              </w:rPr>
            </w:pPr>
            <w:r w:rsidRPr="000E0F90">
              <w:rPr>
                <w:rFonts w:ascii="Arial" w:hAnsi="Arial" w:cs="Arial"/>
                <w:color w:val="000000" w:themeColor="text1"/>
                <w:sz w:val="20"/>
                <w:szCs w:val="20"/>
              </w:rPr>
              <w:t>N</w:t>
            </w:r>
          </w:p>
        </w:tc>
        <w:tc>
          <w:tcPr>
            <w:tcW w:w="499" w:type="dxa"/>
            <w:tcBorders>
              <w:top w:val="nil"/>
              <w:bottom w:val="nil"/>
            </w:tcBorders>
            <w:shd w:val="clear" w:color="auto" w:fill="FF0000"/>
            <w:vAlign w:val="center"/>
          </w:tcPr>
          <w:p w:rsidR="001D27D9" w:rsidRPr="000E0F90" w:rsidRDefault="006E3C86" w:rsidP="008B328C">
            <w:pPr>
              <w:spacing w:after="0" w:line="240" w:lineRule="auto"/>
              <w:jc w:val="center"/>
              <w:rPr>
                <w:rFonts w:ascii="Arial" w:hAnsi="Arial" w:cs="Arial"/>
                <w:color w:val="000000" w:themeColor="text1"/>
                <w:sz w:val="20"/>
                <w:szCs w:val="20"/>
              </w:rPr>
            </w:pPr>
            <w:r w:rsidRPr="000E0F90">
              <w:rPr>
                <w:rFonts w:ascii="Arial" w:hAnsi="Arial" w:cs="Arial"/>
                <w:color w:val="000000" w:themeColor="text1"/>
                <w:sz w:val="20"/>
                <w:szCs w:val="20"/>
              </w:rPr>
              <w:t>N</w:t>
            </w:r>
          </w:p>
        </w:tc>
      </w:tr>
      <w:tr w:rsidR="001C6A50" w:rsidRPr="000E0F90" w:rsidTr="00983747">
        <w:trPr>
          <w:trHeight w:val="23"/>
        </w:trPr>
        <w:tc>
          <w:tcPr>
            <w:tcW w:w="419" w:type="dxa"/>
            <w:tcBorders>
              <w:top w:val="nil"/>
              <w:bottom w:val="nil"/>
            </w:tcBorders>
          </w:tcPr>
          <w:p w:rsidR="001C6A50" w:rsidRPr="000E0F90" w:rsidRDefault="00BA472B" w:rsidP="008B328C">
            <w:pPr>
              <w:pStyle w:val="NormalWeb"/>
              <w:spacing w:before="0" w:beforeAutospacing="0" w:after="0" w:afterAutospacing="0"/>
              <w:textAlignment w:val="center"/>
              <w:rPr>
                <w:rFonts w:ascii="Arial" w:hAnsi="Arial" w:cs="Arial"/>
                <w:color w:val="000000" w:themeColor="text1"/>
                <w:kern w:val="24"/>
                <w:sz w:val="20"/>
              </w:rPr>
            </w:pPr>
            <w:r>
              <w:rPr>
                <w:rFonts w:ascii="Arial" w:hAnsi="Arial" w:cs="Arial"/>
                <w:color w:val="000000" w:themeColor="text1"/>
                <w:kern w:val="24"/>
                <w:sz w:val="20"/>
              </w:rPr>
              <w:t>5</w:t>
            </w:r>
          </w:p>
        </w:tc>
        <w:tc>
          <w:tcPr>
            <w:tcW w:w="7360" w:type="dxa"/>
            <w:tcBorders>
              <w:top w:val="nil"/>
              <w:bottom w:val="nil"/>
            </w:tcBorders>
            <w:vAlign w:val="center"/>
          </w:tcPr>
          <w:p w:rsidR="001C6A50" w:rsidRPr="000E0F90" w:rsidRDefault="001C6A50" w:rsidP="001D27D9">
            <w:pPr>
              <w:pStyle w:val="NormalWeb"/>
              <w:spacing w:before="0" w:beforeAutospacing="0" w:after="0" w:afterAutospacing="0"/>
              <w:textAlignment w:val="center"/>
              <w:rPr>
                <w:rFonts w:ascii="Arial" w:hAnsi="Arial" w:cs="Arial"/>
                <w:color w:val="000000" w:themeColor="text1"/>
                <w:sz w:val="20"/>
                <w:szCs w:val="36"/>
              </w:rPr>
            </w:pPr>
            <w:r w:rsidRPr="000E0F90">
              <w:rPr>
                <w:rFonts w:ascii="Arial" w:hAnsi="Arial" w:cs="Arial"/>
                <w:color w:val="000000" w:themeColor="text1"/>
                <w:kern w:val="24"/>
                <w:sz w:val="20"/>
              </w:rPr>
              <w:t>Todos los actores</w:t>
            </w:r>
            <w:r w:rsidR="006E3C86" w:rsidRPr="000E0F90">
              <w:rPr>
                <w:rFonts w:ascii="Arial" w:hAnsi="Arial" w:cs="Arial"/>
                <w:color w:val="000000" w:themeColor="text1"/>
                <w:kern w:val="24"/>
                <w:sz w:val="20"/>
              </w:rPr>
              <w:t xml:space="preserve"> locales</w:t>
            </w:r>
            <w:r w:rsidRPr="000E0F90">
              <w:rPr>
                <w:rFonts w:ascii="Arial" w:hAnsi="Arial" w:cs="Arial"/>
                <w:color w:val="000000" w:themeColor="text1"/>
                <w:kern w:val="24"/>
                <w:sz w:val="20"/>
              </w:rPr>
              <w:t xml:space="preserve"> (i.e. sector público, privado, comunidades) deben participar y  comprometerse con la visión futura y planificación conjunta del territorio. Estableciendo objetivos de desarrollo claros y responsabilidades. Evita</w:t>
            </w:r>
            <w:r w:rsidR="001D27D9" w:rsidRPr="000E0F90">
              <w:rPr>
                <w:rFonts w:ascii="Arial" w:hAnsi="Arial" w:cs="Arial"/>
                <w:color w:val="000000" w:themeColor="text1"/>
                <w:kern w:val="24"/>
                <w:sz w:val="20"/>
              </w:rPr>
              <w:t xml:space="preserve">ndo </w:t>
            </w:r>
            <w:r w:rsidRPr="000E0F90">
              <w:rPr>
                <w:rFonts w:ascii="Arial" w:hAnsi="Arial" w:cs="Arial"/>
                <w:color w:val="000000" w:themeColor="text1"/>
                <w:kern w:val="24"/>
                <w:sz w:val="20"/>
              </w:rPr>
              <w:t>resultados irreversibles.</w:t>
            </w:r>
          </w:p>
        </w:tc>
        <w:tc>
          <w:tcPr>
            <w:tcW w:w="492" w:type="dxa"/>
            <w:tcBorders>
              <w:top w:val="nil"/>
              <w:bottom w:val="nil"/>
            </w:tcBorders>
            <w:shd w:val="clear" w:color="auto" w:fill="FF0000"/>
            <w:vAlign w:val="center"/>
          </w:tcPr>
          <w:p w:rsidR="001C6A50" w:rsidRPr="000E0F90" w:rsidRDefault="001C6A50" w:rsidP="008B328C">
            <w:pPr>
              <w:spacing w:after="0" w:line="240" w:lineRule="auto"/>
              <w:jc w:val="center"/>
              <w:rPr>
                <w:rFonts w:ascii="Arial" w:hAnsi="Arial" w:cs="Arial"/>
                <w:color w:val="000000" w:themeColor="text1"/>
                <w:sz w:val="20"/>
                <w:szCs w:val="20"/>
              </w:rPr>
            </w:pPr>
            <w:r w:rsidRPr="000E0F90">
              <w:rPr>
                <w:rFonts w:ascii="Arial" w:hAnsi="Arial" w:cs="Arial"/>
                <w:color w:val="000000" w:themeColor="text1"/>
                <w:sz w:val="20"/>
                <w:szCs w:val="20"/>
              </w:rPr>
              <w:t>N</w:t>
            </w:r>
          </w:p>
        </w:tc>
        <w:tc>
          <w:tcPr>
            <w:tcW w:w="499" w:type="dxa"/>
            <w:tcBorders>
              <w:top w:val="nil"/>
              <w:bottom w:val="nil"/>
            </w:tcBorders>
            <w:shd w:val="clear" w:color="auto" w:fill="FF0000"/>
            <w:vAlign w:val="center"/>
          </w:tcPr>
          <w:p w:rsidR="001C6A50" w:rsidRPr="000E0F90" w:rsidRDefault="001C6A50" w:rsidP="008B328C">
            <w:pPr>
              <w:spacing w:after="0" w:line="240" w:lineRule="auto"/>
              <w:jc w:val="center"/>
              <w:rPr>
                <w:rFonts w:ascii="Arial" w:hAnsi="Arial" w:cs="Arial"/>
                <w:color w:val="000000" w:themeColor="text1"/>
                <w:sz w:val="20"/>
                <w:szCs w:val="20"/>
              </w:rPr>
            </w:pPr>
            <w:r w:rsidRPr="000E0F90">
              <w:rPr>
                <w:rFonts w:ascii="Arial" w:hAnsi="Arial" w:cs="Arial"/>
                <w:color w:val="000000" w:themeColor="text1"/>
                <w:sz w:val="20"/>
                <w:szCs w:val="20"/>
              </w:rPr>
              <w:t>N</w:t>
            </w:r>
          </w:p>
        </w:tc>
      </w:tr>
      <w:tr w:rsidR="00B2108C" w:rsidRPr="000E0F90" w:rsidTr="00983747">
        <w:trPr>
          <w:trHeight w:val="23"/>
        </w:trPr>
        <w:tc>
          <w:tcPr>
            <w:tcW w:w="419" w:type="dxa"/>
            <w:tcBorders>
              <w:top w:val="nil"/>
              <w:bottom w:val="nil"/>
            </w:tcBorders>
          </w:tcPr>
          <w:p w:rsidR="00711180" w:rsidRPr="000E0F90" w:rsidRDefault="00BA472B" w:rsidP="006C3F97">
            <w:pPr>
              <w:pStyle w:val="NormalWeb"/>
              <w:spacing w:before="0" w:beforeAutospacing="0" w:after="0" w:afterAutospacing="0"/>
              <w:textAlignment w:val="center"/>
              <w:rPr>
                <w:rFonts w:ascii="Arial" w:hAnsi="Arial" w:cs="Arial"/>
                <w:color w:val="000000" w:themeColor="text1"/>
                <w:kern w:val="24"/>
                <w:sz w:val="20"/>
              </w:rPr>
            </w:pPr>
            <w:r>
              <w:rPr>
                <w:rFonts w:ascii="Arial" w:hAnsi="Arial" w:cs="Arial"/>
                <w:color w:val="000000" w:themeColor="text1"/>
                <w:kern w:val="24"/>
                <w:sz w:val="20"/>
              </w:rPr>
              <w:t>6</w:t>
            </w:r>
          </w:p>
        </w:tc>
        <w:tc>
          <w:tcPr>
            <w:tcW w:w="7360" w:type="dxa"/>
            <w:tcBorders>
              <w:top w:val="nil"/>
              <w:bottom w:val="nil"/>
            </w:tcBorders>
            <w:vAlign w:val="center"/>
          </w:tcPr>
          <w:p w:rsidR="00711180" w:rsidRPr="000E0F90" w:rsidRDefault="00711180" w:rsidP="00711AC2">
            <w:pPr>
              <w:pStyle w:val="NormalWeb"/>
              <w:spacing w:before="0" w:beforeAutospacing="0" w:after="0" w:afterAutospacing="0"/>
              <w:textAlignment w:val="center"/>
              <w:rPr>
                <w:rFonts w:ascii="Arial" w:hAnsi="Arial" w:cs="Arial"/>
                <w:color w:val="000000" w:themeColor="text1"/>
                <w:kern w:val="24"/>
                <w:sz w:val="20"/>
              </w:rPr>
            </w:pPr>
            <w:r w:rsidRPr="000E0F90">
              <w:rPr>
                <w:rFonts w:ascii="Arial" w:hAnsi="Arial" w:cs="Arial"/>
                <w:color w:val="000000" w:themeColor="text1"/>
                <w:kern w:val="24"/>
                <w:sz w:val="20"/>
              </w:rPr>
              <w:t xml:space="preserve">Fomentar </w:t>
            </w:r>
            <w:r w:rsidR="0043148E" w:rsidRPr="000E0F90">
              <w:rPr>
                <w:rFonts w:ascii="Arial" w:hAnsi="Arial" w:cs="Arial"/>
                <w:color w:val="000000" w:themeColor="text1"/>
                <w:kern w:val="24"/>
                <w:sz w:val="20"/>
              </w:rPr>
              <w:t>la</w:t>
            </w:r>
            <w:r w:rsidRPr="000E0F90">
              <w:rPr>
                <w:rFonts w:ascii="Arial" w:hAnsi="Arial" w:cs="Arial"/>
                <w:color w:val="000000" w:themeColor="text1"/>
                <w:kern w:val="24"/>
                <w:sz w:val="20"/>
              </w:rPr>
              <w:t xml:space="preserve"> vinculación territorial de lo</w:t>
            </w:r>
            <w:r w:rsidR="0043148E" w:rsidRPr="000E0F90">
              <w:rPr>
                <w:rFonts w:ascii="Arial" w:hAnsi="Arial" w:cs="Arial"/>
                <w:color w:val="000000" w:themeColor="text1"/>
                <w:kern w:val="24"/>
                <w:sz w:val="20"/>
              </w:rPr>
              <w:t xml:space="preserve">s diversos actores sociales </w:t>
            </w:r>
            <w:r w:rsidRPr="000E0F90">
              <w:rPr>
                <w:rFonts w:ascii="Arial" w:hAnsi="Arial" w:cs="Arial"/>
                <w:color w:val="000000" w:themeColor="text1"/>
                <w:kern w:val="24"/>
                <w:sz w:val="20"/>
              </w:rPr>
              <w:t>del territorio (i.e.</w:t>
            </w:r>
            <w:r w:rsidR="00711AC2" w:rsidRPr="000E0F90">
              <w:rPr>
                <w:rFonts w:ascii="Arial" w:hAnsi="Arial" w:cs="Arial"/>
                <w:color w:val="000000" w:themeColor="text1"/>
                <w:kern w:val="24"/>
                <w:sz w:val="20"/>
              </w:rPr>
              <w:t xml:space="preserve"> </w:t>
            </w:r>
            <w:r w:rsidRPr="000E0F90">
              <w:rPr>
                <w:rFonts w:ascii="Arial" w:hAnsi="Arial" w:cs="Arial"/>
                <w:color w:val="000000" w:themeColor="text1"/>
                <w:kern w:val="24"/>
                <w:sz w:val="20"/>
              </w:rPr>
              <w:t>gobiernos locales, empresas privadas, sociedad civil, comunidades</w:t>
            </w:r>
            <w:r w:rsidR="007A145F" w:rsidRPr="000E0F90">
              <w:rPr>
                <w:rFonts w:ascii="Arial" w:hAnsi="Arial" w:cs="Arial"/>
                <w:color w:val="000000" w:themeColor="text1"/>
                <w:kern w:val="24"/>
                <w:sz w:val="20"/>
              </w:rPr>
              <w:t xml:space="preserve"> indígenas</w:t>
            </w:r>
            <w:r w:rsidRPr="000E0F90">
              <w:rPr>
                <w:rFonts w:ascii="Arial" w:hAnsi="Arial" w:cs="Arial"/>
                <w:color w:val="000000" w:themeColor="text1"/>
                <w:kern w:val="24"/>
                <w:sz w:val="20"/>
              </w:rPr>
              <w:t xml:space="preserve">), de forma que exista compromiso con </w:t>
            </w:r>
            <w:r w:rsidR="00711AC2" w:rsidRPr="000E0F90">
              <w:rPr>
                <w:rFonts w:ascii="Arial" w:hAnsi="Arial" w:cs="Arial"/>
                <w:color w:val="000000" w:themeColor="text1"/>
                <w:kern w:val="24"/>
                <w:sz w:val="20"/>
              </w:rPr>
              <w:t xml:space="preserve">el </w:t>
            </w:r>
            <w:r w:rsidRPr="000E0F90">
              <w:rPr>
                <w:rFonts w:ascii="Arial" w:hAnsi="Arial" w:cs="Arial"/>
                <w:color w:val="000000" w:themeColor="text1"/>
                <w:kern w:val="24"/>
                <w:sz w:val="20"/>
              </w:rPr>
              <w:t xml:space="preserve">territorio </w:t>
            </w:r>
          </w:p>
        </w:tc>
        <w:tc>
          <w:tcPr>
            <w:tcW w:w="492" w:type="dxa"/>
            <w:tcBorders>
              <w:top w:val="nil"/>
              <w:bottom w:val="nil"/>
            </w:tcBorders>
            <w:shd w:val="clear" w:color="auto" w:fill="FF0000"/>
            <w:vAlign w:val="center"/>
          </w:tcPr>
          <w:p w:rsidR="00711180" w:rsidRPr="000E0F90" w:rsidRDefault="00B2108C" w:rsidP="006C3F97">
            <w:pPr>
              <w:spacing w:after="0" w:line="240" w:lineRule="auto"/>
              <w:jc w:val="center"/>
              <w:rPr>
                <w:rFonts w:ascii="Arial" w:hAnsi="Arial" w:cs="Arial"/>
                <w:color w:val="000000" w:themeColor="text1"/>
                <w:sz w:val="20"/>
                <w:szCs w:val="20"/>
              </w:rPr>
            </w:pPr>
            <w:r w:rsidRPr="000E0F90">
              <w:rPr>
                <w:rFonts w:ascii="Arial" w:hAnsi="Arial" w:cs="Arial"/>
                <w:color w:val="000000" w:themeColor="text1"/>
                <w:sz w:val="20"/>
                <w:szCs w:val="20"/>
              </w:rPr>
              <w:t>N</w:t>
            </w:r>
          </w:p>
        </w:tc>
        <w:tc>
          <w:tcPr>
            <w:tcW w:w="499" w:type="dxa"/>
            <w:tcBorders>
              <w:top w:val="nil"/>
              <w:bottom w:val="nil"/>
            </w:tcBorders>
            <w:shd w:val="clear" w:color="auto" w:fill="FF0000"/>
            <w:vAlign w:val="center"/>
          </w:tcPr>
          <w:p w:rsidR="00711180" w:rsidRPr="000E0F90" w:rsidRDefault="00711180" w:rsidP="006C3F97">
            <w:pPr>
              <w:spacing w:after="0" w:line="240" w:lineRule="auto"/>
              <w:jc w:val="center"/>
              <w:rPr>
                <w:rFonts w:ascii="Arial" w:hAnsi="Arial" w:cs="Arial"/>
                <w:color w:val="000000" w:themeColor="text1"/>
                <w:sz w:val="20"/>
                <w:szCs w:val="20"/>
              </w:rPr>
            </w:pPr>
            <w:r w:rsidRPr="000E0F90">
              <w:rPr>
                <w:rFonts w:ascii="Arial" w:hAnsi="Arial" w:cs="Arial"/>
                <w:color w:val="000000" w:themeColor="text1"/>
                <w:sz w:val="20"/>
                <w:szCs w:val="20"/>
              </w:rPr>
              <w:t>N</w:t>
            </w:r>
          </w:p>
        </w:tc>
      </w:tr>
      <w:tr w:rsidR="001D27D9" w:rsidRPr="000E0F90" w:rsidTr="00983747">
        <w:trPr>
          <w:trHeight w:val="23"/>
        </w:trPr>
        <w:tc>
          <w:tcPr>
            <w:tcW w:w="419" w:type="dxa"/>
            <w:tcBorders>
              <w:top w:val="nil"/>
              <w:bottom w:val="nil"/>
            </w:tcBorders>
          </w:tcPr>
          <w:p w:rsidR="001D27D9" w:rsidRPr="000E0F90" w:rsidRDefault="00BA472B" w:rsidP="008B328C">
            <w:pPr>
              <w:pStyle w:val="NormalWeb"/>
              <w:spacing w:before="0" w:beforeAutospacing="0" w:after="0" w:afterAutospacing="0"/>
              <w:textAlignment w:val="center"/>
              <w:rPr>
                <w:rFonts w:ascii="Arial" w:hAnsi="Arial" w:cs="Arial"/>
                <w:color w:val="000000" w:themeColor="text1"/>
                <w:kern w:val="24"/>
                <w:sz w:val="20"/>
              </w:rPr>
            </w:pPr>
            <w:r>
              <w:rPr>
                <w:rFonts w:ascii="Arial" w:hAnsi="Arial" w:cs="Arial"/>
                <w:color w:val="000000" w:themeColor="text1"/>
                <w:kern w:val="24"/>
                <w:sz w:val="20"/>
              </w:rPr>
              <w:t>7</w:t>
            </w:r>
          </w:p>
        </w:tc>
        <w:tc>
          <w:tcPr>
            <w:tcW w:w="7360" w:type="dxa"/>
            <w:tcBorders>
              <w:top w:val="nil"/>
              <w:bottom w:val="nil"/>
            </w:tcBorders>
            <w:vAlign w:val="center"/>
          </w:tcPr>
          <w:p w:rsidR="001D27D9" w:rsidRPr="000E0F90" w:rsidRDefault="00FE7406" w:rsidP="00711AC2">
            <w:pPr>
              <w:pStyle w:val="NormalWeb"/>
              <w:spacing w:before="0" w:beforeAutospacing="0" w:after="0" w:afterAutospacing="0"/>
              <w:textAlignment w:val="center"/>
              <w:rPr>
                <w:rFonts w:ascii="Arial" w:hAnsi="Arial" w:cs="Arial"/>
                <w:color w:val="000000" w:themeColor="text1"/>
                <w:kern w:val="24"/>
                <w:sz w:val="20"/>
              </w:rPr>
            </w:pPr>
            <w:r w:rsidRPr="000E0F90">
              <w:rPr>
                <w:rFonts w:ascii="Arial" w:hAnsi="Arial" w:cs="Arial"/>
                <w:color w:val="000000" w:themeColor="text1"/>
                <w:kern w:val="24"/>
                <w:sz w:val="20"/>
              </w:rPr>
              <w:t>Fortalecer el</w:t>
            </w:r>
            <w:r w:rsidR="001D27D9" w:rsidRPr="000E0F90">
              <w:rPr>
                <w:rFonts w:ascii="Arial" w:hAnsi="Arial" w:cs="Arial"/>
                <w:color w:val="000000" w:themeColor="text1"/>
                <w:kern w:val="24"/>
                <w:sz w:val="20"/>
              </w:rPr>
              <w:t xml:space="preserve"> rol de cada uno de los actore</w:t>
            </w:r>
            <w:r w:rsidR="000461DA" w:rsidRPr="000E0F90">
              <w:rPr>
                <w:rFonts w:ascii="Arial" w:hAnsi="Arial" w:cs="Arial"/>
                <w:color w:val="000000" w:themeColor="text1"/>
                <w:kern w:val="24"/>
                <w:sz w:val="20"/>
              </w:rPr>
              <w:t>s local</w:t>
            </w:r>
            <w:r w:rsidR="004F0BC9" w:rsidRPr="000E0F90">
              <w:rPr>
                <w:rFonts w:ascii="Arial" w:hAnsi="Arial" w:cs="Arial"/>
                <w:color w:val="000000" w:themeColor="text1"/>
                <w:kern w:val="24"/>
                <w:sz w:val="20"/>
              </w:rPr>
              <w:t>es</w:t>
            </w:r>
            <w:r w:rsidR="00711AC2" w:rsidRPr="000E0F90">
              <w:rPr>
                <w:rFonts w:ascii="Arial" w:hAnsi="Arial" w:cs="Arial"/>
                <w:color w:val="000000" w:themeColor="text1"/>
                <w:kern w:val="24"/>
                <w:sz w:val="20"/>
              </w:rPr>
              <w:t xml:space="preserve"> en el territorio (i.e.</w:t>
            </w:r>
            <w:r w:rsidR="000461DA" w:rsidRPr="000E0F90">
              <w:rPr>
                <w:rFonts w:ascii="Arial" w:hAnsi="Arial" w:cs="Arial"/>
                <w:color w:val="000000" w:themeColor="text1"/>
                <w:kern w:val="24"/>
                <w:sz w:val="20"/>
              </w:rPr>
              <w:t xml:space="preserve"> gobiernos locales</w:t>
            </w:r>
            <w:r w:rsidR="001D27D9" w:rsidRPr="000E0F90">
              <w:rPr>
                <w:rFonts w:ascii="Arial" w:hAnsi="Arial" w:cs="Arial"/>
                <w:color w:val="000000" w:themeColor="text1"/>
                <w:kern w:val="24"/>
                <w:sz w:val="20"/>
              </w:rPr>
              <w:t>, empresas privadas, organizaciones de la sociedad civil, comunidades</w:t>
            </w:r>
            <w:r w:rsidR="00711AC2" w:rsidRPr="000E0F90">
              <w:rPr>
                <w:rFonts w:ascii="Arial" w:hAnsi="Arial" w:cs="Arial"/>
                <w:color w:val="000000" w:themeColor="text1"/>
                <w:kern w:val="24"/>
                <w:sz w:val="20"/>
              </w:rPr>
              <w:t>)</w:t>
            </w:r>
            <w:r w:rsidR="007A145F" w:rsidRPr="000E0F90">
              <w:rPr>
                <w:rFonts w:ascii="Arial" w:hAnsi="Arial" w:cs="Arial"/>
                <w:color w:val="000000" w:themeColor="text1"/>
                <w:kern w:val="24"/>
                <w:sz w:val="20"/>
              </w:rPr>
              <w:t>.</w:t>
            </w:r>
            <w:r w:rsidR="004F0BC9" w:rsidRPr="000E0F90">
              <w:rPr>
                <w:rFonts w:ascii="Arial" w:hAnsi="Arial" w:cs="Arial"/>
                <w:color w:val="000000" w:themeColor="text1"/>
                <w:kern w:val="24"/>
                <w:sz w:val="20"/>
              </w:rPr>
              <w:t xml:space="preserve"> </w:t>
            </w:r>
            <w:r w:rsidR="006C3F97" w:rsidRPr="000E0F90">
              <w:rPr>
                <w:rFonts w:ascii="Arial" w:hAnsi="Arial" w:cs="Arial"/>
                <w:color w:val="000000" w:themeColor="text1"/>
                <w:kern w:val="24"/>
                <w:sz w:val="20"/>
              </w:rPr>
              <w:t xml:space="preserve">Evitar </w:t>
            </w:r>
            <w:r w:rsidRPr="000E0F90">
              <w:rPr>
                <w:rFonts w:ascii="Arial" w:hAnsi="Arial" w:cs="Arial"/>
                <w:color w:val="000000" w:themeColor="text1"/>
                <w:kern w:val="24"/>
                <w:sz w:val="20"/>
              </w:rPr>
              <w:t>que</w:t>
            </w:r>
            <w:r w:rsidR="004F0BC9" w:rsidRPr="000E0F90">
              <w:rPr>
                <w:rFonts w:ascii="Arial" w:hAnsi="Arial" w:cs="Arial"/>
                <w:color w:val="000000" w:themeColor="text1"/>
                <w:kern w:val="24"/>
                <w:sz w:val="20"/>
              </w:rPr>
              <w:t xml:space="preserve"> dichos</w:t>
            </w:r>
            <w:r w:rsidRPr="000E0F90">
              <w:rPr>
                <w:rFonts w:ascii="Arial" w:hAnsi="Arial" w:cs="Arial"/>
                <w:color w:val="000000" w:themeColor="text1"/>
                <w:kern w:val="24"/>
                <w:sz w:val="20"/>
              </w:rPr>
              <w:t xml:space="preserve"> roles </w:t>
            </w:r>
            <w:r w:rsidR="006C3F97" w:rsidRPr="000E0F90">
              <w:rPr>
                <w:rFonts w:ascii="Arial" w:hAnsi="Arial" w:cs="Arial"/>
                <w:color w:val="000000" w:themeColor="text1"/>
                <w:kern w:val="24"/>
                <w:sz w:val="20"/>
              </w:rPr>
              <w:t>sean suplidos por otros actores sociales.</w:t>
            </w:r>
          </w:p>
        </w:tc>
        <w:tc>
          <w:tcPr>
            <w:tcW w:w="492" w:type="dxa"/>
            <w:tcBorders>
              <w:top w:val="nil"/>
              <w:bottom w:val="nil"/>
            </w:tcBorders>
            <w:shd w:val="clear" w:color="auto" w:fill="FF0000"/>
            <w:vAlign w:val="center"/>
          </w:tcPr>
          <w:p w:rsidR="001D27D9" w:rsidRPr="000E0F90" w:rsidRDefault="006E3C86" w:rsidP="008B328C">
            <w:pPr>
              <w:spacing w:after="0" w:line="240" w:lineRule="auto"/>
              <w:jc w:val="center"/>
              <w:rPr>
                <w:rFonts w:ascii="Arial" w:hAnsi="Arial" w:cs="Arial"/>
                <w:color w:val="000000" w:themeColor="text1"/>
                <w:sz w:val="20"/>
                <w:szCs w:val="20"/>
              </w:rPr>
            </w:pPr>
            <w:r w:rsidRPr="000E0F90">
              <w:rPr>
                <w:rFonts w:ascii="Arial" w:hAnsi="Arial" w:cs="Arial"/>
                <w:color w:val="000000" w:themeColor="text1"/>
                <w:sz w:val="20"/>
                <w:szCs w:val="20"/>
              </w:rPr>
              <w:t>N</w:t>
            </w:r>
          </w:p>
        </w:tc>
        <w:tc>
          <w:tcPr>
            <w:tcW w:w="499" w:type="dxa"/>
            <w:tcBorders>
              <w:top w:val="nil"/>
              <w:bottom w:val="nil"/>
            </w:tcBorders>
            <w:shd w:val="clear" w:color="auto" w:fill="FF0000"/>
            <w:vAlign w:val="center"/>
          </w:tcPr>
          <w:p w:rsidR="001D27D9" w:rsidRPr="000E0F90" w:rsidRDefault="006E3C86" w:rsidP="008B328C">
            <w:pPr>
              <w:spacing w:after="0" w:line="240" w:lineRule="auto"/>
              <w:jc w:val="center"/>
              <w:rPr>
                <w:rFonts w:ascii="Arial" w:hAnsi="Arial" w:cs="Arial"/>
                <w:color w:val="000000" w:themeColor="text1"/>
                <w:sz w:val="20"/>
                <w:szCs w:val="20"/>
              </w:rPr>
            </w:pPr>
            <w:r w:rsidRPr="000E0F90">
              <w:rPr>
                <w:rFonts w:ascii="Arial" w:hAnsi="Arial" w:cs="Arial"/>
                <w:color w:val="000000" w:themeColor="text1"/>
                <w:sz w:val="20"/>
                <w:szCs w:val="20"/>
              </w:rPr>
              <w:t>N</w:t>
            </w:r>
          </w:p>
        </w:tc>
      </w:tr>
      <w:tr w:rsidR="000461DA" w:rsidRPr="000E0F90" w:rsidTr="00983747">
        <w:trPr>
          <w:trHeight w:val="23"/>
        </w:trPr>
        <w:tc>
          <w:tcPr>
            <w:tcW w:w="419" w:type="dxa"/>
            <w:tcBorders>
              <w:top w:val="nil"/>
              <w:bottom w:val="nil"/>
            </w:tcBorders>
          </w:tcPr>
          <w:p w:rsidR="000461DA" w:rsidRPr="000E0F90" w:rsidRDefault="00BA472B" w:rsidP="008B328C">
            <w:pPr>
              <w:pStyle w:val="NormalWeb"/>
              <w:spacing w:before="0" w:beforeAutospacing="0" w:after="0" w:afterAutospacing="0"/>
              <w:textAlignment w:val="center"/>
              <w:rPr>
                <w:rFonts w:ascii="Arial" w:hAnsi="Arial" w:cs="Arial"/>
                <w:color w:val="000000" w:themeColor="text1"/>
                <w:kern w:val="24"/>
                <w:sz w:val="20"/>
              </w:rPr>
            </w:pPr>
            <w:r>
              <w:rPr>
                <w:rFonts w:ascii="Arial" w:hAnsi="Arial" w:cs="Arial"/>
                <w:color w:val="000000" w:themeColor="text1"/>
                <w:kern w:val="24"/>
                <w:sz w:val="20"/>
              </w:rPr>
              <w:t>8</w:t>
            </w:r>
          </w:p>
        </w:tc>
        <w:tc>
          <w:tcPr>
            <w:tcW w:w="7360" w:type="dxa"/>
            <w:tcBorders>
              <w:top w:val="nil"/>
              <w:bottom w:val="nil"/>
            </w:tcBorders>
            <w:shd w:val="clear" w:color="auto" w:fill="auto"/>
            <w:vAlign w:val="center"/>
          </w:tcPr>
          <w:p w:rsidR="000461DA" w:rsidRPr="000E0F90" w:rsidRDefault="000461DA" w:rsidP="00711AC2">
            <w:pPr>
              <w:pStyle w:val="NormalWeb"/>
              <w:spacing w:before="0" w:beforeAutospacing="0" w:after="0" w:afterAutospacing="0"/>
              <w:textAlignment w:val="center"/>
              <w:rPr>
                <w:rFonts w:ascii="Arial" w:hAnsi="Arial" w:cs="Arial"/>
                <w:color w:val="000000" w:themeColor="text1"/>
                <w:kern w:val="24"/>
                <w:sz w:val="20"/>
              </w:rPr>
            </w:pPr>
            <w:r w:rsidRPr="000E0F90">
              <w:rPr>
                <w:rFonts w:ascii="Arial" w:hAnsi="Arial" w:cs="Arial"/>
                <w:color w:val="000000" w:themeColor="text1"/>
                <w:kern w:val="24"/>
                <w:sz w:val="20"/>
              </w:rPr>
              <w:t>Las políticas de desa</w:t>
            </w:r>
            <w:r w:rsidR="00FF5D2A" w:rsidRPr="000E0F90">
              <w:rPr>
                <w:rFonts w:ascii="Arial" w:hAnsi="Arial" w:cs="Arial"/>
                <w:color w:val="000000" w:themeColor="text1"/>
                <w:kern w:val="24"/>
                <w:sz w:val="20"/>
              </w:rPr>
              <w:t>rrollo territorial deben impulsarse desde</w:t>
            </w:r>
            <w:r w:rsidR="0098640F" w:rsidRPr="000E0F90">
              <w:rPr>
                <w:rFonts w:ascii="Arial" w:hAnsi="Arial" w:cs="Arial"/>
                <w:color w:val="000000" w:themeColor="text1"/>
                <w:kern w:val="24"/>
                <w:sz w:val="20"/>
              </w:rPr>
              <w:t xml:space="preserve"> el ámbito</w:t>
            </w:r>
            <w:r w:rsidR="00FF5D2A" w:rsidRPr="000E0F90">
              <w:rPr>
                <w:rFonts w:ascii="Arial" w:hAnsi="Arial" w:cs="Arial"/>
                <w:color w:val="000000" w:themeColor="text1"/>
                <w:kern w:val="24"/>
                <w:sz w:val="20"/>
              </w:rPr>
              <w:t xml:space="preserve"> local, </w:t>
            </w:r>
            <w:r w:rsidR="00067994" w:rsidRPr="000E0F90">
              <w:rPr>
                <w:rFonts w:ascii="Arial" w:hAnsi="Arial" w:cs="Arial"/>
                <w:color w:val="000000" w:themeColor="text1"/>
                <w:kern w:val="24"/>
                <w:sz w:val="20"/>
              </w:rPr>
              <w:t xml:space="preserve">en base a sistemas de gobernanza </w:t>
            </w:r>
            <w:r w:rsidR="00C1179A" w:rsidRPr="000E0F90">
              <w:rPr>
                <w:rFonts w:ascii="Arial" w:hAnsi="Arial" w:cs="Arial"/>
                <w:color w:val="000000" w:themeColor="text1"/>
                <w:kern w:val="24"/>
                <w:sz w:val="20"/>
              </w:rPr>
              <w:t xml:space="preserve">locales </w:t>
            </w:r>
            <w:r w:rsidR="00067994" w:rsidRPr="000E0F90">
              <w:rPr>
                <w:rFonts w:ascii="Arial" w:hAnsi="Arial" w:cs="Arial"/>
                <w:color w:val="000000" w:themeColor="text1"/>
                <w:kern w:val="24"/>
                <w:sz w:val="20"/>
              </w:rPr>
              <w:t>efe</w:t>
            </w:r>
            <w:r w:rsidR="00C1179A" w:rsidRPr="000E0F90">
              <w:rPr>
                <w:rFonts w:ascii="Arial" w:hAnsi="Arial" w:cs="Arial"/>
                <w:color w:val="000000" w:themeColor="text1"/>
                <w:kern w:val="24"/>
                <w:sz w:val="20"/>
              </w:rPr>
              <w:t>c</w:t>
            </w:r>
            <w:r w:rsidR="00067994" w:rsidRPr="000E0F90">
              <w:rPr>
                <w:rFonts w:ascii="Arial" w:hAnsi="Arial" w:cs="Arial"/>
                <w:color w:val="000000" w:themeColor="text1"/>
                <w:kern w:val="24"/>
                <w:sz w:val="20"/>
              </w:rPr>
              <w:t>tivos</w:t>
            </w:r>
            <w:r w:rsidR="00711AC2" w:rsidRPr="000E0F90">
              <w:rPr>
                <w:rFonts w:ascii="Arial" w:hAnsi="Arial" w:cs="Arial"/>
                <w:color w:val="000000" w:themeColor="text1"/>
                <w:kern w:val="24"/>
                <w:sz w:val="20"/>
              </w:rPr>
              <w:t xml:space="preserve">, </w:t>
            </w:r>
            <w:r w:rsidR="00067994" w:rsidRPr="000E0F90">
              <w:rPr>
                <w:rFonts w:ascii="Arial" w:hAnsi="Arial" w:cs="Arial"/>
                <w:color w:val="000000" w:themeColor="text1"/>
                <w:kern w:val="24"/>
                <w:sz w:val="20"/>
              </w:rPr>
              <w:t xml:space="preserve">en conjunto con </w:t>
            </w:r>
            <w:r w:rsidR="006C3F97" w:rsidRPr="000E0F90">
              <w:rPr>
                <w:rFonts w:ascii="Arial" w:hAnsi="Arial" w:cs="Arial"/>
                <w:color w:val="000000" w:themeColor="text1"/>
                <w:kern w:val="24"/>
                <w:sz w:val="20"/>
              </w:rPr>
              <w:t xml:space="preserve">todos </w:t>
            </w:r>
            <w:r w:rsidR="00067994" w:rsidRPr="000E0F90">
              <w:rPr>
                <w:rFonts w:ascii="Arial" w:hAnsi="Arial" w:cs="Arial"/>
                <w:color w:val="000000" w:themeColor="text1"/>
                <w:kern w:val="24"/>
                <w:sz w:val="20"/>
              </w:rPr>
              <w:t>los actores sociales locales</w:t>
            </w:r>
            <w:r w:rsidR="00711AC2" w:rsidRPr="000E0F90">
              <w:rPr>
                <w:rFonts w:ascii="Arial" w:hAnsi="Arial" w:cs="Arial"/>
                <w:color w:val="000000" w:themeColor="text1"/>
                <w:kern w:val="24"/>
                <w:sz w:val="20"/>
              </w:rPr>
              <w:t>.</w:t>
            </w:r>
            <w:r w:rsidR="00FF5D2A" w:rsidRPr="000E0F90">
              <w:rPr>
                <w:rFonts w:ascii="Arial" w:hAnsi="Arial" w:cs="Arial"/>
                <w:color w:val="000000" w:themeColor="text1"/>
                <w:kern w:val="24"/>
                <w:sz w:val="20"/>
              </w:rPr>
              <w:t xml:space="preserve"> </w:t>
            </w:r>
            <w:r w:rsidR="00C1179A" w:rsidRPr="000E0F90">
              <w:rPr>
                <w:rFonts w:ascii="Arial" w:hAnsi="Arial" w:cs="Arial"/>
                <w:color w:val="000000" w:themeColor="text1"/>
                <w:kern w:val="24"/>
                <w:sz w:val="20"/>
              </w:rPr>
              <w:t>Promover regionalización.</w:t>
            </w:r>
          </w:p>
        </w:tc>
        <w:tc>
          <w:tcPr>
            <w:tcW w:w="492" w:type="dxa"/>
            <w:tcBorders>
              <w:top w:val="nil"/>
              <w:bottom w:val="nil"/>
            </w:tcBorders>
            <w:shd w:val="clear" w:color="auto" w:fill="FF0000"/>
            <w:vAlign w:val="center"/>
          </w:tcPr>
          <w:p w:rsidR="000461DA" w:rsidRPr="000E0F90" w:rsidRDefault="00067994" w:rsidP="008B328C">
            <w:pPr>
              <w:spacing w:after="0" w:line="240" w:lineRule="auto"/>
              <w:jc w:val="center"/>
              <w:rPr>
                <w:rFonts w:ascii="Arial" w:hAnsi="Arial" w:cs="Arial"/>
                <w:color w:val="000000" w:themeColor="text1"/>
                <w:sz w:val="20"/>
                <w:szCs w:val="20"/>
              </w:rPr>
            </w:pPr>
            <w:r w:rsidRPr="000E0F90">
              <w:rPr>
                <w:rFonts w:ascii="Arial" w:hAnsi="Arial" w:cs="Arial"/>
                <w:color w:val="000000" w:themeColor="text1"/>
                <w:sz w:val="20"/>
                <w:szCs w:val="20"/>
              </w:rPr>
              <w:t>N</w:t>
            </w:r>
          </w:p>
        </w:tc>
        <w:tc>
          <w:tcPr>
            <w:tcW w:w="499" w:type="dxa"/>
            <w:tcBorders>
              <w:top w:val="nil"/>
              <w:bottom w:val="nil"/>
            </w:tcBorders>
            <w:shd w:val="clear" w:color="auto" w:fill="FF0000"/>
            <w:vAlign w:val="center"/>
          </w:tcPr>
          <w:p w:rsidR="000461DA" w:rsidRPr="000E0F90" w:rsidRDefault="00FF5D2A" w:rsidP="008B328C">
            <w:pPr>
              <w:spacing w:after="0" w:line="240" w:lineRule="auto"/>
              <w:jc w:val="center"/>
              <w:rPr>
                <w:rFonts w:ascii="Arial" w:hAnsi="Arial" w:cs="Arial"/>
                <w:color w:val="000000" w:themeColor="text1"/>
                <w:sz w:val="20"/>
                <w:szCs w:val="20"/>
              </w:rPr>
            </w:pPr>
            <w:r w:rsidRPr="000E0F90">
              <w:rPr>
                <w:rFonts w:ascii="Arial" w:hAnsi="Arial" w:cs="Arial"/>
                <w:color w:val="000000" w:themeColor="text1"/>
                <w:sz w:val="20"/>
                <w:szCs w:val="20"/>
              </w:rPr>
              <w:t>N</w:t>
            </w:r>
          </w:p>
        </w:tc>
      </w:tr>
      <w:tr w:rsidR="00FF5D2A" w:rsidRPr="000E0F90" w:rsidTr="00983747">
        <w:trPr>
          <w:trHeight w:val="23"/>
        </w:trPr>
        <w:tc>
          <w:tcPr>
            <w:tcW w:w="419" w:type="dxa"/>
            <w:tcBorders>
              <w:top w:val="nil"/>
              <w:bottom w:val="nil"/>
            </w:tcBorders>
          </w:tcPr>
          <w:p w:rsidR="00FF5D2A" w:rsidRPr="000E0F90" w:rsidRDefault="00BA472B" w:rsidP="008B328C">
            <w:pPr>
              <w:pStyle w:val="NormalWeb"/>
              <w:spacing w:before="0" w:beforeAutospacing="0" w:after="0" w:afterAutospacing="0"/>
              <w:textAlignment w:val="center"/>
              <w:rPr>
                <w:rFonts w:ascii="Arial" w:hAnsi="Arial" w:cs="Arial"/>
                <w:color w:val="000000" w:themeColor="text1"/>
                <w:kern w:val="24"/>
                <w:sz w:val="20"/>
              </w:rPr>
            </w:pPr>
            <w:r>
              <w:rPr>
                <w:rFonts w:ascii="Arial" w:hAnsi="Arial" w:cs="Arial"/>
                <w:color w:val="000000" w:themeColor="text1"/>
                <w:kern w:val="24"/>
                <w:sz w:val="20"/>
              </w:rPr>
              <w:t>9</w:t>
            </w:r>
          </w:p>
        </w:tc>
        <w:tc>
          <w:tcPr>
            <w:tcW w:w="7360" w:type="dxa"/>
            <w:tcBorders>
              <w:top w:val="nil"/>
              <w:bottom w:val="nil"/>
            </w:tcBorders>
            <w:vAlign w:val="center"/>
          </w:tcPr>
          <w:p w:rsidR="00FF5D2A" w:rsidRPr="000E0F90" w:rsidRDefault="00FF5D2A" w:rsidP="00C1179A">
            <w:pPr>
              <w:pStyle w:val="NormalWeb"/>
              <w:spacing w:before="0" w:beforeAutospacing="0" w:after="0" w:afterAutospacing="0"/>
              <w:textAlignment w:val="center"/>
              <w:rPr>
                <w:rFonts w:ascii="Arial" w:hAnsi="Arial" w:cs="Arial"/>
                <w:color w:val="000000" w:themeColor="text1"/>
                <w:sz w:val="20"/>
                <w:szCs w:val="36"/>
              </w:rPr>
            </w:pPr>
            <w:r w:rsidRPr="000E0F90">
              <w:rPr>
                <w:rFonts w:ascii="Arial" w:hAnsi="Arial" w:cs="Arial"/>
                <w:color w:val="000000" w:themeColor="text1"/>
                <w:kern w:val="24"/>
                <w:sz w:val="20"/>
              </w:rPr>
              <w:t>Las autoridade</w:t>
            </w:r>
            <w:r w:rsidR="00DE6813" w:rsidRPr="000E0F90">
              <w:rPr>
                <w:rFonts w:ascii="Arial" w:hAnsi="Arial" w:cs="Arial"/>
                <w:color w:val="000000" w:themeColor="text1"/>
                <w:kern w:val="24"/>
                <w:sz w:val="20"/>
              </w:rPr>
              <w:t xml:space="preserve">s locales, </w:t>
            </w:r>
            <w:r w:rsidRPr="000E0F90">
              <w:rPr>
                <w:rFonts w:ascii="Arial" w:hAnsi="Arial" w:cs="Arial"/>
                <w:color w:val="000000" w:themeColor="text1"/>
                <w:kern w:val="24"/>
                <w:sz w:val="20"/>
              </w:rPr>
              <w:t>legitimadas</w:t>
            </w:r>
            <w:r w:rsidR="00C1179A" w:rsidRPr="000E0F90">
              <w:rPr>
                <w:rFonts w:ascii="Arial" w:hAnsi="Arial" w:cs="Arial"/>
                <w:color w:val="000000" w:themeColor="text1"/>
                <w:kern w:val="24"/>
                <w:sz w:val="20"/>
              </w:rPr>
              <w:t xml:space="preserve"> cívicamente</w:t>
            </w:r>
            <w:r w:rsidRPr="000E0F90">
              <w:rPr>
                <w:rFonts w:ascii="Arial" w:hAnsi="Arial" w:cs="Arial"/>
                <w:color w:val="000000" w:themeColor="text1"/>
                <w:kern w:val="24"/>
                <w:sz w:val="20"/>
              </w:rPr>
              <w:t>, deben poseer atribuciones</w:t>
            </w:r>
            <w:r w:rsidR="00B2108C" w:rsidRPr="000E0F90">
              <w:rPr>
                <w:rFonts w:ascii="Arial" w:hAnsi="Arial" w:cs="Arial"/>
                <w:color w:val="000000" w:themeColor="text1"/>
                <w:kern w:val="24"/>
                <w:sz w:val="20"/>
              </w:rPr>
              <w:t xml:space="preserve"> que les permita participar activa y vinculantemente en procesos de toma de decisión que conciernen a sus territorios</w:t>
            </w:r>
            <w:r w:rsidR="00DE6813" w:rsidRPr="000E0F90">
              <w:rPr>
                <w:rFonts w:ascii="Arial" w:hAnsi="Arial" w:cs="Arial"/>
                <w:color w:val="000000" w:themeColor="text1"/>
                <w:kern w:val="24"/>
                <w:sz w:val="20"/>
              </w:rPr>
              <w:t>, representando los intereses de los actores locales.</w:t>
            </w:r>
          </w:p>
        </w:tc>
        <w:tc>
          <w:tcPr>
            <w:tcW w:w="492" w:type="dxa"/>
            <w:tcBorders>
              <w:top w:val="nil"/>
              <w:bottom w:val="nil"/>
            </w:tcBorders>
            <w:shd w:val="clear" w:color="auto" w:fill="FF0000"/>
            <w:vAlign w:val="center"/>
          </w:tcPr>
          <w:p w:rsidR="00FF5D2A" w:rsidRPr="000E0F90" w:rsidRDefault="00FF5D2A" w:rsidP="008B328C">
            <w:pPr>
              <w:spacing w:after="0" w:line="240" w:lineRule="auto"/>
              <w:jc w:val="center"/>
              <w:rPr>
                <w:rFonts w:ascii="Arial" w:hAnsi="Arial" w:cs="Arial"/>
                <w:color w:val="000000" w:themeColor="text1"/>
                <w:sz w:val="20"/>
                <w:szCs w:val="20"/>
              </w:rPr>
            </w:pPr>
            <w:r w:rsidRPr="000E0F90">
              <w:rPr>
                <w:rFonts w:ascii="Arial" w:hAnsi="Arial" w:cs="Arial"/>
                <w:color w:val="000000" w:themeColor="text1"/>
                <w:sz w:val="20"/>
                <w:szCs w:val="20"/>
              </w:rPr>
              <w:t>N</w:t>
            </w:r>
          </w:p>
        </w:tc>
        <w:tc>
          <w:tcPr>
            <w:tcW w:w="499" w:type="dxa"/>
            <w:tcBorders>
              <w:top w:val="nil"/>
              <w:bottom w:val="nil"/>
            </w:tcBorders>
            <w:shd w:val="clear" w:color="auto" w:fill="FF0000"/>
            <w:vAlign w:val="center"/>
          </w:tcPr>
          <w:p w:rsidR="00FF5D2A" w:rsidRPr="000E0F90" w:rsidRDefault="00FF5D2A" w:rsidP="008B328C">
            <w:pPr>
              <w:spacing w:after="0" w:line="240" w:lineRule="auto"/>
              <w:jc w:val="center"/>
              <w:rPr>
                <w:rFonts w:ascii="Arial" w:hAnsi="Arial" w:cs="Arial"/>
                <w:color w:val="000000" w:themeColor="text1"/>
                <w:sz w:val="20"/>
                <w:szCs w:val="20"/>
              </w:rPr>
            </w:pPr>
            <w:r w:rsidRPr="000E0F90">
              <w:rPr>
                <w:rFonts w:ascii="Arial" w:hAnsi="Arial" w:cs="Arial"/>
                <w:color w:val="000000" w:themeColor="text1"/>
                <w:sz w:val="20"/>
                <w:szCs w:val="20"/>
              </w:rPr>
              <w:t>N</w:t>
            </w:r>
          </w:p>
        </w:tc>
      </w:tr>
      <w:tr w:rsidR="00FF5D2A" w:rsidRPr="000E0F90" w:rsidTr="00983747">
        <w:trPr>
          <w:trHeight w:val="23"/>
        </w:trPr>
        <w:tc>
          <w:tcPr>
            <w:tcW w:w="419" w:type="dxa"/>
            <w:tcBorders>
              <w:top w:val="nil"/>
            </w:tcBorders>
          </w:tcPr>
          <w:p w:rsidR="00FF5D2A" w:rsidRPr="000E0F90" w:rsidRDefault="00BA472B" w:rsidP="008B328C">
            <w:pPr>
              <w:pStyle w:val="NormalWeb"/>
              <w:spacing w:before="0" w:beforeAutospacing="0" w:after="0" w:afterAutospacing="0"/>
              <w:textAlignment w:val="center"/>
              <w:rPr>
                <w:rFonts w:ascii="Arial" w:hAnsi="Arial" w:cs="Arial"/>
                <w:color w:val="000000" w:themeColor="text1"/>
                <w:kern w:val="24"/>
                <w:sz w:val="20"/>
              </w:rPr>
            </w:pPr>
            <w:r>
              <w:rPr>
                <w:rFonts w:ascii="Arial" w:hAnsi="Arial" w:cs="Arial"/>
                <w:color w:val="000000" w:themeColor="text1"/>
                <w:kern w:val="24"/>
                <w:sz w:val="20"/>
              </w:rPr>
              <w:t>10</w:t>
            </w:r>
          </w:p>
        </w:tc>
        <w:tc>
          <w:tcPr>
            <w:tcW w:w="7360" w:type="dxa"/>
            <w:tcBorders>
              <w:top w:val="nil"/>
            </w:tcBorders>
            <w:vAlign w:val="center"/>
          </w:tcPr>
          <w:p w:rsidR="00FF5D2A" w:rsidRPr="000E0F90" w:rsidRDefault="00FF5D2A" w:rsidP="008B328C">
            <w:pPr>
              <w:pStyle w:val="NormalWeb"/>
              <w:spacing w:before="0" w:beforeAutospacing="0" w:after="0" w:afterAutospacing="0"/>
              <w:textAlignment w:val="center"/>
              <w:rPr>
                <w:rFonts w:ascii="Arial" w:hAnsi="Arial" w:cs="Arial"/>
                <w:color w:val="000000" w:themeColor="text1"/>
                <w:sz w:val="20"/>
                <w:szCs w:val="36"/>
              </w:rPr>
            </w:pPr>
            <w:r w:rsidRPr="000E0F90">
              <w:rPr>
                <w:rFonts w:ascii="Arial" w:hAnsi="Arial" w:cs="Arial"/>
                <w:color w:val="000000" w:themeColor="text1"/>
                <w:kern w:val="24"/>
                <w:sz w:val="20"/>
              </w:rPr>
              <w:t>Fomentar la preocupación local, social, ecológica y económica de todos los actores sociales (i.e. sector público, privado, comunidades), de forma de establecer y entender las posiciones adversas que se generan en los procesos de toma de decisión</w:t>
            </w:r>
          </w:p>
        </w:tc>
        <w:tc>
          <w:tcPr>
            <w:tcW w:w="492" w:type="dxa"/>
            <w:tcBorders>
              <w:top w:val="nil"/>
            </w:tcBorders>
            <w:shd w:val="clear" w:color="auto" w:fill="FFFF00"/>
            <w:vAlign w:val="center"/>
          </w:tcPr>
          <w:p w:rsidR="00FF5D2A" w:rsidRPr="000E0F90" w:rsidRDefault="00FF5D2A" w:rsidP="003E5477">
            <w:pPr>
              <w:spacing w:after="0" w:line="240" w:lineRule="auto"/>
              <w:jc w:val="center"/>
              <w:rPr>
                <w:rFonts w:ascii="Arial" w:hAnsi="Arial" w:cs="Arial"/>
                <w:color w:val="000000" w:themeColor="text1"/>
                <w:sz w:val="20"/>
                <w:szCs w:val="20"/>
              </w:rPr>
            </w:pPr>
            <w:r w:rsidRPr="000E0F90">
              <w:rPr>
                <w:rFonts w:ascii="Arial" w:hAnsi="Arial" w:cs="Arial"/>
                <w:color w:val="000000" w:themeColor="text1"/>
                <w:sz w:val="20"/>
                <w:szCs w:val="20"/>
              </w:rPr>
              <w:t>P</w:t>
            </w:r>
          </w:p>
        </w:tc>
        <w:tc>
          <w:tcPr>
            <w:tcW w:w="499" w:type="dxa"/>
            <w:tcBorders>
              <w:top w:val="nil"/>
            </w:tcBorders>
            <w:shd w:val="clear" w:color="auto" w:fill="FFFF00"/>
            <w:vAlign w:val="center"/>
          </w:tcPr>
          <w:p w:rsidR="00FF5D2A" w:rsidRPr="000E0F90" w:rsidRDefault="00FF5D2A" w:rsidP="003E5477">
            <w:pPr>
              <w:spacing w:after="0" w:line="240" w:lineRule="auto"/>
              <w:jc w:val="center"/>
              <w:rPr>
                <w:rFonts w:ascii="Arial" w:hAnsi="Arial" w:cs="Arial"/>
                <w:color w:val="000000" w:themeColor="text1"/>
                <w:sz w:val="20"/>
                <w:szCs w:val="20"/>
              </w:rPr>
            </w:pPr>
            <w:r w:rsidRPr="000E0F90">
              <w:rPr>
                <w:rFonts w:ascii="Arial" w:hAnsi="Arial" w:cs="Arial"/>
                <w:color w:val="000000" w:themeColor="text1"/>
                <w:sz w:val="20"/>
                <w:szCs w:val="20"/>
              </w:rPr>
              <w:t>P</w:t>
            </w:r>
          </w:p>
        </w:tc>
      </w:tr>
    </w:tbl>
    <w:p w:rsidR="0014292F" w:rsidRPr="000E0F90" w:rsidRDefault="0014292F">
      <w:pPr>
        <w:jc w:val="left"/>
        <w:rPr>
          <w:rFonts w:ascii="Arial" w:eastAsiaTheme="majorEastAsia" w:hAnsi="Arial" w:cs="Arial"/>
          <w:b/>
          <w:bCs/>
          <w:color w:val="000000" w:themeColor="text1"/>
        </w:rPr>
      </w:pPr>
    </w:p>
    <w:p w:rsidR="00D73B92" w:rsidRPr="000E0F90" w:rsidRDefault="00D73B92">
      <w:pPr>
        <w:jc w:val="left"/>
        <w:rPr>
          <w:rFonts w:ascii="Arial" w:eastAsiaTheme="majorEastAsia" w:hAnsi="Arial" w:cs="Arial"/>
          <w:b/>
          <w:bCs/>
          <w:color w:val="000000" w:themeColor="text1"/>
        </w:rPr>
      </w:pPr>
    </w:p>
    <w:p w:rsidR="00C1179A" w:rsidRPr="000E0F90" w:rsidRDefault="00C1179A">
      <w:pPr>
        <w:jc w:val="left"/>
        <w:rPr>
          <w:rFonts w:ascii="Arial" w:eastAsiaTheme="majorEastAsia" w:hAnsi="Arial" w:cs="Arial"/>
          <w:b/>
          <w:bCs/>
          <w:color w:val="000000" w:themeColor="text1"/>
        </w:rPr>
      </w:pPr>
    </w:p>
    <w:p w:rsidR="00036E3C" w:rsidRPr="000E0F90" w:rsidRDefault="00B4144D" w:rsidP="00F7220D">
      <w:pPr>
        <w:pStyle w:val="Ttulo3"/>
        <w:spacing w:after="0" w:line="360" w:lineRule="auto"/>
        <w:rPr>
          <w:rFonts w:ascii="Arial" w:hAnsi="Arial" w:cs="Arial"/>
        </w:rPr>
      </w:pPr>
      <w:r w:rsidRPr="000E0F90">
        <w:rPr>
          <w:rFonts w:ascii="Arial" w:hAnsi="Arial" w:cs="Arial"/>
        </w:rPr>
        <w:lastRenderedPageBreak/>
        <w:t>6. Precaución y Adaptación</w:t>
      </w:r>
    </w:p>
    <w:p w:rsidR="00317480" w:rsidRPr="000E0F90" w:rsidRDefault="002B546D" w:rsidP="00F7220D">
      <w:pPr>
        <w:spacing w:line="360" w:lineRule="auto"/>
        <w:rPr>
          <w:rFonts w:ascii="Arial" w:hAnsi="Arial" w:cs="Arial"/>
          <w:color w:val="000000" w:themeColor="text1"/>
        </w:rPr>
      </w:pPr>
      <w:r>
        <w:rPr>
          <w:rFonts w:ascii="Arial" w:hAnsi="Arial" w:cs="Arial"/>
          <w:color w:val="000000" w:themeColor="text1"/>
        </w:rPr>
        <w:t>Los resultados de la evaluación del principio de Precaución y Adaptación e</w:t>
      </w:r>
      <w:r w:rsidR="00F7220D">
        <w:rPr>
          <w:rFonts w:ascii="Arial" w:hAnsi="Arial" w:cs="Arial"/>
          <w:color w:val="000000" w:themeColor="text1"/>
        </w:rPr>
        <w:t xml:space="preserve">n los territorios bajo estudio </w:t>
      </w:r>
      <w:r>
        <w:rPr>
          <w:rFonts w:ascii="Arial" w:hAnsi="Arial" w:cs="Arial"/>
          <w:color w:val="000000" w:themeColor="text1"/>
        </w:rPr>
        <w:t>se presenta a continuación.</w:t>
      </w:r>
    </w:p>
    <w:p w:rsidR="004D60E5" w:rsidRPr="000E0F90" w:rsidRDefault="005761D0" w:rsidP="00F7220D">
      <w:pPr>
        <w:pStyle w:val="Epgrafe"/>
        <w:spacing w:after="0" w:line="360" w:lineRule="auto"/>
        <w:rPr>
          <w:rFonts w:ascii="Arial" w:hAnsi="Arial" w:cs="Arial"/>
          <w:b w:val="0"/>
          <w:color w:val="000000" w:themeColor="text1"/>
          <w:sz w:val="22"/>
        </w:rPr>
      </w:pPr>
      <w:r w:rsidRPr="000E0F90">
        <w:rPr>
          <w:rFonts w:ascii="Arial" w:hAnsi="Arial" w:cs="Arial"/>
          <w:b w:val="0"/>
          <w:color w:val="000000" w:themeColor="text1"/>
          <w:sz w:val="22"/>
        </w:rPr>
        <w:t xml:space="preserve">Cuadro </w:t>
      </w:r>
      <w:r w:rsidRPr="000E0F90">
        <w:rPr>
          <w:rFonts w:ascii="Arial" w:hAnsi="Arial" w:cs="Arial"/>
          <w:b w:val="0"/>
          <w:color w:val="000000" w:themeColor="text1"/>
          <w:sz w:val="22"/>
        </w:rPr>
        <w:fldChar w:fldCharType="begin"/>
      </w:r>
      <w:r w:rsidRPr="000E0F90">
        <w:rPr>
          <w:rFonts w:ascii="Arial" w:hAnsi="Arial" w:cs="Arial"/>
          <w:b w:val="0"/>
          <w:color w:val="000000" w:themeColor="text1"/>
          <w:sz w:val="22"/>
        </w:rPr>
        <w:instrText xml:space="preserve"> SEQ Cuadro \* ARABIC </w:instrText>
      </w:r>
      <w:r w:rsidRPr="000E0F90">
        <w:rPr>
          <w:rFonts w:ascii="Arial" w:hAnsi="Arial" w:cs="Arial"/>
          <w:b w:val="0"/>
          <w:color w:val="000000" w:themeColor="text1"/>
          <w:sz w:val="22"/>
        </w:rPr>
        <w:fldChar w:fldCharType="separate"/>
      </w:r>
      <w:r w:rsidR="00225844">
        <w:rPr>
          <w:rFonts w:ascii="Arial" w:hAnsi="Arial" w:cs="Arial"/>
          <w:b w:val="0"/>
          <w:noProof/>
          <w:color w:val="000000" w:themeColor="text1"/>
          <w:sz w:val="22"/>
        </w:rPr>
        <w:t>19</w:t>
      </w:r>
      <w:r w:rsidRPr="000E0F90">
        <w:rPr>
          <w:rFonts w:ascii="Arial" w:hAnsi="Arial" w:cs="Arial"/>
          <w:b w:val="0"/>
          <w:color w:val="000000" w:themeColor="text1"/>
          <w:sz w:val="22"/>
        </w:rPr>
        <w:fldChar w:fldCharType="end"/>
      </w:r>
      <w:r w:rsidRPr="000E0F90">
        <w:rPr>
          <w:rFonts w:ascii="Arial" w:hAnsi="Arial" w:cs="Arial"/>
          <w:b w:val="0"/>
          <w:color w:val="000000" w:themeColor="text1"/>
          <w:sz w:val="22"/>
        </w:rPr>
        <w:t xml:space="preserve">: </w:t>
      </w:r>
      <w:r w:rsidR="008A28B4" w:rsidRPr="000E0F90">
        <w:rPr>
          <w:rFonts w:ascii="Arial" w:hAnsi="Arial" w:cs="Arial"/>
          <w:b w:val="0"/>
          <w:color w:val="000000" w:themeColor="text1"/>
          <w:sz w:val="22"/>
        </w:rPr>
        <w:t xml:space="preserve">Estado </w:t>
      </w:r>
      <w:r w:rsidR="004D60E5" w:rsidRPr="000E0F90">
        <w:rPr>
          <w:rFonts w:ascii="Arial" w:hAnsi="Arial" w:cs="Arial"/>
          <w:b w:val="0"/>
          <w:color w:val="000000" w:themeColor="text1"/>
          <w:sz w:val="22"/>
        </w:rPr>
        <w:t xml:space="preserve">actual de los territorios mineros bajo estudio </w:t>
      </w:r>
      <w:r w:rsidR="008A28B4" w:rsidRPr="000E0F90">
        <w:rPr>
          <w:rFonts w:ascii="Arial" w:hAnsi="Arial" w:cs="Arial"/>
          <w:b w:val="0"/>
          <w:color w:val="000000" w:themeColor="text1"/>
          <w:sz w:val="22"/>
        </w:rPr>
        <w:t xml:space="preserve">de acuerdo </w:t>
      </w:r>
      <w:r w:rsidR="004D60E5" w:rsidRPr="000E0F90">
        <w:rPr>
          <w:rFonts w:ascii="Arial" w:hAnsi="Arial" w:cs="Arial"/>
          <w:b w:val="0"/>
          <w:color w:val="000000" w:themeColor="text1"/>
          <w:sz w:val="22"/>
        </w:rPr>
        <w:t xml:space="preserve">a principios de sostenibilidad </w:t>
      </w:r>
      <w:r w:rsidR="008A28B4" w:rsidRPr="000E0F90">
        <w:rPr>
          <w:rFonts w:ascii="Arial" w:hAnsi="Arial" w:cs="Arial"/>
          <w:b w:val="0"/>
          <w:color w:val="000000" w:themeColor="text1"/>
          <w:sz w:val="22"/>
        </w:rPr>
        <w:t xml:space="preserve">elaborados, </w:t>
      </w:r>
      <w:r w:rsidR="004D60E5" w:rsidRPr="000E0F90">
        <w:rPr>
          <w:rFonts w:ascii="Arial" w:hAnsi="Arial" w:cs="Arial"/>
          <w:b w:val="0"/>
          <w:color w:val="000000" w:themeColor="text1"/>
          <w:sz w:val="22"/>
        </w:rPr>
        <w:t xml:space="preserve">en relación a los criterios de </w:t>
      </w:r>
      <w:r w:rsidR="008A28B4" w:rsidRPr="000E0F90">
        <w:rPr>
          <w:rFonts w:ascii="Arial" w:hAnsi="Arial" w:cs="Arial"/>
          <w:b w:val="0"/>
          <w:color w:val="000000" w:themeColor="text1"/>
          <w:sz w:val="22"/>
        </w:rPr>
        <w:t>Precaución y Adaptación.</w:t>
      </w:r>
    </w:p>
    <w:tbl>
      <w:tblPr>
        <w:tblW w:w="8652" w:type="dxa"/>
        <w:tblInd w:w="65" w:type="dxa"/>
        <w:tblBorders>
          <w:top w:val="single" w:sz="4" w:space="0" w:color="auto"/>
          <w:bottom w:val="single" w:sz="4" w:space="0" w:color="auto"/>
          <w:insideH w:val="single" w:sz="4" w:space="0" w:color="auto"/>
        </w:tblBorders>
        <w:tblLayout w:type="fixed"/>
        <w:tblCellMar>
          <w:left w:w="70" w:type="dxa"/>
          <w:right w:w="70" w:type="dxa"/>
        </w:tblCellMar>
        <w:tblLook w:val="04A0" w:firstRow="1" w:lastRow="0" w:firstColumn="1" w:lastColumn="0" w:noHBand="0" w:noVBand="1"/>
      </w:tblPr>
      <w:tblGrid>
        <w:gridCol w:w="340"/>
        <w:gridCol w:w="7462"/>
        <w:gridCol w:w="425"/>
        <w:gridCol w:w="425"/>
      </w:tblGrid>
      <w:tr w:rsidR="00960558" w:rsidRPr="000E0F90" w:rsidTr="00983747">
        <w:trPr>
          <w:trHeight w:val="255"/>
        </w:trPr>
        <w:tc>
          <w:tcPr>
            <w:tcW w:w="340" w:type="dxa"/>
            <w:tcBorders>
              <w:bottom w:val="nil"/>
            </w:tcBorders>
            <w:shd w:val="clear" w:color="auto" w:fill="D9D9D9" w:themeFill="background1" w:themeFillShade="D9"/>
          </w:tcPr>
          <w:p w:rsidR="00960558" w:rsidRPr="000E0F90" w:rsidRDefault="00960558" w:rsidP="003E5477">
            <w:pPr>
              <w:spacing w:after="0" w:line="240" w:lineRule="auto"/>
              <w:jc w:val="left"/>
              <w:rPr>
                <w:rFonts w:ascii="Arial" w:eastAsia="Times New Roman" w:hAnsi="Arial" w:cs="Arial"/>
                <w:b/>
                <w:bCs/>
                <w:color w:val="000000" w:themeColor="text1"/>
                <w:szCs w:val="20"/>
                <w:lang w:eastAsia="es-CL"/>
              </w:rPr>
            </w:pPr>
          </w:p>
        </w:tc>
        <w:tc>
          <w:tcPr>
            <w:tcW w:w="7462" w:type="dxa"/>
            <w:tcBorders>
              <w:bottom w:val="nil"/>
            </w:tcBorders>
            <w:shd w:val="clear" w:color="auto" w:fill="D9D9D9" w:themeFill="background1" w:themeFillShade="D9"/>
            <w:vAlign w:val="bottom"/>
          </w:tcPr>
          <w:p w:rsidR="00960558" w:rsidRPr="000E0F90" w:rsidRDefault="00960558" w:rsidP="003146B0">
            <w:pPr>
              <w:spacing w:after="0" w:line="240" w:lineRule="auto"/>
              <w:jc w:val="left"/>
              <w:rPr>
                <w:rFonts w:ascii="Arial" w:eastAsia="Times New Roman" w:hAnsi="Arial" w:cs="Arial"/>
                <w:b/>
                <w:color w:val="000000" w:themeColor="text1"/>
                <w:szCs w:val="20"/>
                <w:lang w:eastAsia="es-CL"/>
              </w:rPr>
            </w:pPr>
          </w:p>
        </w:tc>
        <w:tc>
          <w:tcPr>
            <w:tcW w:w="850" w:type="dxa"/>
            <w:gridSpan w:val="2"/>
            <w:tcBorders>
              <w:bottom w:val="nil"/>
            </w:tcBorders>
            <w:shd w:val="clear" w:color="auto" w:fill="D9D9D9" w:themeFill="background1" w:themeFillShade="D9"/>
            <w:noWrap/>
            <w:vAlign w:val="bottom"/>
          </w:tcPr>
          <w:p w:rsidR="00960558" w:rsidRPr="000E0F90" w:rsidRDefault="00960558" w:rsidP="003E5477">
            <w:pPr>
              <w:spacing w:after="0" w:line="240" w:lineRule="auto"/>
              <w:jc w:val="center"/>
              <w:rPr>
                <w:rFonts w:ascii="Arial" w:eastAsia="Times New Roman" w:hAnsi="Arial" w:cs="Arial"/>
                <w:b/>
                <w:color w:val="000000" w:themeColor="text1"/>
                <w:sz w:val="20"/>
                <w:szCs w:val="20"/>
                <w:lang w:eastAsia="es-CL"/>
              </w:rPr>
            </w:pPr>
            <w:r w:rsidRPr="000E0F90">
              <w:rPr>
                <w:rFonts w:ascii="Arial" w:eastAsia="Times New Roman" w:hAnsi="Arial" w:cs="Arial"/>
                <w:b/>
                <w:color w:val="000000" w:themeColor="text1"/>
                <w:sz w:val="20"/>
                <w:szCs w:val="20"/>
                <w:lang w:eastAsia="es-CL"/>
              </w:rPr>
              <w:t>Región</w:t>
            </w:r>
          </w:p>
        </w:tc>
      </w:tr>
      <w:tr w:rsidR="00960558" w:rsidRPr="000E0F90" w:rsidTr="00983747">
        <w:trPr>
          <w:trHeight w:val="255"/>
        </w:trPr>
        <w:tc>
          <w:tcPr>
            <w:tcW w:w="340" w:type="dxa"/>
            <w:tcBorders>
              <w:top w:val="nil"/>
              <w:bottom w:val="single" w:sz="4" w:space="0" w:color="auto"/>
            </w:tcBorders>
            <w:shd w:val="clear" w:color="auto" w:fill="D9D9D9" w:themeFill="background1" w:themeFillShade="D9"/>
          </w:tcPr>
          <w:p w:rsidR="00960558" w:rsidRPr="000E0F90" w:rsidRDefault="00960558" w:rsidP="003E5477">
            <w:pPr>
              <w:spacing w:after="0" w:line="240" w:lineRule="auto"/>
              <w:jc w:val="left"/>
              <w:rPr>
                <w:rFonts w:ascii="Arial" w:eastAsia="Times New Roman" w:hAnsi="Arial" w:cs="Arial"/>
                <w:b/>
                <w:color w:val="000000" w:themeColor="text1"/>
                <w:szCs w:val="20"/>
                <w:lang w:eastAsia="es-CL"/>
              </w:rPr>
            </w:pPr>
          </w:p>
        </w:tc>
        <w:tc>
          <w:tcPr>
            <w:tcW w:w="7462" w:type="dxa"/>
            <w:tcBorders>
              <w:top w:val="nil"/>
              <w:bottom w:val="single" w:sz="4" w:space="0" w:color="auto"/>
            </w:tcBorders>
            <w:shd w:val="clear" w:color="auto" w:fill="D9D9D9" w:themeFill="background1" w:themeFillShade="D9"/>
            <w:vAlign w:val="bottom"/>
            <w:hideMark/>
          </w:tcPr>
          <w:p w:rsidR="00960558" w:rsidRPr="000E0F90" w:rsidRDefault="00960558" w:rsidP="00983747">
            <w:pPr>
              <w:spacing w:after="0" w:line="240" w:lineRule="auto"/>
              <w:jc w:val="left"/>
              <w:rPr>
                <w:rFonts w:ascii="Arial" w:eastAsia="Times New Roman" w:hAnsi="Arial" w:cs="Arial"/>
                <w:b/>
                <w:color w:val="000000" w:themeColor="text1"/>
                <w:szCs w:val="20"/>
                <w:lang w:eastAsia="es-CL"/>
              </w:rPr>
            </w:pPr>
            <w:r w:rsidRPr="000E0F90">
              <w:rPr>
                <w:rFonts w:ascii="Arial" w:eastAsia="Times New Roman" w:hAnsi="Arial" w:cs="Arial"/>
                <w:b/>
                <w:color w:val="000000" w:themeColor="text1"/>
                <w:szCs w:val="20"/>
                <w:lang w:eastAsia="es-CL"/>
              </w:rPr>
              <w:t> </w:t>
            </w:r>
            <w:r w:rsidR="00225844" w:rsidRPr="000E0F90">
              <w:rPr>
                <w:rFonts w:ascii="Arial" w:eastAsia="Times New Roman" w:hAnsi="Arial" w:cs="Arial"/>
                <w:b/>
                <w:color w:val="000000" w:themeColor="text1"/>
                <w:szCs w:val="20"/>
                <w:lang w:eastAsia="es-CL"/>
              </w:rPr>
              <w:t>Criterios</w:t>
            </w:r>
            <w:r w:rsidR="00225844" w:rsidRPr="000E0F90">
              <w:rPr>
                <w:rFonts w:ascii="Arial" w:eastAsia="Times New Roman" w:hAnsi="Arial" w:cs="Arial"/>
                <w:b/>
                <w:bCs/>
                <w:color w:val="000000" w:themeColor="text1"/>
                <w:szCs w:val="20"/>
                <w:lang w:eastAsia="es-CL"/>
              </w:rPr>
              <w:t xml:space="preserve"> Precaución y Adaptación</w:t>
            </w:r>
            <w:r w:rsidR="00225844" w:rsidRPr="000E0F90">
              <w:rPr>
                <w:rFonts w:ascii="Arial" w:eastAsia="Times New Roman" w:hAnsi="Arial" w:cs="Arial"/>
                <w:color w:val="000000" w:themeColor="text1"/>
                <w:szCs w:val="20"/>
                <w:lang w:eastAsia="es-CL"/>
              </w:rPr>
              <w:t> </w:t>
            </w:r>
          </w:p>
        </w:tc>
        <w:tc>
          <w:tcPr>
            <w:tcW w:w="425" w:type="dxa"/>
            <w:tcBorders>
              <w:top w:val="nil"/>
              <w:bottom w:val="single" w:sz="4" w:space="0" w:color="auto"/>
            </w:tcBorders>
            <w:shd w:val="clear" w:color="auto" w:fill="D9D9D9" w:themeFill="background1" w:themeFillShade="D9"/>
            <w:noWrap/>
            <w:vAlign w:val="bottom"/>
            <w:hideMark/>
          </w:tcPr>
          <w:p w:rsidR="00960558" w:rsidRPr="000E0F90" w:rsidRDefault="00960558" w:rsidP="00960558">
            <w:pPr>
              <w:spacing w:after="0" w:line="240" w:lineRule="auto"/>
              <w:jc w:val="center"/>
              <w:rPr>
                <w:rFonts w:ascii="Arial" w:eastAsia="Times New Roman" w:hAnsi="Arial" w:cs="Arial"/>
                <w:b/>
                <w:color w:val="000000" w:themeColor="text1"/>
                <w:szCs w:val="20"/>
                <w:lang w:eastAsia="es-CL"/>
              </w:rPr>
            </w:pPr>
            <w:r w:rsidRPr="000E0F90">
              <w:rPr>
                <w:rFonts w:ascii="Arial" w:eastAsia="Times New Roman" w:hAnsi="Arial" w:cs="Arial"/>
                <w:b/>
                <w:color w:val="000000" w:themeColor="text1"/>
                <w:szCs w:val="20"/>
                <w:lang w:eastAsia="es-CL"/>
              </w:rPr>
              <w:t xml:space="preserve"> III </w:t>
            </w:r>
          </w:p>
        </w:tc>
        <w:tc>
          <w:tcPr>
            <w:tcW w:w="425" w:type="dxa"/>
            <w:tcBorders>
              <w:top w:val="nil"/>
              <w:bottom w:val="single" w:sz="4" w:space="0" w:color="auto"/>
            </w:tcBorders>
            <w:shd w:val="clear" w:color="auto" w:fill="D9D9D9" w:themeFill="background1" w:themeFillShade="D9"/>
            <w:noWrap/>
            <w:vAlign w:val="bottom"/>
            <w:hideMark/>
          </w:tcPr>
          <w:p w:rsidR="00960558" w:rsidRPr="000E0F90" w:rsidRDefault="00960558" w:rsidP="00960558">
            <w:pPr>
              <w:spacing w:after="0" w:line="240" w:lineRule="auto"/>
              <w:jc w:val="center"/>
              <w:rPr>
                <w:rFonts w:ascii="Arial" w:eastAsia="Times New Roman" w:hAnsi="Arial" w:cs="Arial"/>
                <w:b/>
                <w:color w:val="000000" w:themeColor="text1"/>
                <w:szCs w:val="20"/>
                <w:lang w:eastAsia="es-CL"/>
              </w:rPr>
            </w:pPr>
            <w:r w:rsidRPr="000E0F90">
              <w:rPr>
                <w:rFonts w:ascii="Arial" w:eastAsia="Times New Roman" w:hAnsi="Arial" w:cs="Arial"/>
                <w:b/>
                <w:color w:val="000000" w:themeColor="text1"/>
                <w:szCs w:val="20"/>
                <w:lang w:eastAsia="es-CL"/>
              </w:rPr>
              <w:t xml:space="preserve"> IV </w:t>
            </w:r>
          </w:p>
        </w:tc>
      </w:tr>
      <w:tr w:rsidR="004D60E5" w:rsidRPr="000E0F90" w:rsidTr="00983747">
        <w:trPr>
          <w:trHeight w:val="510"/>
        </w:trPr>
        <w:tc>
          <w:tcPr>
            <w:tcW w:w="340" w:type="dxa"/>
            <w:tcBorders>
              <w:bottom w:val="nil"/>
            </w:tcBorders>
          </w:tcPr>
          <w:p w:rsidR="004D60E5" w:rsidRPr="000E0F90" w:rsidRDefault="004D60E5" w:rsidP="00F10A5D">
            <w:pPr>
              <w:pStyle w:val="NormalWeb"/>
              <w:spacing w:before="0" w:beforeAutospacing="0" w:after="0" w:afterAutospacing="0"/>
              <w:textAlignment w:val="center"/>
              <w:rPr>
                <w:rFonts w:ascii="Arial" w:hAnsi="Arial" w:cs="Arial"/>
                <w:bCs/>
                <w:color w:val="000000" w:themeColor="text1"/>
                <w:kern w:val="24"/>
                <w:sz w:val="20"/>
                <w:szCs w:val="20"/>
              </w:rPr>
            </w:pPr>
            <w:r w:rsidRPr="000E0F90">
              <w:rPr>
                <w:rFonts w:ascii="Arial" w:hAnsi="Arial" w:cs="Arial"/>
                <w:bCs/>
                <w:color w:val="000000" w:themeColor="text1"/>
                <w:kern w:val="24"/>
                <w:sz w:val="20"/>
                <w:szCs w:val="20"/>
              </w:rPr>
              <w:t>1</w:t>
            </w:r>
          </w:p>
        </w:tc>
        <w:tc>
          <w:tcPr>
            <w:tcW w:w="7462" w:type="dxa"/>
            <w:tcBorders>
              <w:bottom w:val="nil"/>
            </w:tcBorders>
            <w:shd w:val="clear" w:color="auto" w:fill="auto"/>
            <w:vAlign w:val="center"/>
          </w:tcPr>
          <w:p w:rsidR="004D60E5" w:rsidRPr="00FA7E30" w:rsidRDefault="004D60E5" w:rsidP="00F10A5D">
            <w:pPr>
              <w:pStyle w:val="NormalWeb"/>
              <w:spacing w:before="0" w:beforeAutospacing="0" w:after="0" w:afterAutospacing="0"/>
              <w:textAlignment w:val="center"/>
              <w:rPr>
                <w:rFonts w:ascii="Arial" w:hAnsi="Arial" w:cs="Arial"/>
                <w:bCs/>
                <w:color w:val="000000" w:themeColor="text1"/>
                <w:kern w:val="24"/>
                <w:sz w:val="20"/>
                <w:szCs w:val="20"/>
              </w:rPr>
            </w:pPr>
            <w:r w:rsidRPr="00FA7E30">
              <w:rPr>
                <w:rFonts w:ascii="Arial" w:hAnsi="Arial" w:cs="Arial"/>
                <w:bCs/>
                <w:color w:val="000000" w:themeColor="text1"/>
                <w:kern w:val="24"/>
                <w:sz w:val="20"/>
                <w:szCs w:val="20"/>
              </w:rPr>
              <w:t xml:space="preserve">Considerar no llevar a cabo propuestas de desarrollo donde coincide </w:t>
            </w:r>
            <w:r w:rsidRPr="00FA7E30">
              <w:rPr>
                <w:rFonts w:ascii="Arial" w:hAnsi="Arial" w:cs="Arial"/>
                <w:color w:val="000000" w:themeColor="text1"/>
                <w:kern w:val="24"/>
                <w:sz w:val="20"/>
                <w:szCs w:val="20"/>
              </w:rPr>
              <w:t xml:space="preserve">simultáneamente, incertidumbre científica, irreversibilidad, </w:t>
            </w:r>
            <w:r w:rsidRPr="00FA7E30">
              <w:rPr>
                <w:rFonts w:ascii="Arial" w:hAnsi="Arial" w:cs="Arial"/>
                <w:bCs/>
                <w:color w:val="000000" w:themeColor="text1"/>
                <w:kern w:val="24"/>
                <w:sz w:val="20"/>
                <w:szCs w:val="20"/>
              </w:rPr>
              <w:t>pérdidas excesivas</w:t>
            </w:r>
            <w:r w:rsidRPr="00FA7E30">
              <w:rPr>
                <w:rFonts w:ascii="Arial" w:hAnsi="Arial" w:cs="Arial"/>
                <w:color w:val="000000" w:themeColor="text1"/>
                <w:kern w:val="24"/>
                <w:sz w:val="20"/>
                <w:szCs w:val="20"/>
              </w:rPr>
              <w:t xml:space="preserve"> e impactos de gran magnitud </w:t>
            </w:r>
          </w:p>
        </w:tc>
        <w:tc>
          <w:tcPr>
            <w:tcW w:w="425" w:type="dxa"/>
            <w:tcBorders>
              <w:bottom w:val="nil"/>
            </w:tcBorders>
            <w:shd w:val="clear" w:color="auto" w:fill="FF0000"/>
            <w:noWrap/>
            <w:vAlign w:val="center"/>
          </w:tcPr>
          <w:p w:rsidR="004D60E5" w:rsidRPr="000E0F90" w:rsidRDefault="004D60E5" w:rsidP="00F10A5D">
            <w:pPr>
              <w:spacing w:after="0" w:line="240" w:lineRule="auto"/>
              <w:jc w:val="center"/>
              <w:rPr>
                <w:rFonts w:ascii="Arial" w:eastAsia="Times New Roman" w:hAnsi="Arial" w:cs="Arial"/>
                <w:color w:val="000000" w:themeColor="text1"/>
                <w:sz w:val="20"/>
                <w:szCs w:val="20"/>
                <w:lang w:eastAsia="es-CL"/>
              </w:rPr>
            </w:pPr>
            <w:r w:rsidRPr="000E0F90">
              <w:rPr>
                <w:rFonts w:ascii="Arial" w:eastAsia="Times New Roman" w:hAnsi="Arial" w:cs="Arial"/>
                <w:color w:val="000000" w:themeColor="text1"/>
                <w:sz w:val="20"/>
                <w:szCs w:val="20"/>
                <w:lang w:eastAsia="es-CL"/>
              </w:rPr>
              <w:t>N</w:t>
            </w:r>
          </w:p>
        </w:tc>
        <w:tc>
          <w:tcPr>
            <w:tcW w:w="425" w:type="dxa"/>
            <w:tcBorders>
              <w:bottom w:val="nil"/>
            </w:tcBorders>
            <w:shd w:val="clear" w:color="auto" w:fill="FF0000"/>
            <w:noWrap/>
            <w:vAlign w:val="center"/>
          </w:tcPr>
          <w:p w:rsidR="004D60E5" w:rsidRPr="000E0F90" w:rsidRDefault="004D60E5" w:rsidP="00F10A5D">
            <w:pPr>
              <w:spacing w:after="0" w:line="240" w:lineRule="auto"/>
              <w:jc w:val="center"/>
              <w:rPr>
                <w:rFonts w:ascii="Arial" w:eastAsia="Times New Roman" w:hAnsi="Arial" w:cs="Arial"/>
                <w:color w:val="000000" w:themeColor="text1"/>
                <w:sz w:val="20"/>
                <w:szCs w:val="20"/>
                <w:lang w:eastAsia="es-CL"/>
              </w:rPr>
            </w:pPr>
            <w:r w:rsidRPr="000E0F90">
              <w:rPr>
                <w:rFonts w:ascii="Arial" w:eastAsia="Times New Roman" w:hAnsi="Arial" w:cs="Arial"/>
                <w:color w:val="000000" w:themeColor="text1"/>
                <w:sz w:val="20"/>
                <w:szCs w:val="20"/>
                <w:lang w:eastAsia="es-CL"/>
              </w:rPr>
              <w:t>N</w:t>
            </w:r>
          </w:p>
        </w:tc>
      </w:tr>
      <w:tr w:rsidR="004D60E5" w:rsidRPr="000E0F90" w:rsidTr="00983747">
        <w:trPr>
          <w:trHeight w:val="510"/>
        </w:trPr>
        <w:tc>
          <w:tcPr>
            <w:tcW w:w="340" w:type="dxa"/>
            <w:tcBorders>
              <w:top w:val="nil"/>
              <w:bottom w:val="nil"/>
            </w:tcBorders>
          </w:tcPr>
          <w:p w:rsidR="004D60E5" w:rsidRPr="000E0F90" w:rsidRDefault="004D60E5" w:rsidP="003E5477">
            <w:pPr>
              <w:pStyle w:val="NormalWeb"/>
              <w:spacing w:before="0" w:beforeAutospacing="0" w:after="0" w:afterAutospacing="0"/>
              <w:textAlignment w:val="center"/>
              <w:rPr>
                <w:rFonts w:ascii="Arial" w:hAnsi="Arial" w:cs="Arial"/>
                <w:bCs/>
                <w:color w:val="000000" w:themeColor="text1"/>
                <w:kern w:val="24"/>
                <w:sz w:val="20"/>
                <w:szCs w:val="20"/>
              </w:rPr>
            </w:pPr>
            <w:r w:rsidRPr="000E0F90">
              <w:rPr>
                <w:rFonts w:ascii="Arial" w:hAnsi="Arial" w:cs="Arial"/>
                <w:bCs/>
                <w:color w:val="000000" w:themeColor="text1"/>
                <w:kern w:val="24"/>
                <w:sz w:val="20"/>
                <w:szCs w:val="20"/>
              </w:rPr>
              <w:t>2</w:t>
            </w:r>
          </w:p>
        </w:tc>
        <w:tc>
          <w:tcPr>
            <w:tcW w:w="7462" w:type="dxa"/>
            <w:tcBorders>
              <w:top w:val="nil"/>
              <w:bottom w:val="nil"/>
            </w:tcBorders>
            <w:shd w:val="clear" w:color="auto" w:fill="auto"/>
            <w:vAlign w:val="center"/>
          </w:tcPr>
          <w:p w:rsidR="004D60E5" w:rsidRPr="00FA7E30" w:rsidRDefault="004D60E5" w:rsidP="00F10A5D">
            <w:pPr>
              <w:pStyle w:val="NormalWeb"/>
              <w:spacing w:before="0" w:beforeAutospacing="0" w:after="0" w:afterAutospacing="0"/>
              <w:textAlignment w:val="center"/>
              <w:rPr>
                <w:rFonts w:ascii="Arial" w:hAnsi="Arial" w:cs="Arial"/>
                <w:color w:val="000000" w:themeColor="text1"/>
                <w:sz w:val="20"/>
                <w:szCs w:val="20"/>
              </w:rPr>
            </w:pPr>
            <w:r w:rsidRPr="00FA7E30">
              <w:rPr>
                <w:rFonts w:ascii="Arial" w:hAnsi="Arial" w:cs="Arial"/>
                <w:color w:val="000000" w:themeColor="text1"/>
                <w:sz w:val="20"/>
              </w:rPr>
              <w:t>Proceder con cautela en situaciones de riesgo, eligiendo la mejor alternativa dada la incertidumbre y escaso entendimiento y la potencialidad de los peligros</w:t>
            </w:r>
          </w:p>
        </w:tc>
        <w:tc>
          <w:tcPr>
            <w:tcW w:w="425" w:type="dxa"/>
            <w:tcBorders>
              <w:top w:val="nil"/>
              <w:bottom w:val="nil"/>
            </w:tcBorders>
            <w:shd w:val="clear" w:color="auto" w:fill="auto"/>
            <w:noWrap/>
            <w:vAlign w:val="center"/>
          </w:tcPr>
          <w:p w:rsidR="004D60E5" w:rsidRPr="000E0F90" w:rsidRDefault="004D60E5" w:rsidP="00B23A83">
            <w:pPr>
              <w:spacing w:after="0" w:line="240" w:lineRule="auto"/>
              <w:jc w:val="center"/>
              <w:rPr>
                <w:rFonts w:ascii="Arial" w:eastAsia="Times New Roman" w:hAnsi="Arial" w:cs="Arial"/>
                <w:color w:val="000000" w:themeColor="text1"/>
                <w:sz w:val="20"/>
                <w:szCs w:val="20"/>
                <w:lang w:eastAsia="es-CL"/>
              </w:rPr>
            </w:pPr>
          </w:p>
        </w:tc>
        <w:tc>
          <w:tcPr>
            <w:tcW w:w="425" w:type="dxa"/>
            <w:tcBorders>
              <w:top w:val="nil"/>
              <w:bottom w:val="nil"/>
            </w:tcBorders>
            <w:shd w:val="clear" w:color="auto" w:fill="auto"/>
            <w:noWrap/>
            <w:vAlign w:val="center"/>
          </w:tcPr>
          <w:p w:rsidR="004D60E5" w:rsidRPr="000E0F90" w:rsidRDefault="004D60E5" w:rsidP="00B23A83">
            <w:pPr>
              <w:spacing w:after="0" w:line="240" w:lineRule="auto"/>
              <w:jc w:val="center"/>
              <w:rPr>
                <w:rFonts w:ascii="Arial" w:eastAsia="Times New Roman" w:hAnsi="Arial" w:cs="Arial"/>
                <w:color w:val="000000" w:themeColor="text1"/>
                <w:sz w:val="20"/>
                <w:szCs w:val="20"/>
                <w:lang w:eastAsia="es-CL"/>
              </w:rPr>
            </w:pPr>
          </w:p>
        </w:tc>
      </w:tr>
      <w:tr w:rsidR="004D60E5" w:rsidRPr="000E0F90" w:rsidTr="00983747">
        <w:trPr>
          <w:trHeight w:val="510"/>
        </w:trPr>
        <w:tc>
          <w:tcPr>
            <w:tcW w:w="340" w:type="dxa"/>
            <w:tcBorders>
              <w:top w:val="nil"/>
              <w:bottom w:val="nil"/>
            </w:tcBorders>
            <w:shd w:val="clear" w:color="auto" w:fill="auto"/>
          </w:tcPr>
          <w:p w:rsidR="004D60E5" w:rsidRPr="000E0F90" w:rsidRDefault="004D60E5" w:rsidP="003E5477">
            <w:pPr>
              <w:pStyle w:val="NormalWeb"/>
              <w:spacing w:before="0" w:beforeAutospacing="0" w:after="0" w:afterAutospacing="0"/>
              <w:textAlignment w:val="center"/>
              <w:rPr>
                <w:rFonts w:ascii="Arial" w:hAnsi="Arial" w:cs="Arial"/>
                <w:bCs/>
                <w:color w:val="000000" w:themeColor="text1"/>
                <w:kern w:val="24"/>
                <w:sz w:val="20"/>
                <w:szCs w:val="20"/>
              </w:rPr>
            </w:pPr>
            <w:r w:rsidRPr="000E0F90">
              <w:rPr>
                <w:rFonts w:ascii="Arial" w:hAnsi="Arial" w:cs="Arial"/>
                <w:bCs/>
                <w:color w:val="000000" w:themeColor="text1"/>
                <w:kern w:val="24"/>
                <w:sz w:val="20"/>
                <w:szCs w:val="20"/>
              </w:rPr>
              <w:t>3</w:t>
            </w:r>
          </w:p>
        </w:tc>
        <w:tc>
          <w:tcPr>
            <w:tcW w:w="7462" w:type="dxa"/>
            <w:tcBorders>
              <w:top w:val="nil"/>
              <w:bottom w:val="nil"/>
            </w:tcBorders>
            <w:shd w:val="clear" w:color="auto" w:fill="auto"/>
            <w:vAlign w:val="center"/>
          </w:tcPr>
          <w:p w:rsidR="004D60E5" w:rsidRPr="00FA7E30" w:rsidRDefault="004D60E5" w:rsidP="00F10A5D">
            <w:pPr>
              <w:pStyle w:val="NormalWeb"/>
              <w:spacing w:before="0" w:beforeAutospacing="0" w:after="0" w:afterAutospacing="0"/>
              <w:textAlignment w:val="center"/>
              <w:rPr>
                <w:rFonts w:ascii="Arial" w:hAnsi="Arial" w:cs="Arial"/>
                <w:bCs/>
                <w:color w:val="000000" w:themeColor="text1"/>
                <w:kern w:val="24"/>
                <w:sz w:val="20"/>
                <w:szCs w:val="20"/>
              </w:rPr>
            </w:pPr>
            <w:r w:rsidRPr="00FA7E30">
              <w:rPr>
                <w:rFonts w:ascii="Arial" w:hAnsi="Arial" w:cs="Arial"/>
                <w:bCs/>
                <w:color w:val="000000" w:themeColor="text1"/>
                <w:kern w:val="24"/>
                <w:sz w:val="20"/>
                <w:szCs w:val="20"/>
              </w:rPr>
              <w:t>Preservar elementos fundacionales del territorio, como es la funcionalidad cruci</w:t>
            </w:r>
            <w:r w:rsidR="00E51C30">
              <w:rPr>
                <w:rFonts w:ascii="Arial" w:hAnsi="Arial" w:cs="Arial"/>
                <w:bCs/>
                <w:color w:val="000000" w:themeColor="text1"/>
                <w:kern w:val="24"/>
                <w:sz w:val="20"/>
                <w:szCs w:val="20"/>
              </w:rPr>
              <w:t xml:space="preserve">al de ecosistemas, la salud y seguridad </w:t>
            </w:r>
            <w:r w:rsidRPr="00FA7E30">
              <w:rPr>
                <w:rFonts w:ascii="Arial" w:hAnsi="Arial" w:cs="Arial"/>
                <w:bCs/>
                <w:color w:val="000000" w:themeColor="text1"/>
                <w:kern w:val="24"/>
                <w:sz w:val="20"/>
                <w:szCs w:val="20"/>
              </w:rPr>
              <w:t>humana</w:t>
            </w:r>
            <w:r w:rsidR="00E51C30">
              <w:rPr>
                <w:rFonts w:ascii="Arial" w:hAnsi="Arial" w:cs="Arial"/>
                <w:bCs/>
                <w:color w:val="000000" w:themeColor="text1"/>
                <w:kern w:val="24"/>
                <w:sz w:val="20"/>
                <w:szCs w:val="20"/>
              </w:rPr>
              <w:t>,</w:t>
            </w:r>
            <w:r w:rsidRPr="00FA7E30">
              <w:rPr>
                <w:rFonts w:ascii="Arial" w:hAnsi="Arial" w:cs="Arial"/>
                <w:bCs/>
                <w:color w:val="000000" w:themeColor="text1"/>
                <w:kern w:val="24"/>
                <w:sz w:val="20"/>
                <w:szCs w:val="20"/>
              </w:rPr>
              <w:t xml:space="preserve"> y valores de comunidades</w:t>
            </w:r>
          </w:p>
        </w:tc>
        <w:tc>
          <w:tcPr>
            <w:tcW w:w="425" w:type="dxa"/>
            <w:tcBorders>
              <w:top w:val="nil"/>
              <w:bottom w:val="nil"/>
            </w:tcBorders>
            <w:shd w:val="clear" w:color="auto" w:fill="FF0000"/>
            <w:noWrap/>
            <w:vAlign w:val="center"/>
          </w:tcPr>
          <w:p w:rsidR="004D60E5" w:rsidRPr="000E0F90" w:rsidRDefault="00B95958" w:rsidP="00317480">
            <w:pPr>
              <w:spacing w:after="0" w:line="240" w:lineRule="auto"/>
              <w:jc w:val="center"/>
              <w:rPr>
                <w:rFonts w:ascii="Arial" w:eastAsia="Times New Roman" w:hAnsi="Arial" w:cs="Arial"/>
                <w:color w:val="000000" w:themeColor="text1"/>
                <w:sz w:val="20"/>
                <w:szCs w:val="20"/>
                <w:lang w:eastAsia="es-CL"/>
              </w:rPr>
            </w:pPr>
            <w:r w:rsidRPr="000E0F90">
              <w:rPr>
                <w:rFonts w:ascii="Arial" w:eastAsia="Times New Roman" w:hAnsi="Arial" w:cs="Arial"/>
                <w:color w:val="000000" w:themeColor="text1"/>
                <w:sz w:val="20"/>
                <w:szCs w:val="20"/>
                <w:lang w:eastAsia="es-CL"/>
              </w:rPr>
              <w:t>N</w:t>
            </w:r>
          </w:p>
        </w:tc>
        <w:tc>
          <w:tcPr>
            <w:tcW w:w="425" w:type="dxa"/>
            <w:tcBorders>
              <w:top w:val="nil"/>
              <w:bottom w:val="nil"/>
            </w:tcBorders>
            <w:shd w:val="clear" w:color="auto" w:fill="FF0000"/>
            <w:noWrap/>
            <w:vAlign w:val="center"/>
          </w:tcPr>
          <w:p w:rsidR="004D60E5" w:rsidRPr="000E0F90" w:rsidRDefault="00B95958" w:rsidP="00317480">
            <w:pPr>
              <w:spacing w:after="0" w:line="240" w:lineRule="auto"/>
              <w:jc w:val="center"/>
              <w:rPr>
                <w:rFonts w:ascii="Arial" w:eastAsia="Times New Roman" w:hAnsi="Arial" w:cs="Arial"/>
                <w:color w:val="000000" w:themeColor="text1"/>
                <w:sz w:val="20"/>
                <w:szCs w:val="20"/>
                <w:lang w:eastAsia="es-CL"/>
              </w:rPr>
            </w:pPr>
            <w:r w:rsidRPr="000E0F90">
              <w:rPr>
                <w:rFonts w:ascii="Arial" w:eastAsia="Times New Roman" w:hAnsi="Arial" w:cs="Arial"/>
                <w:color w:val="000000" w:themeColor="text1"/>
                <w:sz w:val="20"/>
                <w:szCs w:val="20"/>
                <w:lang w:eastAsia="es-CL"/>
              </w:rPr>
              <w:t>N</w:t>
            </w:r>
          </w:p>
        </w:tc>
      </w:tr>
      <w:tr w:rsidR="004D60E5" w:rsidRPr="000E0F90" w:rsidTr="00983747">
        <w:trPr>
          <w:trHeight w:val="510"/>
        </w:trPr>
        <w:tc>
          <w:tcPr>
            <w:tcW w:w="340" w:type="dxa"/>
            <w:tcBorders>
              <w:top w:val="nil"/>
              <w:bottom w:val="nil"/>
            </w:tcBorders>
          </w:tcPr>
          <w:p w:rsidR="004D60E5" w:rsidRPr="000E0F90" w:rsidRDefault="004D60E5" w:rsidP="00F10A5D">
            <w:pPr>
              <w:pStyle w:val="NormalWeb"/>
              <w:spacing w:before="0" w:beforeAutospacing="0" w:after="0" w:afterAutospacing="0"/>
              <w:textAlignment w:val="bottom"/>
              <w:rPr>
                <w:rFonts w:ascii="Arial" w:hAnsi="Arial" w:cs="Arial"/>
                <w:color w:val="000000" w:themeColor="text1"/>
                <w:kern w:val="24"/>
                <w:sz w:val="20"/>
                <w:szCs w:val="20"/>
              </w:rPr>
            </w:pPr>
            <w:r w:rsidRPr="000E0F90">
              <w:rPr>
                <w:rFonts w:ascii="Arial" w:hAnsi="Arial" w:cs="Arial"/>
                <w:color w:val="000000" w:themeColor="text1"/>
                <w:kern w:val="24"/>
                <w:sz w:val="20"/>
                <w:szCs w:val="20"/>
              </w:rPr>
              <w:t>4</w:t>
            </w:r>
          </w:p>
        </w:tc>
        <w:tc>
          <w:tcPr>
            <w:tcW w:w="7462" w:type="dxa"/>
            <w:tcBorders>
              <w:top w:val="nil"/>
              <w:bottom w:val="nil"/>
            </w:tcBorders>
            <w:shd w:val="clear" w:color="auto" w:fill="auto"/>
            <w:vAlign w:val="bottom"/>
          </w:tcPr>
          <w:p w:rsidR="004D60E5" w:rsidRPr="00FA7E30" w:rsidRDefault="004D60E5" w:rsidP="00F10A5D">
            <w:pPr>
              <w:pStyle w:val="NormalWeb"/>
              <w:spacing w:before="0" w:beforeAutospacing="0" w:after="0" w:afterAutospacing="0"/>
              <w:textAlignment w:val="bottom"/>
              <w:rPr>
                <w:rFonts w:ascii="Arial" w:hAnsi="Arial" w:cs="Arial"/>
                <w:color w:val="000000" w:themeColor="text1"/>
                <w:kern w:val="24"/>
                <w:sz w:val="20"/>
                <w:szCs w:val="20"/>
              </w:rPr>
            </w:pPr>
            <w:r w:rsidRPr="00FA7E30">
              <w:rPr>
                <w:rFonts w:ascii="Arial" w:hAnsi="Arial" w:cs="Arial"/>
                <w:color w:val="000000" w:themeColor="text1"/>
                <w:kern w:val="24"/>
                <w:sz w:val="20"/>
                <w:szCs w:val="20"/>
              </w:rPr>
              <w:t>Fomentar y preservar las dimensiones territoriales (culturales, políticas, económicas, sociales, productivas, estéticas, etc. ), de forma de asegurar la continuidad de entrega de beneficios a la humanidad en el tiempo</w:t>
            </w:r>
            <w:r w:rsidRPr="00FA7E30">
              <w:rPr>
                <w:rFonts w:ascii="Arial" w:hAnsi="Arial" w:cs="Arial"/>
                <w:color w:val="000000" w:themeColor="text1"/>
                <w:sz w:val="20"/>
                <w:szCs w:val="36"/>
              </w:rPr>
              <w:t xml:space="preserve"> </w:t>
            </w:r>
          </w:p>
        </w:tc>
        <w:tc>
          <w:tcPr>
            <w:tcW w:w="425" w:type="dxa"/>
            <w:tcBorders>
              <w:top w:val="nil"/>
              <w:bottom w:val="nil"/>
            </w:tcBorders>
            <w:shd w:val="clear" w:color="auto" w:fill="FFFF00"/>
            <w:noWrap/>
            <w:vAlign w:val="center"/>
          </w:tcPr>
          <w:p w:rsidR="004D60E5" w:rsidRPr="000E0F90" w:rsidRDefault="004D60E5" w:rsidP="00F10A5D">
            <w:pPr>
              <w:spacing w:after="0" w:line="240" w:lineRule="auto"/>
              <w:jc w:val="center"/>
              <w:rPr>
                <w:rFonts w:ascii="Arial" w:eastAsia="Times New Roman" w:hAnsi="Arial" w:cs="Arial"/>
                <w:color w:val="000000" w:themeColor="text1"/>
                <w:sz w:val="20"/>
                <w:szCs w:val="20"/>
                <w:lang w:eastAsia="es-CL"/>
              </w:rPr>
            </w:pPr>
            <w:r w:rsidRPr="000E0F90">
              <w:rPr>
                <w:rFonts w:ascii="Arial" w:eastAsia="Times New Roman" w:hAnsi="Arial" w:cs="Arial"/>
                <w:color w:val="000000" w:themeColor="text1"/>
                <w:sz w:val="20"/>
                <w:szCs w:val="20"/>
                <w:lang w:eastAsia="es-CL"/>
              </w:rPr>
              <w:t>P</w:t>
            </w:r>
          </w:p>
        </w:tc>
        <w:tc>
          <w:tcPr>
            <w:tcW w:w="425" w:type="dxa"/>
            <w:tcBorders>
              <w:top w:val="nil"/>
              <w:bottom w:val="nil"/>
            </w:tcBorders>
            <w:shd w:val="clear" w:color="auto" w:fill="FFFF00"/>
            <w:noWrap/>
            <w:vAlign w:val="center"/>
          </w:tcPr>
          <w:p w:rsidR="004D60E5" w:rsidRPr="000E0F90" w:rsidRDefault="004D60E5" w:rsidP="00F10A5D">
            <w:pPr>
              <w:spacing w:after="0" w:line="240" w:lineRule="auto"/>
              <w:jc w:val="center"/>
              <w:rPr>
                <w:rFonts w:ascii="Arial" w:eastAsia="Times New Roman" w:hAnsi="Arial" w:cs="Arial"/>
                <w:color w:val="000000" w:themeColor="text1"/>
                <w:sz w:val="20"/>
                <w:szCs w:val="20"/>
                <w:lang w:eastAsia="es-CL"/>
              </w:rPr>
            </w:pPr>
            <w:r w:rsidRPr="000E0F90">
              <w:rPr>
                <w:rFonts w:ascii="Arial" w:eastAsia="Times New Roman" w:hAnsi="Arial" w:cs="Arial"/>
                <w:color w:val="000000" w:themeColor="text1"/>
                <w:sz w:val="20"/>
                <w:szCs w:val="20"/>
                <w:lang w:eastAsia="es-CL"/>
              </w:rPr>
              <w:t>P</w:t>
            </w:r>
          </w:p>
        </w:tc>
      </w:tr>
      <w:tr w:rsidR="004D60E5" w:rsidRPr="000E0F90" w:rsidTr="00983747">
        <w:trPr>
          <w:trHeight w:val="510"/>
        </w:trPr>
        <w:tc>
          <w:tcPr>
            <w:tcW w:w="340" w:type="dxa"/>
            <w:tcBorders>
              <w:top w:val="nil"/>
              <w:bottom w:val="nil"/>
            </w:tcBorders>
          </w:tcPr>
          <w:p w:rsidR="004D60E5" w:rsidRPr="000E0F90" w:rsidRDefault="004D60E5" w:rsidP="003E5477">
            <w:pPr>
              <w:pStyle w:val="NormalWeb"/>
              <w:spacing w:before="0" w:beforeAutospacing="0" w:after="0" w:afterAutospacing="0"/>
              <w:textAlignment w:val="center"/>
              <w:rPr>
                <w:rFonts w:ascii="Arial" w:hAnsi="Arial" w:cs="Arial"/>
                <w:bCs/>
                <w:color w:val="000000" w:themeColor="text1"/>
                <w:kern w:val="24"/>
                <w:sz w:val="20"/>
                <w:szCs w:val="20"/>
              </w:rPr>
            </w:pPr>
            <w:r w:rsidRPr="000E0F90">
              <w:rPr>
                <w:rFonts w:ascii="Arial" w:hAnsi="Arial" w:cs="Arial"/>
                <w:bCs/>
                <w:color w:val="000000" w:themeColor="text1"/>
                <w:kern w:val="24"/>
                <w:sz w:val="20"/>
                <w:szCs w:val="20"/>
              </w:rPr>
              <w:t>5</w:t>
            </w:r>
          </w:p>
        </w:tc>
        <w:tc>
          <w:tcPr>
            <w:tcW w:w="7462" w:type="dxa"/>
            <w:tcBorders>
              <w:top w:val="nil"/>
              <w:bottom w:val="nil"/>
            </w:tcBorders>
            <w:shd w:val="clear" w:color="auto" w:fill="auto"/>
            <w:vAlign w:val="bottom"/>
          </w:tcPr>
          <w:p w:rsidR="004D60E5" w:rsidRPr="00FA7E30" w:rsidRDefault="004D60E5" w:rsidP="00F10A5D">
            <w:pPr>
              <w:pStyle w:val="NormalWeb"/>
              <w:spacing w:before="0" w:beforeAutospacing="0" w:after="0" w:afterAutospacing="0"/>
              <w:textAlignment w:val="bottom"/>
              <w:rPr>
                <w:rFonts w:ascii="Arial" w:hAnsi="Arial" w:cs="Arial"/>
                <w:color w:val="000000" w:themeColor="text1"/>
                <w:kern w:val="24"/>
                <w:sz w:val="20"/>
                <w:szCs w:val="20"/>
              </w:rPr>
            </w:pPr>
            <w:r w:rsidRPr="00FA7E30">
              <w:rPr>
                <w:rFonts w:ascii="Arial" w:hAnsi="Arial" w:cs="Arial"/>
                <w:color w:val="000000" w:themeColor="text1"/>
                <w:kern w:val="24"/>
                <w:sz w:val="20"/>
                <w:szCs w:val="20"/>
              </w:rPr>
              <w:t>Potenciar la diversidad de los sistemas ecológicos de soporte y provisión de recursos naturales para la sobrevida y desarrollo humano, q</w:t>
            </w:r>
            <w:r w:rsidRPr="00FA7E30">
              <w:rPr>
                <w:rFonts w:ascii="Arial" w:hAnsi="Arial" w:cs="Arial"/>
                <w:color w:val="000000" w:themeColor="text1"/>
                <w:sz w:val="20"/>
                <w:szCs w:val="36"/>
              </w:rPr>
              <w:t>ue contribuyan a superar las perturbaciones en el tiempo</w:t>
            </w:r>
            <w:r w:rsidRPr="00FA7E30">
              <w:rPr>
                <w:rFonts w:ascii="Arial" w:hAnsi="Arial" w:cs="Arial"/>
                <w:color w:val="000000" w:themeColor="text1"/>
                <w:kern w:val="24"/>
                <w:sz w:val="20"/>
                <w:szCs w:val="20"/>
              </w:rPr>
              <w:t xml:space="preserve"> </w:t>
            </w:r>
          </w:p>
        </w:tc>
        <w:tc>
          <w:tcPr>
            <w:tcW w:w="425" w:type="dxa"/>
            <w:tcBorders>
              <w:top w:val="nil"/>
              <w:bottom w:val="nil"/>
            </w:tcBorders>
            <w:shd w:val="clear" w:color="auto" w:fill="FF0000"/>
            <w:noWrap/>
            <w:vAlign w:val="center"/>
          </w:tcPr>
          <w:p w:rsidR="004D60E5" w:rsidRPr="000E0F90" w:rsidRDefault="00227901" w:rsidP="00317480">
            <w:pPr>
              <w:spacing w:after="0" w:line="240" w:lineRule="auto"/>
              <w:jc w:val="center"/>
              <w:rPr>
                <w:rFonts w:ascii="Arial" w:eastAsia="Times New Roman" w:hAnsi="Arial" w:cs="Arial"/>
                <w:color w:val="000000" w:themeColor="text1"/>
                <w:sz w:val="20"/>
                <w:szCs w:val="20"/>
                <w:lang w:eastAsia="es-CL"/>
              </w:rPr>
            </w:pPr>
            <w:r w:rsidRPr="000E0F90">
              <w:rPr>
                <w:rFonts w:ascii="Arial" w:eastAsia="Times New Roman" w:hAnsi="Arial" w:cs="Arial"/>
                <w:color w:val="000000" w:themeColor="text1"/>
                <w:sz w:val="20"/>
                <w:szCs w:val="20"/>
                <w:lang w:eastAsia="es-CL"/>
              </w:rPr>
              <w:t>N</w:t>
            </w:r>
          </w:p>
        </w:tc>
        <w:tc>
          <w:tcPr>
            <w:tcW w:w="425" w:type="dxa"/>
            <w:tcBorders>
              <w:top w:val="nil"/>
              <w:bottom w:val="nil"/>
            </w:tcBorders>
            <w:shd w:val="clear" w:color="auto" w:fill="FF0000"/>
            <w:noWrap/>
            <w:vAlign w:val="center"/>
          </w:tcPr>
          <w:p w:rsidR="004D60E5" w:rsidRPr="000E0F90" w:rsidRDefault="00227901" w:rsidP="00317480">
            <w:pPr>
              <w:spacing w:after="0" w:line="240" w:lineRule="auto"/>
              <w:jc w:val="center"/>
              <w:rPr>
                <w:rFonts w:ascii="Arial" w:eastAsia="Times New Roman" w:hAnsi="Arial" w:cs="Arial"/>
                <w:color w:val="000000" w:themeColor="text1"/>
                <w:sz w:val="20"/>
                <w:szCs w:val="20"/>
                <w:lang w:eastAsia="es-CL"/>
              </w:rPr>
            </w:pPr>
            <w:r w:rsidRPr="000E0F90">
              <w:rPr>
                <w:rFonts w:ascii="Arial" w:eastAsia="Times New Roman" w:hAnsi="Arial" w:cs="Arial"/>
                <w:color w:val="000000" w:themeColor="text1"/>
                <w:sz w:val="20"/>
                <w:szCs w:val="20"/>
                <w:lang w:eastAsia="es-CL"/>
              </w:rPr>
              <w:t>N</w:t>
            </w:r>
          </w:p>
        </w:tc>
      </w:tr>
      <w:tr w:rsidR="004D60E5" w:rsidRPr="000E0F90" w:rsidTr="00983747">
        <w:trPr>
          <w:trHeight w:val="510"/>
        </w:trPr>
        <w:tc>
          <w:tcPr>
            <w:tcW w:w="340" w:type="dxa"/>
            <w:tcBorders>
              <w:top w:val="nil"/>
              <w:bottom w:val="nil"/>
            </w:tcBorders>
          </w:tcPr>
          <w:p w:rsidR="004D60E5" w:rsidRPr="000E0F90" w:rsidRDefault="004D60E5" w:rsidP="003E5477">
            <w:pPr>
              <w:pStyle w:val="NormalWeb"/>
              <w:spacing w:before="0" w:beforeAutospacing="0" w:after="0" w:afterAutospacing="0"/>
              <w:textAlignment w:val="center"/>
              <w:rPr>
                <w:rFonts w:ascii="Arial" w:hAnsi="Arial" w:cs="Arial"/>
                <w:bCs/>
                <w:color w:val="000000" w:themeColor="text1"/>
                <w:kern w:val="24"/>
                <w:sz w:val="20"/>
                <w:szCs w:val="20"/>
              </w:rPr>
            </w:pPr>
            <w:r w:rsidRPr="000E0F90">
              <w:rPr>
                <w:rFonts w:ascii="Arial" w:hAnsi="Arial" w:cs="Arial"/>
                <w:bCs/>
                <w:color w:val="000000" w:themeColor="text1"/>
                <w:kern w:val="24"/>
                <w:sz w:val="20"/>
                <w:szCs w:val="20"/>
              </w:rPr>
              <w:t>6</w:t>
            </w:r>
          </w:p>
        </w:tc>
        <w:tc>
          <w:tcPr>
            <w:tcW w:w="7462" w:type="dxa"/>
            <w:tcBorders>
              <w:top w:val="nil"/>
              <w:bottom w:val="nil"/>
            </w:tcBorders>
            <w:shd w:val="clear" w:color="auto" w:fill="auto"/>
            <w:vAlign w:val="center"/>
          </w:tcPr>
          <w:p w:rsidR="004D60E5" w:rsidRPr="00FA7E30" w:rsidRDefault="004D60E5" w:rsidP="00F10A5D">
            <w:pPr>
              <w:pStyle w:val="NormalWeb"/>
              <w:spacing w:before="0" w:beforeAutospacing="0" w:after="0" w:afterAutospacing="0"/>
              <w:textAlignment w:val="center"/>
              <w:rPr>
                <w:rFonts w:ascii="Arial" w:hAnsi="Arial" w:cs="Arial"/>
                <w:bCs/>
                <w:color w:val="000000" w:themeColor="text1"/>
                <w:kern w:val="24"/>
                <w:sz w:val="20"/>
                <w:szCs w:val="20"/>
              </w:rPr>
            </w:pPr>
            <w:r w:rsidRPr="00FA7E30">
              <w:rPr>
                <w:rFonts w:ascii="Arial" w:hAnsi="Arial" w:cs="Arial"/>
                <w:color w:val="000000" w:themeColor="text1"/>
                <w:sz w:val="20"/>
              </w:rPr>
              <w:t>El modelo de desarrollo considera la mantención de una base de capital múltiple para</w:t>
            </w:r>
            <w:r w:rsidR="000D612F" w:rsidRPr="00FA7E30">
              <w:rPr>
                <w:rFonts w:ascii="Arial" w:hAnsi="Arial" w:cs="Arial"/>
                <w:color w:val="000000" w:themeColor="text1"/>
                <w:sz w:val="20"/>
              </w:rPr>
              <w:t xml:space="preserve"> asegurar</w:t>
            </w:r>
            <w:r w:rsidRPr="00FA7E30">
              <w:rPr>
                <w:rFonts w:ascii="Arial" w:hAnsi="Arial" w:cs="Arial"/>
                <w:color w:val="000000" w:themeColor="text1"/>
                <w:sz w:val="20"/>
              </w:rPr>
              <w:t xml:space="preserve"> el desarrollo humano en el largo plazo</w:t>
            </w:r>
          </w:p>
        </w:tc>
        <w:tc>
          <w:tcPr>
            <w:tcW w:w="425" w:type="dxa"/>
            <w:tcBorders>
              <w:top w:val="nil"/>
              <w:bottom w:val="nil"/>
            </w:tcBorders>
            <w:shd w:val="clear" w:color="auto" w:fill="FF0000"/>
            <w:noWrap/>
            <w:vAlign w:val="center"/>
          </w:tcPr>
          <w:p w:rsidR="004D60E5" w:rsidRPr="000E0F90" w:rsidRDefault="004D60E5" w:rsidP="00B23A83">
            <w:pPr>
              <w:spacing w:after="0" w:line="240" w:lineRule="auto"/>
              <w:jc w:val="center"/>
              <w:rPr>
                <w:rFonts w:ascii="Arial" w:eastAsia="Times New Roman" w:hAnsi="Arial" w:cs="Arial"/>
                <w:color w:val="000000" w:themeColor="text1"/>
                <w:sz w:val="20"/>
                <w:szCs w:val="20"/>
                <w:lang w:eastAsia="es-CL"/>
              </w:rPr>
            </w:pPr>
            <w:r w:rsidRPr="000E0F90">
              <w:rPr>
                <w:rFonts w:ascii="Arial" w:eastAsia="Times New Roman" w:hAnsi="Arial" w:cs="Arial"/>
                <w:color w:val="000000" w:themeColor="text1"/>
                <w:sz w:val="20"/>
                <w:szCs w:val="20"/>
                <w:lang w:eastAsia="es-CL"/>
              </w:rPr>
              <w:t>N</w:t>
            </w:r>
          </w:p>
        </w:tc>
        <w:tc>
          <w:tcPr>
            <w:tcW w:w="425" w:type="dxa"/>
            <w:tcBorders>
              <w:top w:val="nil"/>
              <w:bottom w:val="nil"/>
            </w:tcBorders>
            <w:shd w:val="clear" w:color="auto" w:fill="FF0000"/>
            <w:noWrap/>
            <w:vAlign w:val="center"/>
          </w:tcPr>
          <w:p w:rsidR="004D60E5" w:rsidRPr="000E0F90" w:rsidRDefault="004D60E5" w:rsidP="00B23A83">
            <w:pPr>
              <w:spacing w:after="0" w:line="240" w:lineRule="auto"/>
              <w:jc w:val="center"/>
              <w:rPr>
                <w:rFonts w:ascii="Arial" w:eastAsia="Times New Roman" w:hAnsi="Arial" w:cs="Arial"/>
                <w:color w:val="000000" w:themeColor="text1"/>
                <w:sz w:val="20"/>
                <w:szCs w:val="20"/>
                <w:lang w:eastAsia="es-CL"/>
              </w:rPr>
            </w:pPr>
            <w:r w:rsidRPr="000E0F90">
              <w:rPr>
                <w:rFonts w:ascii="Arial" w:eastAsia="Times New Roman" w:hAnsi="Arial" w:cs="Arial"/>
                <w:color w:val="000000" w:themeColor="text1"/>
                <w:sz w:val="20"/>
                <w:szCs w:val="20"/>
                <w:lang w:eastAsia="es-CL"/>
              </w:rPr>
              <w:t>N</w:t>
            </w:r>
          </w:p>
        </w:tc>
      </w:tr>
      <w:tr w:rsidR="00FA7E30" w:rsidRPr="000E0F90" w:rsidTr="00983747">
        <w:trPr>
          <w:trHeight w:val="510"/>
        </w:trPr>
        <w:tc>
          <w:tcPr>
            <w:tcW w:w="340" w:type="dxa"/>
            <w:tcBorders>
              <w:top w:val="nil"/>
              <w:bottom w:val="nil"/>
            </w:tcBorders>
          </w:tcPr>
          <w:p w:rsidR="00FA7E30" w:rsidRPr="000E0F90" w:rsidRDefault="00FA7E30" w:rsidP="008D6193">
            <w:pPr>
              <w:pStyle w:val="NormalWeb"/>
              <w:spacing w:before="0" w:beforeAutospacing="0" w:after="0" w:afterAutospacing="0"/>
              <w:textAlignment w:val="center"/>
              <w:rPr>
                <w:rFonts w:ascii="Arial" w:hAnsi="Arial" w:cs="Arial"/>
                <w:color w:val="000000" w:themeColor="text1"/>
                <w:kern w:val="24"/>
                <w:sz w:val="20"/>
              </w:rPr>
            </w:pPr>
            <w:r>
              <w:rPr>
                <w:rFonts w:ascii="Arial" w:hAnsi="Arial" w:cs="Arial"/>
                <w:color w:val="000000" w:themeColor="text1"/>
                <w:kern w:val="24"/>
                <w:sz w:val="20"/>
              </w:rPr>
              <w:t>7</w:t>
            </w:r>
          </w:p>
        </w:tc>
        <w:tc>
          <w:tcPr>
            <w:tcW w:w="7462" w:type="dxa"/>
            <w:tcBorders>
              <w:top w:val="nil"/>
              <w:bottom w:val="nil"/>
            </w:tcBorders>
            <w:shd w:val="clear" w:color="auto" w:fill="auto"/>
            <w:vAlign w:val="center"/>
          </w:tcPr>
          <w:p w:rsidR="00FA7E30" w:rsidRPr="00FA7E30" w:rsidRDefault="00FA7E30" w:rsidP="008D6193">
            <w:pPr>
              <w:pStyle w:val="NormalWeb"/>
              <w:spacing w:before="0" w:beforeAutospacing="0" w:after="0" w:afterAutospacing="0"/>
              <w:textAlignment w:val="center"/>
              <w:rPr>
                <w:rFonts w:ascii="Arial" w:hAnsi="Arial" w:cs="Arial"/>
                <w:color w:val="000000" w:themeColor="text1"/>
                <w:sz w:val="20"/>
                <w:szCs w:val="36"/>
              </w:rPr>
            </w:pPr>
            <w:r w:rsidRPr="00FA7E30">
              <w:rPr>
                <w:rFonts w:ascii="Arial" w:hAnsi="Arial" w:cs="Arial"/>
                <w:color w:val="000000" w:themeColor="text1"/>
                <w:kern w:val="24"/>
                <w:sz w:val="20"/>
              </w:rPr>
              <w:t>Adaptación a cambios potenciales futuros, esperados e inesperados, que se relacionan con el propio sistema, como con el medio externo. Identificar elementos territoriales que serán afectados.</w:t>
            </w:r>
          </w:p>
        </w:tc>
        <w:tc>
          <w:tcPr>
            <w:tcW w:w="425" w:type="dxa"/>
            <w:tcBorders>
              <w:top w:val="nil"/>
              <w:bottom w:val="nil"/>
            </w:tcBorders>
            <w:shd w:val="clear" w:color="auto" w:fill="FF0000"/>
            <w:noWrap/>
            <w:vAlign w:val="center"/>
          </w:tcPr>
          <w:p w:rsidR="00FA7E30" w:rsidRPr="000E0F90" w:rsidRDefault="00FA7E30" w:rsidP="008D6193">
            <w:pPr>
              <w:spacing w:after="0" w:line="240" w:lineRule="auto"/>
              <w:jc w:val="center"/>
              <w:rPr>
                <w:rFonts w:ascii="Arial" w:eastAsia="Times New Roman" w:hAnsi="Arial" w:cs="Arial"/>
                <w:color w:val="000000" w:themeColor="text1"/>
                <w:sz w:val="20"/>
                <w:szCs w:val="20"/>
                <w:lang w:eastAsia="es-CL"/>
              </w:rPr>
            </w:pPr>
            <w:r w:rsidRPr="000E0F90">
              <w:rPr>
                <w:rFonts w:ascii="Arial" w:eastAsia="Times New Roman" w:hAnsi="Arial" w:cs="Arial"/>
                <w:color w:val="000000" w:themeColor="text1"/>
                <w:sz w:val="20"/>
                <w:szCs w:val="20"/>
                <w:lang w:eastAsia="es-CL"/>
              </w:rPr>
              <w:t>N</w:t>
            </w:r>
          </w:p>
        </w:tc>
        <w:tc>
          <w:tcPr>
            <w:tcW w:w="425" w:type="dxa"/>
            <w:tcBorders>
              <w:top w:val="nil"/>
              <w:bottom w:val="nil"/>
            </w:tcBorders>
            <w:shd w:val="clear" w:color="auto" w:fill="FF0000"/>
            <w:noWrap/>
            <w:vAlign w:val="center"/>
          </w:tcPr>
          <w:p w:rsidR="00FA7E30" w:rsidRPr="000E0F90" w:rsidRDefault="00FA7E30" w:rsidP="008D6193">
            <w:pPr>
              <w:spacing w:after="0" w:line="240" w:lineRule="auto"/>
              <w:jc w:val="center"/>
              <w:rPr>
                <w:rFonts w:ascii="Arial" w:eastAsia="Times New Roman" w:hAnsi="Arial" w:cs="Arial"/>
                <w:color w:val="000000" w:themeColor="text1"/>
                <w:sz w:val="20"/>
                <w:szCs w:val="18"/>
                <w:lang w:eastAsia="es-CL"/>
              </w:rPr>
            </w:pPr>
            <w:r w:rsidRPr="000E0F90">
              <w:rPr>
                <w:rFonts w:ascii="Arial" w:eastAsia="Times New Roman" w:hAnsi="Arial" w:cs="Arial"/>
                <w:color w:val="000000" w:themeColor="text1"/>
                <w:sz w:val="20"/>
                <w:szCs w:val="18"/>
                <w:lang w:eastAsia="es-CL"/>
              </w:rPr>
              <w:t>N</w:t>
            </w:r>
          </w:p>
        </w:tc>
      </w:tr>
      <w:tr w:rsidR="004D60E5" w:rsidRPr="000E0F90" w:rsidTr="00983747">
        <w:trPr>
          <w:trHeight w:val="510"/>
        </w:trPr>
        <w:tc>
          <w:tcPr>
            <w:tcW w:w="340" w:type="dxa"/>
            <w:tcBorders>
              <w:top w:val="nil"/>
            </w:tcBorders>
          </w:tcPr>
          <w:p w:rsidR="004D60E5" w:rsidRPr="000E0F90" w:rsidRDefault="00FA7E30" w:rsidP="003E5477">
            <w:pPr>
              <w:pStyle w:val="NormalWeb"/>
              <w:spacing w:before="0" w:beforeAutospacing="0" w:after="0" w:afterAutospacing="0"/>
              <w:textAlignment w:val="bottom"/>
              <w:rPr>
                <w:rFonts w:ascii="Arial" w:hAnsi="Arial" w:cs="Arial"/>
                <w:color w:val="000000" w:themeColor="text1"/>
                <w:kern w:val="24"/>
                <w:sz w:val="20"/>
                <w:szCs w:val="20"/>
              </w:rPr>
            </w:pPr>
            <w:r>
              <w:rPr>
                <w:rFonts w:ascii="Arial" w:hAnsi="Arial" w:cs="Arial"/>
                <w:color w:val="000000" w:themeColor="text1"/>
                <w:kern w:val="24"/>
                <w:sz w:val="20"/>
                <w:szCs w:val="20"/>
              </w:rPr>
              <w:t>8</w:t>
            </w:r>
          </w:p>
        </w:tc>
        <w:tc>
          <w:tcPr>
            <w:tcW w:w="7462" w:type="dxa"/>
            <w:tcBorders>
              <w:top w:val="nil"/>
            </w:tcBorders>
            <w:shd w:val="clear" w:color="auto" w:fill="auto"/>
            <w:vAlign w:val="center"/>
          </w:tcPr>
          <w:p w:rsidR="004D60E5" w:rsidRPr="000E0F90" w:rsidRDefault="004D60E5" w:rsidP="00F10A5D">
            <w:pPr>
              <w:pStyle w:val="NormalWeb"/>
              <w:spacing w:before="0" w:beforeAutospacing="0" w:after="0" w:afterAutospacing="0"/>
              <w:textAlignment w:val="center"/>
              <w:rPr>
                <w:rFonts w:ascii="Arial" w:hAnsi="Arial" w:cs="Arial"/>
                <w:bCs/>
                <w:color w:val="000000" w:themeColor="text1"/>
                <w:kern w:val="24"/>
                <w:sz w:val="20"/>
                <w:szCs w:val="20"/>
              </w:rPr>
            </w:pPr>
            <w:r w:rsidRPr="000E0F90">
              <w:rPr>
                <w:rFonts w:ascii="Arial" w:hAnsi="Arial" w:cs="Arial"/>
                <w:bCs/>
                <w:color w:val="000000" w:themeColor="text1"/>
                <w:kern w:val="24"/>
                <w:sz w:val="20"/>
                <w:szCs w:val="20"/>
              </w:rPr>
              <w:t>Establecer</w:t>
            </w:r>
            <w:r w:rsidRPr="000E0F90">
              <w:rPr>
                <w:rFonts w:ascii="Arial" w:hAnsi="Arial" w:cs="Arial"/>
                <w:color w:val="000000" w:themeColor="text1"/>
                <w:sz w:val="20"/>
              </w:rPr>
              <w:t xml:space="preserve"> límites a las actividades antrópicas basados en </w:t>
            </w:r>
            <w:r w:rsidRPr="000E0F90">
              <w:rPr>
                <w:rFonts w:ascii="Arial" w:hAnsi="Arial" w:cs="Arial"/>
                <w:bCs/>
                <w:color w:val="000000" w:themeColor="text1"/>
                <w:kern w:val="24"/>
                <w:sz w:val="20"/>
                <w:szCs w:val="20"/>
              </w:rPr>
              <w:t>las condiciones necesarias para asegurar la sobrevida humana,</w:t>
            </w:r>
            <w:r w:rsidRPr="000E0F90">
              <w:rPr>
                <w:rFonts w:ascii="Arial" w:hAnsi="Arial" w:cs="Arial"/>
                <w:color w:val="000000" w:themeColor="text1"/>
                <w:sz w:val="20"/>
              </w:rPr>
              <w:t xml:space="preserve"> la capacidad de generación de recursos y asimilación de desechos </w:t>
            </w:r>
            <w:r w:rsidRPr="000E0F90">
              <w:rPr>
                <w:rFonts w:ascii="Arial" w:hAnsi="Arial" w:cs="Arial"/>
                <w:bCs/>
                <w:color w:val="000000" w:themeColor="text1"/>
                <w:kern w:val="24"/>
                <w:sz w:val="20"/>
                <w:szCs w:val="20"/>
              </w:rPr>
              <w:t>en el tiempo</w:t>
            </w:r>
            <w:r w:rsidRPr="000E0F90">
              <w:rPr>
                <w:rFonts w:ascii="Arial" w:hAnsi="Arial" w:cs="Arial"/>
                <w:color w:val="000000" w:themeColor="text1"/>
                <w:sz w:val="20"/>
              </w:rPr>
              <w:t>. Monitorear cambios</w:t>
            </w:r>
          </w:p>
        </w:tc>
        <w:tc>
          <w:tcPr>
            <w:tcW w:w="425" w:type="dxa"/>
            <w:tcBorders>
              <w:top w:val="nil"/>
            </w:tcBorders>
            <w:shd w:val="clear" w:color="auto" w:fill="FF0000"/>
            <w:noWrap/>
            <w:vAlign w:val="center"/>
          </w:tcPr>
          <w:p w:rsidR="004D60E5" w:rsidRPr="000E0F90" w:rsidRDefault="004D60E5" w:rsidP="00317480">
            <w:pPr>
              <w:spacing w:after="0" w:line="240" w:lineRule="auto"/>
              <w:jc w:val="center"/>
              <w:rPr>
                <w:rFonts w:ascii="Arial" w:eastAsia="Times New Roman" w:hAnsi="Arial" w:cs="Arial"/>
                <w:color w:val="000000" w:themeColor="text1"/>
                <w:sz w:val="20"/>
                <w:szCs w:val="20"/>
                <w:lang w:eastAsia="es-CL"/>
              </w:rPr>
            </w:pPr>
            <w:r w:rsidRPr="000E0F90">
              <w:rPr>
                <w:rFonts w:ascii="Arial" w:eastAsia="Times New Roman" w:hAnsi="Arial" w:cs="Arial"/>
                <w:color w:val="000000" w:themeColor="text1"/>
                <w:sz w:val="20"/>
                <w:szCs w:val="20"/>
                <w:lang w:eastAsia="es-CL"/>
              </w:rPr>
              <w:t>N</w:t>
            </w:r>
          </w:p>
        </w:tc>
        <w:tc>
          <w:tcPr>
            <w:tcW w:w="425" w:type="dxa"/>
            <w:tcBorders>
              <w:top w:val="nil"/>
            </w:tcBorders>
            <w:shd w:val="clear" w:color="auto" w:fill="FF0000"/>
            <w:noWrap/>
            <w:vAlign w:val="center"/>
          </w:tcPr>
          <w:p w:rsidR="004D60E5" w:rsidRPr="000E0F90" w:rsidRDefault="00227901" w:rsidP="00317480">
            <w:pPr>
              <w:spacing w:after="0" w:line="240" w:lineRule="auto"/>
              <w:jc w:val="center"/>
              <w:rPr>
                <w:rFonts w:ascii="Arial" w:eastAsia="Times New Roman" w:hAnsi="Arial" w:cs="Arial"/>
                <w:color w:val="000000" w:themeColor="text1"/>
                <w:sz w:val="20"/>
                <w:szCs w:val="20"/>
                <w:lang w:eastAsia="es-CL"/>
              </w:rPr>
            </w:pPr>
            <w:r w:rsidRPr="000E0F90">
              <w:rPr>
                <w:rFonts w:ascii="Arial" w:eastAsia="Times New Roman" w:hAnsi="Arial" w:cs="Arial"/>
                <w:color w:val="000000" w:themeColor="text1"/>
                <w:sz w:val="20"/>
                <w:szCs w:val="20"/>
                <w:lang w:eastAsia="es-CL"/>
              </w:rPr>
              <w:t>N</w:t>
            </w:r>
          </w:p>
        </w:tc>
      </w:tr>
    </w:tbl>
    <w:p w:rsidR="00A249DE" w:rsidRPr="000E0F90" w:rsidRDefault="00A249DE" w:rsidP="00036E3C">
      <w:pPr>
        <w:spacing w:before="240"/>
        <w:rPr>
          <w:rFonts w:ascii="Arial" w:hAnsi="Arial" w:cs="Arial"/>
          <w:color w:val="000000" w:themeColor="text1"/>
        </w:rPr>
      </w:pPr>
    </w:p>
    <w:p w:rsidR="001D7F51" w:rsidRPr="000E0F90" w:rsidRDefault="001D7F51">
      <w:pPr>
        <w:jc w:val="left"/>
        <w:rPr>
          <w:rFonts w:ascii="Arial" w:eastAsiaTheme="majorEastAsia" w:hAnsi="Arial" w:cs="Arial"/>
          <w:b/>
          <w:bCs/>
          <w:color w:val="000000" w:themeColor="text1"/>
          <w:sz w:val="28"/>
          <w:szCs w:val="28"/>
        </w:rPr>
      </w:pPr>
      <w:r w:rsidRPr="000E0F90">
        <w:rPr>
          <w:rFonts w:ascii="Arial" w:hAnsi="Arial" w:cs="Arial"/>
          <w:color w:val="000000" w:themeColor="text1"/>
        </w:rPr>
        <w:br w:type="page"/>
      </w:r>
    </w:p>
    <w:p w:rsidR="00DC7B2C" w:rsidRPr="000E0F90" w:rsidRDefault="00185C06" w:rsidP="00702D9A">
      <w:pPr>
        <w:pStyle w:val="Ttulo1"/>
        <w:spacing w:before="0" w:line="360" w:lineRule="auto"/>
        <w:rPr>
          <w:rFonts w:cs="Arial"/>
          <w:color w:val="000000" w:themeColor="text1"/>
        </w:rPr>
      </w:pPr>
      <w:bookmarkStart w:id="29" w:name="_Toc488774918"/>
      <w:r w:rsidRPr="000E0F90">
        <w:rPr>
          <w:rFonts w:cs="Arial"/>
          <w:color w:val="000000" w:themeColor="text1"/>
        </w:rPr>
        <w:lastRenderedPageBreak/>
        <w:t>DISCUSIÓN</w:t>
      </w:r>
      <w:bookmarkEnd w:id="29"/>
    </w:p>
    <w:p w:rsidR="001D7F51" w:rsidRPr="000E0F90" w:rsidRDefault="00CB09EC" w:rsidP="00702D9A">
      <w:pPr>
        <w:pStyle w:val="Ttulo2"/>
        <w:spacing w:line="360" w:lineRule="auto"/>
        <w:rPr>
          <w:rFonts w:cs="Arial"/>
        </w:rPr>
      </w:pPr>
      <w:bookmarkStart w:id="30" w:name="_Toc488774919"/>
      <w:r w:rsidRPr="000E0F90">
        <w:rPr>
          <w:rFonts w:cs="Arial"/>
        </w:rPr>
        <w:t>Desarrollo de marco conceptual</w:t>
      </w:r>
      <w:bookmarkEnd w:id="30"/>
    </w:p>
    <w:p w:rsidR="0076352B" w:rsidRPr="000E0F90" w:rsidRDefault="002576A6" w:rsidP="00702D9A">
      <w:pPr>
        <w:spacing w:line="360" w:lineRule="auto"/>
        <w:rPr>
          <w:rFonts w:ascii="Arial" w:hAnsi="Arial" w:cs="Arial"/>
          <w:color w:val="000000" w:themeColor="text1"/>
        </w:rPr>
      </w:pPr>
      <w:r w:rsidRPr="000E0F90">
        <w:rPr>
          <w:rFonts w:ascii="Arial" w:hAnsi="Arial" w:cs="Arial"/>
          <w:color w:val="000000" w:themeColor="text1"/>
        </w:rPr>
        <w:t xml:space="preserve">El desarrollo del marco conceptual para territorios mineros, considero elementos fundacionales de la sostenibilidad territorial y elementos específicos del ámbito minero, provenientes de fuentes de literatura científica exclusivamente. </w:t>
      </w:r>
      <w:r w:rsidR="00B90CA2" w:rsidRPr="000E0F90">
        <w:rPr>
          <w:rFonts w:ascii="Arial" w:hAnsi="Arial" w:cs="Arial"/>
          <w:color w:val="000000" w:themeColor="text1"/>
        </w:rPr>
        <w:t xml:space="preserve">Cabe señalar, que los aspectos evidenciados se relacionan con más de un principio, lo cual es justamente lo que plantea Gibson (2005) en esta propuesta integrada de principios, por lo que algunos aspectos serán analizados en más de un principio. </w:t>
      </w:r>
    </w:p>
    <w:p w:rsidR="00100CB9" w:rsidRPr="000E0F90" w:rsidRDefault="00D761FF" w:rsidP="00702D9A">
      <w:pPr>
        <w:spacing w:line="360" w:lineRule="auto"/>
        <w:rPr>
          <w:rFonts w:ascii="Arial" w:hAnsi="Arial" w:cs="Arial"/>
          <w:color w:val="000000" w:themeColor="text1"/>
        </w:rPr>
      </w:pPr>
      <w:r w:rsidRPr="000E0F90">
        <w:rPr>
          <w:rFonts w:ascii="Arial" w:hAnsi="Arial" w:cs="Arial"/>
          <w:color w:val="000000" w:themeColor="text1"/>
        </w:rPr>
        <w:t>La elaboración</w:t>
      </w:r>
      <w:r w:rsidR="00100CB9" w:rsidRPr="000E0F90">
        <w:rPr>
          <w:rFonts w:ascii="Arial" w:hAnsi="Arial" w:cs="Arial"/>
          <w:color w:val="000000" w:themeColor="text1"/>
        </w:rPr>
        <w:t xml:space="preserve"> </w:t>
      </w:r>
      <w:r w:rsidR="00D75662" w:rsidRPr="000E0F90">
        <w:rPr>
          <w:rFonts w:ascii="Arial" w:hAnsi="Arial" w:cs="Arial"/>
          <w:color w:val="000000" w:themeColor="text1"/>
        </w:rPr>
        <w:t>de</w:t>
      </w:r>
      <w:r w:rsidR="00C97C16" w:rsidRPr="000E0F90">
        <w:rPr>
          <w:rFonts w:ascii="Arial" w:hAnsi="Arial" w:cs="Arial"/>
          <w:color w:val="000000" w:themeColor="text1"/>
        </w:rPr>
        <w:t>l</w:t>
      </w:r>
      <w:r w:rsidR="008B71C5" w:rsidRPr="000E0F90">
        <w:rPr>
          <w:rFonts w:ascii="Arial" w:hAnsi="Arial" w:cs="Arial"/>
          <w:color w:val="000000" w:themeColor="text1"/>
        </w:rPr>
        <w:t xml:space="preserve"> principio de integridad socio</w:t>
      </w:r>
      <w:r w:rsidR="00100CB9" w:rsidRPr="000E0F90">
        <w:rPr>
          <w:rFonts w:ascii="Arial" w:hAnsi="Arial" w:cs="Arial"/>
          <w:color w:val="000000" w:themeColor="text1"/>
        </w:rPr>
        <w:t xml:space="preserve"> </w:t>
      </w:r>
      <w:r w:rsidR="008B71C5" w:rsidRPr="000E0F90">
        <w:rPr>
          <w:rFonts w:ascii="Arial" w:hAnsi="Arial" w:cs="Arial"/>
          <w:color w:val="000000" w:themeColor="text1"/>
        </w:rPr>
        <w:t>ecológica</w:t>
      </w:r>
      <w:r w:rsidR="00DF0A23" w:rsidRPr="000E0F90">
        <w:rPr>
          <w:rFonts w:ascii="Arial" w:hAnsi="Arial" w:cs="Arial"/>
          <w:color w:val="000000" w:themeColor="text1"/>
        </w:rPr>
        <w:t xml:space="preserve"> para territorios mineros</w:t>
      </w:r>
      <w:r w:rsidR="00D75662" w:rsidRPr="000E0F90">
        <w:rPr>
          <w:rFonts w:ascii="Arial" w:hAnsi="Arial" w:cs="Arial"/>
          <w:color w:val="000000" w:themeColor="text1"/>
        </w:rPr>
        <w:t xml:space="preserve">, </w:t>
      </w:r>
      <w:r w:rsidRPr="000E0F90">
        <w:rPr>
          <w:rFonts w:ascii="Arial" w:hAnsi="Arial" w:cs="Arial"/>
          <w:color w:val="000000" w:themeColor="text1"/>
        </w:rPr>
        <w:t>consideró los</w:t>
      </w:r>
      <w:r w:rsidR="00273B70" w:rsidRPr="000E0F90">
        <w:rPr>
          <w:rFonts w:ascii="Arial" w:hAnsi="Arial" w:cs="Arial"/>
          <w:color w:val="000000" w:themeColor="text1"/>
        </w:rPr>
        <w:t xml:space="preserve"> impactos </w:t>
      </w:r>
      <w:r w:rsidR="00D34C82" w:rsidRPr="000E0F90">
        <w:rPr>
          <w:rFonts w:ascii="Arial" w:hAnsi="Arial" w:cs="Arial"/>
          <w:color w:val="000000" w:themeColor="text1"/>
        </w:rPr>
        <w:t xml:space="preserve">en los sistemas ecológicos </w:t>
      </w:r>
      <w:r w:rsidR="00273B70" w:rsidRPr="000E0F90">
        <w:rPr>
          <w:rFonts w:ascii="Arial" w:hAnsi="Arial" w:cs="Arial"/>
          <w:color w:val="000000" w:themeColor="text1"/>
        </w:rPr>
        <w:t>de la</w:t>
      </w:r>
      <w:r w:rsidR="00CF3A54" w:rsidRPr="000E0F90">
        <w:rPr>
          <w:rFonts w:ascii="Arial" w:hAnsi="Arial" w:cs="Arial"/>
          <w:color w:val="000000" w:themeColor="text1"/>
        </w:rPr>
        <w:t xml:space="preserve"> actividad</w:t>
      </w:r>
      <w:r w:rsidRPr="000E0F90">
        <w:rPr>
          <w:rFonts w:ascii="Arial" w:hAnsi="Arial" w:cs="Arial"/>
          <w:color w:val="000000" w:themeColor="text1"/>
        </w:rPr>
        <w:t xml:space="preserve"> minera</w:t>
      </w:r>
      <w:r w:rsidR="0037275B" w:rsidRPr="000E0F90">
        <w:rPr>
          <w:rFonts w:ascii="Arial" w:hAnsi="Arial" w:cs="Arial"/>
          <w:color w:val="000000" w:themeColor="text1"/>
        </w:rPr>
        <w:t xml:space="preserve"> descritos en la literatura</w:t>
      </w:r>
      <w:r w:rsidR="00F72DF0" w:rsidRPr="000E0F90">
        <w:rPr>
          <w:rFonts w:ascii="Arial" w:hAnsi="Arial" w:cs="Arial"/>
          <w:color w:val="000000" w:themeColor="text1"/>
        </w:rPr>
        <w:t>,</w:t>
      </w:r>
      <w:r w:rsidR="005D602E" w:rsidRPr="000E0F90">
        <w:rPr>
          <w:rFonts w:ascii="Arial" w:hAnsi="Arial" w:cs="Arial"/>
          <w:color w:val="000000" w:themeColor="text1"/>
        </w:rPr>
        <w:t xml:space="preserve"> </w:t>
      </w:r>
      <w:r w:rsidR="0037275B" w:rsidRPr="000E0F90">
        <w:rPr>
          <w:rFonts w:ascii="Arial" w:hAnsi="Arial" w:cs="Arial"/>
          <w:color w:val="000000" w:themeColor="text1"/>
        </w:rPr>
        <w:t xml:space="preserve">los cuales </w:t>
      </w:r>
      <w:r w:rsidR="0042124B" w:rsidRPr="000E0F90">
        <w:rPr>
          <w:rFonts w:ascii="Arial" w:hAnsi="Arial" w:cs="Arial"/>
          <w:color w:val="000000" w:themeColor="text1"/>
        </w:rPr>
        <w:t>se asocian a la intens</w:t>
      </w:r>
      <w:r w:rsidR="00322B3D" w:rsidRPr="000E0F90">
        <w:rPr>
          <w:rFonts w:ascii="Arial" w:hAnsi="Arial" w:cs="Arial"/>
          <w:color w:val="000000" w:themeColor="text1"/>
        </w:rPr>
        <w:t>i</w:t>
      </w:r>
      <w:r w:rsidR="0042124B" w:rsidRPr="000E0F90">
        <w:rPr>
          <w:rFonts w:ascii="Arial" w:hAnsi="Arial" w:cs="Arial"/>
          <w:color w:val="000000" w:themeColor="text1"/>
        </w:rPr>
        <w:t xml:space="preserve">dad de </w:t>
      </w:r>
      <w:r w:rsidR="00EC7B4F" w:rsidRPr="000E0F90">
        <w:rPr>
          <w:rFonts w:ascii="Arial" w:hAnsi="Arial" w:cs="Arial"/>
          <w:color w:val="000000" w:themeColor="text1"/>
        </w:rPr>
        <w:t>uso de los recursos naturales</w:t>
      </w:r>
      <w:r w:rsidR="0042124B" w:rsidRPr="000E0F90">
        <w:rPr>
          <w:rFonts w:ascii="Arial" w:hAnsi="Arial" w:cs="Arial"/>
          <w:color w:val="000000" w:themeColor="text1"/>
        </w:rPr>
        <w:t xml:space="preserve"> como a la presión que se ejerce en los sistemas de soporte. </w:t>
      </w:r>
      <w:r w:rsidR="00EC7B4F" w:rsidRPr="000E0F90">
        <w:rPr>
          <w:rFonts w:ascii="Arial" w:hAnsi="Arial" w:cs="Arial"/>
          <w:color w:val="000000" w:themeColor="text1"/>
        </w:rPr>
        <w:t>Abordándose</w:t>
      </w:r>
      <w:r w:rsidR="0037275B" w:rsidRPr="000E0F90">
        <w:rPr>
          <w:rFonts w:ascii="Arial" w:hAnsi="Arial" w:cs="Arial"/>
          <w:color w:val="000000" w:themeColor="text1"/>
        </w:rPr>
        <w:t xml:space="preserve"> </w:t>
      </w:r>
      <w:r w:rsidR="00322B3D" w:rsidRPr="000E0F90">
        <w:rPr>
          <w:rFonts w:ascii="Arial" w:hAnsi="Arial" w:cs="Arial"/>
          <w:color w:val="000000" w:themeColor="text1"/>
        </w:rPr>
        <w:t xml:space="preserve">impactos de la actividad en </w:t>
      </w:r>
      <w:r w:rsidR="0028557B" w:rsidRPr="000E0F90">
        <w:rPr>
          <w:rFonts w:ascii="Arial" w:hAnsi="Arial" w:cs="Arial"/>
          <w:color w:val="000000" w:themeColor="text1"/>
        </w:rPr>
        <w:t xml:space="preserve">la merma en la </w:t>
      </w:r>
      <w:r w:rsidR="00EB25B0" w:rsidRPr="000E0F90">
        <w:rPr>
          <w:rFonts w:ascii="Arial" w:hAnsi="Arial" w:cs="Arial"/>
          <w:color w:val="000000" w:themeColor="text1"/>
        </w:rPr>
        <w:t>disponibilidad</w:t>
      </w:r>
      <w:r w:rsidR="0028557B" w:rsidRPr="000E0F90">
        <w:rPr>
          <w:rFonts w:ascii="Arial" w:hAnsi="Arial" w:cs="Arial"/>
          <w:color w:val="000000" w:themeColor="text1"/>
        </w:rPr>
        <w:t xml:space="preserve"> y calidad del </w:t>
      </w:r>
      <w:r w:rsidR="0037275B" w:rsidRPr="000E0F90">
        <w:rPr>
          <w:rFonts w:ascii="Arial" w:hAnsi="Arial" w:cs="Arial"/>
          <w:color w:val="000000" w:themeColor="text1"/>
        </w:rPr>
        <w:t xml:space="preserve">recurso hídrico, </w:t>
      </w:r>
      <w:r w:rsidR="0028557B" w:rsidRPr="000E0F90">
        <w:rPr>
          <w:rFonts w:ascii="Arial" w:hAnsi="Arial" w:cs="Arial"/>
          <w:color w:val="000000" w:themeColor="text1"/>
        </w:rPr>
        <w:t>el deterioro</w:t>
      </w:r>
      <w:r w:rsidR="00D34C82" w:rsidRPr="000E0F90">
        <w:rPr>
          <w:rFonts w:ascii="Arial" w:hAnsi="Arial" w:cs="Arial"/>
          <w:color w:val="000000" w:themeColor="text1"/>
        </w:rPr>
        <w:t xml:space="preserve"> y pérdida</w:t>
      </w:r>
      <w:r w:rsidR="0028557B" w:rsidRPr="000E0F90">
        <w:rPr>
          <w:rFonts w:ascii="Arial" w:hAnsi="Arial" w:cs="Arial"/>
          <w:color w:val="000000" w:themeColor="text1"/>
        </w:rPr>
        <w:t xml:space="preserve"> de </w:t>
      </w:r>
      <w:r w:rsidR="0037275B" w:rsidRPr="000E0F90">
        <w:rPr>
          <w:rFonts w:ascii="Arial" w:hAnsi="Arial" w:cs="Arial"/>
          <w:color w:val="000000" w:themeColor="text1"/>
        </w:rPr>
        <w:t xml:space="preserve">suelo, </w:t>
      </w:r>
      <w:r w:rsidR="0028557B" w:rsidRPr="000E0F90">
        <w:rPr>
          <w:rFonts w:ascii="Arial" w:hAnsi="Arial" w:cs="Arial"/>
          <w:color w:val="000000" w:themeColor="text1"/>
        </w:rPr>
        <w:t xml:space="preserve">la contaminación de </w:t>
      </w:r>
      <w:r w:rsidR="0037275B" w:rsidRPr="000E0F90">
        <w:rPr>
          <w:rFonts w:ascii="Arial" w:hAnsi="Arial" w:cs="Arial"/>
          <w:color w:val="000000" w:themeColor="text1"/>
        </w:rPr>
        <w:t>aire</w:t>
      </w:r>
      <w:r w:rsidR="002B74B4" w:rsidRPr="000E0F90">
        <w:rPr>
          <w:rFonts w:ascii="Arial" w:hAnsi="Arial" w:cs="Arial"/>
          <w:color w:val="000000" w:themeColor="text1"/>
        </w:rPr>
        <w:t>,</w:t>
      </w:r>
      <w:r w:rsidR="0028557B" w:rsidRPr="000E0F90">
        <w:rPr>
          <w:rFonts w:ascii="Arial" w:hAnsi="Arial" w:cs="Arial"/>
          <w:color w:val="000000" w:themeColor="text1"/>
        </w:rPr>
        <w:t xml:space="preserve"> y la destrucción de </w:t>
      </w:r>
      <w:r w:rsidR="002B74B4" w:rsidRPr="000E0F90">
        <w:rPr>
          <w:rFonts w:ascii="Arial" w:hAnsi="Arial" w:cs="Arial"/>
          <w:color w:val="000000" w:themeColor="text1"/>
        </w:rPr>
        <w:t>veg</w:t>
      </w:r>
      <w:r w:rsidR="00EC7B4F" w:rsidRPr="000E0F90">
        <w:rPr>
          <w:rFonts w:ascii="Arial" w:hAnsi="Arial" w:cs="Arial"/>
          <w:color w:val="000000" w:themeColor="text1"/>
        </w:rPr>
        <w:t xml:space="preserve">etación y hábitats </w:t>
      </w:r>
      <w:r w:rsidR="0037275B" w:rsidRPr="000E0F90">
        <w:rPr>
          <w:rFonts w:ascii="Arial" w:hAnsi="Arial" w:cs="Arial"/>
          <w:noProof/>
          <w:color w:val="000000" w:themeColor="text1"/>
        </w:rPr>
        <w:fldChar w:fldCharType="begin" w:fldLock="1"/>
      </w:r>
      <w:r w:rsidR="00380FC7" w:rsidRPr="000E0F90">
        <w:rPr>
          <w:rFonts w:ascii="Arial" w:hAnsi="Arial" w:cs="Arial"/>
          <w:noProof/>
          <w:color w:val="000000" w:themeColor="text1"/>
        </w:rPr>
        <w:instrText>ADDIN CSL_CITATION { "citationItems" : [ { "id" : "ITEM-1", "itemData" : { "DOI" : "10.1016/j.gloenvcha.2011.08.009", "ISSN" : "09593780", "author" : [ { "dropping-particle" : "", "family" : "Prior", "given" : "T.", "non-dropping-particle" : "", "parse-names" : false, "suffix" : "" }, { "dropping-particle" : "", "family" : "Giurco", "given" : "D.", "non-dropping-particle" : "", "parse-names" : false, "suffix" : "" }, { "dropping-particle" : "", "family" : "Mudd", "given" : "G.", "non-dropping-particle" : "", "parse-names" : false, "suffix" : "" }, { "dropping-particle" : "", "family" : "Mason", "given" : "L.", "non-dropping-particle" : "", "parse-names" : false, "suffix" : "" }, { "dropping-particle" : "", "family" : "Behrisch", "given" : "J.", "non-dropping-particle" : "", "parse-names" : false, "suffix" : "" } ], "container-title" : "Global Environmental Change", "id" : "ITEM-1", "issue" : "3", "issued" : { "date-parts" : [ [ "2012", "8" ] ] }, "page" : "577-587", "publisher" : "Elsevier Ltd", "title" : "Resource depletion, peak minerals and the implications for sustainable resource management", "type" : "article-journal", "volume" : "22" }, "uris" : [ "http://www.mendeley.com/documents/?uuid=2b8380be-be24-4e89-8599-74078f32fe15" ] }, { "id" : "ITEM-2", "itemData" : { "author" : [ { "dropping-particle" : "", "family" : "Hilson", "given" : "Gavin", "non-dropping-particle" : "", "parse-names" : false, "suffix" : "" }, { "dropping-particle" : "", "family" : "Murck", "given" : "Barbara", "non-dropping-particle" : "", "parse-names" : false, "suffix" : "" } ], "id" : "ITEM-2", "issue" : "2000", "issued" : { "date-parts" : [ [ "2000" ] ] }, "page" : "227-238", "title" : "Sustainable development in the mining industry : clarifying the corporate perspective", "type" : "article-journal", "volume" : "26" }, "uris" : [ "http://www.mendeley.com/documents/?uuid=f8aeb7a1-70d0-42bd-ae96-6e53b2ce6cb4" ] }, { "id" : "ITEM-3", "itemData" : { "author" : [ { "dropping-particle" : "", "family" : "Amezaga", "given" : "Jaime M", "non-dropping-particle" : "", "parse-names" : false, "suffix" : "" }, { "dropping-particle" : "", "family" : "Younger", "given" : "Paul L", "non-dropping-particle" : "", "parse-names" : false, "suffix" : "" }, { "dropping-particle" : "", "family" : "U", "given" : "Ricardo Oyarz", "non-dropping-particle" : "", "parse-names" : false, "suffix" : "" }, { "dropping-particle" : "", "family" : "Mayor", "given" : "Universidad", "non-dropping-particle" : "", "parse-names" : false, "suffix" : "" }, { "dropping-particle" : "", "family" : "Andre", "given" : "De San", "non-dropping-particle" : "", "parse-names" : false, "suffix" : "" } ], "id" : "ITEM-3", "issued" : { "date-parts" : [ [ "2011" ] ] }, "page" : "21-26", "title" : "A Rich Vein ? Mining and the Pursuit of Sustainability \u2020", "type" : "article-journal" }, "uris" : [ "http://www.mendeley.com/documents/?uuid=23d694c8-9bfc-4f5f-a048-d902336bb8e3" ] }, { "id" : "ITEM-4", "itemData" : { "DOI" : "10.1146/annurev.energy.28.011503.163434", "ISSN" : "1543-5938", "author" : [ { "dropping-particle" : "", "family" : "Bridge", "given" : "Gavin", "non-dropping-particle" : "", "parse-names" : false, "suffix" : "" } ], "container-title" : "Annual Review of Environment and Resources", "id" : "ITEM-4", "issue" : "1", "issued" : { "date-parts" : [ [ "2004", "11", "21" ] ] }, "page" : "205-259", "title" : "CONTESTED TERRAIN: Mining and the Environment", "type" : "article-journal", "volume" : "29" }, "uris" : [ "http://www.mendeley.com/documents/?uuid=3856b087-468f-47e0-aa60-26b2415a5e72" ] }, { "id" : "ITEM-5", "itemData" : { "DOI" : "10.1080/10643389.2012.672086", "ISSN" : "1064-3389", "author" : [ { "dropping-particle" : "", "family" : "Pokhrel", "given" : "Lok R.", "non-dropping-particle" : "", "parse-names" : false, "suffix" : "" }, { "dropping-particle" : "", "family" : "Dubey", "given" : "Brajesh", "non-dropping-particle" : "", "parse-names" : false, "suffix" : "" } ], "container-title" : "Critical Reviews in Environmental Science and Technology", "id" : "ITEM-5", "issue" : "21", "issued" : { "date-parts" : [ [ "2013", "1" ] ] }, "pag</w:instrText>
      </w:r>
      <w:r w:rsidR="00380FC7" w:rsidRPr="000E0F90">
        <w:rPr>
          <w:rFonts w:ascii="Arial" w:hAnsi="Arial" w:cs="Arial"/>
          <w:noProof/>
          <w:color w:val="000000" w:themeColor="text1"/>
          <w:lang w:val="en-US"/>
        </w:rPr>
        <w:instrText>e" : "2352-2388", "title" : "Global Scenarios of Metal Mining, Environmental Repercussions, Public Policies, and Sustainability: A Review", "type" : "article-journal", "volume" : "43" }, "uris" : [ "http://www.mendeley.com/documents/?uuid=14ca50ec-28b7-4b2c-8a70-269b84b94b1c" ] }, { "id" : "ITEM-6", "itemData" : { "author" : [ { "dropping-particle" : "", "family" : "Mudd", "given" : "G M", "non-dropping-particle" : "", "parse-names" : false, "suffix" : "" }, { "dropping-particle" : "", "family" : "Ward", "given" : "J D", "non-dropping-particle" : "", "parse-names" : false, "suffix" : "" } ], "id" : "ITEM-6", "issued" : { "date-parts" : [ [ "0" ] ] }, "page" : "1-10", "title" : "Will Sustainability Constraints Cause \u2018 Peak Minerals \u2019 ?", "type" : "article-journal" }, "uris" : [ "http://www.mendeley.com/documents/?uuid=81f17c00-017f-461c-8d60-bc147e19e633" ] } ], "mendeley" : { "formattedCitation" : "(Amezaga et al., 2011; Bridge, 2004; Hilson &amp; Murck, 2000; G M Mudd &amp; Ward, n.d.; Pokhrel &amp; Dubey, 2013; Prior et al., 2012)", "plainTextFormattedCitation" : "(Amezaga et al., 2011; Bridge, 2004; Hilson &amp; Murck, 2000; G M Mudd &amp; Ward, n.d.; Pokhrel &amp; Dubey, 2013; Prior et al., 2012)", "previouslyFormattedCitation" : "(Amezaga et al., 2011; Bridge, 2004; Hilson &amp; Murck, 2000; G M Mudd &amp; Ward, n.d.; Pokhrel &amp; Dubey, 2013; Prior et al., 2012)" }, "properties" : { "noteIndex" : 0 }, "schema" : "https://github.com/citation-style-language/schema/raw/master/csl-citation.json" }</w:instrText>
      </w:r>
      <w:r w:rsidR="0037275B" w:rsidRPr="000E0F90">
        <w:rPr>
          <w:rFonts w:ascii="Arial" w:hAnsi="Arial" w:cs="Arial"/>
          <w:noProof/>
          <w:color w:val="000000" w:themeColor="text1"/>
        </w:rPr>
        <w:fldChar w:fldCharType="separate"/>
      </w:r>
      <w:r w:rsidR="008836DC" w:rsidRPr="000E0F90">
        <w:rPr>
          <w:rFonts w:ascii="Arial" w:hAnsi="Arial" w:cs="Arial"/>
          <w:noProof/>
          <w:color w:val="000000" w:themeColor="text1"/>
          <w:lang w:val="en-US"/>
        </w:rPr>
        <w:t>(Amezaga et al., 2011; Bridge, 2004; Hilson &amp; Murck, 2000; G M Mudd &amp; Ward, n.d.; Pokhrel &amp; Dubey, 2013; Prior et al., 2012)</w:t>
      </w:r>
      <w:r w:rsidR="0037275B" w:rsidRPr="000E0F90">
        <w:rPr>
          <w:rFonts w:ascii="Arial" w:hAnsi="Arial" w:cs="Arial"/>
          <w:noProof/>
          <w:color w:val="000000" w:themeColor="text1"/>
        </w:rPr>
        <w:fldChar w:fldCharType="end"/>
      </w:r>
      <w:r w:rsidR="0042124B" w:rsidRPr="000E0F90">
        <w:rPr>
          <w:rFonts w:ascii="Arial" w:hAnsi="Arial" w:cs="Arial"/>
          <w:color w:val="000000" w:themeColor="text1"/>
          <w:lang w:val="en-US"/>
        </w:rPr>
        <w:t xml:space="preserve"> (Moody, 2005)</w:t>
      </w:r>
      <w:r w:rsidR="00EC7B4F" w:rsidRPr="000E0F90">
        <w:rPr>
          <w:rFonts w:ascii="Arial" w:hAnsi="Arial" w:cs="Arial"/>
          <w:color w:val="000000" w:themeColor="text1"/>
          <w:lang w:val="en-US"/>
        </w:rPr>
        <w:t xml:space="preserve">. </w:t>
      </w:r>
      <w:r w:rsidR="00100CB9" w:rsidRPr="000E0F90">
        <w:rPr>
          <w:rFonts w:ascii="Arial" w:hAnsi="Arial" w:cs="Arial"/>
          <w:color w:val="000000" w:themeColor="text1"/>
        </w:rPr>
        <w:t xml:space="preserve">Así como los efectos temporales y espaciales de la actividad </w:t>
      </w:r>
      <w:r w:rsidR="00100CB9" w:rsidRPr="000E0F90">
        <w:rPr>
          <w:rFonts w:ascii="Arial" w:hAnsi="Arial" w:cs="Arial"/>
          <w:color w:val="000000" w:themeColor="text1"/>
        </w:rPr>
        <w:fldChar w:fldCharType="begin" w:fldLock="1"/>
      </w:r>
      <w:r w:rsidR="00100CB9" w:rsidRPr="000E0F90">
        <w:rPr>
          <w:rFonts w:ascii="Arial" w:hAnsi="Arial" w:cs="Arial"/>
          <w:color w:val="000000" w:themeColor="text1"/>
        </w:rPr>
        <w:instrText>ADDIN CSL_CITATION { "citationItems" : [ { "id" : "ITEM-1", "itemData" : { "DOI" : "10.3152/146155110X12838715793129", "ISSN" : "1461-5517", "author" : [ { "dropping-particle" : "", "family" : "Franks", "given" : "Daniel M.", "non-dropping-particle" : "", "parse-names" : false, "suffix" : "" }, { "dropping-particle" : "", "family" : "Brereton", "given" : "David", "non-dropping-particle" : "", "parse-names" : false, "suffix" : "" }, { "dropping-particle" : "", "family" : "Moran", "given" : "Chris J.", "non-dropping-particle" : "", "parse-names" : false, "suffix" : "" } ], "container-title" : "Impact Assessment and Project Appraisal", "id" : "ITEM-1", "issue" : "4", "issued" : { "date-parts" : [ [ "2010", "12" ] ] }, "page" : "299-312", "title" : "Managing the cumulative impacts of coal mining on regional communities and environments in Australia", "type" : "article-journal", "volume" : "28" }, "uris" : [ "http://www.mendeley.com/documents/?uuid=c7a17e71-84f1-4a13-aa01-f520dfa08c0d" ] } ], "mendeley" : { "formattedCitation" : "(Franks et al., 2010)", "plainTextFormattedCitation" : "(Franks et al., 2010)", "previouslyFormattedCitation" : "(Franks et al., 2010)" }, "properties" : { "noteIndex" : 0 }, "schema" : "https://github.com/citation-style-language/schema/raw/master/csl-citation.json" }</w:instrText>
      </w:r>
      <w:r w:rsidR="00100CB9" w:rsidRPr="000E0F90">
        <w:rPr>
          <w:rFonts w:ascii="Arial" w:hAnsi="Arial" w:cs="Arial"/>
          <w:color w:val="000000" w:themeColor="text1"/>
        </w:rPr>
        <w:fldChar w:fldCharType="separate"/>
      </w:r>
      <w:r w:rsidR="00100CB9" w:rsidRPr="000E0F90">
        <w:rPr>
          <w:rFonts w:ascii="Arial" w:hAnsi="Arial" w:cs="Arial"/>
          <w:noProof/>
          <w:color w:val="000000" w:themeColor="text1"/>
        </w:rPr>
        <w:t>(Franks et al., 2010)</w:t>
      </w:r>
      <w:r w:rsidR="00100CB9" w:rsidRPr="000E0F90">
        <w:rPr>
          <w:rFonts w:ascii="Arial" w:hAnsi="Arial" w:cs="Arial"/>
          <w:color w:val="000000" w:themeColor="text1"/>
        </w:rPr>
        <w:fldChar w:fldCharType="end"/>
      </w:r>
      <w:r w:rsidR="00100CB9" w:rsidRPr="000E0F90">
        <w:rPr>
          <w:rFonts w:ascii="Arial" w:hAnsi="Arial" w:cs="Arial"/>
          <w:color w:val="000000" w:themeColor="text1"/>
        </w:rPr>
        <w:t xml:space="preserve"> </w:t>
      </w:r>
      <w:r w:rsidR="00100CB9" w:rsidRPr="000E0F90">
        <w:rPr>
          <w:rFonts w:ascii="Arial" w:hAnsi="Arial" w:cs="Arial"/>
          <w:color w:val="000000" w:themeColor="text1"/>
        </w:rPr>
        <w:fldChar w:fldCharType="begin" w:fldLock="1"/>
      </w:r>
      <w:r w:rsidR="00100CB9" w:rsidRPr="000E0F90">
        <w:rPr>
          <w:rFonts w:ascii="Arial" w:hAnsi="Arial" w:cs="Arial"/>
          <w:color w:val="000000" w:themeColor="text1"/>
        </w:rPr>
        <w:instrText>ADDIN CSL_CITATION { "citationItems" : [ { "id" : "ITEM-1", "itemData" : { "DOI" : "10.1016/j.jclepro.2009.04.013", "ISSN" : "09596526", "author" : [ { "dropping-particle" : "", "family" : "Worrall", "given" : "Rhys", "non-dropping-particle" : "", "parse-names" : false, "suffix" : "" }, { "dropping-particle" : "", "family" : "Neil", "given" : "David", "non-dropping-particle" : "", "parse-names" : false, "suffix" : "" }, { "dropping-particle" : "", "family" : "Brereton", "given" : "David", "non-dropping-particle" : "", "parse-names" : false, "suffix" : "" }, { "dropping-particle" : "", "family" : "Mulligan", "given" : "David", "non-dropping-particle" : "", "parse-names" : false, "suffix" : "" } ], "container-title" : "Journal of Cleaner Production", "id" : "ITEM-1", "issue" : "16", "issued" : { "date-parts" : [ [ "2009", "11" ] ] }, "page" : "1426-1434", "publisher" : "Elsevier Ltd", "title" : "Towards a sustainability criteria and indicators framework for legacy mine land", "type" : "article-journal", "volume" : "17" }, "uris" : [ "http://www.mendeley.com/documents/?uuid=ab575b20-fa72-4f71-9cda-8dfefeac6b76" ] } ], "mendeley" : { "formattedCitation" : "(Worrall et al., 2009)", "plainTextFormattedCitation" : "(Worrall et al., 2009)", "previouslyFormattedCitation" : "(Worrall et al., 2009)" }, "properties" : { "noteIndex" : 0 }, "schema" : "https://github.com/citation-style-language/schema/raw/master/csl-citation.json" }</w:instrText>
      </w:r>
      <w:r w:rsidR="00100CB9" w:rsidRPr="000E0F90">
        <w:rPr>
          <w:rFonts w:ascii="Arial" w:hAnsi="Arial" w:cs="Arial"/>
          <w:color w:val="000000" w:themeColor="text1"/>
        </w:rPr>
        <w:fldChar w:fldCharType="separate"/>
      </w:r>
      <w:r w:rsidR="00100CB9" w:rsidRPr="000E0F90">
        <w:rPr>
          <w:rFonts w:ascii="Arial" w:hAnsi="Arial" w:cs="Arial"/>
          <w:noProof/>
          <w:color w:val="000000" w:themeColor="text1"/>
        </w:rPr>
        <w:t>(Worrall et al., 2009)</w:t>
      </w:r>
      <w:r w:rsidR="00100CB9" w:rsidRPr="000E0F90">
        <w:rPr>
          <w:rFonts w:ascii="Arial" w:hAnsi="Arial" w:cs="Arial"/>
          <w:color w:val="000000" w:themeColor="text1"/>
        </w:rPr>
        <w:fldChar w:fldCharType="end"/>
      </w:r>
      <w:r w:rsidR="00100CB9" w:rsidRPr="000E0F90">
        <w:rPr>
          <w:rFonts w:ascii="Arial" w:hAnsi="Arial" w:cs="Arial"/>
          <w:color w:val="000000" w:themeColor="text1"/>
        </w:rPr>
        <w:t xml:space="preserve"> </w:t>
      </w:r>
      <w:r w:rsidR="00100CB9" w:rsidRPr="000E0F90">
        <w:rPr>
          <w:rFonts w:ascii="Arial" w:hAnsi="Arial" w:cs="Arial"/>
          <w:color w:val="000000" w:themeColor="text1"/>
        </w:rPr>
        <w:fldChar w:fldCharType="begin" w:fldLock="1"/>
      </w:r>
      <w:r w:rsidR="00100CB9" w:rsidRPr="000E0F90">
        <w:rPr>
          <w:rFonts w:ascii="Arial" w:hAnsi="Arial" w:cs="Arial"/>
          <w:color w:val="000000" w:themeColor="text1"/>
        </w:rPr>
        <w:instrText>ADDIN CSL_CITATION { "citationItems" : [ { "id" : "ITEM-1", "itemData" : { "author" : [ { "dropping-particle" : "", "family" : "Amezaga", "given" : "Jaime M", "non-dropping-particle" : "", "parse-names" : false, "suffix" : "" }, { "dropping-particle" : "", "family" : "Younger", "given" : "Paul L", "non-dropping-particle" : "", "parse-names" : false, "suffix" : "" }, { "dropping-particle" : "", "family" : "U", "given" : "Ricardo Oyarz", "non-dropping-particle" : "", "parse-names" : false, "suffix" : "" }, { "dropping-particle" : "", "family" : "Mayor", "given" : "Universidad", "non-dropping-particle" : "", "parse-names" : false, "suffix" : "" }, { "dropping-particle" : "", "family" : "Andre", "given" : "De San", "non-dropping-particle" : "", "parse-names" : false, "suffix" : "" } ], "id" : "ITEM-1", "issued" : { "date-parts" : [ [ "2011" ] ] }, "page" : "21-26", "title" : "A Rich Vein ? Mining and the Pursuit of Sustainability \u2020", "type" : "article-journal" }, "uris" : [ "http://www.mendeley.com/documents/?uuid=23d694c8-9bfc-4f5f-a048-d902336bb8e3" ] } ], "mendeley" : { "formattedCitation" : "(Amezaga et al., 2011)", "plainTextFormattedCitation" : "(Amezaga et al., 2011)", "previouslyFormattedCitation" : "(Amezaga et al., 2011)" }, "properties" : { "noteIndex" : 0 }, "schema" : "https://github.com/citation-style-language/schema/raw/master/csl-citation.json" }</w:instrText>
      </w:r>
      <w:r w:rsidR="00100CB9" w:rsidRPr="000E0F90">
        <w:rPr>
          <w:rFonts w:ascii="Arial" w:hAnsi="Arial" w:cs="Arial"/>
          <w:color w:val="000000" w:themeColor="text1"/>
        </w:rPr>
        <w:fldChar w:fldCharType="separate"/>
      </w:r>
      <w:r w:rsidR="00100CB9" w:rsidRPr="000E0F90">
        <w:rPr>
          <w:rFonts w:ascii="Arial" w:hAnsi="Arial" w:cs="Arial"/>
          <w:noProof/>
          <w:color w:val="000000" w:themeColor="text1"/>
        </w:rPr>
        <w:t>(Amezaga et al., 2011)</w:t>
      </w:r>
      <w:r w:rsidR="00100CB9" w:rsidRPr="000E0F90">
        <w:rPr>
          <w:rFonts w:ascii="Arial" w:hAnsi="Arial" w:cs="Arial"/>
          <w:color w:val="000000" w:themeColor="text1"/>
        </w:rPr>
        <w:fldChar w:fldCharType="end"/>
      </w:r>
      <w:r w:rsidR="00100CB9" w:rsidRPr="000E0F90">
        <w:rPr>
          <w:rFonts w:ascii="Arial" w:hAnsi="Arial" w:cs="Arial"/>
          <w:color w:val="000000" w:themeColor="text1"/>
        </w:rPr>
        <w:t xml:space="preserve"> </w:t>
      </w:r>
      <w:r w:rsidR="00100CB9" w:rsidRPr="000E0F90">
        <w:rPr>
          <w:rFonts w:ascii="Arial" w:hAnsi="Arial" w:cs="Arial"/>
          <w:color w:val="000000" w:themeColor="text1"/>
        </w:rPr>
        <w:fldChar w:fldCharType="begin" w:fldLock="1"/>
      </w:r>
      <w:r w:rsidR="00100CB9" w:rsidRPr="000E0F90">
        <w:rPr>
          <w:rFonts w:ascii="Arial" w:hAnsi="Arial" w:cs="Arial"/>
          <w:color w:val="000000" w:themeColor="text1"/>
        </w:rPr>
        <w:instrText>ADDIN CSL_CITATION { "citationItems" : [ { "id" : "ITEM-1", "itemData" : { "DOI" : "10.1146/annurev.energy.28.011503.163434", "ISSN" : "1543-5938", "author" : [ { "dropping-particle" : "", "family" : "Bridge", "given" : "Gavin", "non-dropping-particle" : "", "parse-names" : false, "suffix" : "" } ], "container-title" : "Annual Review of Environment and Resources", "id" : "ITEM-1", "issue" : "1", "issued" : { "date-parts" : [ [ "2004", "11", "21" ] ] }, "page" : "205-259", "title" : "CONTESTED TERRAIN: Mining and the Environment", "type" : "article-journal", "volume" : "29" }, "uris" : [ "http://www.mendeley.com/documents/?uuid=3856b087-468f-47e0-aa60-26b2415a5e72" ] } ], "mendeley" : { "formattedCitation" : "(Bridge, 2004)", "plainTextFormattedCitation" : "(Bridge, 2004)", "previouslyFormattedCitation" : "(Bridge, 2004)" }, "properties" : { "noteIndex" : 0 }, "schema" : "https://github.com/citation-style-language/schema/raw/master/csl-citation.json" }</w:instrText>
      </w:r>
      <w:r w:rsidR="00100CB9" w:rsidRPr="000E0F90">
        <w:rPr>
          <w:rFonts w:ascii="Arial" w:hAnsi="Arial" w:cs="Arial"/>
          <w:color w:val="000000" w:themeColor="text1"/>
        </w:rPr>
        <w:fldChar w:fldCharType="separate"/>
      </w:r>
      <w:r w:rsidR="00100CB9" w:rsidRPr="000E0F90">
        <w:rPr>
          <w:rFonts w:ascii="Arial" w:hAnsi="Arial" w:cs="Arial"/>
          <w:noProof/>
          <w:color w:val="000000" w:themeColor="text1"/>
        </w:rPr>
        <w:t>(Bridge, 2004)</w:t>
      </w:r>
      <w:r w:rsidR="00100CB9" w:rsidRPr="000E0F90">
        <w:rPr>
          <w:rFonts w:ascii="Arial" w:hAnsi="Arial" w:cs="Arial"/>
          <w:color w:val="000000" w:themeColor="text1"/>
        </w:rPr>
        <w:fldChar w:fldCharType="end"/>
      </w:r>
      <w:r w:rsidR="00100CB9" w:rsidRPr="000E0F90">
        <w:rPr>
          <w:rFonts w:ascii="Arial" w:hAnsi="Arial" w:cs="Arial"/>
          <w:color w:val="000000" w:themeColor="text1"/>
        </w:rPr>
        <w:t xml:space="preserve">, considerando todo el ciclo productivo de la actividad incluido desde la exploración hasta el cierre y rehabilitación de sitios mineros </w:t>
      </w:r>
      <w:r w:rsidR="00100CB9" w:rsidRPr="000E0F90">
        <w:rPr>
          <w:rFonts w:ascii="Arial" w:hAnsi="Arial" w:cs="Arial"/>
          <w:color w:val="000000" w:themeColor="text1"/>
        </w:rPr>
        <w:fldChar w:fldCharType="begin" w:fldLock="1"/>
      </w:r>
      <w:r w:rsidR="00100CB9" w:rsidRPr="000E0F90">
        <w:rPr>
          <w:rFonts w:ascii="Arial" w:hAnsi="Arial" w:cs="Arial"/>
          <w:color w:val="000000" w:themeColor="text1"/>
        </w:rPr>
        <w:instrText>ADDIN CSL_CITATION { "citationItems" : [ { "id" : "ITEM-1", "itemData" : { "DOI" : "10.1016/j.jclepro.2017.03.047", "ISBN" : "9789289347945", "ISSN" : "09596526", "abstract" : "The mining industry has a major impact on society - from an economic, environmental and social perspective and due to a vast number of criteria. Which criteria should be given priority depends on where the mining operations take place. This paper's focus on the Nordic mining industry is partly due to the positive economic trend that the industry is currently experiencing and partly because very little research has been conducted on how the European mining industry addresses sustainability. The purpose of this study is therefore to examine the Nordic mining industry's sustainability practices and to develop guidelines for such efforts. The research methods used in the study include a literature review, a content analysis of sustainability reports, a review of existing sustainability initiatives, guidelines and tools, a stakeholder survey and interviews with mining company officials. Based on the findings, sustainability criteria guidelines for the Nordic mining industry are suggested in the areas of corporate governance, fair operating practices, economic aspects, human rights, labour practices, society and the environment. The content of the guidelines is discussed in the light of the sustainability practices performed by the studied mining companies.", "author" : [ { "dropping-particle" : "", "family" : "Ran\u00e4ngen", "given" : "Helena", "non-dropping-particle" : "", "parse-names" : false, "suffix" : "" }, { "dropping-particle" : "", "family" : "Lindman", "given" : "\u00c5sa", "non-dropping-particle" : "", "parse-names" : false, "suffix" : "" } ], "container-title" : "Journal of Cleaner Production", "id" : "ITEM-1", "issued" : { "date-parts" : [ [ "2017" ] ] }, "page" : "43-52", "title" : "A path towards sustainability for the Nordic mining industry", "type" : "article-journal", "volume" : "151" }, "uris" : [ "http://www.mendeley.com/documents/?uuid=6c35c3e3-ee0c-4b28-8acc-e8d00b36d33a" ] } ], "mendeley" : { "formattedCitation" : "(Ran\u00e4ngen &amp; Lindman, 2017)", "plainTextFormattedCitation" : "(Ran\u00e4ngen &amp; Lindman, 2017)", "previouslyFormattedCitation" : "(Ran\u00e4ngen &amp; Lindman, 2017)" }, "properties" : { "noteIndex" : 0 }, "schema" : "https://github.com/citation-style-language/schema/raw/master/csl-citation.json" }</w:instrText>
      </w:r>
      <w:r w:rsidR="00100CB9" w:rsidRPr="000E0F90">
        <w:rPr>
          <w:rFonts w:ascii="Arial" w:hAnsi="Arial" w:cs="Arial"/>
          <w:color w:val="000000" w:themeColor="text1"/>
        </w:rPr>
        <w:fldChar w:fldCharType="separate"/>
      </w:r>
      <w:r w:rsidR="00100CB9" w:rsidRPr="000E0F90">
        <w:rPr>
          <w:rFonts w:ascii="Arial" w:hAnsi="Arial" w:cs="Arial"/>
          <w:noProof/>
          <w:color w:val="000000" w:themeColor="text1"/>
        </w:rPr>
        <w:t>(Ranängen &amp; Lindman, 2017)</w:t>
      </w:r>
      <w:r w:rsidR="00100CB9" w:rsidRPr="000E0F90">
        <w:rPr>
          <w:rFonts w:ascii="Arial" w:hAnsi="Arial" w:cs="Arial"/>
          <w:color w:val="000000" w:themeColor="text1"/>
        </w:rPr>
        <w:fldChar w:fldCharType="end"/>
      </w:r>
      <w:r w:rsidR="00100CB9" w:rsidRPr="000E0F90">
        <w:rPr>
          <w:rFonts w:ascii="Arial" w:hAnsi="Arial" w:cs="Arial"/>
          <w:color w:val="000000" w:themeColor="text1"/>
        </w:rPr>
        <w:t xml:space="preserve"> y el agotamiento de los recursos minerales; al igual que los impactos en territorios contiguos </w:t>
      </w:r>
      <w:r w:rsidR="00100CB9" w:rsidRPr="000E0F90">
        <w:rPr>
          <w:rFonts w:ascii="Arial" w:hAnsi="Arial" w:cs="Arial"/>
          <w:color w:val="000000" w:themeColor="text1"/>
        </w:rPr>
        <w:fldChar w:fldCharType="begin" w:fldLock="1"/>
      </w:r>
      <w:r w:rsidR="00100CB9" w:rsidRPr="000E0F90">
        <w:rPr>
          <w:rFonts w:ascii="Arial" w:hAnsi="Arial" w:cs="Arial"/>
          <w:color w:val="000000" w:themeColor="text1"/>
        </w:rPr>
        <w:instrText>ADDIN CSL_CITATION { "citationItems" : [ { "id" : "ITEM-1", "itemData" : { "DOI" : "10.1080/01944360008976081", "ISBN" : "0194-4363", "ISSN" : "01944363", "PMID" : "2989497", "abstract" : "A set of six principles are set forth that define and operationalize the concept of sustainable development. Using these six principles, a sample of 30 comprehensive plans was evaluated to determine how well their policies support sustainable development. Findings indicate no significant differences in how extensively sustainability principles are supported between the plans that state an intention to integrate sustainable development and those that do not. In addition, these plans do not provide balanced support of all six sustainability principles, as they support some principles significantly more than others.", "author" : [ { "dropping-particle" : "", "family" : "Berke", "given" : "Philip R", "non-dropping-particle" : "", "parse-names" : false, "suffix" : "" }, { "dropping-particle" : "", "family" : "Conroy", "given" : "Maria Manta", "non-dropping-particle" : "", "parse-names" : false, "suffix" : "" } ], "container-title" : "American Planning Association.Journal of the American Planning Association", "id" : "ITEM-1", "issue" : "September", "issued" : { "date-parts" : [ [ "2000" ] ] }, "page" : "21", "title" : "Are we planning for sustainable development?", "type" : "article-journal", "volume" : "66" }, "uris" : [ "http://www.mendeley.com/documents/?uuid=9c8f081f-71c5-4194-83b6-25e26c52bc06" ] } ], "mendeley" : { "formattedCitation" : "(Berke &amp; Conroy, 2000)", "plainTextFormattedCitation" : "(Berke &amp; Conroy, 2000)", "previouslyFormattedCitation" : "(Berke &amp; Conroy, 2000)" }, "properties" : { "noteIndex" : 0 }, "schema" : "https://github.com/citation-style-language/schema/raw/master/csl-citation.json" }</w:instrText>
      </w:r>
      <w:r w:rsidR="00100CB9" w:rsidRPr="000E0F90">
        <w:rPr>
          <w:rFonts w:ascii="Arial" w:hAnsi="Arial" w:cs="Arial"/>
          <w:color w:val="000000" w:themeColor="text1"/>
        </w:rPr>
        <w:fldChar w:fldCharType="separate"/>
      </w:r>
      <w:r w:rsidR="00100CB9" w:rsidRPr="000E0F90">
        <w:rPr>
          <w:rFonts w:ascii="Arial" w:hAnsi="Arial" w:cs="Arial"/>
          <w:noProof/>
          <w:color w:val="000000" w:themeColor="text1"/>
        </w:rPr>
        <w:t>(Berke &amp; Conroy, 2000)</w:t>
      </w:r>
      <w:r w:rsidR="00100CB9" w:rsidRPr="000E0F90">
        <w:rPr>
          <w:rFonts w:ascii="Arial" w:hAnsi="Arial" w:cs="Arial"/>
          <w:color w:val="000000" w:themeColor="text1"/>
        </w:rPr>
        <w:fldChar w:fldCharType="end"/>
      </w:r>
      <w:r w:rsidR="00100CB9" w:rsidRPr="000E0F90">
        <w:rPr>
          <w:rFonts w:ascii="Arial" w:hAnsi="Arial" w:cs="Arial"/>
          <w:color w:val="000000" w:themeColor="text1"/>
        </w:rPr>
        <w:t xml:space="preserve"> </w:t>
      </w:r>
      <w:r w:rsidR="00100CB9" w:rsidRPr="000E0F90">
        <w:rPr>
          <w:rFonts w:ascii="Arial" w:hAnsi="Arial" w:cs="Arial"/>
          <w:color w:val="000000" w:themeColor="text1"/>
        </w:rPr>
        <w:fldChar w:fldCharType="begin" w:fldLock="1"/>
      </w:r>
      <w:r w:rsidR="00100CB9" w:rsidRPr="000E0F90">
        <w:rPr>
          <w:rFonts w:ascii="Arial" w:hAnsi="Arial" w:cs="Arial"/>
          <w:color w:val="000000" w:themeColor="text1"/>
        </w:rPr>
        <w:instrText>ADDIN CSL_CITATION { "citationItems" : [ { "id" : "ITEM-1", "itemData" : { "DOI" : "10.1016/S0959-6526(03)00075-1", "ISBN" : "4414836891", "ISSN" : "09596526", "author" : [ { "dropping-particle" : "", "family" : "Azapagic", "given" : "Adisa", "non-dropping-particle" : "", "parse-names" : false, "suffix" : "" } ], "container-title" : "Journal of Cleaner Production", "id" : "ITEM-1", "issue" : "6", "issued" : { "date-parts" : [ [ "2004", "8" ] ] }, "page" : "639-662", "title" : "Developing a framework for sustainable development indicators for the mining and minerals industry", "type" : "article-journal", "volume" : "12" }, "uris" : [ "http://www.mendeley.com/documents/?uuid=a36976cf-2e0f-4c41-bd50-7ef9e97ed91f" ] } ], "mendeley" : { "formattedCitation" : "(Azapagic, 2004)", "plainTextFormattedCitation" : "(Azapagic, 2004)", "previouslyFormattedCitation" : "(Azapagic, 2004)" }, "properties" : { "noteIndex" : 0 }, "schema" : "https://github.com/citation-style-language/schema/raw/master/csl-citation.json" }</w:instrText>
      </w:r>
      <w:r w:rsidR="00100CB9" w:rsidRPr="000E0F90">
        <w:rPr>
          <w:rFonts w:ascii="Arial" w:hAnsi="Arial" w:cs="Arial"/>
          <w:color w:val="000000" w:themeColor="text1"/>
        </w:rPr>
        <w:fldChar w:fldCharType="separate"/>
      </w:r>
      <w:r w:rsidR="00100CB9" w:rsidRPr="000E0F90">
        <w:rPr>
          <w:rFonts w:ascii="Arial" w:hAnsi="Arial" w:cs="Arial"/>
          <w:noProof/>
          <w:color w:val="000000" w:themeColor="text1"/>
        </w:rPr>
        <w:t>(Azapagic, 2004)</w:t>
      </w:r>
      <w:r w:rsidR="00100CB9" w:rsidRPr="000E0F90">
        <w:rPr>
          <w:rFonts w:ascii="Arial" w:hAnsi="Arial" w:cs="Arial"/>
          <w:color w:val="000000" w:themeColor="text1"/>
        </w:rPr>
        <w:fldChar w:fldCharType="end"/>
      </w:r>
      <w:r w:rsidR="00100CB9" w:rsidRPr="000E0F90">
        <w:rPr>
          <w:rFonts w:ascii="Arial" w:hAnsi="Arial" w:cs="Arial"/>
          <w:color w:val="000000" w:themeColor="text1"/>
        </w:rPr>
        <w:t xml:space="preserve"> </w:t>
      </w:r>
      <w:r w:rsidR="00100CB9" w:rsidRPr="000E0F90">
        <w:rPr>
          <w:rFonts w:ascii="Arial" w:hAnsi="Arial" w:cs="Arial"/>
          <w:color w:val="000000" w:themeColor="text1"/>
        </w:rPr>
        <w:fldChar w:fldCharType="begin" w:fldLock="1"/>
      </w:r>
      <w:r w:rsidR="00100CB9" w:rsidRPr="000E0F90">
        <w:rPr>
          <w:rFonts w:ascii="Arial" w:hAnsi="Arial" w:cs="Arial"/>
          <w:color w:val="000000" w:themeColor="text1"/>
        </w:rPr>
        <w:instrText>ADDIN CSL_CITATION { "citationItems" : [ { "id" : "ITEM-1", "itemData" : { "DOI" : "10.1016/j.jclepro.2017.03.047", "ISBN" : "9789289347945", "ISSN" : "09596526", "abstract" : "The mining industry has a major impact on society - from an economic, environmental and social perspective and due to a vast number of criteria. Which criteria should be given priority depends on where the mining operations take place. This paper's focus on the Nordic mining industry is partly due to the positive economic trend that the industry is currently experiencing and partly because very little research has been conducted on how the European mining industry addresses sustainability. The purpose of this study is therefore to examine the Nordic mining industry's sustainability practices and to develop guidelines for such efforts. The research methods used in the study include a literature review, a content analysis of sustainability reports, a review of existing sustainability initiatives, guidelines and tools, a stakeholder survey and interviews with mining company officials. Based on the findings, sustainability criteria guidelines for the Nordic mining industry are suggested in the areas of corporate governance, fair operating practices, economic aspects, human rights, labour practices, society and the environment. The content of the guidelines is discussed in the light of the sustainability practices performed by the studied mining companies.", "author" : [ { "dropping-particle" : "", "family" : "Ran\u00e4ngen", "given" : "Helena", "non-dropping-particle" : "", "parse-names" : false, "suffix" : "" }, { "dropping-particle" : "", "family" : "Lindman", "given" : "\u00c5sa", "non-dropping-particle" : "", "parse-names" : false, "suffix" : "" } ], "container-title" : "Journal of Cleaner Production", "id" : "ITEM-1", "issued" : { "date-parts" : [ [ "2017" ] ] }, "page" : "43-52", "title" : "A path towards sustainability for the Nordic mining industry", "type" : "article-journal", "volume" : "151" }, "uris" : [ "http://www.mendeley.com/documents/?uuid=6c35c3e3-ee0c-4b28-8acc-e8d00b36d33a" ] } ], "mendeley" : { "formattedCitation" : "(Ran\u00e4ngen &amp; Lindman, 2017)", "plainTextFormattedCitation" : "(Ran\u00e4ngen &amp; Lindman, 2017)", "previouslyFormattedCitation" : "(Ran\u00e4ngen &amp; Lindman, 2017)" }, "properties" : { "noteIndex" : 0 }, "schema" : "https://github.com/citation-style-language/schema/raw/master/csl-citation.json" }</w:instrText>
      </w:r>
      <w:r w:rsidR="00100CB9" w:rsidRPr="000E0F90">
        <w:rPr>
          <w:rFonts w:ascii="Arial" w:hAnsi="Arial" w:cs="Arial"/>
          <w:color w:val="000000" w:themeColor="text1"/>
        </w:rPr>
        <w:fldChar w:fldCharType="separate"/>
      </w:r>
      <w:r w:rsidR="00100CB9" w:rsidRPr="000E0F90">
        <w:rPr>
          <w:rFonts w:ascii="Arial" w:hAnsi="Arial" w:cs="Arial"/>
          <w:noProof/>
          <w:color w:val="000000" w:themeColor="text1"/>
        </w:rPr>
        <w:t>(Ranängen &amp; Lindman, 2017)</w:t>
      </w:r>
      <w:r w:rsidR="00100CB9" w:rsidRPr="000E0F90">
        <w:rPr>
          <w:rFonts w:ascii="Arial" w:hAnsi="Arial" w:cs="Arial"/>
          <w:color w:val="000000" w:themeColor="text1"/>
        </w:rPr>
        <w:fldChar w:fldCharType="end"/>
      </w:r>
      <w:r w:rsidR="00100CB9" w:rsidRPr="000E0F90">
        <w:rPr>
          <w:rFonts w:ascii="Arial" w:hAnsi="Arial" w:cs="Arial"/>
          <w:color w:val="000000" w:themeColor="text1"/>
        </w:rPr>
        <w:t>.</w:t>
      </w:r>
    </w:p>
    <w:p w:rsidR="00881A2C" w:rsidRPr="000E0F90" w:rsidRDefault="00100CB9" w:rsidP="00702D9A">
      <w:pPr>
        <w:spacing w:before="240" w:line="360" w:lineRule="auto"/>
        <w:rPr>
          <w:rFonts w:ascii="Arial" w:hAnsi="Arial" w:cs="Arial"/>
          <w:color w:val="000000" w:themeColor="text1"/>
        </w:rPr>
      </w:pPr>
      <w:r w:rsidRPr="000E0F90">
        <w:rPr>
          <w:rFonts w:ascii="Arial" w:hAnsi="Arial" w:cs="Arial"/>
          <w:color w:val="000000" w:themeColor="text1"/>
        </w:rPr>
        <w:t>Para el desarrollo</w:t>
      </w:r>
      <w:r w:rsidR="0032532B" w:rsidRPr="000E0F90">
        <w:rPr>
          <w:rFonts w:ascii="Arial" w:hAnsi="Arial" w:cs="Arial"/>
          <w:color w:val="000000" w:themeColor="text1"/>
        </w:rPr>
        <w:t xml:space="preserve"> del principio de </w:t>
      </w:r>
      <w:r w:rsidR="00273B70" w:rsidRPr="000E0F90">
        <w:rPr>
          <w:rFonts w:ascii="Arial" w:hAnsi="Arial" w:cs="Arial"/>
          <w:color w:val="000000" w:themeColor="text1"/>
        </w:rPr>
        <w:t>Calidad de Vida y equidad</w:t>
      </w:r>
      <w:r w:rsidR="0032532B" w:rsidRPr="000E0F90">
        <w:rPr>
          <w:rFonts w:ascii="Arial" w:hAnsi="Arial" w:cs="Arial"/>
          <w:color w:val="000000" w:themeColor="text1"/>
        </w:rPr>
        <w:t xml:space="preserve">, se debe señalar que este principio unificó los principios de Oportunidad y </w:t>
      </w:r>
      <w:r w:rsidR="00D761FF" w:rsidRPr="000E0F90">
        <w:rPr>
          <w:rFonts w:ascii="Arial" w:hAnsi="Arial" w:cs="Arial"/>
          <w:color w:val="000000" w:themeColor="text1"/>
        </w:rPr>
        <w:t>S</w:t>
      </w:r>
      <w:r w:rsidR="0032532B" w:rsidRPr="000E0F90">
        <w:rPr>
          <w:rFonts w:ascii="Arial" w:hAnsi="Arial" w:cs="Arial"/>
          <w:color w:val="000000" w:themeColor="text1"/>
        </w:rPr>
        <w:t xml:space="preserve">uficiencia y Equidad dentro de generaciones de </w:t>
      </w:r>
      <w:r w:rsidR="0032532B" w:rsidRPr="000E0F90">
        <w:rPr>
          <w:rFonts w:ascii="Arial" w:hAnsi="Arial" w:cs="Arial"/>
          <w:color w:val="000000" w:themeColor="text1"/>
        </w:rPr>
        <w:fldChar w:fldCharType="begin" w:fldLock="1"/>
      </w:r>
      <w:r w:rsidR="0032532B" w:rsidRPr="000E0F90">
        <w:rPr>
          <w:rFonts w:ascii="Arial" w:hAnsi="Arial" w:cs="Arial"/>
          <w:color w:val="000000" w:themeColor="text1"/>
        </w:rPr>
        <w:instrText>ADDIN CSL_CITATION { "citationItems" : [ { "id" : "ITEM-1", "itemData" : { "ISBN" : "9781844070503", "author" : [ { "dropping-particle" : "", "family" : "Gibson", "given" : "Robert B.", "non-dropping-particle" : "", "parse-names" : false, "suffix" : "" } ], "id" : "ITEM-1", "issued" : { "date-parts" : [ [ "2005" ] ] }, "page" : "269", "publisher" : "Earthscan", "title" : "Sustainability Assessment. Criteria, Processes and Applications", "type" : "book" }, "uris" : [ "http://www.mendeley.com/documents/?uuid=566b52ab-35b0-4a0c-b91f-1bf25d523ac7" ] } ], "mendeley" : { "formattedCitation" : "(Gibson, 2005)", "plainTextFormattedCitation" : "(Gibson, 2005)", "previouslyFormattedCitation" : "(Gibson, 2005)" }, "properties" : { "noteIndex" : 0 }, "schema" : "https://github.com/citation-style-language/schema/raw/master/csl-citation.json" }</w:instrText>
      </w:r>
      <w:r w:rsidR="0032532B" w:rsidRPr="000E0F90">
        <w:rPr>
          <w:rFonts w:ascii="Arial" w:hAnsi="Arial" w:cs="Arial"/>
          <w:color w:val="000000" w:themeColor="text1"/>
        </w:rPr>
        <w:fldChar w:fldCharType="separate"/>
      </w:r>
      <w:r w:rsidR="0032532B" w:rsidRPr="000E0F90">
        <w:rPr>
          <w:rFonts w:ascii="Arial" w:hAnsi="Arial" w:cs="Arial"/>
          <w:noProof/>
          <w:color w:val="000000" w:themeColor="text1"/>
        </w:rPr>
        <w:t>(Gibson, 2005)</w:t>
      </w:r>
      <w:r w:rsidR="0032532B" w:rsidRPr="000E0F90">
        <w:rPr>
          <w:rFonts w:ascii="Arial" w:hAnsi="Arial" w:cs="Arial"/>
          <w:color w:val="000000" w:themeColor="text1"/>
        </w:rPr>
        <w:fldChar w:fldCharType="end"/>
      </w:r>
      <w:r w:rsidR="0032532B" w:rsidRPr="000E0F90">
        <w:rPr>
          <w:rFonts w:ascii="Arial" w:hAnsi="Arial" w:cs="Arial"/>
          <w:color w:val="000000" w:themeColor="text1"/>
        </w:rPr>
        <w:t xml:space="preserve">, ya que se entrelazaban algunos aspectos </w:t>
      </w:r>
      <w:r w:rsidR="0042124B" w:rsidRPr="000E0F90">
        <w:rPr>
          <w:rFonts w:ascii="Arial" w:hAnsi="Arial" w:cs="Arial"/>
          <w:color w:val="000000" w:themeColor="text1"/>
        </w:rPr>
        <w:t xml:space="preserve">en el ámbito </w:t>
      </w:r>
      <w:r w:rsidR="0032532B" w:rsidRPr="000E0F90">
        <w:rPr>
          <w:rFonts w:ascii="Arial" w:hAnsi="Arial" w:cs="Arial"/>
          <w:color w:val="000000" w:themeColor="text1"/>
        </w:rPr>
        <w:t>territorial.</w:t>
      </w:r>
      <w:r w:rsidR="00881A2C" w:rsidRPr="000E0F90">
        <w:rPr>
          <w:rFonts w:ascii="Arial" w:hAnsi="Arial" w:cs="Arial"/>
          <w:color w:val="000000" w:themeColor="text1"/>
        </w:rPr>
        <w:t xml:space="preserve"> En cuanto a las características de los territorios mineros en la construcción de los </w:t>
      </w:r>
      <w:r w:rsidR="00E0505F">
        <w:rPr>
          <w:rFonts w:ascii="Arial" w:hAnsi="Arial" w:cs="Arial"/>
          <w:color w:val="000000" w:themeColor="text1"/>
        </w:rPr>
        <w:t>criterios</w:t>
      </w:r>
      <w:r w:rsidR="005D602E" w:rsidRPr="000E0F90">
        <w:rPr>
          <w:rFonts w:ascii="Arial" w:hAnsi="Arial" w:cs="Arial"/>
          <w:color w:val="000000" w:themeColor="text1"/>
        </w:rPr>
        <w:t xml:space="preserve"> se consideraron </w:t>
      </w:r>
      <w:r w:rsidR="0042124B" w:rsidRPr="000E0F90">
        <w:rPr>
          <w:rFonts w:ascii="Arial" w:hAnsi="Arial" w:cs="Arial"/>
          <w:color w:val="000000" w:themeColor="text1"/>
        </w:rPr>
        <w:t xml:space="preserve">particularmente </w:t>
      </w:r>
      <w:r w:rsidR="00881A2C" w:rsidRPr="000E0F90">
        <w:rPr>
          <w:rFonts w:ascii="Arial" w:hAnsi="Arial" w:cs="Arial"/>
          <w:color w:val="000000" w:themeColor="text1"/>
        </w:rPr>
        <w:t>los efectos en la salud humana de la actividad</w:t>
      </w:r>
      <w:r w:rsidR="00D761FF" w:rsidRPr="000E0F90">
        <w:rPr>
          <w:rFonts w:ascii="Arial" w:hAnsi="Arial" w:cs="Arial"/>
          <w:color w:val="000000" w:themeColor="text1"/>
        </w:rPr>
        <w:t>,</w:t>
      </w:r>
      <w:r w:rsidR="002B74B4" w:rsidRPr="000E0F90">
        <w:rPr>
          <w:rFonts w:ascii="Arial" w:hAnsi="Arial" w:cs="Arial"/>
          <w:color w:val="000000" w:themeColor="text1"/>
        </w:rPr>
        <w:t xml:space="preserve"> </w:t>
      </w:r>
      <w:r w:rsidR="00881A2C" w:rsidRPr="000E0F90">
        <w:rPr>
          <w:rFonts w:ascii="Arial" w:hAnsi="Arial" w:cs="Arial"/>
          <w:color w:val="000000" w:themeColor="text1"/>
        </w:rPr>
        <w:t>la provisión de empleos a trabajadores locales por parte de la minería, la distribución de los beneficios y perjuicios de la actividad y la disrupción de las formas de vida</w:t>
      </w:r>
      <w:r w:rsidR="002B74B4" w:rsidRPr="000E0F90">
        <w:rPr>
          <w:rFonts w:ascii="Arial" w:hAnsi="Arial" w:cs="Arial"/>
          <w:color w:val="000000" w:themeColor="text1"/>
        </w:rPr>
        <w:t xml:space="preserve"> </w:t>
      </w:r>
      <w:r w:rsidR="002B74B4" w:rsidRPr="000E0F90">
        <w:rPr>
          <w:rFonts w:ascii="Arial" w:hAnsi="Arial" w:cs="Arial"/>
          <w:color w:val="000000" w:themeColor="text1"/>
        </w:rPr>
        <w:fldChar w:fldCharType="begin" w:fldLock="1"/>
      </w:r>
      <w:r w:rsidR="00380FC7" w:rsidRPr="000E0F90">
        <w:rPr>
          <w:rFonts w:ascii="Arial" w:hAnsi="Arial" w:cs="Arial"/>
          <w:color w:val="000000" w:themeColor="text1"/>
        </w:rPr>
        <w:instrText>ADDIN CSL_CITATION { "citationItems" : [ { "id" : "ITEM-1", "itemData" : { "DOI" : "10.1016/j.resourpol.2008.01.005", "ISSN" : "03014207", "author" : [ { "dropping-particle" : "", "family" : "Solomon", "given" : "Fiona", "non-dropping-particle" : "", "parse-names" : false, "suffix" : "" }, { "dropping-particle" : "", "family" : "Katz", "given" : "Evie", "non-dropping-particle" : "", "parse-names" : false, "suffix" : "" }, { "dropping-particle" : "", "family" : "Lovel", "given" : "Roy", "non-dropping-particle" : "", "parse-names" : false, "suffix" : "" } ], "container-title" : "Resources Policy", "id" : "ITEM-1", "issue" : "3", "issued" : { "date-parts" : [ [ "2008", "9" ] ] }, "page" : "142-149", "title" : "Social dimensions of mining: Research, policy and practice challenges for the minerals industry in Australia", "type" : "article-journal", "volume" : "33" }, "uris" : [ "http://www.mendeley.com/documents/?uuid=3c454c00-2d5e-492e-af35-7975fe8bcde4" ] }, { "id" : "ITEM-2", "itemData" : { "DOI" : "10.1146/annurev.energy.28.011503.163434", "ISSN" : "1543-5938", "author" : [ { "dropping-particle" : "", "family" : "Bridge", "given" : "Gavin", "non-dropping-particle" : "", "parse-names" : false, "suffix" : "" } ], "container-title" : "Annual Review of Environment and Resources", "id" : "ITEM-2", "issue" : "1", "issued" : { "date-parts" : [ [ "2004", "11", "21" ] ] }, "page" : "205-259", "title" : "CONTESTED TERRAIN: Mining and the Environment", "type" : "article-journal", "volume" : "29" }, "uris" : [ "http://www.mendeley.com/documents/?uuid=3856b087-468f-47e0-aa60-26b2415a5e72" ] }, { "id" : "ITEM-3", "itemData" : { "DOI" : "10.1080/00049182.2011.569985", "ISSN" : "0004-9182", "author" : [ { "dropping-particle" : "", "family" : "Lawrie", "given" : "Misty", "non-dropping-particle" : "", "parse-names" : false, "suffix" : "" }, { "dropping-particle" : "", "family" : "Tonts", "given" : "Matthew", "non-dropping-particle" : "", "parse-names" : false, "suffix" : "" }, { "dropping-particle" : "", "family" : "Plummer", "given" : "Paul", "non-dropping-particle" : "", "parse-names" : false, "suffix" : "" } ], "container-title" : "Australian Geographer", "id" : "ITEM-3", "issue" : "2", "issued" : { "date-parts" : [ [ "2011", "6" ] ] }, "page" : "139-164", "title" : "Boomtowns, Resource Dependence and Socio-economic Well-being", "type" : "article-journal", "volume" : "42" }, "uris" : [ "http://www.mendeley.com/documents/?uuid=555d35b7-8555-4f04-b3a6-1e8b061db4b0" ] }, { "id" : "ITEM-4", "itemData" : { "author" : [ { "dropping-particle" : "", "family" : "Hilson", "given" : "Gavin", "non-dropping-particle" : "", "parse-names" : false, "suffix" : "" }, { "dropping-particle" : "", "family" : "Murck", "given" : "Barbara", "non-dropping-particle" : "", "parse-names" : false, "suffix" : "" } ], "id" : "ITEM-4", "issue" : "2000", "issued" : { "date-parts" : [ [ "2000" ] ] }, "page" : "227-238", "title" : "Sustainable development in the mining industry : clarifying the corporate perspective", "type" : "article-journal", "volume" : "26" }, "uris" : [ "http://www.mendeley.com/documents/?uuid=f8aeb7a1-70d0-42bd-ae96-6e53b2ce6cb4" ] } ], "mendeley" : { "formattedCitation" : "(Bridge, 2004; Hilson &amp; Murck, 2000; Lawrie et al., 2011; Solomon et al., 2008)", "plainTextFormattedCitation" : "(Bridge, 2004; Hilson &amp; Murck, 2000; Lawrie et al., 2011; Solomon et al., 2008)", "previouslyFormattedCitation" : "(Bridge, 2004; Hilson &amp; Murck, 2000; Lawrie et al., 2011; Solomon et al., 2008)" }, "properties" : { "noteIndex" : 0 }, "schema" : "https://github.com/citation-style-language/schema/raw/master/csl-citation.json" }</w:instrText>
      </w:r>
      <w:r w:rsidR="002B74B4" w:rsidRPr="000E0F90">
        <w:rPr>
          <w:rFonts w:ascii="Arial" w:hAnsi="Arial" w:cs="Arial"/>
          <w:color w:val="000000" w:themeColor="text1"/>
        </w:rPr>
        <w:fldChar w:fldCharType="separate"/>
      </w:r>
      <w:r w:rsidR="008836DC" w:rsidRPr="000E0F90">
        <w:rPr>
          <w:rFonts w:ascii="Arial" w:hAnsi="Arial" w:cs="Arial"/>
          <w:noProof/>
          <w:color w:val="000000" w:themeColor="text1"/>
        </w:rPr>
        <w:t>(Bridge, 2004; Hilson &amp; Murck, 2000; Lawrie et al., 2011; Solomon et al., 2008)</w:t>
      </w:r>
      <w:r w:rsidR="002B74B4" w:rsidRPr="000E0F90">
        <w:rPr>
          <w:rFonts w:ascii="Arial" w:hAnsi="Arial" w:cs="Arial"/>
          <w:color w:val="000000" w:themeColor="text1"/>
        </w:rPr>
        <w:fldChar w:fldCharType="end"/>
      </w:r>
      <w:r w:rsidR="002B74B4" w:rsidRPr="000E0F90">
        <w:rPr>
          <w:rFonts w:ascii="Arial" w:hAnsi="Arial" w:cs="Arial"/>
          <w:color w:val="000000" w:themeColor="text1"/>
        </w:rPr>
        <w:t xml:space="preserve"> </w:t>
      </w:r>
      <w:r w:rsidR="002B74B4" w:rsidRPr="000E0F90">
        <w:rPr>
          <w:rFonts w:ascii="Arial" w:hAnsi="Arial" w:cs="Arial"/>
          <w:color w:val="000000" w:themeColor="text1"/>
        </w:rPr>
        <w:fldChar w:fldCharType="begin" w:fldLock="1"/>
      </w:r>
      <w:r w:rsidR="002B74B4" w:rsidRPr="000E0F90">
        <w:rPr>
          <w:rFonts w:ascii="Arial" w:hAnsi="Arial" w:cs="Arial"/>
          <w:color w:val="000000" w:themeColor="text1"/>
        </w:rPr>
        <w:instrText>ADDIN CSL_CITATION { "citationItems" : [ { "id" : "ITEM-1", "itemData" : { "DOI" : "10.1080/10643389.2012.672086", "ISSN" : "1064-3389", "author" : [ { "dropping-particle" : "", "family" : "Pokhrel", "given" : "Lok R.", "non-dropping-particle" : "", "parse-names" : false, "suffix" : "" }, { "dropping-particle" : "", "family" : "Dubey", "given" : "Brajesh", "non-dropping-particle" : "", "parse-names" : false, "suffix" : "" } ], "container-title" : "Critical Reviews in Environmental Science and Technology", "id" : "ITEM-1", "issue" : "21", "issued" : { "date-parts" : [ [ "2013", "1" ] ] }, "page" : "2352-2388", "title" : "Global Scenarios of Metal Mining, Environmental Repercussions, Public Policies, and Sustainability: A Review", "type" : "article-journal", "volume" : "43" }, "uris" : [ "http://www.mendeley.com/documents/?uuid=14ca50ec-28b7-4b2c-8a70-269b84b94b1c" ] } ], "mendeley" : { "formattedCitation" : "(Pokhrel &amp; Dubey, 2013)", "plainTextFormattedCitation" : "(Pokhrel &amp; Dubey, 2013)", "previouslyFormattedCitation" : "(Pokhrel &amp; Dubey, 2013)" }, "properties" : { "noteIndex" : 0 }, "schema" : "https://github.com/citation-style-language/schema/raw/master/csl-citation.json" }</w:instrText>
      </w:r>
      <w:r w:rsidR="002B74B4" w:rsidRPr="000E0F90">
        <w:rPr>
          <w:rFonts w:ascii="Arial" w:hAnsi="Arial" w:cs="Arial"/>
          <w:color w:val="000000" w:themeColor="text1"/>
        </w:rPr>
        <w:fldChar w:fldCharType="separate"/>
      </w:r>
      <w:r w:rsidR="002B74B4" w:rsidRPr="000E0F90">
        <w:rPr>
          <w:rFonts w:ascii="Arial" w:hAnsi="Arial" w:cs="Arial"/>
          <w:noProof/>
          <w:color w:val="000000" w:themeColor="text1"/>
        </w:rPr>
        <w:t>(Pokhrel &amp; Dubey, 2013)</w:t>
      </w:r>
      <w:r w:rsidR="002B74B4" w:rsidRPr="000E0F90">
        <w:rPr>
          <w:rFonts w:ascii="Arial" w:hAnsi="Arial" w:cs="Arial"/>
          <w:color w:val="000000" w:themeColor="text1"/>
        </w:rPr>
        <w:fldChar w:fldCharType="end"/>
      </w:r>
      <w:r w:rsidR="002B74B4" w:rsidRPr="000E0F90">
        <w:rPr>
          <w:rFonts w:ascii="Arial" w:hAnsi="Arial" w:cs="Arial"/>
          <w:color w:val="000000" w:themeColor="text1"/>
        </w:rPr>
        <w:t xml:space="preserve"> </w:t>
      </w:r>
      <w:r w:rsidR="002B74B4" w:rsidRPr="000E0F90">
        <w:rPr>
          <w:rFonts w:ascii="Arial" w:hAnsi="Arial" w:cs="Arial"/>
          <w:color w:val="000000" w:themeColor="text1"/>
        </w:rPr>
        <w:fldChar w:fldCharType="begin" w:fldLock="1"/>
      </w:r>
      <w:r w:rsidR="002B74B4" w:rsidRPr="000E0F90">
        <w:rPr>
          <w:rFonts w:ascii="Arial" w:hAnsi="Arial" w:cs="Arial"/>
          <w:color w:val="000000" w:themeColor="text1"/>
        </w:rPr>
        <w:instrText>ADDIN CSL_CITATION { "citationItems" : [ { "id" : "ITEM-1", "itemData" : { "author" : [ { "dropping-particle" : "", "family" : "Schildermans", "given" : "Peter", "non-dropping-particle" : "", "parse-names" : false, "suffix" : "" } ], "id" : "ITEM-1", "issued" : { "date-parts" : [ [ "2011" ] ] }, "note" : "NULL", "page" : "256", "title" : "The Chilean copper industry towards a more ecologically durable exploitation ?", "type" : "article-journal" }, "uris" : [ "http://www.mendeley.com/documents/?uuid=b25a2fcc-89a4-4984-9241-223ea94111a8" ] } ], "mendeley" : { "formattedCitation" : "(Schildermans, 2011)", "plainTextFormattedCitation" : "(Schildermans, 2011)", "previouslyFormattedCitation" : "(Schildermans, 2011)" }, "properties" : { "noteIndex" : 0 }, "schema" : "https://github.com/citation-style-language/schema/raw/master/csl-citation.json" }</w:instrText>
      </w:r>
      <w:r w:rsidR="002B74B4" w:rsidRPr="000E0F90">
        <w:rPr>
          <w:rFonts w:ascii="Arial" w:hAnsi="Arial" w:cs="Arial"/>
          <w:color w:val="000000" w:themeColor="text1"/>
        </w:rPr>
        <w:fldChar w:fldCharType="separate"/>
      </w:r>
      <w:r w:rsidR="002B74B4" w:rsidRPr="000E0F90">
        <w:rPr>
          <w:rFonts w:ascii="Arial" w:hAnsi="Arial" w:cs="Arial"/>
          <w:noProof/>
          <w:color w:val="000000" w:themeColor="text1"/>
        </w:rPr>
        <w:t>(Schildermans, 2011)</w:t>
      </w:r>
      <w:r w:rsidR="002B74B4" w:rsidRPr="000E0F90">
        <w:rPr>
          <w:rFonts w:ascii="Arial" w:hAnsi="Arial" w:cs="Arial"/>
          <w:color w:val="000000" w:themeColor="text1"/>
        </w:rPr>
        <w:fldChar w:fldCharType="end"/>
      </w:r>
      <w:r w:rsidR="002B74B4" w:rsidRPr="000E0F90">
        <w:rPr>
          <w:rFonts w:ascii="Arial" w:hAnsi="Arial" w:cs="Arial"/>
          <w:color w:val="000000" w:themeColor="text1"/>
        </w:rPr>
        <w:t>.</w:t>
      </w:r>
      <w:r w:rsidR="00881A2C" w:rsidRPr="000E0F90">
        <w:rPr>
          <w:rFonts w:ascii="Arial" w:hAnsi="Arial" w:cs="Arial"/>
          <w:color w:val="000000" w:themeColor="text1"/>
        </w:rPr>
        <w:t xml:space="preserve"> </w:t>
      </w:r>
    </w:p>
    <w:p w:rsidR="00351B0C" w:rsidRPr="000E0F90" w:rsidRDefault="008914D9" w:rsidP="00702D9A">
      <w:pPr>
        <w:spacing w:before="240" w:line="360" w:lineRule="auto"/>
        <w:rPr>
          <w:rFonts w:ascii="Arial" w:hAnsi="Arial" w:cs="Arial"/>
          <w:color w:val="000000" w:themeColor="text1"/>
        </w:rPr>
      </w:pPr>
      <w:r w:rsidRPr="000E0F90">
        <w:rPr>
          <w:rFonts w:ascii="Arial" w:hAnsi="Arial" w:cs="Arial"/>
          <w:color w:val="000000" w:themeColor="text1"/>
        </w:rPr>
        <w:lastRenderedPageBreak/>
        <w:t xml:space="preserve">Respecto a la construcción de los </w:t>
      </w:r>
      <w:r w:rsidR="00E0505F">
        <w:rPr>
          <w:rFonts w:ascii="Arial" w:hAnsi="Arial" w:cs="Arial"/>
          <w:color w:val="000000" w:themeColor="text1"/>
        </w:rPr>
        <w:t>criterios</w:t>
      </w:r>
      <w:r w:rsidRPr="000E0F90">
        <w:rPr>
          <w:rFonts w:ascii="Arial" w:hAnsi="Arial" w:cs="Arial"/>
          <w:color w:val="000000" w:themeColor="text1"/>
        </w:rPr>
        <w:t xml:space="preserve"> para el principio de equidad entre generaciones, </w:t>
      </w:r>
      <w:r w:rsidR="00D75662" w:rsidRPr="000E0F90">
        <w:rPr>
          <w:rFonts w:ascii="Arial" w:hAnsi="Arial" w:cs="Arial"/>
          <w:color w:val="000000" w:themeColor="text1"/>
        </w:rPr>
        <w:t xml:space="preserve">se </w:t>
      </w:r>
      <w:r w:rsidR="006B717B" w:rsidRPr="000E0F90">
        <w:rPr>
          <w:rFonts w:ascii="Arial" w:hAnsi="Arial" w:cs="Arial"/>
          <w:color w:val="000000" w:themeColor="text1"/>
        </w:rPr>
        <w:t>considera</w:t>
      </w:r>
      <w:r w:rsidR="00100CB9" w:rsidRPr="000E0F90">
        <w:rPr>
          <w:rFonts w:ascii="Arial" w:hAnsi="Arial" w:cs="Arial"/>
          <w:color w:val="000000" w:themeColor="text1"/>
        </w:rPr>
        <w:t xml:space="preserve">ron </w:t>
      </w:r>
      <w:r w:rsidR="006B717B" w:rsidRPr="000E0F90">
        <w:rPr>
          <w:rFonts w:ascii="Arial" w:hAnsi="Arial" w:cs="Arial"/>
          <w:color w:val="000000" w:themeColor="text1"/>
        </w:rPr>
        <w:t xml:space="preserve">los impactos irreversibles o de </w:t>
      </w:r>
      <w:r w:rsidR="008F5EA4" w:rsidRPr="000E0F90">
        <w:rPr>
          <w:rFonts w:ascii="Arial" w:hAnsi="Arial" w:cs="Arial"/>
          <w:color w:val="000000" w:themeColor="text1"/>
        </w:rPr>
        <w:t xml:space="preserve">gran </w:t>
      </w:r>
      <w:r w:rsidR="006B717B" w:rsidRPr="000E0F90">
        <w:rPr>
          <w:rFonts w:ascii="Arial" w:hAnsi="Arial" w:cs="Arial"/>
          <w:color w:val="000000" w:themeColor="text1"/>
        </w:rPr>
        <w:t xml:space="preserve">magnitud </w:t>
      </w:r>
      <w:r w:rsidR="008F5EA4" w:rsidRPr="000E0F90">
        <w:rPr>
          <w:rFonts w:ascii="Arial" w:hAnsi="Arial" w:cs="Arial"/>
          <w:color w:val="000000" w:themeColor="text1"/>
        </w:rPr>
        <w:t xml:space="preserve">y alcance de los </w:t>
      </w:r>
      <w:r w:rsidR="00EB25B0" w:rsidRPr="000E0F90">
        <w:rPr>
          <w:rFonts w:ascii="Arial" w:hAnsi="Arial" w:cs="Arial"/>
          <w:color w:val="000000" w:themeColor="text1"/>
        </w:rPr>
        <w:t>territorios</w:t>
      </w:r>
      <w:r w:rsidR="008F5EA4" w:rsidRPr="000E0F90">
        <w:rPr>
          <w:rFonts w:ascii="Arial" w:hAnsi="Arial" w:cs="Arial"/>
          <w:color w:val="000000" w:themeColor="text1"/>
        </w:rPr>
        <w:t xml:space="preserve"> mineros </w:t>
      </w:r>
      <w:r w:rsidR="006B717B" w:rsidRPr="000E0F90">
        <w:rPr>
          <w:rFonts w:ascii="Arial" w:hAnsi="Arial" w:cs="Arial"/>
          <w:color w:val="000000" w:themeColor="text1"/>
        </w:rPr>
        <w:fldChar w:fldCharType="begin" w:fldLock="1"/>
      </w:r>
      <w:r w:rsidR="008F5EA4" w:rsidRPr="000E0F90">
        <w:rPr>
          <w:rFonts w:ascii="Arial" w:hAnsi="Arial" w:cs="Arial"/>
          <w:color w:val="000000" w:themeColor="text1"/>
        </w:rPr>
        <w:instrText>ADDIN CSL_CITATION { "citationItems" : [ { "id" : "ITEM-1", "itemData" : { "DOI" : "10.3152/146155110X12772982841122", "ISSN" : "1461-5517", "abstract" : "Assessments today need to help reverse trends towards deeper unsustainability and address the unavoidable interconnections, feedbacks and uncertainties that typify complex socio-ecological systems at all scales. To illustrate one promising approach, this paper describes a modest effort to integrate understandings from Gibson et al\u2019s approach to sustainability assessment with the Resilience Alliance\u2019s applications of complex systems thinking into a suite of systems and sustainability based criteria. The integrated sustainability\u2013resilience criteria were used to assess an existing small-scale biodiesel operation on Barbados that involves waste management, public health, transportation, energy security and community involvement considerations. The assessment revealed that the main benefit of this biodiesel project is in social learning rather than enhancing energy security and waste management, and the best ways of enhancing the project lie in larger scale policy initiatives. The findings suggest that the use of a sustainability\u2013resilience approach can contribute insights unlikely to emerge from more narrowly focused assessments.", "author" : [ { "dropping-particle" : "", "family" : "Gaudreau", "given" : "Kyrke", "non-dropping-particle" : "", "parse-names" : false, "suffix" : "" }, { "dropping-particle" : "", "family" : "Gibson", "given" : "Robert B.", "non-dropping-particle" : "", "parse-names" : false, "suffix" : "" } ], "container-title" : "Impact Assessment and Project Appraisal", "id" : "ITEM-1", "issue" : "December", "issued" : { "date-parts" : [ [ "2010" ] ] }, "page" : "233-243", "title" : "Illustrating integrated sustainability and resilience based assessments: a small-scale biodiesel project in Barbados", "type" : "article-journal", "volume" : "28" }, "uris" : [ "http://www.mendeley.com/documents/?uuid=fee76635-1433-4c27-9c85-bbbf459c7e59" ] } ], "mendeley" : { "formattedCitation" : "(Gaudreau &amp; Gibson, 2010)", "plainTextFormattedCitation" : "(Gaudreau &amp; Gibson, 2010)", "previouslyFormattedCitation" : "(Gaudreau &amp; Gibson, 2010)" }, "properties" : { "noteIndex" : 0 }, "schema" : "https://github.com/citation-style-language/schema/raw/master/csl-citation.json" }</w:instrText>
      </w:r>
      <w:r w:rsidR="006B717B" w:rsidRPr="000E0F90">
        <w:rPr>
          <w:rFonts w:ascii="Arial" w:hAnsi="Arial" w:cs="Arial"/>
          <w:color w:val="000000" w:themeColor="text1"/>
        </w:rPr>
        <w:fldChar w:fldCharType="separate"/>
      </w:r>
      <w:r w:rsidR="006B717B" w:rsidRPr="000E0F90">
        <w:rPr>
          <w:rFonts w:ascii="Arial" w:hAnsi="Arial" w:cs="Arial"/>
          <w:noProof/>
          <w:color w:val="000000" w:themeColor="text1"/>
        </w:rPr>
        <w:t>(Gaudreau &amp; Gibson, 2010)</w:t>
      </w:r>
      <w:r w:rsidR="006B717B" w:rsidRPr="000E0F90">
        <w:rPr>
          <w:rFonts w:ascii="Arial" w:hAnsi="Arial" w:cs="Arial"/>
          <w:color w:val="000000" w:themeColor="text1"/>
        </w:rPr>
        <w:fldChar w:fldCharType="end"/>
      </w:r>
      <w:r w:rsidR="006B717B" w:rsidRPr="000E0F90">
        <w:rPr>
          <w:rFonts w:ascii="Arial" w:hAnsi="Arial" w:cs="Arial"/>
          <w:color w:val="000000" w:themeColor="text1"/>
        </w:rPr>
        <w:t>. Lo cual se relaciona con las grandes extensiones que contemplan los desarrollos mineros, el nivel de daño medioambiental que se puede llegar a alcanzar, y la irreversibilidad de la depleción de recursos minerales</w:t>
      </w:r>
      <w:r w:rsidR="008F5EA4" w:rsidRPr="000E0F90">
        <w:rPr>
          <w:rFonts w:ascii="Arial" w:hAnsi="Arial" w:cs="Arial"/>
          <w:color w:val="000000" w:themeColor="text1"/>
        </w:rPr>
        <w:t xml:space="preserve"> </w:t>
      </w:r>
      <w:r w:rsidR="008F5EA4" w:rsidRPr="000E0F90">
        <w:rPr>
          <w:rFonts w:ascii="Arial" w:hAnsi="Arial" w:cs="Arial"/>
          <w:color w:val="000000" w:themeColor="text1"/>
        </w:rPr>
        <w:fldChar w:fldCharType="begin" w:fldLock="1"/>
      </w:r>
      <w:r w:rsidR="008F5EA4" w:rsidRPr="000E0F90">
        <w:rPr>
          <w:rFonts w:ascii="Arial" w:hAnsi="Arial" w:cs="Arial"/>
          <w:color w:val="000000" w:themeColor="text1"/>
        </w:rPr>
        <w:instrText>ADDIN CSL_CITATION { "citationItems" : [ { "id" : "ITEM-1", "itemData" : { "DOI" : "10.1016/j.jclepro.2009.04.013", "ISSN" : "09596526", "author" : [ { "dropping-particle" : "", "family" : "Worrall", "given" : "Rhys", "non-dropping-particle" : "", "parse-names" : false, "suffix" : "" }, { "dropping-particle" : "", "family" : "Neil", "given" : "David", "non-dropping-particle" : "", "parse-names" : false, "suffix" : "" }, { "dropping-particle" : "", "family" : "Brereton", "given" : "David", "non-dropping-particle" : "", "parse-names" : false, "suffix" : "" }, { "dropping-particle" : "", "family" : "Mulligan", "given" : "David", "non-dropping-particle" : "", "parse-names" : false, "suffix" : "" } ], "container-title" : "Journal of Cleaner Production", "id" : "ITEM-1", "issue" : "16", "issued" : { "date-parts" : [ [ "2009", "11" ] ] }, "page" : "1426-1434", "publisher" : "Elsevier Ltd", "title" : "Towards a sustainability criteria and indicators framework for legacy mine land", "type" : "article-journal", "volume" : "17" }, "uris" : [ "http://www.mendeley.com/documents/?uuid=ab575b20-fa72-4f71-9cda-8dfefeac6b76" ] } ], "mendeley" : { "formattedCitation" : "(Worrall et al., 2009)", "plainTextFormattedCitation" : "(Worrall et al., 2009)", "previouslyFormattedCitation" : "(Worrall et al., 2009)" }, "properties" : { "noteIndex" : 0 }, "schema" : "https://github.com/citation-style-language/schema/raw/master/csl-citation.json" }</w:instrText>
      </w:r>
      <w:r w:rsidR="008F5EA4" w:rsidRPr="000E0F90">
        <w:rPr>
          <w:rFonts w:ascii="Arial" w:hAnsi="Arial" w:cs="Arial"/>
          <w:color w:val="000000" w:themeColor="text1"/>
        </w:rPr>
        <w:fldChar w:fldCharType="separate"/>
      </w:r>
      <w:r w:rsidR="008F5EA4" w:rsidRPr="000E0F90">
        <w:rPr>
          <w:rFonts w:ascii="Arial" w:hAnsi="Arial" w:cs="Arial"/>
          <w:noProof/>
          <w:color w:val="000000" w:themeColor="text1"/>
        </w:rPr>
        <w:t>(Worrall et al., 2009)</w:t>
      </w:r>
      <w:r w:rsidR="008F5EA4" w:rsidRPr="000E0F90">
        <w:rPr>
          <w:rFonts w:ascii="Arial" w:hAnsi="Arial" w:cs="Arial"/>
          <w:color w:val="000000" w:themeColor="text1"/>
        </w:rPr>
        <w:fldChar w:fldCharType="end"/>
      </w:r>
      <w:r w:rsidR="008F5EA4" w:rsidRPr="000E0F90">
        <w:rPr>
          <w:rFonts w:ascii="Arial" w:hAnsi="Arial" w:cs="Arial"/>
          <w:color w:val="000000" w:themeColor="text1"/>
        </w:rPr>
        <w:t xml:space="preserve"> (</w:t>
      </w:r>
      <w:r w:rsidR="008F5EA4" w:rsidRPr="000E0F90">
        <w:rPr>
          <w:rFonts w:ascii="Arial" w:hAnsi="Arial" w:cs="Arial"/>
          <w:color w:val="000000" w:themeColor="text1"/>
        </w:rPr>
        <w:fldChar w:fldCharType="begin" w:fldLock="1"/>
      </w:r>
      <w:r w:rsidR="008F5EA4" w:rsidRPr="000E0F90">
        <w:rPr>
          <w:rFonts w:ascii="Arial" w:hAnsi="Arial" w:cs="Arial"/>
          <w:color w:val="000000" w:themeColor="text1"/>
        </w:rPr>
        <w:instrText>ADDIN CSL_CITATION { "citationItems" : [ { "id" : "ITEM-1", "itemData" : { "DOI" : "10.1146/annurev.energy.28.011503.163434", "ISSN" : "1543-5938", "author" : [ { "dropping-particle" : "", "family" : "Bridge", "given" : "Gavin", "non-dropping-particle" : "", "parse-names" : false, "suffix" : "" } ], "container-title" : "Annual Review of Environment and Resources", "id" : "ITEM-1", "issue" : "1", "issued" : { "date-parts" : [ [ "2004", "11", "21" ] ] }, "page" : "205-259", "title" : "CONTESTED TERRAIN: Mining and the Environment", "type" : "article-journal", "volume" : "29" }, "uris" : [ "http://www.mendeley.com/documents/?uuid=3856b087-468f-47e0-aa60-26b2415a5e72" ] } ], "mendeley" : { "formattedCitation" : "(Bridge, 2004)", "manualFormatting" : "Bridge, 2004)", "plainTextFormattedCitation" : "(Bridge, 2004)", "previouslyFormattedCitation" : "(Bridge, 2004)" }, "properties" : { "noteIndex" : 0 }, "schema" : "https://github.com/citation-style-language/schema/raw/master/csl-citation.json" }</w:instrText>
      </w:r>
      <w:r w:rsidR="008F5EA4" w:rsidRPr="000E0F90">
        <w:rPr>
          <w:rFonts w:ascii="Arial" w:hAnsi="Arial" w:cs="Arial"/>
          <w:color w:val="000000" w:themeColor="text1"/>
        </w:rPr>
        <w:fldChar w:fldCharType="separate"/>
      </w:r>
      <w:r w:rsidR="008F5EA4" w:rsidRPr="000E0F90">
        <w:rPr>
          <w:rFonts w:ascii="Arial" w:hAnsi="Arial" w:cs="Arial"/>
          <w:noProof/>
          <w:color w:val="000000" w:themeColor="text1"/>
        </w:rPr>
        <w:t>Bridge, 2004)</w:t>
      </w:r>
      <w:r w:rsidR="008F5EA4" w:rsidRPr="000E0F90">
        <w:rPr>
          <w:rFonts w:ascii="Arial" w:hAnsi="Arial" w:cs="Arial"/>
          <w:color w:val="000000" w:themeColor="text1"/>
        </w:rPr>
        <w:fldChar w:fldCharType="end"/>
      </w:r>
      <w:r w:rsidR="008F5EA4" w:rsidRPr="000E0F90">
        <w:rPr>
          <w:rFonts w:ascii="Arial" w:hAnsi="Arial" w:cs="Arial"/>
          <w:color w:val="000000" w:themeColor="text1"/>
        </w:rPr>
        <w:t xml:space="preserve"> </w:t>
      </w:r>
      <w:r w:rsidR="008F5EA4" w:rsidRPr="000E0F90">
        <w:rPr>
          <w:rFonts w:ascii="Arial" w:hAnsi="Arial" w:cs="Arial"/>
          <w:color w:val="000000" w:themeColor="text1"/>
        </w:rPr>
        <w:fldChar w:fldCharType="begin" w:fldLock="1"/>
      </w:r>
      <w:r w:rsidR="008F5EA4" w:rsidRPr="000E0F90">
        <w:rPr>
          <w:rFonts w:ascii="Arial" w:hAnsi="Arial" w:cs="Arial"/>
          <w:color w:val="000000" w:themeColor="text1"/>
        </w:rPr>
        <w:instrText>ADDIN CSL_CITATION { "citationItems" : [ { "id" : "ITEM-1", "itemData" : { "author" : [ { "dropping-particle" : "", "family" : "Schildermans", "given" : "Peter", "non-dropping-particle" : "", "parse-names" : false, "suffix" : "" } ], "id" : "ITEM-1", "issued" : { "date-parts" : [ [ "2011" ] ] }, "note" : "NULL", "page" : "256", "title" : "The Chilean copper industry towards a more ecologically durable exploitation ?", "type" : "article-journal" }, "uris" : [ "http://www.mendeley.com/documents/?uuid=b25a2fcc-89a4-4984-9241-223ea94111a8" ] } ], "mendeley" : { "formattedCitation" : "(Schildermans, 2011)", "plainTextFormattedCitation" : "(Schildermans, 2011)", "previouslyFormattedCitation" : "(Schildermans, 2011)" }, "properties" : { "noteIndex" : 0 }, "schema" : "https://github.com/citation-style-language/schema/raw/master/csl-citation.json" }</w:instrText>
      </w:r>
      <w:r w:rsidR="008F5EA4" w:rsidRPr="000E0F90">
        <w:rPr>
          <w:rFonts w:ascii="Arial" w:hAnsi="Arial" w:cs="Arial"/>
          <w:color w:val="000000" w:themeColor="text1"/>
        </w:rPr>
        <w:fldChar w:fldCharType="separate"/>
      </w:r>
      <w:r w:rsidR="008F5EA4" w:rsidRPr="000E0F90">
        <w:rPr>
          <w:rFonts w:ascii="Arial" w:hAnsi="Arial" w:cs="Arial"/>
          <w:noProof/>
          <w:color w:val="000000" w:themeColor="text1"/>
        </w:rPr>
        <w:t>(Schildermans, 2011)</w:t>
      </w:r>
      <w:r w:rsidR="008F5EA4" w:rsidRPr="000E0F90">
        <w:rPr>
          <w:rFonts w:ascii="Arial" w:hAnsi="Arial" w:cs="Arial"/>
          <w:color w:val="000000" w:themeColor="text1"/>
        </w:rPr>
        <w:fldChar w:fldCharType="end"/>
      </w:r>
      <w:r w:rsidR="008F5EA4" w:rsidRPr="000E0F90">
        <w:rPr>
          <w:rFonts w:ascii="Arial" w:hAnsi="Arial" w:cs="Arial"/>
          <w:color w:val="000000" w:themeColor="text1"/>
        </w:rPr>
        <w:t xml:space="preserve"> </w:t>
      </w:r>
      <w:sdt>
        <w:sdtPr>
          <w:rPr>
            <w:rFonts w:ascii="Arial" w:hAnsi="Arial" w:cs="Arial"/>
            <w:color w:val="000000" w:themeColor="text1"/>
          </w:rPr>
          <w:id w:val="233283643"/>
          <w:citation/>
        </w:sdtPr>
        <w:sdtEndPr/>
        <w:sdtContent>
          <w:r w:rsidR="008F5EA4" w:rsidRPr="000E0F90">
            <w:rPr>
              <w:rFonts w:ascii="Arial" w:hAnsi="Arial" w:cs="Arial"/>
              <w:color w:val="000000" w:themeColor="text1"/>
            </w:rPr>
            <w:fldChar w:fldCharType="begin"/>
          </w:r>
          <w:r w:rsidR="008F5EA4" w:rsidRPr="000E0F90">
            <w:rPr>
              <w:rFonts w:ascii="Arial" w:hAnsi="Arial" w:cs="Arial"/>
              <w:color w:val="000000" w:themeColor="text1"/>
            </w:rPr>
            <w:instrText xml:space="preserve"> CITATION Lot10 \l 13322 </w:instrText>
          </w:r>
          <w:r w:rsidR="008F5EA4" w:rsidRPr="000E0F90">
            <w:rPr>
              <w:rFonts w:ascii="Arial" w:hAnsi="Arial" w:cs="Arial"/>
              <w:color w:val="000000" w:themeColor="text1"/>
            </w:rPr>
            <w:fldChar w:fldCharType="separate"/>
          </w:r>
          <w:r w:rsidR="008D0261" w:rsidRPr="000E0F90">
            <w:rPr>
              <w:rFonts w:ascii="Arial" w:hAnsi="Arial" w:cs="Arial"/>
              <w:noProof/>
              <w:color w:val="000000" w:themeColor="text1"/>
            </w:rPr>
            <w:t>(Lottermoser, 2010)</w:t>
          </w:r>
          <w:r w:rsidR="008F5EA4" w:rsidRPr="000E0F90">
            <w:rPr>
              <w:rFonts w:ascii="Arial" w:hAnsi="Arial" w:cs="Arial"/>
              <w:color w:val="000000" w:themeColor="text1"/>
            </w:rPr>
            <w:fldChar w:fldCharType="end"/>
          </w:r>
        </w:sdtContent>
      </w:sdt>
      <w:r w:rsidR="006B717B" w:rsidRPr="000E0F90">
        <w:rPr>
          <w:rFonts w:ascii="Arial" w:hAnsi="Arial" w:cs="Arial"/>
          <w:color w:val="000000" w:themeColor="text1"/>
        </w:rPr>
        <w:t xml:space="preserve">. Lo cual afecta seriamente las posibilidades futuras de las comunidades locales </w:t>
      </w:r>
      <w:r w:rsidR="006B717B" w:rsidRPr="000E0F90">
        <w:rPr>
          <w:rFonts w:ascii="Arial" w:hAnsi="Arial" w:cs="Arial"/>
          <w:color w:val="000000" w:themeColor="text1"/>
        </w:rPr>
        <w:fldChar w:fldCharType="begin" w:fldLock="1"/>
      </w:r>
      <w:r w:rsidR="006B717B" w:rsidRPr="000E0F90">
        <w:rPr>
          <w:rFonts w:ascii="Arial" w:hAnsi="Arial" w:cs="Arial"/>
          <w:color w:val="000000" w:themeColor="text1"/>
        </w:rPr>
        <w:instrText>ADDIN CSL_CITATION { "citationItems" : [ { "id" : "ITEM-1", "itemData" : { "DOI" : "10.1016/S0959-6526(03)00075-1", "ISBN" : "4414836891", "ISSN" : "09596526", "author" : [ { "dropping-particle" : "", "family" : "Azapagic", "given" : "Adisa", "non-dropping-particle" : "", "parse-names" : false, "suffix" : "" } ], "container-title" : "Journal of Cleaner Production", "id" : "ITEM-1", "issue" : "6", "issued" : { "date-parts" : [ [ "2004", "8" ] ] }, "page" : "639-662", "title" : "Developing a framework for sustainable development indicators for the mining and minerals industry", "type" : "article-journal", "volume" : "12" }, "uris" : [ "http://www.mendeley.com/documents/?uuid=a36976cf-2e0f-4c41-bd50-7ef9e97ed91f" ] } ], "mendeley" : { "formattedCitation" : "(Azapagic, 2004)", "plainTextFormattedCitation" : "(Azapagic, 2004)", "previouslyFormattedCitation" : "(Azapagic, 2004)" }, "properties" : { "noteIndex" : 0 }, "schema" : "https://github.com/citation-style-language/schema/raw/master/csl-citation.json" }</w:instrText>
      </w:r>
      <w:r w:rsidR="006B717B" w:rsidRPr="000E0F90">
        <w:rPr>
          <w:rFonts w:ascii="Arial" w:hAnsi="Arial" w:cs="Arial"/>
          <w:color w:val="000000" w:themeColor="text1"/>
        </w:rPr>
        <w:fldChar w:fldCharType="separate"/>
      </w:r>
      <w:r w:rsidR="006B717B" w:rsidRPr="000E0F90">
        <w:rPr>
          <w:rFonts w:ascii="Arial" w:hAnsi="Arial" w:cs="Arial"/>
          <w:noProof/>
          <w:color w:val="000000" w:themeColor="text1"/>
        </w:rPr>
        <w:t>(Azapagic, 2004)</w:t>
      </w:r>
      <w:r w:rsidR="006B717B" w:rsidRPr="000E0F90">
        <w:rPr>
          <w:rFonts w:ascii="Arial" w:hAnsi="Arial" w:cs="Arial"/>
          <w:color w:val="000000" w:themeColor="text1"/>
        </w:rPr>
        <w:fldChar w:fldCharType="end"/>
      </w:r>
      <w:r w:rsidR="006B717B" w:rsidRPr="000E0F90">
        <w:rPr>
          <w:rFonts w:ascii="Arial" w:hAnsi="Arial" w:cs="Arial"/>
          <w:color w:val="000000" w:themeColor="text1"/>
        </w:rPr>
        <w:t xml:space="preserve">. Este principio también </w:t>
      </w:r>
      <w:r w:rsidR="00100CB9" w:rsidRPr="000E0F90">
        <w:rPr>
          <w:rFonts w:ascii="Arial" w:hAnsi="Arial" w:cs="Arial"/>
          <w:color w:val="000000" w:themeColor="text1"/>
        </w:rPr>
        <w:t>considera</w:t>
      </w:r>
      <w:r w:rsidR="006B717B" w:rsidRPr="000E0F90">
        <w:rPr>
          <w:rFonts w:ascii="Arial" w:hAnsi="Arial" w:cs="Arial"/>
          <w:color w:val="000000" w:themeColor="text1"/>
        </w:rPr>
        <w:t xml:space="preserve"> los impactos </w:t>
      </w:r>
      <w:r w:rsidR="0092048C" w:rsidRPr="000E0F90">
        <w:rPr>
          <w:rFonts w:ascii="Arial" w:hAnsi="Arial" w:cs="Arial"/>
          <w:color w:val="000000" w:themeColor="text1"/>
        </w:rPr>
        <w:t>tienen que ser abordados</w:t>
      </w:r>
      <w:r w:rsidR="0085176E" w:rsidRPr="000E0F90">
        <w:rPr>
          <w:rFonts w:ascii="Arial" w:hAnsi="Arial" w:cs="Arial"/>
          <w:color w:val="000000" w:themeColor="text1"/>
        </w:rPr>
        <w:t xml:space="preserve"> </w:t>
      </w:r>
      <w:r w:rsidR="0092048C" w:rsidRPr="000E0F90">
        <w:rPr>
          <w:rFonts w:ascii="Arial" w:hAnsi="Arial" w:cs="Arial"/>
          <w:color w:val="000000" w:themeColor="text1"/>
        </w:rPr>
        <w:t>más allá que el enfoque de la mitigación incorporando la</w:t>
      </w:r>
      <w:r w:rsidR="00C76D38" w:rsidRPr="000E0F90">
        <w:rPr>
          <w:rFonts w:ascii="Arial" w:hAnsi="Arial" w:cs="Arial"/>
          <w:color w:val="000000" w:themeColor="text1"/>
        </w:rPr>
        <w:t xml:space="preserve"> anticipación y la</w:t>
      </w:r>
      <w:r w:rsidR="0092048C" w:rsidRPr="000E0F90">
        <w:rPr>
          <w:rFonts w:ascii="Arial" w:hAnsi="Arial" w:cs="Arial"/>
          <w:color w:val="000000" w:themeColor="text1"/>
        </w:rPr>
        <w:t xml:space="preserve"> ince</w:t>
      </w:r>
      <w:r w:rsidR="002B74B4" w:rsidRPr="000E0F90">
        <w:rPr>
          <w:rFonts w:ascii="Arial" w:hAnsi="Arial" w:cs="Arial"/>
          <w:color w:val="000000" w:themeColor="text1"/>
        </w:rPr>
        <w:t>rtidumbre</w:t>
      </w:r>
      <w:r w:rsidR="006B717B" w:rsidRPr="000E0F90">
        <w:rPr>
          <w:rFonts w:ascii="Arial" w:hAnsi="Arial" w:cs="Arial"/>
          <w:color w:val="000000" w:themeColor="text1"/>
        </w:rPr>
        <w:t xml:space="preserve"> </w:t>
      </w:r>
      <w:r w:rsidR="006B717B" w:rsidRPr="000E0F90">
        <w:rPr>
          <w:rFonts w:ascii="Arial" w:hAnsi="Arial" w:cs="Arial"/>
          <w:color w:val="000000" w:themeColor="text1"/>
        </w:rPr>
        <w:fldChar w:fldCharType="begin" w:fldLock="1"/>
      </w:r>
      <w:r w:rsidR="006B717B" w:rsidRPr="000E0F90">
        <w:rPr>
          <w:rFonts w:ascii="Arial" w:hAnsi="Arial" w:cs="Arial"/>
          <w:color w:val="000000" w:themeColor="text1"/>
        </w:rPr>
        <w:instrText>ADDIN CSL_CITATION { "citationItems" : [ { "id" : "ITEM-1", "itemData" : { "DOI" : "10.3152/146155110X12772982841122", "ISSN" : "1461-5517", "abstract" : "Assessments today need to help reverse trends towards deeper unsustainability and address the unavoidable interconnections, feedbacks and uncertainties that typify complex socio-ecological systems at all scales. To illustrate one promising approach, this paper describes a modest effort to integrate understandings from Gibson et al\u2019s approach to sustainability assessment with the Resilience Alliance\u2019s applications of complex systems thinking into a suite of systems and sustainability based criteria. The integrated sustainability\u2013resilience criteria were used to assess an existing small-scale biodiesel operation on Barbados that involves waste management, public health, transportation, energy security and community involvement considerations. The assessment revealed that the main benefit of this biodiesel project is in social learning rather than enhancing energy security and waste management, and the best ways of enhancing the project lie in larger scale policy initiatives. The findings suggest that the use of a sustainability\u2013resilience approach can contribute insights unlikely to emerge from more narrowly focused assessments.", "author" : [ { "dropping-particle" : "", "family" : "Gaudreau", "given" : "Kyrke", "non-dropping-particle" : "", "parse-names" : false, "suffix" : "" }, { "dropping-particle" : "", "family" : "Gibson", "given" : "Robert B.", "non-dropping-particle" : "", "parse-names" : false, "suffix" : "" } ], "container-title" : "Impact Assessment and Project Appraisal", "id" : "ITEM-1", "issue" : "December", "issued" : { "date-parts" : [ [ "2010" ] ] }, "page" : "233-243", "title" : "Illustrating integrated sustainability and resilience based assessments: a small-scale biodiesel project in Barbados", "type" : "article-journal", "volume" : "28" }, "uris" : [ "http://www.mendeley.com/documents/?uuid=fee76635-1433-4c27-9c85-bbbf459c7e59" ] } ], "mendeley" : { "formattedCitation" : "(Gaudreau &amp; Gibson, 2010)", "plainTextFormattedCitation" : "(Gaudreau &amp; Gibson, 2010)", "previouslyFormattedCitation" : "(Gaudreau &amp; Gibson, 2010)" }, "properties" : { "noteIndex" : 0 }, "schema" : "https://github.com/citation-style-language/schema/raw/master/csl-citation.json" }</w:instrText>
      </w:r>
      <w:r w:rsidR="006B717B" w:rsidRPr="000E0F90">
        <w:rPr>
          <w:rFonts w:ascii="Arial" w:hAnsi="Arial" w:cs="Arial"/>
          <w:color w:val="000000" w:themeColor="text1"/>
        </w:rPr>
        <w:fldChar w:fldCharType="separate"/>
      </w:r>
      <w:r w:rsidR="006B717B" w:rsidRPr="000E0F90">
        <w:rPr>
          <w:rFonts w:ascii="Arial" w:hAnsi="Arial" w:cs="Arial"/>
          <w:noProof/>
          <w:color w:val="000000" w:themeColor="text1"/>
        </w:rPr>
        <w:t>(Gaudreau &amp; Gibson, 2010)</w:t>
      </w:r>
      <w:r w:rsidR="006B717B" w:rsidRPr="000E0F90">
        <w:rPr>
          <w:rFonts w:ascii="Arial" w:hAnsi="Arial" w:cs="Arial"/>
          <w:color w:val="000000" w:themeColor="text1"/>
        </w:rPr>
        <w:fldChar w:fldCharType="end"/>
      </w:r>
      <w:r w:rsidR="002B74B4" w:rsidRPr="000E0F90">
        <w:rPr>
          <w:rFonts w:ascii="Arial" w:hAnsi="Arial" w:cs="Arial"/>
          <w:color w:val="000000" w:themeColor="text1"/>
        </w:rPr>
        <w:t xml:space="preserve">, y la vez preservar </w:t>
      </w:r>
      <w:r w:rsidR="0092048C" w:rsidRPr="000E0F90">
        <w:rPr>
          <w:rFonts w:ascii="Arial" w:hAnsi="Arial" w:cs="Arial"/>
          <w:color w:val="000000" w:themeColor="text1"/>
        </w:rPr>
        <w:t xml:space="preserve">una base de recursos diversa para el </w:t>
      </w:r>
      <w:r w:rsidR="0085176E" w:rsidRPr="000E0F90">
        <w:rPr>
          <w:rFonts w:ascii="Arial" w:hAnsi="Arial" w:cs="Arial"/>
          <w:color w:val="000000" w:themeColor="text1"/>
        </w:rPr>
        <w:t>desarrollo futuro</w:t>
      </w:r>
      <w:r w:rsidR="006B717B" w:rsidRPr="000E0F90">
        <w:rPr>
          <w:rFonts w:ascii="Arial" w:hAnsi="Arial" w:cs="Arial"/>
          <w:color w:val="000000" w:themeColor="text1"/>
        </w:rPr>
        <w:t xml:space="preserve"> </w:t>
      </w:r>
      <w:r w:rsidR="00100CB9" w:rsidRPr="000E0F90">
        <w:rPr>
          <w:rFonts w:ascii="Arial" w:hAnsi="Arial" w:cs="Arial"/>
          <w:color w:val="000000" w:themeColor="text1"/>
        </w:rPr>
        <w:t>(</w:t>
      </w:r>
      <w:r w:rsidR="006B717B" w:rsidRPr="000E0F90">
        <w:rPr>
          <w:rFonts w:ascii="Arial" w:hAnsi="Arial" w:cs="Arial"/>
          <w:noProof/>
          <w:color w:val="000000" w:themeColor="text1"/>
        </w:rPr>
        <w:t>Beder, 2000)</w:t>
      </w:r>
      <w:r w:rsidR="006B717B" w:rsidRPr="000E0F90">
        <w:rPr>
          <w:rFonts w:ascii="Arial" w:hAnsi="Arial" w:cs="Arial"/>
          <w:color w:val="000000" w:themeColor="text1"/>
          <w:sz w:val="24"/>
        </w:rPr>
        <w:t xml:space="preserve">. </w:t>
      </w:r>
      <w:r w:rsidR="00362431" w:rsidRPr="000E0F90">
        <w:rPr>
          <w:rFonts w:ascii="Arial" w:hAnsi="Arial" w:cs="Arial"/>
          <w:color w:val="000000" w:themeColor="text1"/>
          <w:sz w:val="24"/>
        </w:rPr>
        <w:t>P</w:t>
      </w:r>
      <w:r w:rsidR="00362431" w:rsidRPr="000E0F90">
        <w:rPr>
          <w:rFonts w:ascii="Arial" w:hAnsi="Arial" w:cs="Arial"/>
          <w:color w:val="000000" w:themeColor="text1"/>
        </w:rPr>
        <w:t xml:space="preserve">rincipio que se entrelaza con otros principios, como son la precaución y adaptación, integridad socio ecológica, y la mantención de recursos y eficiencia </w:t>
      </w:r>
      <w:r w:rsidR="00362431" w:rsidRPr="000E0F90">
        <w:rPr>
          <w:rFonts w:ascii="Arial" w:hAnsi="Arial" w:cs="Arial"/>
          <w:color w:val="000000" w:themeColor="text1"/>
        </w:rPr>
        <w:fldChar w:fldCharType="begin" w:fldLock="1"/>
      </w:r>
      <w:r w:rsidR="00362431" w:rsidRPr="000E0F90">
        <w:rPr>
          <w:rFonts w:ascii="Arial" w:hAnsi="Arial" w:cs="Arial"/>
          <w:color w:val="000000" w:themeColor="text1"/>
        </w:rPr>
        <w:instrText>ADDIN CSL_CITATION { "citationItems" : [ { "id" : "ITEM-1", "itemData" : { "ISBN" : "9781844070503", "author" : [ { "dropping-particle" : "", "family" : "Gibson", "given" : "Robert B.", "non-dropping-particle" : "", "parse-names" : false, "suffix" : "" } ], "id" : "ITEM-1", "issued" : { "date-parts" : [ [ "2005" ] ] }, "page" : "269", "publisher" : "Earthscan", "title" : "Sustainability Assessment. Criteria, Processes and Applications", "type" : "book" }, "uris" : [ "http://www.mendeley.com/documents/?uuid=566b52ab-35b0-4a0c-b91f-1bf25d523ac7" ] } ], "mendeley" : { "formattedCitation" : "(Gibson, 2005)", "plainTextFormattedCitation" : "(Gibson, 2005)", "previouslyFormattedCitation" : "(Gibson, 2005)" }, "properties" : { "noteIndex" : 0 }, "schema" : "https://github.com/citation-style-language/schema/raw/master/csl-citation.json" }</w:instrText>
      </w:r>
      <w:r w:rsidR="00362431" w:rsidRPr="000E0F90">
        <w:rPr>
          <w:rFonts w:ascii="Arial" w:hAnsi="Arial" w:cs="Arial"/>
          <w:color w:val="000000" w:themeColor="text1"/>
        </w:rPr>
        <w:fldChar w:fldCharType="separate"/>
      </w:r>
      <w:r w:rsidR="00362431" w:rsidRPr="000E0F90">
        <w:rPr>
          <w:rFonts w:ascii="Arial" w:hAnsi="Arial" w:cs="Arial"/>
          <w:noProof/>
          <w:color w:val="000000" w:themeColor="text1"/>
        </w:rPr>
        <w:t>(Gibson, 2005)</w:t>
      </w:r>
      <w:r w:rsidR="00362431" w:rsidRPr="000E0F90">
        <w:rPr>
          <w:rFonts w:ascii="Arial" w:hAnsi="Arial" w:cs="Arial"/>
          <w:color w:val="000000" w:themeColor="text1"/>
        </w:rPr>
        <w:fldChar w:fldCharType="end"/>
      </w:r>
      <w:r w:rsidR="00362431" w:rsidRPr="000E0F90">
        <w:rPr>
          <w:rFonts w:ascii="Arial" w:hAnsi="Arial" w:cs="Arial"/>
          <w:color w:val="000000" w:themeColor="text1"/>
        </w:rPr>
        <w:t>.</w:t>
      </w:r>
    </w:p>
    <w:p w:rsidR="007D078F" w:rsidRPr="000E0F90" w:rsidRDefault="002E1A62" w:rsidP="00702D9A">
      <w:pPr>
        <w:spacing w:line="360" w:lineRule="auto"/>
        <w:rPr>
          <w:rFonts w:ascii="Arial" w:hAnsi="Arial" w:cs="Arial"/>
          <w:color w:val="000000" w:themeColor="text1"/>
        </w:rPr>
      </w:pPr>
      <w:r w:rsidRPr="000E0F90">
        <w:rPr>
          <w:rFonts w:ascii="Arial" w:hAnsi="Arial" w:cs="Arial"/>
          <w:color w:val="000000" w:themeColor="text1"/>
        </w:rPr>
        <w:t xml:space="preserve">La estructuración del principio Mantención de Recursos y Eficiencia, </w:t>
      </w:r>
      <w:r w:rsidR="00121259" w:rsidRPr="000E0F90">
        <w:rPr>
          <w:rFonts w:ascii="Arial" w:hAnsi="Arial" w:cs="Arial"/>
          <w:color w:val="000000" w:themeColor="text1"/>
        </w:rPr>
        <w:t xml:space="preserve">consideró </w:t>
      </w:r>
      <w:r w:rsidR="006E4BE1" w:rsidRPr="000E0F90">
        <w:rPr>
          <w:rFonts w:ascii="Arial" w:hAnsi="Arial" w:cs="Arial"/>
          <w:color w:val="000000" w:themeColor="text1"/>
        </w:rPr>
        <w:t xml:space="preserve">elementos </w:t>
      </w:r>
      <w:r w:rsidR="00D75662" w:rsidRPr="000E0F90">
        <w:rPr>
          <w:rFonts w:ascii="Arial" w:hAnsi="Arial" w:cs="Arial"/>
          <w:color w:val="000000" w:themeColor="text1"/>
        </w:rPr>
        <w:t>particulares de territorios</w:t>
      </w:r>
      <w:r w:rsidR="006E4BE1" w:rsidRPr="000E0F90">
        <w:rPr>
          <w:rFonts w:ascii="Arial" w:hAnsi="Arial" w:cs="Arial"/>
          <w:color w:val="000000" w:themeColor="text1"/>
        </w:rPr>
        <w:t xml:space="preserve"> minero</w:t>
      </w:r>
      <w:r w:rsidR="00D75662" w:rsidRPr="000E0F90">
        <w:rPr>
          <w:rFonts w:ascii="Arial" w:hAnsi="Arial" w:cs="Arial"/>
          <w:color w:val="000000" w:themeColor="text1"/>
        </w:rPr>
        <w:t xml:space="preserve">s, como </w:t>
      </w:r>
      <w:r w:rsidR="006E4BE1" w:rsidRPr="000E0F90">
        <w:rPr>
          <w:rFonts w:ascii="Arial" w:hAnsi="Arial" w:cs="Arial"/>
          <w:color w:val="000000" w:themeColor="text1"/>
        </w:rPr>
        <w:t xml:space="preserve">la </w:t>
      </w:r>
      <w:r w:rsidR="00121259" w:rsidRPr="000E0F90">
        <w:rPr>
          <w:rFonts w:ascii="Arial" w:hAnsi="Arial" w:cs="Arial"/>
          <w:color w:val="000000" w:themeColor="text1"/>
        </w:rPr>
        <w:t>depleción progr</w:t>
      </w:r>
      <w:r w:rsidR="006E4BE1" w:rsidRPr="000E0F90">
        <w:rPr>
          <w:rFonts w:ascii="Arial" w:hAnsi="Arial" w:cs="Arial"/>
          <w:color w:val="000000" w:themeColor="text1"/>
        </w:rPr>
        <w:t xml:space="preserve">esiva de los recursos minerales, </w:t>
      </w:r>
      <w:r w:rsidR="00D75662" w:rsidRPr="000E0F90">
        <w:rPr>
          <w:rFonts w:ascii="Arial" w:hAnsi="Arial" w:cs="Arial"/>
          <w:color w:val="000000" w:themeColor="text1"/>
        </w:rPr>
        <w:t xml:space="preserve">la cual </w:t>
      </w:r>
      <w:r w:rsidR="00362C31" w:rsidRPr="000E0F90">
        <w:rPr>
          <w:rFonts w:ascii="Arial" w:hAnsi="Arial" w:cs="Arial"/>
          <w:color w:val="000000" w:themeColor="text1"/>
        </w:rPr>
        <w:t>se</w:t>
      </w:r>
      <w:r w:rsidR="006E4BE1" w:rsidRPr="000E0F90">
        <w:rPr>
          <w:rFonts w:ascii="Arial" w:hAnsi="Arial" w:cs="Arial"/>
          <w:color w:val="000000" w:themeColor="text1"/>
        </w:rPr>
        <w:t xml:space="preserve"> abord</w:t>
      </w:r>
      <w:r w:rsidR="00362C31" w:rsidRPr="000E0F90">
        <w:rPr>
          <w:rFonts w:ascii="Arial" w:hAnsi="Arial" w:cs="Arial"/>
          <w:color w:val="000000" w:themeColor="text1"/>
        </w:rPr>
        <w:t>ó</w:t>
      </w:r>
      <w:r w:rsidR="006E4BE1" w:rsidRPr="000E0F90">
        <w:rPr>
          <w:rFonts w:ascii="Arial" w:hAnsi="Arial" w:cs="Arial"/>
          <w:color w:val="000000" w:themeColor="text1"/>
        </w:rPr>
        <w:t xml:space="preserve"> desde la amortización territorial, es decir, </w:t>
      </w:r>
      <w:r w:rsidR="00D75662" w:rsidRPr="000E0F90">
        <w:rPr>
          <w:rFonts w:ascii="Arial" w:hAnsi="Arial" w:cs="Arial"/>
          <w:color w:val="000000" w:themeColor="text1"/>
        </w:rPr>
        <w:t>mediante el despliegue de</w:t>
      </w:r>
      <w:r w:rsidR="006E4BE1" w:rsidRPr="000E0F90">
        <w:rPr>
          <w:rFonts w:ascii="Arial" w:hAnsi="Arial" w:cs="Arial"/>
          <w:color w:val="000000" w:themeColor="text1"/>
        </w:rPr>
        <w:t xml:space="preserve"> opciones que sostendrán el desarrollo futuro una vez que se hayan agotado los recursos minerales (El Serafy, 1991). </w:t>
      </w:r>
      <w:r w:rsidR="00362C31" w:rsidRPr="000E0F90">
        <w:rPr>
          <w:rFonts w:ascii="Arial" w:hAnsi="Arial" w:cs="Arial"/>
          <w:color w:val="000000" w:themeColor="text1"/>
        </w:rPr>
        <w:t xml:space="preserve">En el caso de recursos renovables se planteó desde la restauración y/o </w:t>
      </w:r>
      <w:r w:rsidR="00EB25B0" w:rsidRPr="000E0F90">
        <w:rPr>
          <w:rFonts w:ascii="Arial" w:hAnsi="Arial" w:cs="Arial"/>
          <w:color w:val="000000" w:themeColor="text1"/>
        </w:rPr>
        <w:t>rehabilitación</w:t>
      </w:r>
      <w:r w:rsidR="00362C31" w:rsidRPr="000E0F90">
        <w:rPr>
          <w:rFonts w:ascii="Arial" w:hAnsi="Arial" w:cs="Arial"/>
          <w:color w:val="000000" w:themeColor="text1"/>
        </w:rPr>
        <w:t xml:space="preserve"> de los recursos (i.e. suelo, regímenes hidrológicos, hábitats, etc.). Por otra parte, se </w:t>
      </w:r>
      <w:r w:rsidR="00EB25B0" w:rsidRPr="000E0F90">
        <w:rPr>
          <w:rFonts w:ascii="Arial" w:hAnsi="Arial" w:cs="Arial"/>
          <w:color w:val="000000" w:themeColor="text1"/>
        </w:rPr>
        <w:t>consideró</w:t>
      </w:r>
      <w:r w:rsidR="00362C31" w:rsidRPr="000E0F90">
        <w:rPr>
          <w:rFonts w:ascii="Arial" w:hAnsi="Arial" w:cs="Arial"/>
          <w:color w:val="000000" w:themeColor="text1"/>
        </w:rPr>
        <w:t xml:space="preserve"> </w:t>
      </w:r>
      <w:r w:rsidR="00F463F8" w:rsidRPr="000E0F90">
        <w:rPr>
          <w:rFonts w:ascii="Arial" w:hAnsi="Arial" w:cs="Arial"/>
          <w:color w:val="000000" w:themeColor="text1"/>
        </w:rPr>
        <w:t>intensidad de uso energético y material de la actividad, bajo el cual se emerge la</w:t>
      </w:r>
      <w:r w:rsidR="00362C31" w:rsidRPr="000E0F90">
        <w:rPr>
          <w:rFonts w:ascii="Arial" w:hAnsi="Arial" w:cs="Arial"/>
          <w:color w:val="000000" w:themeColor="text1"/>
        </w:rPr>
        <w:t xml:space="preserve"> necesidad de reducir el desplazamiento total de la actividad minera, correspondiente a insumos productivos, recursos naturales (i.e. agua), trabajadores (i.e. fly in fly out), productos minerales y desechos de la actividad </w:t>
      </w:r>
      <w:r w:rsidR="00362C31" w:rsidRPr="000E0F90">
        <w:rPr>
          <w:rFonts w:ascii="Arial" w:hAnsi="Arial" w:cs="Arial"/>
          <w:color w:val="000000" w:themeColor="text1"/>
        </w:rPr>
        <w:fldChar w:fldCharType="begin" w:fldLock="1"/>
      </w:r>
      <w:r w:rsidR="00362C31" w:rsidRPr="000E0F90">
        <w:rPr>
          <w:rFonts w:ascii="Arial" w:hAnsi="Arial" w:cs="Arial"/>
          <w:color w:val="000000" w:themeColor="text1"/>
        </w:rPr>
        <w:instrText>ADDIN CSL_CITATION { "citationItems" : [ { "id" : "ITEM-1", "itemData" : { "DOI" : "10.1016/S0959-6526(03)00075-1", "ISBN" : "4414836891", "ISSN" : "09596526", "author" : [ { "dropping-particle" : "", "family" : "Azapagic", "given" : "Adisa", "non-dropping-particle" : "", "parse-names" : false, "suffix" : "" } ], "container-title" : "Journal of Cleaner Production", "id" : "ITEM-1", "issue" : "6", "issued" : { "date-parts" : [ [ "2004", "8" ] ] }, "page" : "639-662", "title" : "Developing a framework for sustainable development indicators for the mining and minerals industry", "type" : "article-journal", "volume" : "12" }, "uris" : [ "http://www.mendeley.com/documents/?uuid=a36976cf-2e0f-4c41-bd50-7ef9e97ed91f" ] } ], "mendeley" : { "formattedCitation" : "(Azapagic, 2004)", "plainTextFormattedCitation" : "(Azapagic, 2004)", "previouslyFormattedCitation" : "(Azapagic, 2004)" }, "properties" : { "noteIndex" : 0 }, "schema" : "https://github.com/citation-style-language/schema/raw/master/csl-citation.json" }</w:instrText>
      </w:r>
      <w:r w:rsidR="00362C31" w:rsidRPr="000E0F90">
        <w:rPr>
          <w:rFonts w:ascii="Arial" w:hAnsi="Arial" w:cs="Arial"/>
          <w:color w:val="000000" w:themeColor="text1"/>
        </w:rPr>
        <w:fldChar w:fldCharType="separate"/>
      </w:r>
      <w:r w:rsidR="00362C31" w:rsidRPr="000E0F90">
        <w:rPr>
          <w:rFonts w:ascii="Arial" w:hAnsi="Arial" w:cs="Arial"/>
          <w:noProof/>
          <w:color w:val="000000" w:themeColor="text1"/>
        </w:rPr>
        <w:t>(Azapagic, 2004)</w:t>
      </w:r>
      <w:r w:rsidR="00362C31" w:rsidRPr="000E0F90">
        <w:rPr>
          <w:rFonts w:ascii="Arial" w:hAnsi="Arial" w:cs="Arial"/>
          <w:color w:val="000000" w:themeColor="text1"/>
        </w:rPr>
        <w:fldChar w:fldCharType="end"/>
      </w:r>
      <w:r w:rsidR="00362C31" w:rsidRPr="000E0F90">
        <w:rPr>
          <w:rFonts w:ascii="Arial" w:hAnsi="Arial" w:cs="Arial"/>
          <w:color w:val="000000" w:themeColor="text1"/>
        </w:rPr>
        <w:t xml:space="preserve">. </w:t>
      </w:r>
      <w:r w:rsidR="004D53D8" w:rsidRPr="000E0F90">
        <w:rPr>
          <w:rFonts w:ascii="Arial" w:hAnsi="Arial" w:cs="Arial"/>
          <w:color w:val="000000" w:themeColor="text1"/>
        </w:rPr>
        <w:t xml:space="preserve">Este </w:t>
      </w:r>
      <w:r w:rsidR="007D078F" w:rsidRPr="000E0F90">
        <w:rPr>
          <w:rFonts w:ascii="Arial" w:hAnsi="Arial" w:cs="Arial"/>
          <w:color w:val="000000" w:themeColor="text1"/>
        </w:rPr>
        <w:t>principio se relaciona directa</w:t>
      </w:r>
      <w:r w:rsidR="004D53D8" w:rsidRPr="000E0F90">
        <w:rPr>
          <w:rFonts w:ascii="Arial" w:hAnsi="Arial" w:cs="Arial"/>
          <w:color w:val="000000" w:themeColor="text1"/>
        </w:rPr>
        <w:t>m</w:t>
      </w:r>
      <w:r w:rsidR="007D078F" w:rsidRPr="000E0F90">
        <w:rPr>
          <w:rFonts w:ascii="Arial" w:hAnsi="Arial" w:cs="Arial"/>
          <w:color w:val="000000" w:themeColor="text1"/>
        </w:rPr>
        <w:t xml:space="preserve">ente con otros principios, como son la precaución y adaptación, integridad socio ecológica, al igual que con equidad dentro de generaciones y entre generaciones </w:t>
      </w:r>
      <w:r w:rsidR="007D078F" w:rsidRPr="000E0F90">
        <w:rPr>
          <w:rFonts w:ascii="Arial" w:hAnsi="Arial" w:cs="Arial"/>
          <w:color w:val="000000" w:themeColor="text1"/>
        </w:rPr>
        <w:fldChar w:fldCharType="begin" w:fldLock="1"/>
      </w:r>
      <w:r w:rsidR="007D078F" w:rsidRPr="000E0F90">
        <w:rPr>
          <w:rFonts w:ascii="Arial" w:hAnsi="Arial" w:cs="Arial"/>
          <w:color w:val="000000" w:themeColor="text1"/>
        </w:rPr>
        <w:instrText>ADDIN CSL_CITATION { "citationItems" : [ { "id" : "ITEM-1", "itemData" : { "ISBN" : "9781844070503", "author" : [ { "dropping-particle" : "", "family" : "Gibson", "given" : "Robert B.", "non-dropping-particle" : "", "parse-names" : false, "suffix" : "" } ], "id" : "ITEM-1", "issued" : { "date-parts" : [ [ "2005" ] ] }, "page" : "269", "publisher" : "Earthscan", "title" : "Sustainability Assessment. Criteria, Processes and Applications", "type" : "book" }, "uris" : [ "http://www.mendeley.com/documents/?uuid=566b52ab-35b0-4a0c-b91f-1bf25d523ac7" ] } ], "mendeley" : { "formattedCitation" : "(Gibson, 2005)", "plainTextFormattedCitation" : "(Gibson, 2005)", "previouslyFormattedCitation" : "(Gibson, 2005)" }, "properties" : { "noteIndex" : 0 }, "schema" : "https://github.com/citation-style-language/schema/raw/master/csl-citation.json" }</w:instrText>
      </w:r>
      <w:r w:rsidR="007D078F" w:rsidRPr="000E0F90">
        <w:rPr>
          <w:rFonts w:ascii="Arial" w:hAnsi="Arial" w:cs="Arial"/>
          <w:color w:val="000000" w:themeColor="text1"/>
        </w:rPr>
        <w:fldChar w:fldCharType="separate"/>
      </w:r>
      <w:r w:rsidR="007D078F" w:rsidRPr="000E0F90">
        <w:rPr>
          <w:rFonts w:ascii="Arial" w:hAnsi="Arial" w:cs="Arial"/>
          <w:noProof/>
          <w:color w:val="000000" w:themeColor="text1"/>
        </w:rPr>
        <w:t>(Gibson, 2005)</w:t>
      </w:r>
      <w:r w:rsidR="007D078F" w:rsidRPr="000E0F90">
        <w:rPr>
          <w:rFonts w:ascii="Arial" w:hAnsi="Arial" w:cs="Arial"/>
          <w:color w:val="000000" w:themeColor="text1"/>
        </w:rPr>
        <w:fldChar w:fldCharType="end"/>
      </w:r>
      <w:r w:rsidR="007D078F" w:rsidRPr="000E0F90">
        <w:rPr>
          <w:rFonts w:ascii="Arial" w:hAnsi="Arial" w:cs="Arial"/>
          <w:color w:val="000000" w:themeColor="text1"/>
        </w:rPr>
        <w:t xml:space="preserve">. </w:t>
      </w:r>
    </w:p>
    <w:p w:rsidR="00D75662" w:rsidRPr="000E0F90" w:rsidRDefault="001802B9" w:rsidP="00702D9A">
      <w:pPr>
        <w:spacing w:line="360" w:lineRule="auto"/>
        <w:rPr>
          <w:rFonts w:ascii="Arial" w:hAnsi="Arial" w:cs="Arial"/>
          <w:color w:val="000000" w:themeColor="text1"/>
        </w:rPr>
      </w:pPr>
      <w:r w:rsidRPr="000E0F90">
        <w:rPr>
          <w:rFonts w:ascii="Arial" w:hAnsi="Arial" w:cs="Arial"/>
          <w:color w:val="000000" w:themeColor="text1"/>
        </w:rPr>
        <w:t>Respecto a l</w:t>
      </w:r>
      <w:r w:rsidR="00C127A1" w:rsidRPr="000E0F90">
        <w:rPr>
          <w:rFonts w:ascii="Arial" w:hAnsi="Arial" w:cs="Arial"/>
          <w:color w:val="000000" w:themeColor="text1"/>
        </w:rPr>
        <w:t xml:space="preserve">a estructuración del principio de Gobernanza y </w:t>
      </w:r>
      <w:r w:rsidRPr="000E0F90">
        <w:rPr>
          <w:rFonts w:ascii="Arial" w:hAnsi="Arial" w:cs="Arial"/>
          <w:color w:val="000000" w:themeColor="text1"/>
        </w:rPr>
        <w:t>C</w:t>
      </w:r>
      <w:r w:rsidR="00C127A1" w:rsidRPr="000E0F90">
        <w:rPr>
          <w:rFonts w:ascii="Arial" w:hAnsi="Arial" w:cs="Arial"/>
          <w:color w:val="000000" w:themeColor="text1"/>
        </w:rPr>
        <w:t xml:space="preserve">ivilidad, </w:t>
      </w:r>
      <w:r w:rsidR="00D75662" w:rsidRPr="000E0F90">
        <w:rPr>
          <w:rFonts w:ascii="Arial" w:hAnsi="Arial" w:cs="Arial"/>
          <w:color w:val="000000" w:themeColor="text1"/>
        </w:rPr>
        <w:t xml:space="preserve">contempló </w:t>
      </w:r>
      <w:r w:rsidR="00F463F8" w:rsidRPr="000E0F90">
        <w:rPr>
          <w:rFonts w:ascii="Arial" w:hAnsi="Arial" w:cs="Arial"/>
          <w:color w:val="000000" w:themeColor="text1"/>
        </w:rPr>
        <w:t xml:space="preserve">elementos de los </w:t>
      </w:r>
      <w:r w:rsidR="00D75662" w:rsidRPr="000E0F90">
        <w:rPr>
          <w:rFonts w:ascii="Arial" w:hAnsi="Arial" w:cs="Arial"/>
          <w:color w:val="000000" w:themeColor="text1"/>
        </w:rPr>
        <w:t>procesos de toma de decisión</w:t>
      </w:r>
      <w:r w:rsidR="00F463F8" w:rsidRPr="000E0F90">
        <w:rPr>
          <w:rFonts w:ascii="Arial" w:hAnsi="Arial" w:cs="Arial"/>
          <w:color w:val="000000" w:themeColor="text1"/>
        </w:rPr>
        <w:t xml:space="preserve"> de desarrollos mineros, </w:t>
      </w:r>
      <w:r w:rsidR="00EF3D39" w:rsidRPr="000E0F90">
        <w:rPr>
          <w:rFonts w:ascii="Arial" w:hAnsi="Arial" w:cs="Arial"/>
          <w:color w:val="000000" w:themeColor="text1"/>
        </w:rPr>
        <w:t xml:space="preserve">correspondientes a las instancias de participación civil de los Estudios de Impacto Ambiental, abordando aspectos de desigualdad </w:t>
      </w:r>
      <w:r w:rsidR="00BC358A" w:rsidRPr="000E0F90">
        <w:rPr>
          <w:rFonts w:ascii="Arial" w:hAnsi="Arial" w:cs="Arial"/>
          <w:color w:val="000000" w:themeColor="text1"/>
        </w:rPr>
        <w:t xml:space="preserve">evidenciados en la literatura, </w:t>
      </w:r>
      <w:r w:rsidR="00EF3D39" w:rsidRPr="000E0F90">
        <w:rPr>
          <w:rFonts w:ascii="Arial" w:hAnsi="Arial" w:cs="Arial"/>
          <w:color w:val="000000" w:themeColor="text1"/>
        </w:rPr>
        <w:t>mediante el fortalecimiento de la capacidad de entendimiento de los actores participantes</w:t>
      </w:r>
      <w:r w:rsidR="00BC358A" w:rsidRPr="000E0F90">
        <w:rPr>
          <w:rFonts w:ascii="Arial" w:hAnsi="Arial" w:cs="Arial"/>
          <w:color w:val="000000" w:themeColor="text1"/>
        </w:rPr>
        <w:t>,</w:t>
      </w:r>
      <w:r w:rsidR="00EF3D39" w:rsidRPr="000E0F90">
        <w:rPr>
          <w:rFonts w:ascii="Arial" w:hAnsi="Arial" w:cs="Arial"/>
          <w:color w:val="000000" w:themeColor="text1"/>
        </w:rPr>
        <w:t xml:space="preserve"> la </w:t>
      </w:r>
      <w:r w:rsidR="00EF3D39" w:rsidRPr="000E0F90">
        <w:rPr>
          <w:rFonts w:ascii="Arial" w:hAnsi="Arial" w:cs="Arial"/>
          <w:color w:val="000000" w:themeColor="text1"/>
        </w:rPr>
        <w:lastRenderedPageBreak/>
        <w:t>incorporación de expertos externos</w:t>
      </w:r>
      <w:r w:rsidR="00F463F8" w:rsidRPr="000E0F90">
        <w:rPr>
          <w:rFonts w:ascii="Arial" w:hAnsi="Arial" w:cs="Arial"/>
          <w:color w:val="000000" w:themeColor="text1"/>
        </w:rPr>
        <w:t xml:space="preserve">, </w:t>
      </w:r>
      <w:r w:rsidR="00BC358A" w:rsidRPr="000E0F90">
        <w:rPr>
          <w:rFonts w:ascii="Arial" w:hAnsi="Arial" w:cs="Arial"/>
          <w:color w:val="000000" w:themeColor="text1"/>
        </w:rPr>
        <w:t>y la visibilización de</w:t>
      </w:r>
      <w:r w:rsidR="00030D75" w:rsidRPr="000E0F90">
        <w:rPr>
          <w:rFonts w:ascii="Arial" w:hAnsi="Arial" w:cs="Arial"/>
          <w:color w:val="000000" w:themeColor="text1"/>
        </w:rPr>
        <w:t xml:space="preserve"> los grupos marginalizados </w:t>
      </w:r>
      <w:r w:rsidR="00030D75" w:rsidRPr="000E0F90">
        <w:rPr>
          <w:rFonts w:ascii="Arial" w:hAnsi="Arial" w:cs="Arial"/>
          <w:color w:val="000000" w:themeColor="text1"/>
        </w:rPr>
        <w:fldChar w:fldCharType="begin" w:fldLock="1"/>
      </w:r>
      <w:r w:rsidR="00030D75" w:rsidRPr="000E0F90">
        <w:rPr>
          <w:rFonts w:ascii="Arial" w:hAnsi="Arial" w:cs="Arial"/>
          <w:color w:val="000000" w:themeColor="text1"/>
        </w:rPr>
        <w:instrText>ADDIN CSL_CITATION { "citationItems" : [ { "id" : "ITEM-1", "itemData" : { "DOI" : "10.3152/146155110X12772982841122", "ISSN" : "1461-5517", "abstract" : "Assessments today need to help reverse trends towards deeper unsustainability and address the unavoidable interconnections, feedbacks and uncertainties that typify complex socio-ecological systems at all scales. To illustrate one promising approach, this paper describes a modest effort to integrate understandings from Gibson et al\u2019s approach to sustainability assessment with the Resilience Alliance\u2019s applications of complex systems thinking into a suite of systems and sustainability based criteria. The integrated sustainability\u2013resilience criteria were used to assess an existing small-scale biodiesel operation on Barbados that involves waste management, public health, transportation, energy security and community involvement considerations. The assessment revealed that the main benefit of this biodiesel project is in social learning rather than enhancing energy security and waste management, and the best ways of enhancing the project lie in larger scale policy initiatives. The findings suggest that the use of a sustainability\u2013resilience approach can contribute insights unlikely to emerge from more narrowly focused assessments.", "author" : [ { "dropping-particle" : "", "family" : "Gaudreau", "given" : "Kyrke", "non-dropping-particle" : "", "parse-names" : false, "suffix" : "" }, { "dropping-particle" : "", "family" : "Gibson", "given" : "Robert B.", "non-dropping-particle" : "", "parse-names" : false, "suffix" : "" } ], "container-title" : "Impact Assessment and Project Appraisal", "id" : "ITEM-1", "issue" : "December", "issued" : { "date-parts" : [ [ "2010" ] ] }, "page" : "233-243", "title" : "Illustrating integrated sustainability and resilience based assessments: a small-scale biodiesel project in Barbados", "type" : "article-journal", "volume" : "28" }, "uris" : [ "http://www.mendeley.com/documents/?uuid=fee76635-1433-4c27-9c85-bbbf459c7e59" ] } ], "mendeley" : { "formattedCitation" : "(Gaudreau &amp; Gibson, 2010)", "plainTextFormattedCitation" : "(Gaudreau &amp; Gibson, 2010)", "previouslyFormattedCitation" : "(Gaudreau &amp; Gibson, 2010)" }, "properties" : { "noteIndex" : 0 }, "schema" : "https://github.com/citation-style-language/schema/raw/master/csl-citation.json" }</w:instrText>
      </w:r>
      <w:r w:rsidR="00030D75" w:rsidRPr="000E0F90">
        <w:rPr>
          <w:rFonts w:ascii="Arial" w:hAnsi="Arial" w:cs="Arial"/>
          <w:color w:val="000000" w:themeColor="text1"/>
        </w:rPr>
        <w:fldChar w:fldCharType="separate"/>
      </w:r>
      <w:r w:rsidR="00030D75" w:rsidRPr="000E0F90">
        <w:rPr>
          <w:rFonts w:ascii="Arial" w:hAnsi="Arial" w:cs="Arial"/>
          <w:noProof/>
          <w:color w:val="000000" w:themeColor="text1"/>
        </w:rPr>
        <w:t>(Gaudreau &amp; Gibson, 2010)</w:t>
      </w:r>
      <w:r w:rsidR="00030D75" w:rsidRPr="000E0F90">
        <w:rPr>
          <w:rFonts w:ascii="Arial" w:hAnsi="Arial" w:cs="Arial"/>
          <w:color w:val="000000" w:themeColor="text1"/>
        </w:rPr>
        <w:fldChar w:fldCharType="end"/>
      </w:r>
      <w:r w:rsidR="00030D75" w:rsidRPr="000E0F90">
        <w:rPr>
          <w:rFonts w:ascii="Arial" w:hAnsi="Arial" w:cs="Arial"/>
          <w:color w:val="000000" w:themeColor="text1"/>
          <w:sz w:val="20"/>
        </w:rPr>
        <w:t xml:space="preserve"> </w:t>
      </w:r>
      <w:r w:rsidR="00030D75" w:rsidRPr="000E0F90">
        <w:rPr>
          <w:rFonts w:ascii="Arial" w:hAnsi="Arial" w:cs="Arial"/>
          <w:color w:val="000000" w:themeColor="text1"/>
        </w:rPr>
        <w:fldChar w:fldCharType="begin" w:fldLock="1"/>
      </w:r>
      <w:r w:rsidR="00030D75" w:rsidRPr="000E0F90">
        <w:rPr>
          <w:rFonts w:ascii="Arial" w:hAnsi="Arial" w:cs="Arial"/>
          <w:color w:val="000000" w:themeColor="text1"/>
        </w:rPr>
        <w:instrText>ADDIN CSL_CITATION { "citationItems" : [ { "id" : "ITEM-1", "itemData" : { "DOI" : "10.1016/j.landurbp</w:instrText>
      </w:r>
      <w:r w:rsidR="00030D75" w:rsidRPr="000E0F90">
        <w:rPr>
          <w:rFonts w:ascii="Arial" w:hAnsi="Arial" w:cs="Arial"/>
          <w:color w:val="000000" w:themeColor="text1"/>
          <w:lang w:val="en-US"/>
        </w:rPr>
        <w:instrText>lan.2013.06.002", "ISBN" : "0169-2046", "ISSN" : "01692046", "abstract" : "The proportion of urban population is increasing globally. Climate change, biodiversity loss, and environmental pollution are leading to the urgent need to increase sustainable development of and through cities and their components. Encouraging and enabling sustainable lifestyles of urban inhabitants can be fostered by developing sustainable urban neighborhoods as the nuclei of cities. Numerous approaches exist that define principles for guiding sustainable development processes of urban neighborhoods. However, it remains unclear if these approaches really consider the core objectives that should be achieved and key actions that are involved to move toward sustainability. This study represents the first quantitative review that evaluates the principles for sustainable urban neighborhood development based on the available literature. We thus (i) identify promising approaches that present principles close to core criteria for sustainability and (ii) provide starting points for developing a more robust set of principles by bringing together the examined literature. Furthermore (iii), sustainability aspects that are insufficiently covered are highlighted. Based on the findings (iv) a road map is outlined to encourage further research on the elaboration of a sufficient set of principles for sustainable urban neighborhood development. \u00a9 2013 Elsevier B.V.", "author" : [ { "dropping-particle" : "", "family" : "Luederitz", "given" : "Christopher", "non-dropping-particle" : "", "parse-names" : false, "suffix" : "" }, { "dropping-particle" : "", "family" : "Lang", "given" : "Daniel J.", "non-dropping-particle" : "", "parse-names" : false, "suffix" : "" }, { "dropping-particle" : "", "family" : "Wehrden", "given" : "Henrik", "non-dropping-particle" : "Von", "parse-names" : false, "suffix" : "" } ], "container-title" : "Landscape and Urban Planning", "id" : "ITEM-1", "issued" : { "date-parts" : [ [ "2013" ] ] }, "page" : "40-52", "publisher" : "Elsevier B.V.", "title" : "A systematic review of guiding principles for sustainable urban neighborhood development", "type" : "article-journal", "volume" : "118" }, "uris" : [ "http://www.mendeley.com/documents/?uuid=6bcfcece-dda2-466f-b77d-29fdaec204ad" ] } ], "mendeley" : { "formattedCitation" : "(Luederitz et al., 2013)", "plainTextFormattedCitation" : "(Luederitz et al., 2013)", "previouslyFormattedCitation" : "(Luederitz et al., 2013)" }, "properties" : { "noteIndex" : 0 }, "schema" : "https://github.com/citation-style-language/schema/raw/master/csl-citation.json" }</w:instrText>
      </w:r>
      <w:r w:rsidR="00030D75" w:rsidRPr="000E0F90">
        <w:rPr>
          <w:rFonts w:ascii="Arial" w:hAnsi="Arial" w:cs="Arial"/>
          <w:color w:val="000000" w:themeColor="text1"/>
        </w:rPr>
        <w:fldChar w:fldCharType="separate"/>
      </w:r>
      <w:r w:rsidR="00030D75" w:rsidRPr="000E0F90">
        <w:rPr>
          <w:rFonts w:ascii="Arial" w:hAnsi="Arial" w:cs="Arial"/>
          <w:noProof/>
          <w:color w:val="000000" w:themeColor="text1"/>
          <w:lang w:val="en-US"/>
        </w:rPr>
        <w:t>(Luederitz et al., 2013)</w:t>
      </w:r>
      <w:r w:rsidR="00030D75" w:rsidRPr="000E0F90">
        <w:rPr>
          <w:rFonts w:ascii="Arial" w:hAnsi="Arial" w:cs="Arial"/>
          <w:color w:val="000000" w:themeColor="text1"/>
        </w:rPr>
        <w:fldChar w:fldCharType="end"/>
      </w:r>
      <w:r w:rsidR="00030D75" w:rsidRPr="000E0F90">
        <w:rPr>
          <w:rFonts w:ascii="Arial" w:hAnsi="Arial" w:cs="Arial"/>
          <w:color w:val="000000" w:themeColor="text1"/>
        </w:rPr>
        <w:t xml:space="preserve"> </w:t>
      </w:r>
      <w:r w:rsidR="00030D75" w:rsidRPr="000E0F90">
        <w:rPr>
          <w:rFonts w:ascii="Arial" w:hAnsi="Arial" w:cs="Arial"/>
          <w:color w:val="000000" w:themeColor="text1"/>
        </w:rPr>
        <w:fldChar w:fldCharType="begin" w:fldLock="1"/>
      </w:r>
      <w:r w:rsidR="00030D75" w:rsidRPr="000E0F90">
        <w:rPr>
          <w:rFonts w:ascii="Arial" w:hAnsi="Arial" w:cs="Arial"/>
          <w:color w:val="000000" w:themeColor="text1"/>
        </w:rPr>
        <w:instrText>ADDIN CSL_CITATION { "citationItems" : [ { "id" : "ITEM-1", "itemData" : { "DOI" : "10.1016/j.jenvman.2011.05.008", "ISBN" : "0301-4797", "ISSN" : "03014797", "PMID" : "21641109", "abstract" : "The main objective of this paper is to present a critical analysis of the stakeholder participation process within the Environmental Impact Assessment System in Chile, after ca. 14 years of being enforced. This analysis is sustained by the description and analysis of the stakeholder participation possibilities in a representative rural area of North-Central Chile. The Environmental Basis Act 19300, enacted in 1994, considers the participation of the local community in the environmental impact assessment of new projects. However, this possibility is very limited and difficult to exert, often resulting in frustration for the participants. This is due to a number of reasons, such as the imbalance of resources and knowledge among the majority of participating communities and project proponents, the complexity and administrative and legal constraints to participation, and the dominant interest of the Central Government in approving investments, specifically in energy and natural resources related projects, which generate wealth and jobs. Also, the State's rush to develop Internet-based communication and management systems has built a barrier for poor, traditional communities. This factor is clearly reflected in the case study considered. Results show that there is generally a significant lack of knowledge about institutions and participation tools. From this base, we intend to raise concern on these selected aspects that could be addressed to improve the effectiveness of the existing framework, both in Chile and in other developing countries, where immature environmental impact assessment and public management systems face similar pressures in relation to the sustainable use of their natural resources. Finally, some basic steps are proposed in order to make the community participation an effective tool for sustainable development. ?? 2011 Elsevier Ltd.", "author" : [ { "dropping-particle" : "", "family" : "Lostarnau", "given" : "Carla", "non-dropping-particle" : "", "parse-names" : false, "suffix" : "" }, { "dropping-particle" : "", "family" : "Oyarz\u00fan", "given" : "Jorge", "non-dropping-particle" : "", "parse-names" : false, "suffix" : "" }, { "dropping-particle" : "", "family" : "Maturana", "given" : "Hugo", "non-dropping-particle" : "", "parse-names" : false, "suffix" : "" }, { "dropping-particle" : "", "family" : "Soto", "given" : "Guido", "non-dropping-particle" : "", "parse-names" : false, "suffix" : "" }, { "dropping-particle" : "", "family" : "Se\u00f1oret", "given" : "Michelle", "non-dropping-particle" : "", "parse-names" : false, "suffix" : "" }, { "dropping-particle" : "", "family" : "Soto", "given" : "Manuel", "non-dropping-particle" : "", "parse-names" : false, "suffix" : "" }, { "dropping-particle" : "", "family" : "R\u00f6tting", "given" : "Tobias S.", "non-dropping-particle" : "", "parse-names" : false, "suffix" : "" }, { "dropping-particle" : "", "family" : "Amezaga", "given" : "Jaime M.", "non-dropping-particle" : "", "parse-names" : false, "suffix" : "" }, { "dropping-particle" : "", "family" : "Oyarz\u00fan", "given" : "Ricardo", "non-dropping-particle" : "", "parse-names" : false, "suffix" : "" } ], "container-title" : "Journal of Environmental Management", "id" : "ITEM-1", "issue" : "10", "issued" : { "date-parts" : [ [ "2011" ] ] }, "page" : "2470-2478", "publisher" : "Elsevier Ltd", "title" : "Stakeholder participation within the public environmental system in Chile: Major gaps between theory and practice", "type" : "article-journal", "volume" : "92" }, "uris" : [ "http://www.mendeley.com/documents/?uuid=9e462189-3202-4589-988f-598505affede" ] } ], "mendeley" : { "formattedCitation" : "(Lostarnau et al., 2011)", "plainTextFormattedCitation" : "(Lostarnau et al., 2011)", "previouslyFormattedCitation" : "(Lostarnau et al., 2011)" }, "properties" : { "noteIndex" : 0 }, "schema" : "https://github.com/citation-style-language/schema/raw/master/csl-citation.json" }</w:instrText>
      </w:r>
      <w:r w:rsidR="00030D75" w:rsidRPr="000E0F90">
        <w:rPr>
          <w:rFonts w:ascii="Arial" w:hAnsi="Arial" w:cs="Arial"/>
          <w:color w:val="000000" w:themeColor="text1"/>
        </w:rPr>
        <w:fldChar w:fldCharType="separate"/>
      </w:r>
      <w:r w:rsidR="00030D75" w:rsidRPr="000E0F90">
        <w:rPr>
          <w:rFonts w:ascii="Arial" w:hAnsi="Arial" w:cs="Arial"/>
          <w:noProof/>
          <w:color w:val="000000" w:themeColor="text1"/>
        </w:rPr>
        <w:t>(Lostarnau et al., 2011)</w:t>
      </w:r>
      <w:r w:rsidR="00030D75" w:rsidRPr="000E0F90">
        <w:rPr>
          <w:rFonts w:ascii="Arial" w:hAnsi="Arial" w:cs="Arial"/>
          <w:color w:val="000000" w:themeColor="text1"/>
        </w:rPr>
        <w:fldChar w:fldCharType="end"/>
      </w:r>
      <w:r w:rsidR="00030D75" w:rsidRPr="000E0F90">
        <w:rPr>
          <w:rFonts w:ascii="Arial" w:hAnsi="Arial" w:cs="Arial"/>
          <w:color w:val="000000" w:themeColor="text1"/>
        </w:rPr>
        <w:t xml:space="preserve">. Así como también, se abordaron aspectos generales de la gobernanza como la demanda de procesos de toma de decisión abiertos, transparentes y vinculantes, y el fomento del interés reciproco entre los actores territoriales, tanto los privados como grupos sociales </w:t>
      </w:r>
      <w:r w:rsidR="00030D75" w:rsidRPr="000E0F90">
        <w:rPr>
          <w:rFonts w:ascii="Arial" w:hAnsi="Arial" w:cs="Arial"/>
          <w:iCs/>
          <w:color w:val="000000" w:themeColor="text1"/>
        </w:rPr>
        <w:t>(Luederitz et al., 2013)</w:t>
      </w:r>
      <w:r w:rsidR="00030D75" w:rsidRPr="000E0F90">
        <w:rPr>
          <w:rFonts w:ascii="Arial" w:hAnsi="Arial" w:cs="Arial"/>
          <w:color w:val="000000" w:themeColor="text1"/>
        </w:rPr>
        <w:t xml:space="preserve"> </w:t>
      </w:r>
      <w:r w:rsidR="00030D75" w:rsidRPr="000E0F90">
        <w:rPr>
          <w:rFonts w:ascii="Arial" w:hAnsi="Arial" w:cs="Arial"/>
          <w:color w:val="000000" w:themeColor="text1"/>
        </w:rPr>
        <w:fldChar w:fldCharType="begin" w:fldLock="1"/>
      </w:r>
      <w:r w:rsidR="00030D75" w:rsidRPr="000E0F90">
        <w:rPr>
          <w:rFonts w:ascii="Arial" w:hAnsi="Arial" w:cs="Arial"/>
          <w:color w:val="000000" w:themeColor="text1"/>
        </w:rPr>
        <w:instrText>ADDIN CSL_CITATION { "citationItems" : [ { "id" : "ITEM-1", "itemData" : { "ISBN" : "9781844070503", "author" : [ { "dropping-particle" : "", "family" : "Gibson", "given" : "Robert B.", "non-dropping-particle" : "", "parse-names" : false, "suffix" : "" } ], "id" : "ITEM-1", "issued" : { "date-parts" : [ [ "2005" ] ] }, "page" : "269", "publisher" : "Earthscan", "title" : "Sustainability Assessment. Criteria, Processes and Applications", "type" : "book" }, "uris" : [ "http://www.mendeley.com/documents/?uuid=566b52ab-35b0-4a0c-b91f-1bf25d523ac7" ] } ], "mendeley" : { "formattedCitation" : "(Gibson, 2005)", "plainTextFormattedCitation" : "(Gibson, 2005)", "previouslyFormattedCitation" : "(Gibson, 2005)" }, "properties" : { "noteIndex" : 0 }, "schema" : "https://github.com/citation-style-language/schema/raw/master/csl-citation.json" }</w:instrText>
      </w:r>
      <w:r w:rsidR="00030D75" w:rsidRPr="000E0F90">
        <w:rPr>
          <w:rFonts w:ascii="Arial" w:hAnsi="Arial" w:cs="Arial"/>
          <w:color w:val="000000" w:themeColor="text1"/>
        </w:rPr>
        <w:fldChar w:fldCharType="separate"/>
      </w:r>
      <w:r w:rsidR="00030D75" w:rsidRPr="000E0F90">
        <w:rPr>
          <w:rFonts w:ascii="Arial" w:hAnsi="Arial" w:cs="Arial"/>
          <w:noProof/>
          <w:color w:val="000000" w:themeColor="text1"/>
        </w:rPr>
        <w:t>(Gibson, 2005)</w:t>
      </w:r>
      <w:r w:rsidR="00030D75" w:rsidRPr="000E0F90">
        <w:rPr>
          <w:rFonts w:ascii="Arial" w:hAnsi="Arial" w:cs="Arial"/>
          <w:color w:val="000000" w:themeColor="text1"/>
        </w:rPr>
        <w:fldChar w:fldCharType="end"/>
      </w:r>
      <w:r w:rsidR="00030D75" w:rsidRPr="000E0F90">
        <w:rPr>
          <w:rFonts w:ascii="Arial" w:hAnsi="Arial" w:cs="Arial"/>
          <w:color w:val="000000" w:themeColor="text1"/>
        </w:rPr>
        <w:t>.</w:t>
      </w:r>
    </w:p>
    <w:p w:rsidR="00F10A5D" w:rsidRPr="000E0F90" w:rsidRDefault="001802B9" w:rsidP="00702D9A">
      <w:pPr>
        <w:spacing w:line="360" w:lineRule="auto"/>
        <w:rPr>
          <w:rFonts w:ascii="Arial" w:hAnsi="Arial" w:cs="Arial"/>
          <w:color w:val="000000" w:themeColor="text1"/>
        </w:rPr>
      </w:pPr>
      <w:r w:rsidRPr="000E0F90">
        <w:rPr>
          <w:rFonts w:ascii="Arial" w:hAnsi="Arial" w:cs="Arial"/>
          <w:color w:val="000000" w:themeColor="text1"/>
        </w:rPr>
        <w:t xml:space="preserve">La estructuración del </w:t>
      </w:r>
      <w:r w:rsidR="00FC2676" w:rsidRPr="000E0F90">
        <w:rPr>
          <w:rFonts w:ascii="Arial" w:hAnsi="Arial" w:cs="Arial"/>
          <w:color w:val="000000" w:themeColor="text1"/>
        </w:rPr>
        <w:t>principio de precaución y adaptación</w:t>
      </w:r>
      <w:r w:rsidR="003A04CE" w:rsidRPr="000E0F90">
        <w:rPr>
          <w:rFonts w:ascii="Arial" w:hAnsi="Arial" w:cs="Arial"/>
          <w:color w:val="000000" w:themeColor="text1"/>
        </w:rPr>
        <w:t xml:space="preserve">, </w:t>
      </w:r>
      <w:r w:rsidR="00C97C16" w:rsidRPr="000E0F90">
        <w:rPr>
          <w:rFonts w:ascii="Arial" w:hAnsi="Arial" w:cs="Arial"/>
          <w:color w:val="000000" w:themeColor="text1"/>
        </w:rPr>
        <w:t>consideró</w:t>
      </w:r>
      <w:r w:rsidR="003A04CE" w:rsidRPr="000E0F90">
        <w:rPr>
          <w:rFonts w:ascii="Arial" w:hAnsi="Arial" w:cs="Arial"/>
          <w:color w:val="000000" w:themeColor="text1"/>
        </w:rPr>
        <w:t xml:space="preserve"> características específicas de los territorios mineros, como es la </w:t>
      </w:r>
      <w:r w:rsidR="004E1716" w:rsidRPr="000E0F90">
        <w:rPr>
          <w:rFonts w:ascii="Arial" w:hAnsi="Arial" w:cs="Arial"/>
          <w:color w:val="000000" w:themeColor="text1"/>
        </w:rPr>
        <w:t xml:space="preserve">magnitud </w:t>
      </w:r>
      <w:r w:rsidR="00030D75" w:rsidRPr="000E0F90">
        <w:rPr>
          <w:rFonts w:ascii="Arial" w:hAnsi="Arial" w:cs="Arial"/>
          <w:color w:val="000000" w:themeColor="text1"/>
        </w:rPr>
        <w:t xml:space="preserve">e irreversibilidad </w:t>
      </w:r>
      <w:r w:rsidR="004E1716" w:rsidRPr="000E0F90">
        <w:rPr>
          <w:rFonts w:ascii="Arial" w:hAnsi="Arial" w:cs="Arial"/>
          <w:color w:val="000000" w:themeColor="text1"/>
        </w:rPr>
        <w:t xml:space="preserve">de los impactos de la actividad en el territorio, </w:t>
      </w:r>
      <w:r w:rsidR="00030D75" w:rsidRPr="000E0F90">
        <w:rPr>
          <w:rFonts w:ascii="Arial" w:hAnsi="Arial" w:cs="Arial"/>
          <w:color w:val="000000" w:themeColor="text1"/>
        </w:rPr>
        <w:t xml:space="preserve">el alcance </w:t>
      </w:r>
      <w:r w:rsidR="004E1716" w:rsidRPr="000E0F90">
        <w:rPr>
          <w:rFonts w:ascii="Arial" w:hAnsi="Arial" w:cs="Arial"/>
          <w:color w:val="000000" w:themeColor="text1"/>
        </w:rPr>
        <w:t xml:space="preserve">espacial y temporal, </w:t>
      </w:r>
      <w:r w:rsidR="00030D75" w:rsidRPr="000E0F90">
        <w:rPr>
          <w:rFonts w:ascii="Arial" w:hAnsi="Arial" w:cs="Arial"/>
          <w:color w:val="000000" w:themeColor="text1"/>
        </w:rPr>
        <w:t xml:space="preserve">remarcando </w:t>
      </w:r>
      <w:r w:rsidR="004E1716" w:rsidRPr="000E0F90">
        <w:rPr>
          <w:rFonts w:ascii="Arial" w:hAnsi="Arial" w:cs="Arial"/>
          <w:color w:val="000000" w:themeColor="text1"/>
        </w:rPr>
        <w:t xml:space="preserve">los efectos de legado </w:t>
      </w:r>
      <w:r w:rsidR="00F10A5D" w:rsidRPr="000E0F90">
        <w:rPr>
          <w:rFonts w:ascii="Arial" w:hAnsi="Arial" w:cs="Arial"/>
          <w:color w:val="000000" w:themeColor="text1"/>
        </w:rPr>
        <w:t xml:space="preserve">medioambiental </w:t>
      </w:r>
      <w:r w:rsidR="004E1716" w:rsidRPr="000E0F90">
        <w:rPr>
          <w:rFonts w:ascii="Arial" w:hAnsi="Arial" w:cs="Arial"/>
          <w:color w:val="000000" w:themeColor="text1"/>
        </w:rPr>
        <w:t xml:space="preserve">pasado de la actividad </w:t>
      </w:r>
      <w:r w:rsidR="004E1716" w:rsidRPr="000E0F90">
        <w:rPr>
          <w:rFonts w:ascii="Arial" w:hAnsi="Arial" w:cs="Arial"/>
          <w:color w:val="000000" w:themeColor="text1"/>
        </w:rPr>
        <w:fldChar w:fldCharType="begin" w:fldLock="1"/>
      </w:r>
      <w:r w:rsidR="00950F10" w:rsidRPr="000E0F90">
        <w:rPr>
          <w:rFonts w:ascii="Arial" w:hAnsi="Arial" w:cs="Arial"/>
          <w:color w:val="000000" w:themeColor="text1"/>
        </w:rPr>
        <w:instrText>ADDIN CSL_CITATION { "citationItems" : [ { "id" : "ITEM-1", "itemData" : { "DOI" : "10.1016/j.jclepro.2009.04.013", "ISSN" : "09596526", "author" : [ { "dropping-particle" : "", "family" : "Worrall", "given" : "Rhys", "non-dropping-particle" : "", "parse-names" : false, "suffix" : "" }, { "dropping-particle" : "", "family" : "Neil", "given" : "David", "non-dropping-particle" : "", "parse-names" : false, "suffix" : "" }, { "dropping-particle" : "", "family" : "Brereton", "given" : "David", "non-dropping-particle" : "", "parse-names" : false, "suffix" : "" }, { "dropping-particle" : "", "family" : "Mulligan", "given" : "David", "non-dropping-particle" : "", "parse-names" : false, "suffix" : "" } ], "container-title" : "Journal of Cleaner Production", "id" : "ITEM-1", "issue" : "16", "issued" : { "date-parts" : [ [ "2009", "11" ] ] }, "page" : "1426-1434", "publisher" : "Elsevier Ltd", "title" : "Towards a sustainability criteria and indicators framework for legacy mine land", "type" : "article-journal", "volume" : "17" }, "uris" : [ "http://www.mendeley.com/documents/?uuid=ab575b20-fa72-4f71-9cda-8dfefeac6b76" ] } ], "mendeley" : { "formattedCitation" : "(Worrall et al., 2009)", "plainTextFormattedCitation" : "(Worrall et al., 2009)", "previouslyFormattedCitation" : "(Worrall et al., 2009)" }, "properties" : { "noteIndex" : 0 }, "schema" : "https://github.com/citation-style-language/schema/raw/master/csl-citation.json" }</w:instrText>
      </w:r>
      <w:r w:rsidR="004E1716" w:rsidRPr="000E0F90">
        <w:rPr>
          <w:rFonts w:ascii="Arial" w:hAnsi="Arial" w:cs="Arial"/>
          <w:color w:val="000000" w:themeColor="text1"/>
        </w:rPr>
        <w:fldChar w:fldCharType="separate"/>
      </w:r>
      <w:r w:rsidR="004E1716" w:rsidRPr="000E0F90">
        <w:rPr>
          <w:rFonts w:ascii="Arial" w:hAnsi="Arial" w:cs="Arial"/>
          <w:noProof/>
          <w:color w:val="000000" w:themeColor="text1"/>
        </w:rPr>
        <w:t>(Worrall et al., 2009)</w:t>
      </w:r>
      <w:r w:rsidR="004E1716" w:rsidRPr="000E0F90">
        <w:rPr>
          <w:rFonts w:ascii="Arial" w:hAnsi="Arial" w:cs="Arial"/>
          <w:color w:val="000000" w:themeColor="text1"/>
        </w:rPr>
        <w:fldChar w:fldCharType="end"/>
      </w:r>
      <w:r w:rsidR="004E1716" w:rsidRPr="000E0F90">
        <w:rPr>
          <w:rFonts w:ascii="Arial" w:hAnsi="Arial" w:cs="Arial"/>
          <w:color w:val="000000" w:themeColor="text1"/>
        </w:rPr>
        <w:t xml:space="preserve"> y el largo plazo de la actividad en el territorio, desde la exploración hasta el post cierre </w:t>
      </w:r>
      <w:r w:rsidR="004E1716" w:rsidRPr="000E0F90">
        <w:rPr>
          <w:rFonts w:ascii="Arial" w:hAnsi="Arial" w:cs="Arial"/>
          <w:color w:val="000000" w:themeColor="text1"/>
        </w:rPr>
        <w:fldChar w:fldCharType="begin" w:fldLock="1"/>
      </w:r>
      <w:r w:rsidR="004E1716" w:rsidRPr="000E0F90">
        <w:rPr>
          <w:rFonts w:ascii="Arial" w:hAnsi="Arial" w:cs="Arial"/>
          <w:color w:val="000000" w:themeColor="text1"/>
        </w:rPr>
        <w:instrText>ADDIN CSL_CITATION { "citationItems" : [ { "id" : "ITEM-1", "itemData" : { "author" : [ { "dropping-particle" : "", "family" : "Amezaga", "given" : "Jaime M", "non-dropping-particle" : "", "parse-names" : false, "suffix" : "" }, { "dropping-particle" : "", "family" : "Younger", "given" : "Paul L", "non-dropping-particle" : "", "parse-names" : false, "suffix" : "" }, { "dropping-particle" : "", "family" : "U", "given" : "Ricardo Oyarz", "non-dropping-particle" : "", "parse-names" : false, "suffix" : "" }, { "dropping-particle" : "", "family" : "Mayor", "given" : "Universidad", "non-dropping-particle" : "", "parse-names" : false, "suffix" : "" }, { "dropping-particle" : "", "family" : "Andre", "given" : "De San", "non-dropping-particle" : "", "parse-names" : false, "suffix" : "" } ], "id" : "ITEM-1", "issued" : { "date-parts" : [ [ "2011" ] ] }, "page" : "21-26", "title" : "A Rich Vein ? Mining and the Pursuit of Sustainability \u2020", "type" : "article-journal" }, "uris" : [ "http://www.mendeley.com/documents/?uuid=23d694c8-9bfc-4f5f-a048-d902336bb8e3" ] } ], "mendeley" : { "formattedCitation" : "(Amezaga et al., 2011)", "plainTextFormattedCitation" : "(Amezaga et al., 2011)", "previouslyFormattedCitation" : "(Amezaga et al., 2011)" }, "properties" : { "noteIndex" : 0 }, "schema" : "https://github.com/citation-style-language/schema/raw/master/csl-citation.json" }</w:instrText>
      </w:r>
      <w:r w:rsidR="004E1716" w:rsidRPr="000E0F90">
        <w:rPr>
          <w:rFonts w:ascii="Arial" w:hAnsi="Arial" w:cs="Arial"/>
          <w:color w:val="000000" w:themeColor="text1"/>
        </w:rPr>
        <w:fldChar w:fldCharType="separate"/>
      </w:r>
      <w:r w:rsidR="004E1716" w:rsidRPr="000E0F90">
        <w:rPr>
          <w:rFonts w:ascii="Arial" w:hAnsi="Arial" w:cs="Arial"/>
          <w:noProof/>
          <w:color w:val="000000" w:themeColor="text1"/>
        </w:rPr>
        <w:t>(Amezaga et al., 2011)</w:t>
      </w:r>
      <w:r w:rsidR="004E1716" w:rsidRPr="000E0F90">
        <w:rPr>
          <w:rFonts w:ascii="Arial" w:hAnsi="Arial" w:cs="Arial"/>
          <w:color w:val="000000" w:themeColor="text1"/>
        </w:rPr>
        <w:fldChar w:fldCharType="end"/>
      </w:r>
      <w:r w:rsidR="004E1716" w:rsidRPr="000E0F90">
        <w:rPr>
          <w:rFonts w:ascii="Arial" w:hAnsi="Arial" w:cs="Arial"/>
          <w:color w:val="000000" w:themeColor="text1"/>
        </w:rPr>
        <w:t xml:space="preserve">. </w:t>
      </w:r>
      <w:r w:rsidR="003B5613" w:rsidRPr="000E0F90">
        <w:rPr>
          <w:rFonts w:ascii="Arial" w:hAnsi="Arial" w:cs="Arial"/>
          <w:color w:val="000000" w:themeColor="text1"/>
        </w:rPr>
        <w:t>En relación a</w:t>
      </w:r>
      <w:r w:rsidR="00F10A5D" w:rsidRPr="000E0F90">
        <w:rPr>
          <w:rFonts w:ascii="Arial" w:hAnsi="Arial" w:cs="Arial"/>
          <w:color w:val="000000" w:themeColor="text1"/>
        </w:rPr>
        <w:t>l agotamiento progresivo de los minerales</w:t>
      </w:r>
      <w:r w:rsidR="003B5613" w:rsidRPr="000E0F90">
        <w:rPr>
          <w:rFonts w:ascii="Arial" w:hAnsi="Arial" w:cs="Arial"/>
          <w:color w:val="000000" w:themeColor="text1"/>
        </w:rPr>
        <w:t xml:space="preserve">, desde el principio precautorio y adaptativo, </w:t>
      </w:r>
      <w:r w:rsidR="00F10A5D" w:rsidRPr="000E0F90">
        <w:rPr>
          <w:rFonts w:ascii="Arial" w:hAnsi="Arial" w:cs="Arial"/>
          <w:color w:val="000000" w:themeColor="text1"/>
        </w:rPr>
        <w:t xml:space="preserve">se aborda mediante la preservación de la disponibilidad de recursos naturales en el tiempo </w:t>
      </w:r>
      <w:r w:rsidR="00BC358A" w:rsidRPr="000E0F90">
        <w:rPr>
          <w:rFonts w:ascii="Arial" w:hAnsi="Arial" w:cs="Arial"/>
          <w:color w:val="000000" w:themeColor="text1"/>
        </w:rPr>
        <w:t>(</w:t>
      </w:r>
      <w:r w:rsidR="00F10A5D" w:rsidRPr="000E0F90">
        <w:rPr>
          <w:rFonts w:ascii="Arial" w:hAnsi="Arial" w:cs="Arial"/>
          <w:color w:val="000000" w:themeColor="text1"/>
        </w:rPr>
        <w:t>Brandon and Lombardi</w:t>
      </w:r>
      <w:r w:rsidR="00BC358A" w:rsidRPr="000E0F90">
        <w:rPr>
          <w:rFonts w:ascii="Arial" w:hAnsi="Arial" w:cs="Arial"/>
          <w:color w:val="000000" w:themeColor="text1"/>
        </w:rPr>
        <w:t xml:space="preserve">, </w:t>
      </w:r>
      <w:r w:rsidR="00F10A5D" w:rsidRPr="000E0F90">
        <w:rPr>
          <w:rFonts w:ascii="Arial" w:hAnsi="Arial" w:cs="Arial"/>
          <w:color w:val="000000" w:themeColor="text1"/>
        </w:rPr>
        <w:t>2010)</w:t>
      </w:r>
      <w:r w:rsidR="00BC358A" w:rsidRPr="000E0F90">
        <w:rPr>
          <w:rFonts w:ascii="Arial" w:hAnsi="Arial" w:cs="Arial"/>
          <w:color w:val="000000" w:themeColor="text1"/>
        </w:rPr>
        <w:t>.</w:t>
      </w:r>
      <w:r w:rsidR="00F10A5D" w:rsidRPr="000E0F90">
        <w:rPr>
          <w:rFonts w:ascii="Arial" w:hAnsi="Arial" w:cs="Arial"/>
          <w:color w:val="000000" w:themeColor="text1"/>
        </w:rPr>
        <w:t xml:space="preserve"> </w:t>
      </w:r>
    </w:p>
    <w:p w:rsidR="00FB051B" w:rsidRPr="000E0F90" w:rsidRDefault="00F10A5D" w:rsidP="00702D9A">
      <w:pPr>
        <w:spacing w:line="360" w:lineRule="auto"/>
        <w:rPr>
          <w:rFonts w:ascii="Arial" w:hAnsi="Arial" w:cs="Arial"/>
          <w:color w:val="000000" w:themeColor="text1"/>
        </w:rPr>
      </w:pPr>
      <w:r w:rsidRPr="000E0F90">
        <w:rPr>
          <w:rFonts w:ascii="Arial" w:hAnsi="Arial" w:cs="Arial"/>
          <w:color w:val="000000" w:themeColor="text1"/>
        </w:rPr>
        <w:t xml:space="preserve">Aspectos genéricos como </w:t>
      </w:r>
      <w:r w:rsidR="00FB051B" w:rsidRPr="000E0F90">
        <w:rPr>
          <w:rFonts w:ascii="Arial" w:hAnsi="Arial" w:cs="Arial"/>
          <w:color w:val="000000" w:themeColor="text1"/>
        </w:rPr>
        <w:t>los impactos en los sistemas fundacionales ecológicos y sociales de la actividad en los territorios</w:t>
      </w:r>
      <w:r w:rsidRPr="000E0F90">
        <w:rPr>
          <w:rFonts w:ascii="Arial" w:hAnsi="Arial" w:cs="Arial"/>
          <w:color w:val="000000" w:themeColor="text1"/>
        </w:rPr>
        <w:t xml:space="preserve">, </w:t>
      </w:r>
      <w:r w:rsidR="00FB051B" w:rsidRPr="000E0F90">
        <w:rPr>
          <w:rFonts w:ascii="Arial" w:hAnsi="Arial" w:cs="Arial"/>
          <w:color w:val="000000" w:themeColor="text1"/>
        </w:rPr>
        <w:t>preservación de las diversas dimensiones territoriales,</w:t>
      </w:r>
      <w:r w:rsidRPr="000E0F90">
        <w:rPr>
          <w:rFonts w:ascii="Arial" w:hAnsi="Arial" w:cs="Arial"/>
          <w:color w:val="000000" w:themeColor="text1"/>
        </w:rPr>
        <w:t xml:space="preserve"> el establecimiento de límites a las actividades territoriales y monitoreo a los sistemas de soporte</w:t>
      </w:r>
      <w:r w:rsidR="00BC358A" w:rsidRPr="000E0F90">
        <w:rPr>
          <w:rFonts w:ascii="Arial" w:hAnsi="Arial" w:cs="Arial"/>
          <w:color w:val="000000" w:themeColor="text1"/>
        </w:rPr>
        <w:t>,</w:t>
      </w:r>
      <w:r w:rsidRPr="000E0F90">
        <w:rPr>
          <w:rFonts w:ascii="Arial" w:hAnsi="Arial" w:cs="Arial"/>
          <w:color w:val="000000" w:themeColor="text1"/>
        </w:rPr>
        <w:t xml:space="preserve"> se consideraron </w:t>
      </w:r>
      <w:r w:rsidR="00BC358A" w:rsidRPr="000E0F90">
        <w:rPr>
          <w:rFonts w:ascii="Arial" w:hAnsi="Arial" w:cs="Arial"/>
          <w:color w:val="000000" w:themeColor="text1"/>
        </w:rPr>
        <w:t xml:space="preserve">en la propuesta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"10.3152/146155110X12772982841122", "ISSN" : "1461-5517", "abstract" : "Assessments today need to help reverse trends towards deeper unsustainability and address the unavoidable interconnections, feedbacks and uncertainties that typify complex socio-ecological systems at all scales. To illustrate one promising approach, this paper describes a modest effort to integrate understandings from Gibson et al\u2019s approach to sustainability assessment with the Resilience Alliance\u2019s applications of complex systems thinking into a suite of systems and sustainability based criteria. The integrated sustainability\u2013resilience criteria were used to assess an existing small-scale biodiesel operation on Barbados that involves waste management, public health, transportation, energy security and community involvement considerations. The assessment revealed that the main benefit of this biodiesel project is in social learning rather than enhancing energy security and waste management, and the best ways of enhancing the project lie in larger scale policy initiatives. The findings suggest that the use of a sustainability\u2013resilience approach can contribute insights unlikely to emerge from more narrowly focused assessments.", "author" : [ { "dropping-particle" : "", "family" : "Gaudreau", "given" : "Kyrke", "non-dropping-particle" : "", "parse-names" : false, "suffix" : "" }, { "dropping-particle" : "", "family" : "Gibson", "given" : "Robert B.", "non-dropping-particle" : "", "parse-names" : false, "suffix" : "" } ], "container-title" : "Impact Assessment and Project Appraisal", "id" : "ITEM-1", "issue" : "December", "issued" : { "date-parts" : [ [ "2010" ] ] }, "page" : "233-243", "title" : "Illustrating integrated sustainability and resilience based assessments: a small-scale biodiesel project in Barbados", "type" : "article-journal", "volume" : "28" }, "uris" : [ "http://www.mendeley.com/documents/?uuid=fee76635-1433-4c27-9c85-bbbf459c7e59" ] } ], "mendeley" : { "formattedCitation" : "(Gaudreau &amp; Gibson, 2010)", "plainTextFormattedCitation" : "(Gaudreau &amp; Gibson, 2010)", "previouslyFormattedCitation" : "(Gaudreau &amp; Gibson, 2010)"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(Gaudreau &amp; Gibson, 2010)</w:t>
      </w:r>
      <w:r w:rsidRPr="000E0F90">
        <w:rPr>
          <w:rFonts w:ascii="Arial" w:hAnsi="Arial" w:cs="Arial"/>
          <w:color w:val="000000" w:themeColor="text1"/>
        </w:rPr>
        <w:fldChar w:fldCharType="end"/>
      </w:r>
      <w:r w:rsidRPr="000E0F90">
        <w:rPr>
          <w:rFonts w:ascii="Arial" w:hAnsi="Arial" w:cs="Arial"/>
          <w:color w:val="000000" w:themeColor="text1"/>
        </w:rPr>
        <w:t>.</w:t>
      </w:r>
    </w:p>
    <w:p w:rsidR="00351B0C" w:rsidRPr="000E0F90" w:rsidRDefault="00CB09EC" w:rsidP="00A17ADC">
      <w:pPr>
        <w:pStyle w:val="Ttulo2"/>
        <w:spacing w:before="360" w:line="360" w:lineRule="auto"/>
        <w:rPr>
          <w:rFonts w:cs="Arial"/>
        </w:rPr>
      </w:pPr>
      <w:bookmarkStart w:id="31" w:name="_Toc488774920"/>
      <w:r w:rsidRPr="000E0F90">
        <w:rPr>
          <w:rFonts w:cs="Arial"/>
        </w:rPr>
        <w:t>Estudios de caso</w:t>
      </w:r>
      <w:bookmarkEnd w:id="31"/>
      <w:r w:rsidR="00351B0C" w:rsidRPr="000E0F90">
        <w:rPr>
          <w:rFonts w:cs="Arial"/>
        </w:rPr>
        <w:t xml:space="preserve"> </w:t>
      </w:r>
    </w:p>
    <w:p w:rsidR="00317838" w:rsidRPr="000E0F90" w:rsidRDefault="0066661E" w:rsidP="00702D9A">
      <w:pPr>
        <w:spacing w:line="360" w:lineRule="auto"/>
        <w:rPr>
          <w:rFonts w:ascii="Arial" w:hAnsi="Arial" w:cs="Arial"/>
          <w:color w:val="000000" w:themeColor="text1"/>
        </w:rPr>
      </w:pPr>
      <w:r w:rsidRPr="000E0F90">
        <w:rPr>
          <w:rFonts w:ascii="Arial" w:hAnsi="Arial" w:cs="Arial"/>
          <w:color w:val="000000" w:themeColor="text1"/>
        </w:rPr>
        <w:t xml:space="preserve">La caracterización de los territorios bajo estudio mediante los </w:t>
      </w:r>
      <w:r w:rsidR="000F31FE" w:rsidRPr="000E0F90">
        <w:rPr>
          <w:rFonts w:ascii="Arial" w:hAnsi="Arial" w:cs="Arial"/>
          <w:color w:val="000000" w:themeColor="text1"/>
        </w:rPr>
        <w:t xml:space="preserve">Estudios de Caso </w:t>
      </w:r>
      <w:r w:rsidRPr="000E0F90">
        <w:rPr>
          <w:rFonts w:ascii="Arial" w:hAnsi="Arial" w:cs="Arial"/>
          <w:color w:val="000000" w:themeColor="text1"/>
        </w:rPr>
        <w:t>permit</w:t>
      </w:r>
      <w:r w:rsidR="00484656" w:rsidRPr="000E0F90">
        <w:rPr>
          <w:rFonts w:ascii="Arial" w:hAnsi="Arial" w:cs="Arial"/>
          <w:color w:val="000000" w:themeColor="text1"/>
        </w:rPr>
        <w:t>ió</w:t>
      </w:r>
      <w:r w:rsidRPr="000E0F90">
        <w:rPr>
          <w:rFonts w:ascii="Arial" w:hAnsi="Arial" w:cs="Arial"/>
          <w:color w:val="000000" w:themeColor="text1"/>
        </w:rPr>
        <w:t xml:space="preserve"> elaborar un perfil</w:t>
      </w:r>
      <w:r w:rsidR="000F31FE" w:rsidRPr="000E0F90">
        <w:rPr>
          <w:rFonts w:ascii="Arial" w:hAnsi="Arial" w:cs="Arial"/>
          <w:color w:val="000000" w:themeColor="text1"/>
        </w:rPr>
        <w:t xml:space="preserve"> </w:t>
      </w:r>
      <w:r w:rsidR="00317838" w:rsidRPr="000E0F90">
        <w:rPr>
          <w:rFonts w:ascii="Arial" w:hAnsi="Arial" w:cs="Arial"/>
          <w:color w:val="000000" w:themeColor="text1"/>
        </w:rPr>
        <w:t>de cada uno de los territorios</w:t>
      </w:r>
      <w:r w:rsidR="00484656" w:rsidRPr="000E0F90">
        <w:rPr>
          <w:rFonts w:ascii="Arial" w:hAnsi="Arial" w:cs="Arial"/>
          <w:color w:val="000000" w:themeColor="text1"/>
        </w:rPr>
        <w:t xml:space="preserve">, </w:t>
      </w:r>
      <w:r w:rsidRPr="000E0F90">
        <w:rPr>
          <w:rFonts w:ascii="Arial" w:hAnsi="Arial" w:cs="Arial"/>
          <w:color w:val="000000" w:themeColor="text1"/>
        </w:rPr>
        <w:t>identifica</w:t>
      </w:r>
      <w:r w:rsidR="00484656" w:rsidRPr="000E0F90">
        <w:rPr>
          <w:rFonts w:ascii="Arial" w:hAnsi="Arial" w:cs="Arial"/>
          <w:color w:val="000000" w:themeColor="text1"/>
        </w:rPr>
        <w:t>ndo</w:t>
      </w:r>
      <w:r w:rsidRPr="000E0F90">
        <w:rPr>
          <w:rFonts w:ascii="Arial" w:hAnsi="Arial" w:cs="Arial"/>
          <w:color w:val="000000" w:themeColor="text1"/>
        </w:rPr>
        <w:t xml:space="preserve"> elementos </w:t>
      </w:r>
      <w:r w:rsidR="00484656" w:rsidRPr="000E0F90">
        <w:rPr>
          <w:rFonts w:ascii="Arial" w:hAnsi="Arial" w:cs="Arial"/>
          <w:color w:val="000000" w:themeColor="text1"/>
        </w:rPr>
        <w:t xml:space="preserve">comunes y diferenciadores las </w:t>
      </w:r>
      <w:r w:rsidR="00EB25B0" w:rsidRPr="000E0F90">
        <w:rPr>
          <w:rFonts w:ascii="Arial" w:hAnsi="Arial" w:cs="Arial"/>
          <w:color w:val="000000" w:themeColor="text1"/>
        </w:rPr>
        <w:t>cuales</w:t>
      </w:r>
      <w:r w:rsidR="00484656" w:rsidRPr="000E0F90">
        <w:rPr>
          <w:rFonts w:ascii="Arial" w:hAnsi="Arial" w:cs="Arial"/>
          <w:color w:val="000000" w:themeColor="text1"/>
        </w:rPr>
        <w:t xml:space="preserve"> se analizan a continuación</w:t>
      </w:r>
      <w:r w:rsidR="000F31FE" w:rsidRPr="000E0F90">
        <w:rPr>
          <w:rFonts w:ascii="Arial" w:hAnsi="Arial" w:cs="Arial"/>
          <w:color w:val="000000" w:themeColor="text1"/>
        </w:rPr>
        <w:t xml:space="preserve">. </w:t>
      </w:r>
      <w:r w:rsidR="00317838" w:rsidRPr="000E0F90">
        <w:rPr>
          <w:rFonts w:ascii="Arial" w:hAnsi="Arial" w:cs="Arial"/>
          <w:color w:val="000000" w:themeColor="text1"/>
        </w:rPr>
        <w:t>Cabe señalar que la selección de los territorios, intentó incorporar una variabilidad territorial importante, dada por las condiciones biofísicas y sociales de los territorios, así como por la forma de emplazamiento de la actividad minera en cada uno de ellos. Esto con la finalidad de que la mayor cantidad de elementos puedan ser incorporados en la contextualización del marco conceptual</w:t>
      </w:r>
      <w:r w:rsidR="0041342F" w:rsidRPr="000E0F90">
        <w:rPr>
          <w:rFonts w:ascii="Arial" w:hAnsi="Arial" w:cs="Arial"/>
          <w:color w:val="000000" w:themeColor="text1"/>
        </w:rPr>
        <w:t>.</w:t>
      </w:r>
    </w:p>
    <w:p w:rsidR="002F7854" w:rsidRPr="000E0F90" w:rsidRDefault="002F7854" w:rsidP="00702D9A">
      <w:pPr>
        <w:spacing w:after="0" w:line="360" w:lineRule="auto"/>
        <w:rPr>
          <w:rFonts w:ascii="Arial" w:hAnsi="Arial" w:cs="Arial"/>
          <w:color w:val="000000" w:themeColor="text1"/>
          <w:u w:val="single"/>
        </w:rPr>
      </w:pPr>
      <w:r w:rsidRPr="000E0F90">
        <w:rPr>
          <w:rFonts w:ascii="Arial" w:hAnsi="Arial" w:cs="Arial"/>
          <w:color w:val="000000" w:themeColor="text1"/>
          <w:u w:val="single"/>
        </w:rPr>
        <w:t xml:space="preserve">Región de Atacama: </w:t>
      </w:r>
      <w:r w:rsidR="00C94646" w:rsidRPr="000E0F90">
        <w:rPr>
          <w:rFonts w:ascii="Arial" w:hAnsi="Arial" w:cs="Arial"/>
          <w:color w:val="000000" w:themeColor="text1"/>
          <w:u w:val="single"/>
        </w:rPr>
        <w:t xml:space="preserve">Tierra Amarilla y </w:t>
      </w:r>
      <w:r w:rsidR="00FD2542" w:rsidRPr="000E0F90">
        <w:rPr>
          <w:rFonts w:ascii="Arial" w:hAnsi="Arial" w:cs="Arial"/>
          <w:color w:val="000000" w:themeColor="text1"/>
          <w:u w:val="single"/>
        </w:rPr>
        <w:t>A</w:t>
      </w:r>
      <w:r w:rsidR="00C94646" w:rsidRPr="000E0F90">
        <w:rPr>
          <w:rFonts w:ascii="Arial" w:hAnsi="Arial" w:cs="Arial"/>
          <w:color w:val="000000" w:themeColor="text1"/>
          <w:u w:val="single"/>
        </w:rPr>
        <w:t>lto del Carmen</w:t>
      </w:r>
    </w:p>
    <w:p w:rsidR="006E61E4" w:rsidRPr="000E0F90" w:rsidRDefault="00176820" w:rsidP="00702D9A">
      <w:pPr>
        <w:spacing w:line="360" w:lineRule="auto"/>
        <w:rPr>
          <w:rFonts w:ascii="Arial" w:hAnsi="Arial" w:cs="Arial"/>
          <w:color w:val="000000" w:themeColor="text1"/>
        </w:rPr>
      </w:pPr>
      <w:r w:rsidRPr="000E0F90">
        <w:rPr>
          <w:rFonts w:ascii="Arial" w:hAnsi="Arial" w:cs="Arial"/>
          <w:color w:val="000000" w:themeColor="text1"/>
        </w:rPr>
        <w:t xml:space="preserve">Los territorios </w:t>
      </w:r>
      <w:r w:rsidR="00BD1F01" w:rsidRPr="000E0F90">
        <w:rPr>
          <w:rFonts w:ascii="Arial" w:hAnsi="Arial" w:cs="Arial"/>
          <w:color w:val="000000" w:themeColor="text1"/>
        </w:rPr>
        <w:t xml:space="preserve">bajo estudios </w:t>
      </w:r>
      <w:r w:rsidRPr="000E0F90">
        <w:rPr>
          <w:rFonts w:ascii="Arial" w:hAnsi="Arial" w:cs="Arial"/>
          <w:color w:val="000000" w:themeColor="text1"/>
        </w:rPr>
        <w:t>de la región de Atacama, se</w:t>
      </w:r>
      <w:r w:rsidR="006E61E4" w:rsidRPr="000E0F90">
        <w:rPr>
          <w:rFonts w:ascii="Arial" w:hAnsi="Arial" w:cs="Arial"/>
          <w:color w:val="000000" w:themeColor="text1"/>
        </w:rPr>
        <w:t xml:space="preserve"> presentan bastante similitudes en relación a la biogeoestructura, al ubicarse en la zona andina de la región y contiguas en sentido </w:t>
      </w:r>
      <w:r w:rsidR="00A045DB" w:rsidRPr="000E0F90">
        <w:rPr>
          <w:rFonts w:ascii="Arial" w:hAnsi="Arial" w:cs="Arial"/>
          <w:color w:val="000000" w:themeColor="text1"/>
        </w:rPr>
        <w:t>latitudinal. A nivel de socio estructura las diferencias se relacionan</w:t>
      </w:r>
      <w:r w:rsidR="00317838" w:rsidRPr="000E0F90">
        <w:rPr>
          <w:rFonts w:ascii="Arial" w:hAnsi="Arial" w:cs="Arial"/>
          <w:color w:val="000000" w:themeColor="text1"/>
        </w:rPr>
        <w:t xml:space="preserve"> </w:t>
      </w:r>
      <w:r w:rsidR="00317838" w:rsidRPr="000E0F90">
        <w:rPr>
          <w:rFonts w:ascii="Arial" w:hAnsi="Arial" w:cs="Arial"/>
          <w:color w:val="000000" w:themeColor="text1"/>
        </w:rPr>
        <w:lastRenderedPageBreak/>
        <w:t>principalmente</w:t>
      </w:r>
      <w:r w:rsidR="00A045DB" w:rsidRPr="000E0F90">
        <w:rPr>
          <w:rFonts w:ascii="Arial" w:hAnsi="Arial" w:cs="Arial"/>
          <w:color w:val="000000" w:themeColor="text1"/>
        </w:rPr>
        <w:t xml:space="preserve"> con la existencia de operaciones mineras de gran magnitud, además de aspectos identitarios</w:t>
      </w:r>
      <w:r w:rsidR="00317838" w:rsidRPr="000E0F90">
        <w:rPr>
          <w:rFonts w:ascii="Arial" w:hAnsi="Arial" w:cs="Arial"/>
          <w:color w:val="000000" w:themeColor="text1"/>
        </w:rPr>
        <w:t>.</w:t>
      </w:r>
    </w:p>
    <w:p w:rsidR="006933BD" w:rsidRPr="000E0F90" w:rsidRDefault="00A045DB" w:rsidP="00702D9A">
      <w:pPr>
        <w:spacing w:before="120" w:line="360" w:lineRule="auto"/>
        <w:rPr>
          <w:rFonts w:ascii="Arial" w:hAnsi="Arial" w:cs="Arial"/>
          <w:color w:val="000000" w:themeColor="text1"/>
        </w:rPr>
      </w:pPr>
      <w:r w:rsidRPr="000E0F90">
        <w:rPr>
          <w:rFonts w:ascii="Arial" w:hAnsi="Arial" w:cs="Arial"/>
          <w:color w:val="000000" w:themeColor="text1"/>
        </w:rPr>
        <w:t xml:space="preserve">Ambas </w:t>
      </w:r>
      <w:r w:rsidR="00317838" w:rsidRPr="000E0F90">
        <w:rPr>
          <w:rFonts w:ascii="Arial" w:hAnsi="Arial" w:cs="Arial"/>
          <w:color w:val="000000" w:themeColor="text1"/>
        </w:rPr>
        <w:t xml:space="preserve">comunas </w:t>
      </w:r>
      <w:r w:rsidRPr="000E0F90">
        <w:rPr>
          <w:rFonts w:ascii="Arial" w:hAnsi="Arial" w:cs="Arial"/>
          <w:color w:val="000000" w:themeColor="text1"/>
        </w:rPr>
        <w:t>se</w:t>
      </w:r>
      <w:r w:rsidR="00176820" w:rsidRPr="000E0F90">
        <w:rPr>
          <w:rFonts w:ascii="Arial" w:hAnsi="Arial" w:cs="Arial"/>
          <w:color w:val="000000" w:themeColor="text1"/>
        </w:rPr>
        <w:t xml:space="preserve"> caracterizan por presentar condiciones des</w:t>
      </w:r>
      <w:r w:rsidR="00BD1F01" w:rsidRPr="000E0F90">
        <w:rPr>
          <w:rFonts w:ascii="Arial" w:hAnsi="Arial" w:cs="Arial"/>
          <w:color w:val="000000" w:themeColor="text1"/>
        </w:rPr>
        <w:t>érticas</w:t>
      </w:r>
      <w:r w:rsidR="009F3CE1" w:rsidRPr="000E0F90">
        <w:rPr>
          <w:rFonts w:ascii="Arial" w:hAnsi="Arial" w:cs="Arial"/>
          <w:color w:val="000000" w:themeColor="text1"/>
        </w:rPr>
        <w:t xml:space="preserve">, dado </w:t>
      </w:r>
      <w:r w:rsidR="00C94646" w:rsidRPr="000E0F90">
        <w:rPr>
          <w:rFonts w:ascii="Arial" w:hAnsi="Arial" w:cs="Arial"/>
          <w:color w:val="000000" w:themeColor="text1"/>
        </w:rPr>
        <w:t xml:space="preserve">principalmente </w:t>
      </w:r>
      <w:r w:rsidR="009F3CE1" w:rsidRPr="000E0F90">
        <w:rPr>
          <w:rFonts w:ascii="Arial" w:hAnsi="Arial" w:cs="Arial"/>
          <w:color w:val="000000" w:themeColor="text1"/>
        </w:rPr>
        <w:t xml:space="preserve">por </w:t>
      </w:r>
      <w:r w:rsidR="00B53A2F" w:rsidRPr="000E0F90">
        <w:rPr>
          <w:rFonts w:ascii="Arial" w:hAnsi="Arial" w:cs="Arial"/>
          <w:color w:val="000000" w:themeColor="text1"/>
        </w:rPr>
        <w:t>las precipitaciones reducidas</w:t>
      </w:r>
      <w:r w:rsidR="00C94646" w:rsidRPr="000E0F90">
        <w:rPr>
          <w:rFonts w:ascii="Arial" w:hAnsi="Arial" w:cs="Arial"/>
          <w:color w:val="000000" w:themeColor="text1"/>
        </w:rPr>
        <w:t xml:space="preserve"> y temperaturas </w:t>
      </w:r>
      <w:r w:rsidR="0091191D" w:rsidRPr="000E0F90">
        <w:rPr>
          <w:rFonts w:ascii="Arial" w:hAnsi="Arial" w:cs="Arial"/>
          <w:color w:val="000000" w:themeColor="text1"/>
        </w:rPr>
        <w:t>restrictivas</w:t>
      </w:r>
      <w:r w:rsidR="00B53A2F" w:rsidRPr="000E0F90">
        <w:rPr>
          <w:rFonts w:ascii="Arial" w:hAnsi="Arial" w:cs="Arial"/>
          <w:color w:val="000000" w:themeColor="text1"/>
        </w:rPr>
        <w:t xml:space="preserve">, las que se reflejan en el patrón de vegetación </w:t>
      </w:r>
      <w:r w:rsidR="00C94646" w:rsidRPr="000E0F90">
        <w:rPr>
          <w:rFonts w:ascii="Arial" w:hAnsi="Arial" w:cs="Arial"/>
          <w:color w:val="000000" w:themeColor="text1"/>
        </w:rPr>
        <w:t xml:space="preserve">existente. </w:t>
      </w:r>
      <w:r w:rsidR="00FC42A1" w:rsidRPr="000E0F90">
        <w:rPr>
          <w:rFonts w:ascii="Arial" w:hAnsi="Arial" w:cs="Arial"/>
          <w:color w:val="000000" w:themeColor="text1"/>
        </w:rPr>
        <w:t>En cuanto a la geomorfología</w:t>
      </w:r>
      <w:r w:rsidR="003F640F" w:rsidRPr="000E0F90">
        <w:rPr>
          <w:rFonts w:ascii="Arial" w:hAnsi="Arial" w:cs="Arial"/>
          <w:color w:val="000000" w:themeColor="text1"/>
        </w:rPr>
        <w:t xml:space="preserve">, ambos </w:t>
      </w:r>
      <w:r w:rsidR="0087337C" w:rsidRPr="000E0F90">
        <w:rPr>
          <w:rFonts w:ascii="Arial" w:hAnsi="Arial" w:cs="Arial"/>
          <w:color w:val="000000" w:themeColor="text1"/>
        </w:rPr>
        <w:t xml:space="preserve">territorios presentan estructuras comunes como la cordillera andina y sierras </w:t>
      </w:r>
      <w:r w:rsidR="00EB25B0" w:rsidRPr="000E0F90">
        <w:rPr>
          <w:rFonts w:ascii="Arial" w:hAnsi="Arial" w:cs="Arial"/>
          <w:color w:val="000000" w:themeColor="text1"/>
        </w:rPr>
        <w:t>transversales</w:t>
      </w:r>
      <w:r w:rsidR="006933BD" w:rsidRPr="000E0F90">
        <w:rPr>
          <w:rFonts w:ascii="Arial" w:hAnsi="Arial" w:cs="Arial"/>
          <w:color w:val="000000" w:themeColor="text1"/>
        </w:rPr>
        <w:t>, dond</w:t>
      </w:r>
      <w:r w:rsidR="0087337C" w:rsidRPr="000E0F90">
        <w:rPr>
          <w:rFonts w:ascii="Arial" w:hAnsi="Arial" w:cs="Arial"/>
          <w:color w:val="000000" w:themeColor="text1"/>
        </w:rPr>
        <w:t>e</w:t>
      </w:r>
      <w:r w:rsidR="006933BD" w:rsidRPr="000E0F90">
        <w:rPr>
          <w:rFonts w:ascii="Arial" w:hAnsi="Arial" w:cs="Arial"/>
          <w:color w:val="000000" w:themeColor="text1"/>
        </w:rPr>
        <w:t xml:space="preserve"> se ubican los valles de los ríos principales. La hidroestructura de dichos territorios presenta similitudes, puesto que ambas comunas se encuentran en la zona </w:t>
      </w:r>
      <w:r w:rsidR="00EB25B0" w:rsidRPr="000E0F90">
        <w:rPr>
          <w:rFonts w:ascii="Arial" w:hAnsi="Arial" w:cs="Arial"/>
          <w:color w:val="000000" w:themeColor="text1"/>
        </w:rPr>
        <w:t>andina</w:t>
      </w:r>
      <w:r w:rsidR="006933BD" w:rsidRPr="000E0F90">
        <w:rPr>
          <w:rFonts w:ascii="Arial" w:hAnsi="Arial" w:cs="Arial"/>
          <w:color w:val="000000" w:themeColor="text1"/>
        </w:rPr>
        <w:t xml:space="preserve"> de la región, ubicadas en la </w:t>
      </w:r>
      <w:r w:rsidR="00FD2542" w:rsidRPr="000E0F90">
        <w:rPr>
          <w:rFonts w:ascii="Arial" w:hAnsi="Arial" w:cs="Arial"/>
          <w:color w:val="000000" w:themeColor="text1"/>
        </w:rPr>
        <w:t xml:space="preserve">cabecera de </w:t>
      </w:r>
      <w:r w:rsidR="006933BD" w:rsidRPr="000E0F90">
        <w:rPr>
          <w:rFonts w:ascii="Arial" w:hAnsi="Arial" w:cs="Arial"/>
          <w:color w:val="000000" w:themeColor="text1"/>
        </w:rPr>
        <w:t xml:space="preserve">cuenca de los ríos, Copiapó y Huasco, en Tierra Amarilla y Alto del Carmen, respectivamente. </w:t>
      </w:r>
    </w:p>
    <w:p w:rsidR="003662F6" w:rsidRPr="000E0F90" w:rsidRDefault="006933BD" w:rsidP="00702D9A">
      <w:pPr>
        <w:spacing w:line="360" w:lineRule="auto"/>
        <w:rPr>
          <w:rFonts w:ascii="Arial" w:hAnsi="Arial" w:cs="Arial"/>
          <w:color w:val="000000" w:themeColor="text1"/>
        </w:rPr>
      </w:pPr>
      <w:r w:rsidRPr="000E0F90">
        <w:rPr>
          <w:rFonts w:ascii="Arial" w:hAnsi="Arial" w:cs="Arial"/>
          <w:color w:val="000000" w:themeColor="text1"/>
        </w:rPr>
        <w:t xml:space="preserve">En cuanto a la capacidad de uso </w:t>
      </w:r>
      <w:r w:rsidR="00FC42A1" w:rsidRPr="000E0F90">
        <w:rPr>
          <w:rFonts w:ascii="Arial" w:hAnsi="Arial" w:cs="Arial"/>
          <w:color w:val="000000" w:themeColor="text1"/>
        </w:rPr>
        <w:t xml:space="preserve">de suelo, producto </w:t>
      </w:r>
      <w:r w:rsidR="003662F6" w:rsidRPr="000E0F90">
        <w:rPr>
          <w:rFonts w:ascii="Arial" w:hAnsi="Arial" w:cs="Arial"/>
          <w:color w:val="000000" w:themeColor="text1"/>
        </w:rPr>
        <w:t>del encajonamiento de los ríos sumado</w:t>
      </w:r>
      <w:r w:rsidR="00FC42A1" w:rsidRPr="000E0F90">
        <w:rPr>
          <w:rFonts w:ascii="Arial" w:hAnsi="Arial" w:cs="Arial"/>
          <w:color w:val="000000" w:themeColor="text1"/>
        </w:rPr>
        <w:t xml:space="preserve"> a las condiciones climáticas extremas, </w:t>
      </w:r>
      <w:r w:rsidR="003662F6" w:rsidRPr="000E0F90">
        <w:rPr>
          <w:rFonts w:ascii="Arial" w:hAnsi="Arial" w:cs="Arial"/>
          <w:color w:val="000000" w:themeColor="text1"/>
        </w:rPr>
        <w:t xml:space="preserve">existen reducidas superficies </w:t>
      </w:r>
      <w:r w:rsidR="00955669" w:rsidRPr="000E0F90">
        <w:rPr>
          <w:rFonts w:ascii="Arial" w:hAnsi="Arial" w:cs="Arial"/>
          <w:color w:val="000000" w:themeColor="text1"/>
        </w:rPr>
        <w:t xml:space="preserve">aptas </w:t>
      </w:r>
      <w:r w:rsidR="003662F6" w:rsidRPr="000E0F90">
        <w:rPr>
          <w:rFonts w:ascii="Arial" w:hAnsi="Arial" w:cs="Arial"/>
          <w:color w:val="000000" w:themeColor="text1"/>
        </w:rPr>
        <w:t xml:space="preserve">para </w:t>
      </w:r>
      <w:r w:rsidR="00955669" w:rsidRPr="000E0F90">
        <w:rPr>
          <w:rFonts w:ascii="Arial" w:hAnsi="Arial" w:cs="Arial"/>
          <w:color w:val="000000" w:themeColor="text1"/>
        </w:rPr>
        <w:t xml:space="preserve">la </w:t>
      </w:r>
      <w:r w:rsidR="003662F6" w:rsidRPr="000E0F90">
        <w:rPr>
          <w:rFonts w:ascii="Arial" w:hAnsi="Arial" w:cs="Arial"/>
          <w:color w:val="000000" w:themeColor="text1"/>
        </w:rPr>
        <w:t>agricultura, desarroll</w:t>
      </w:r>
      <w:r w:rsidR="00536B5B" w:rsidRPr="000E0F90">
        <w:rPr>
          <w:rFonts w:ascii="Arial" w:hAnsi="Arial" w:cs="Arial"/>
          <w:color w:val="000000" w:themeColor="text1"/>
        </w:rPr>
        <w:t xml:space="preserve">ándose </w:t>
      </w:r>
      <w:r w:rsidR="003662F6" w:rsidRPr="000E0F90">
        <w:rPr>
          <w:rFonts w:ascii="Arial" w:hAnsi="Arial" w:cs="Arial"/>
          <w:color w:val="000000" w:themeColor="text1"/>
        </w:rPr>
        <w:t>mayoritariamente</w:t>
      </w:r>
      <w:r w:rsidR="009D753B" w:rsidRPr="000E0F90">
        <w:rPr>
          <w:rFonts w:ascii="Arial" w:hAnsi="Arial" w:cs="Arial"/>
          <w:color w:val="000000" w:themeColor="text1"/>
        </w:rPr>
        <w:t xml:space="preserve"> en terrazas fluviales a lo largo de los principales cursos de agua de las comunas. </w:t>
      </w:r>
      <w:r w:rsidR="0041342F" w:rsidRPr="000E0F90">
        <w:rPr>
          <w:rFonts w:ascii="Arial" w:hAnsi="Arial" w:cs="Arial"/>
          <w:color w:val="000000" w:themeColor="text1"/>
        </w:rPr>
        <w:t>En ambo</w:t>
      </w:r>
      <w:r w:rsidR="00146935" w:rsidRPr="000E0F90">
        <w:rPr>
          <w:rFonts w:ascii="Arial" w:hAnsi="Arial" w:cs="Arial"/>
          <w:color w:val="000000" w:themeColor="text1"/>
        </w:rPr>
        <w:t xml:space="preserve">s </w:t>
      </w:r>
      <w:r w:rsidR="0041342F" w:rsidRPr="000E0F90">
        <w:rPr>
          <w:rFonts w:ascii="Arial" w:hAnsi="Arial" w:cs="Arial"/>
          <w:color w:val="000000" w:themeColor="text1"/>
        </w:rPr>
        <w:t>territorios,</w:t>
      </w:r>
      <w:r w:rsidR="00146935" w:rsidRPr="000E0F90">
        <w:rPr>
          <w:rFonts w:ascii="Arial" w:hAnsi="Arial" w:cs="Arial"/>
          <w:color w:val="000000" w:themeColor="text1"/>
        </w:rPr>
        <w:t xml:space="preserve"> s</w:t>
      </w:r>
      <w:r w:rsidR="009D753B" w:rsidRPr="000E0F90">
        <w:rPr>
          <w:rFonts w:ascii="Arial" w:hAnsi="Arial" w:cs="Arial"/>
          <w:color w:val="000000" w:themeColor="text1"/>
        </w:rPr>
        <w:t>e desarrolla preferentemente</w:t>
      </w:r>
      <w:r w:rsidR="003662F6" w:rsidRPr="000E0F90">
        <w:rPr>
          <w:rFonts w:ascii="Arial" w:hAnsi="Arial" w:cs="Arial"/>
          <w:color w:val="000000" w:themeColor="text1"/>
        </w:rPr>
        <w:t xml:space="preserve"> agricultura tradicional de subsistencia y ganadería trashumante</w:t>
      </w:r>
      <w:r w:rsidR="00536B5B" w:rsidRPr="000E0F90">
        <w:rPr>
          <w:rFonts w:ascii="Arial" w:hAnsi="Arial" w:cs="Arial"/>
          <w:color w:val="000000" w:themeColor="text1"/>
        </w:rPr>
        <w:t>, en forma histórica en ambos territorios</w:t>
      </w:r>
      <w:r w:rsidR="003662F6" w:rsidRPr="000E0F90">
        <w:rPr>
          <w:rFonts w:ascii="Arial" w:hAnsi="Arial" w:cs="Arial"/>
          <w:color w:val="000000" w:themeColor="text1"/>
        </w:rPr>
        <w:t xml:space="preserve">. Sin embargo, </w:t>
      </w:r>
      <w:r w:rsidR="009D753B" w:rsidRPr="000E0F90">
        <w:rPr>
          <w:rFonts w:ascii="Arial" w:hAnsi="Arial" w:cs="Arial"/>
          <w:color w:val="000000" w:themeColor="text1"/>
        </w:rPr>
        <w:t xml:space="preserve">en el último tiempo se ha instalado </w:t>
      </w:r>
      <w:r w:rsidR="003662F6" w:rsidRPr="000E0F90">
        <w:rPr>
          <w:rFonts w:ascii="Arial" w:hAnsi="Arial" w:cs="Arial"/>
          <w:color w:val="000000" w:themeColor="text1"/>
        </w:rPr>
        <w:t>la actividad agrícola en forma más intensa, en zonas próximas a ríos y afluentes</w:t>
      </w:r>
      <w:r w:rsidR="00146935" w:rsidRPr="000E0F90">
        <w:rPr>
          <w:rFonts w:ascii="Arial" w:hAnsi="Arial" w:cs="Arial"/>
          <w:color w:val="000000" w:themeColor="text1"/>
        </w:rPr>
        <w:t>.</w:t>
      </w:r>
    </w:p>
    <w:p w:rsidR="00536B5B" w:rsidRPr="000E0F90" w:rsidRDefault="00955669" w:rsidP="00702D9A">
      <w:pPr>
        <w:spacing w:line="360" w:lineRule="auto"/>
        <w:rPr>
          <w:rFonts w:ascii="Arial" w:hAnsi="Arial" w:cs="Arial"/>
          <w:color w:val="000000" w:themeColor="text1"/>
        </w:rPr>
      </w:pPr>
      <w:r w:rsidRPr="000E0F90">
        <w:rPr>
          <w:rFonts w:ascii="Arial" w:hAnsi="Arial" w:cs="Arial"/>
          <w:color w:val="000000" w:themeColor="text1"/>
        </w:rPr>
        <w:t>En cuanto a la actividad minera, e</w:t>
      </w:r>
      <w:r w:rsidR="00536B5B" w:rsidRPr="000E0F90">
        <w:rPr>
          <w:rFonts w:ascii="Arial" w:hAnsi="Arial" w:cs="Arial"/>
          <w:color w:val="000000" w:themeColor="text1"/>
        </w:rPr>
        <w:t xml:space="preserve">n Tierra Amarilla se realiza la extracción cobre y oro, y hierro en forma secundaria, además de otros productos de minería no metálica, como caliza. Tierra Amarilla se ha caracterizado por desarrollo histórico de la minería, lo cual se ha extendido a la actualidad, existiendo en el territorio pequeña, mediana y gran minería, actividad ha impulsado el patrón de asentamiento de la comuna. En Alto del Carmen se explotan yacimientos de oro, cobre y mármol, con un escaso nivel de desarrollo, existiendo </w:t>
      </w:r>
      <w:r w:rsidR="009D753B" w:rsidRPr="000E0F90">
        <w:rPr>
          <w:rFonts w:ascii="Arial" w:hAnsi="Arial" w:cs="Arial"/>
          <w:color w:val="000000" w:themeColor="text1"/>
        </w:rPr>
        <w:t xml:space="preserve">sólo </w:t>
      </w:r>
      <w:r w:rsidR="00536B5B" w:rsidRPr="000E0F90">
        <w:rPr>
          <w:rFonts w:ascii="Arial" w:hAnsi="Arial" w:cs="Arial"/>
          <w:color w:val="000000" w:themeColor="text1"/>
        </w:rPr>
        <w:t>proyectos de desarrollo minero de gran envergadura, como Pascua Lama y El Indio.</w:t>
      </w:r>
      <w:r w:rsidR="00FD2542" w:rsidRPr="000E0F90">
        <w:rPr>
          <w:rFonts w:ascii="Arial" w:hAnsi="Arial" w:cs="Arial"/>
          <w:color w:val="000000" w:themeColor="text1"/>
        </w:rPr>
        <w:t xml:space="preserve"> Siendo el principal patrón de asentamiento la agricultura.</w:t>
      </w:r>
    </w:p>
    <w:p w:rsidR="00867F0E" w:rsidRPr="000E0F90" w:rsidRDefault="00867F0E" w:rsidP="00702D9A">
      <w:pPr>
        <w:spacing w:line="360" w:lineRule="auto"/>
        <w:rPr>
          <w:rFonts w:ascii="Arial" w:hAnsi="Arial" w:cs="Arial"/>
          <w:color w:val="000000" w:themeColor="text1"/>
        </w:rPr>
      </w:pPr>
      <w:r w:rsidRPr="000E0F90">
        <w:rPr>
          <w:rFonts w:ascii="Arial" w:hAnsi="Arial" w:cs="Arial"/>
          <w:color w:val="000000" w:themeColor="text1"/>
        </w:rPr>
        <w:t xml:space="preserve">Cabe señalar que las operaciones mineras y el desarrollo de la agricultura intensiva en ambos territorios ha provocado una tendencia a la escasez hídrica en los territorios, a lo cual se suma la reducida implementación de estrategias de eficiencia hídrica, tanto de los sectores agrícolas como el consumo humano, lo que puede amenazar poderosamente el desarrollo local y por tanto la subsistencia de los territorios. A esta situación se le agrega la ubicación de las comunas en la cabecera de la cuenca, lo que </w:t>
      </w:r>
      <w:r w:rsidRPr="000E0F90">
        <w:rPr>
          <w:rFonts w:ascii="Arial" w:hAnsi="Arial" w:cs="Arial"/>
          <w:color w:val="000000" w:themeColor="text1"/>
        </w:rPr>
        <w:lastRenderedPageBreak/>
        <w:t>podría afectar la disponibilidad hídrica de los territorios ubicados en zonas medias y bajas de la cuenca.</w:t>
      </w:r>
    </w:p>
    <w:p w:rsidR="00955669" w:rsidRPr="000E0F90" w:rsidRDefault="00955669" w:rsidP="00702D9A">
      <w:pPr>
        <w:spacing w:line="360" w:lineRule="auto"/>
        <w:rPr>
          <w:rFonts w:ascii="Arial" w:hAnsi="Arial" w:cs="Arial"/>
          <w:color w:val="000000" w:themeColor="text1"/>
        </w:rPr>
      </w:pPr>
      <w:r w:rsidRPr="000E0F90">
        <w:rPr>
          <w:rFonts w:ascii="Arial" w:hAnsi="Arial" w:cs="Arial"/>
          <w:color w:val="000000" w:themeColor="text1"/>
        </w:rPr>
        <w:t xml:space="preserve">Respecto a la contribución a la economía local, en Tierra Amarilla, la actividad agrícola contribuye predominantemente a la economía local, dada por una dotación importante de empresas del rubro y por la provisión de la mayor proporción de empleos en la comuna. </w:t>
      </w:r>
      <w:r w:rsidR="00146935" w:rsidRPr="000E0F90">
        <w:rPr>
          <w:rFonts w:ascii="Arial" w:hAnsi="Arial" w:cs="Arial"/>
          <w:color w:val="000000" w:themeColor="text1"/>
        </w:rPr>
        <w:t>A diferencia de lo que ocurre con el sector minero, donde existe una dotación significativa de faenas mineras, sin embargo la actividad contribuye mínimamente al desarrollo local mediante la provisión de empleo</w:t>
      </w:r>
      <w:r w:rsidR="00A045DB" w:rsidRPr="000E0F90">
        <w:rPr>
          <w:rFonts w:ascii="Arial" w:hAnsi="Arial" w:cs="Arial"/>
          <w:color w:val="000000" w:themeColor="text1"/>
        </w:rPr>
        <w:t>, l</w:t>
      </w:r>
      <w:r w:rsidR="00146935" w:rsidRPr="000E0F90">
        <w:rPr>
          <w:rFonts w:ascii="Arial" w:hAnsi="Arial" w:cs="Arial"/>
          <w:color w:val="000000" w:themeColor="text1"/>
        </w:rPr>
        <w:t xml:space="preserve">o que repercute fuertemente en las condiciones socioeconómicas </w:t>
      </w:r>
      <w:r w:rsidR="0041342F" w:rsidRPr="000E0F90">
        <w:rPr>
          <w:rFonts w:ascii="Arial" w:hAnsi="Arial" w:cs="Arial"/>
          <w:color w:val="000000" w:themeColor="text1"/>
        </w:rPr>
        <w:t>locales</w:t>
      </w:r>
      <w:r w:rsidR="00146935" w:rsidRPr="000E0F90">
        <w:rPr>
          <w:rFonts w:ascii="Arial" w:hAnsi="Arial" w:cs="Arial"/>
          <w:color w:val="000000" w:themeColor="text1"/>
        </w:rPr>
        <w:t>. En</w:t>
      </w:r>
      <w:r w:rsidRPr="000E0F90">
        <w:rPr>
          <w:rFonts w:ascii="Arial" w:hAnsi="Arial" w:cs="Arial"/>
          <w:color w:val="000000" w:themeColor="text1"/>
        </w:rPr>
        <w:t xml:space="preserve"> la comuna de Alto del Carmen, en tanto, la actividad agrícola es la de mayor importancia tanto en la cantidad de empresas como en el número de trabajadores locales que contrata. </w:t>
      </w:r>
      <w:r w:rsidR="00146935" w:rsidRPr="000E0F90">
        <w:rPr>
          <w:rFonts w:ascii="Arial" w:hAnsi="Arial" w:cs="Arial"/>
          <w:color w:val="000000" w:themeColor="text1"/>
        </w:rPr>
        <w:t>La minería en tanto, dado que se realiza en forma marginal, la dotación de empleo comunal es insignificante.</w:t>
      </w:r>
    </w:p>
    <w:p w:rsidR="00146935" w:rsidRPr="000E0F90" w:rsidRDefault="00146935" w:rsidP="00702D9A">
      <w:pPr>
        <w:spacing w:line="360" w:lineRule="auto"/>
        <w:rPr>
          <w:rFonts w:ascii="Arial" w:hAnsi="Arial" w:cs="Arial"/>
          <w:color w:val="000000" w:themeColor="text1"/>
        </w:rPr>
      </w:pPr>
      <w:r w:rsidRPr="000E0F90">
        <w:rPr>
          <w:rFonts w:ascii="Arial" w:hAnsi="Arial" w:cs="Arial"/>
          <w:color w:val="000000" w:themeColor="text1"/>
        </w:rPr>
        <w:t>Respecto a las condiciones socioeconómicas de Tierra Amarilla y Alto del Carmen, se evidencia un escaso desarrollo local, con limitadas oportunidades de empleo, además de una baja provisión de servicios públicos (i.e. salud, educación) y complementarios; así como infraestructura para el ocio y esparcimiento. Lo cual se explica en parte, producto de la reducida diversificación de actividades productivas, siendo la principal fuente laboral de ambos territorios las actividades silvoagropecuarias, con precarias condiciones laborales que dificultan un mejoramiento socioeconómico local relevante.</w:t>
      </w:r>
      <w:r w:rsidR="006E61E4" w:rsidRPr="000E0F90">
        <w:rPr>
          <w:rFonts w:ascii="Arial" w:hAnsi="Arial" w:cs="Arial"/>
          <w:color w:val="000000" w:themeColor="text1"/>
        </w:rPr>
        <w:t xml:space="preserve"> </w:t>
      </w:r>
      <w:r w:rsidRPr="000E0F90">
        <w:rPr>
          <w:rFonts w:ascii="Arial" w:hAnsi="Arial" w:cs="Arial"/>
          <w:color w:val="000000" w:themeColor="text1"/>
        </w:rPr>
        <w:t xml:space="preserve">Cabe señalar que en ambas comunas existen oportunidades de desarrollo local inexplotadas, dado por la diversificación de actividades productivas, como el fomento del turismo local y servicios asociados (i.e. minero, astronómico, rural, indígena, entre otros). Las cuales podrían contribuir al desarrollo local. </w:t>
      </w:r>
    </w:p>
    <w:p w:rsidR="006E61E4" w:rsidRPr="000E0F90" w:rsidRDefault="000F32AA" w:rsidP="00702D9A">
      <w:pPr>
        <w:spacing w:line="360" w:lineRule="auto"/>
        <w:rPr>
          <w:rFonts w:ascii="Arial" w:hAnsi="Arial" w:cs="Arial"/>
          <w:color w:val="000000" w:themeColor="text1"/>
        </w:rPr>
      </w:pPr>
      <w:r w:rsidRPr="000E0F90">
        <w:rPr>
          <w:rFonts w:ascii="Arial" w:hAnsi="Arial" w:cs="Arial"/>
          <w:color w:val="000000" w:themeColor="text1"/>
        </w:rPr>
        <w:t xml:space="preserve">A partir de lo anterior se puede establecer que Tierra </w:t>
      </w:r>
      <w:r w:rsidR="00EB25B0" w:rsidRPr="000E0F90">
        <w:rPr>
          <w:rFonts w:ascii="Arial" w:hAnsi="Arial" w:cs="Arial"/>
          <w:color w:val="000000" w:themeColor="text1"/>
        </w:rPr>
        <w:t>Amarilla</w:t>
      </w:r>
      <w:r w:rsidRPr="000E0F90">
        <w:rPr>
          <w:rFonts w:ascii="Arial" w:hAnsi="Arial" w:cs="Arial"/>
          <w:color w:val="000000" w:themeColor="text1"/>
        </w:rPr>
        <w:t xml:space="preserve"> presenta una orientación productiva minera</w:t>
      </w:r>
      <w:r w:rsidR="00955669" w:rsidRPr="000E0F90">
        <w:rPr>
          <w:rFonts w:ascii="Arial" w:hAnsi="Arial" w:cs="Arial"/>
          <w:color w:val="000000" w:themeColor="text1"/>
        </w:rPr>
        <w:t xml:space="preserve"> y agrícola</w:t>
      </w:r>
      <w:r w:rsidRPr="000E0F90">
        <w:rPr>
          <w:rFonts w:ascii="Arial" w:hAnsi="Arial" w:cs="Arial"/>
          <w:color w:val="000000" w:themeColor="text1"/>
        </w:rPr>
        <w:t xml:space="preserve">, </w:t>
      </w:r>
      <w:r w:rsidR="006E61E4" w:rsidRPr="000E0F90">
        <w:rPr>
          <w:rFonts w:ascii="Arial" w:hAnsi="Arial" w:cs="Arial"/>
          <w:color w:val="000000" w:themeColor="text1"/>
        </w:rPr>
        <w:t xml:space="preserve">sin embargo, esta orientación no se traduce en una </w:t>
      </w:r>
      <w:r w:rsidR="00867F0E" w:rsidRPr="000E0F90">
        <w:rPr>
          <w:rFonts w:ascii="Arial" w:hAnsi="Arial" w:cs="Arial"/>
          <w:color w:val="000000" w:themeColor="text1"/>
        </w:rPr>
        <w:t xml:space="preserve">fuerte </w:t>
      </w:r>
      <w:r w:rsidR="006E61E4" w:rsidRPr="000E0F90">
        <w:rPr>
          <w:rFonts w:ascii="Arial" w:hAnsi="Arial" w:cs="Arial"/>
          <w:color w:val="000000" w:themeColor="text1"/>
        </w:rPr>
        <w:t xml:space="preserve">vinculación con el territorio, específicamente </w:t>
      </w:r>
      <w:r w:rsidR="00317838" w:rsidRPr="000E0F90">
        <w:rPr>
          <w:rFonts w:ascii="Arial" w:hAnsi="Arial" w:cs="Arial"/>
          <w:color w:val="000000" w:themeColor="text1"/>
        </w:rPr>
        <w:t xml:space="preserve">para el caso de la minería.  A </w:t>
      </w:r>
      <w:r w:rsidR="006E61E4" w:rsidRPr="000E0F90">
        <w:rPr>
          <w:rFonts w:ascii="Arial" w:hAnsi="Arial" w:cs="Arial"/>
          <w:color w:val="000000" w:themeColor="text1"/>
        </w:rPr>
        <w:t>diferencia de lo identificado en Alto del Carmen, comuna con una orientación fuertemente agrícola</w:t>
      </w:r>
      <w:r w:rsidR="00317838" w:rsidRPr="000E0F90">
        <w:rPr>
          <w:rFonts w:ascii="Arial" w:hAnsi="Arial" w:cs="Arial"/>
          <w:color w:val="000000" w:themeColor="text1"/>
        </w:rPr>
        <w:t xml:space="preserve">. </w:t>
      </w:r>
      <w:r w:rsidR="006E61E4" w:rsidRPr="000E0F90">
        <w:rPr>
          <w:rFonts w:ascii="Arial" w:hAnsi="Arial" w:cs="Arial"/>
          <w:color w:val="000000" w:themeColor="text1"/>
        </w:rPr>
        <w:t xml:space="preserve">Cabe señalar que en la comuna de Alto del Carmen el legado indígena se preserva entre los habitantes de la comuna, desarrollándose organizaciones indígenas locales que contribuyen fuertemente a la identidad local. </w:t>
      </w:r>
    </w:p>
    <w:p w:rsidR="000F32AA" w:rsidRPr="000E0F90" w:rsidRDefault="000F32AA" w:rsidP="00702D9A">
      <w:pPr>
        <w:spacing w:line="360" w:lineRule="auto"/>
        <w:rPr>
          <w:rFonts w:ascii="Arial" w:hAnsi="Arial" w:cs="Arial"/>
          <w:color w:val="000000" w:themeColor="text1"/>
        </w:rPr>
      </w:pPr>
      <w:r w:rsidRPr="000E0F90">
        <w:rPr>
          <w:rFonts w:ascii="Arial" w:hAnsi="Arial" w:cs="Arial"/>
          <w:color w:val="000000" w:themeColor="text1"/>
        </w:rPr>
        <w:lastRenderedPageBreak/>
        <w:t xml:space="preserve">Otro aspecto que es considerado </w:t>
      </w:r>
      <w:r w:rsidR="00A045DB" w:rsidRPr="000E0F90">
        <w:rPr>
          <w:rFonts w:ascii="Arial" w:hAnsi="Arial" w:cs="Arial"/>
          <w:color w:val="000000" w:themeColor="text1"/>
        </w:rPr>
        <w:t>relevante</w:t>
      </w:r>
      <w:r w:rsidR="00317838" w:rsidRPr="000E0F90">
        <w:rPr>
          <w:rFonts w:ascii="Arial" w:hAnsi="Arial" w:cs="Arial"/>
          <w:color w:val="000000" w:themeColor="text1"/>
        </w:rPr>
        <w:t xml:space="preserve"> y diferenciador</w:t>
      </w:r>
      <w:r w:rsidRPr="000E0F90">
        <w:rPr>
          <w:rFonts w:ascii="Arial" w:hAnsi="Arial" w:cs="Arial"/>
          <w:color w:val="000000" w:themeColor="text1"/>
        </w:rPr>
        <w:t xml:space="preserve"> es el elevado nivel de contaminación de Tierra Amarilla, existiendo </w:t>
      </w:r>
      <w:r w:rsidR="007F27D6" w:rsidRPr="000E0F90">
        <w:rPr>
          <w:rFonts w:ascii="Arial" w:hAnsi="Arial" w:cs="Arial"/>
          <w:color w:val="000000" w:themeColor="text1"/>
        </w:rPr>
        <w:t xml:space="preserve">efectos en los recursos hídricos, edáficos y atmosféricos, que afectan </w:t>
      </w:r>
      <w:r w:rsidR="006F30FF" w:rsidRPr="000E0F90">
        <w:rPr>
          <w:rFonts w:ascii="Arial" w:hAnsi="Arial" w:cs="Arial"/>
          <w:color w:val="000000" w:themeColor="text1"/>
        </w:rPr>
        <w:t xml:space="preserve">a la salud humana como </w:t>
      </w:r>
      <w:r w:rsidR="007F27D6" w:rsidRPr="000E0F90">
        <w:rPr>
          <w:rFonts w:ascii="Arial" w:hAnsi="Arial" w:cs="Arial"/>
          <w:color w:val="000000" w:themeColor="text1"/>
        </w:rPr>
        <w:t>al desarrollo de otros sistemas productivos</w:t>
      </w:r>
      <w:r w:rsidR="006F30FF" w:rsidRPr="000E0F90">
        <w:rPr>
          <w:rFonts w:ascii="Arial" w:hAnsi="Arial" w:cs="Arial"/>
          <w:color w:val="000000" w:themeColor="text1"/>
        </w:rPr>
        <w:t xml:space="preserve">, </w:t>
      </w:r>
      <w:r w:rsidR="007F27D6" w:rsidRPr="000E0F90">
        <w:rPr>
          <w:rFonts w:ascii="Arial" w:hAnsi="Arial" w:cs="Arial"/>
          <w:color w:val="000000" w:themeColor="text1"/>
        </w:rPr>
        <w:t xml:space="preserve">puesto que no son mitigados en forma efectiva. Efectos que en parte provienen de los </w:t>
      </w:r>
      <w:r w:rsidR="0041342F" w:rsidRPr="000E0F90">
        <w:rPr>
          <w:rFonts w:ascii="Arial" w:hAnsi="Arial" w:cs="Arial"/>
          <w:color w:val="000000" w:themeColor="text1"/>
        </w:rPr>
        <w:t>impactos</w:t>
      </w:r>
      <w:r w:rsidR="007F27D6" w:rsidRPr="000E0F90">
        <w:rPr>
          <w:rFonts w:ascii="Arial" w:hAnsi="Arial" w:cs="Arial"/>
          <w:color w:val="000000" w:themeColor="text1"/>
        </w:rPr>
        <w:t xml:space="preserve"> de legado de la minería desarrollada en el siglo XIX</w:t>
      </w:r>
      <w:r w:rsidR="00867F0E" w:rsidRPr="000E0F90">
        <w:rPr>
          <w:rFonts w:ascii="Arial" w:hAnsi="Arial" w:cs="Arial"/>
          <w:color w:val="000000" w:themeColor="text1"/>
        </w:rPr>
        <w:t>.</w:t>
      </w:r>
      <w:r w:rsidR="007F27D6" w:rsidRPr="000E0F90">
        <w:rPr>
          <w:rFonts w:ascii="Arial" w:hAnsi="Arial" w:cs="Arial"/>
          <w:color w:val="000000" w:themeColor="text1"/>
        </w:rPr>
        <w:t xml:space="preserve"> Esta situación, no se evidencia en la comuna de Alto del Carmen, puesto que la minería que se desarrolla en la comuna es de baja escala, sin embargo se ha generado preocupación por la llegada de mega proyectos </w:t>
      </w:r>
      <w:r w:rsidR="00EB25B0" w:rsidRPr="000E0F90">
        <w:rPr>
          <w:rFonts w:ascii="Arial" w:hAnsi="Arial" w:cs="Arial"/>
          <w:color w:val="000000" w:themeColor="text1"/>
        </w:rPr>
        <w:t>mineros</w:t>
      </w:r>
      <w:r w:rsidR="007F27D6" w:rsidRPr="000E0F90">
        <w:rPr>
          <w:rFonts w:ascii="Arial" w:hAnsi="Arial" w:cs="Arial"/>
          <w:color w:val="000000" w:themeColor="text1"/>
        </w:rPr>
        <w:t xml:space="preserve">, respecto a los efectos en el medioambiente. </w:t>
      </w:r>
    </w:p>
    <w:p w:rsidR="00C94646" w:rsidRPr="000E0F90" w:rsidRDefault="00C94646" w:rsidP="00702D9A">
      <w:pPr>
        <w:spacing w:before="240" w:after="0" w:line="360" w:lineRule="auto"/>
        <w:rPr>
          <w:rFonts w:ascii="Arial" w:hAnsi="Arial" w:cs="Arial"/>
          <w:color w:val="000000" w:themeColor="text1"/>
          <w:u w:val="single"/>
        </w:rPr>
      </w:pPr>
      <w:r w:rsidRPr="000E0F90">
        <w:rPr>
          <w:rFonts w:ascii="Arial" w:hAnsi="Arial" w:cs="Arial"/>
          <w:color w:val="000000" w:themeColor="text1"/>
          <w:u w:val="single"/>
        </w:rPr>
        <w:t>Región de Coquimbo</w:t>
      </w:r>
      <w:r w:rsidR="0091191D" w:rsidRPr="000E0F90">
        <w:rPr>
          <w:rFonts w:ascii="Arial" w:hAnsi="Arial" w:cs="Arial"/>
          <w:color w:val="000000" w:themeColor="text1"/>
          <w:u w:val="single"/>
        </w:rPr>
        <w:t>: La Higuera y Salamanca</w:t>
      </w:r>
    </w:p>
    <w:p w:rsidR="00127BD4" w:rsidRPr="000E0F90" w:rsidRDefault="00630F45" w:rsidP="00702D9A">
      <w:pPr>
        <w:spacing w:line="360" w:lineRule="auto"/>
        <w:rPr>
          <w:rFonts w:ascii="Arial" w:hAnsi="Arial" w:cs="Arial"/>
          <w:color w:val="000000" w:themeColor="text1"/>
        </w:rPr>
      </w:pPr>
      <w:r w:rsidRPr="000E0F90">
        <w:rPr>
          <w:rFonts w:ascii="Arial" w:hAnsi="Arial" w:cs="Arial"/>
          <w:color w:val="000000" w:themeColor="text1"/>
        </w:rPr>
        <w:t xml:space="preserve">Al analizar la situación </w:t>
      </w:r>
      <w:r w:rsidR="00EB25B0" w:rsidRPr="000E0F90">
        <w:rPr>
          <w:rFonts w:ascii="Arial" w:hAnsi="Arial" w:cs="Arial"/>
          <w:color w:val="000000" w:themeColor="text1"/>
        </w:rPr>
        <w:t>específica</w:t>
      </w:r>
      <w:r w:rsidRPr="000E0F90">
        <w:rPr>
          <w:rFonts w:ascii="Arial" w:hAnsi="Arial" w:cs="Arial"/>
          <w:color w:val="000000" w:themeColor="text1"/>
        </w:rPr>
        <w:t xml:space="preserve"> de cada territorio</w:t>
      </w:r>
      <w:r w:rsidR="00867F0E" w:rsidRPr="000E0F90">
        <w:rPr>
          <w:rFonts w:ascii="Arial" w:hAnsi="Arial" w:cs="Arial"/>
          <w:color w:val="000000" w:themeColor="text1"/>
        </w:rPr>
        <w:t xml:space="preserve"> de la región</w:t>
      </w:r>
      <w:r w:rsidRPr="000E0F90">
        <w:rPr>
          <w:rFonts w:ascii="Arial" w:hAnsi="Arial" w:cs="Arial"/>
          <w:color w:val="000000" w:themeColor="text1"/>
        </w:rPr>
        <w:t>, se advierten diferencias</w:t>
      </w:r>
      <w:r w:rsidR="00911DF6" w:rsidRPr="000E0F90">
        <w:rPr>
          <w:rFonts w:ascii="Arial" w:hAnsi="Arial" w:cs="Arial"/>
          <w:color w:val="000000" w:themeColor="text1"/>
        </w:rPr>
        <w:t xml:space="preserve"> </w:t>
      </w:r>
      <w:r w:rsidR="00EC4458" w:rsidRPr="000E0F90">
        <w:rPr>
          <w:rFonts w:ascii="Arial" w:hAnsi="Arial" w:cs="Arial"/>
          <w:color w:val="000000" w:themeColor="text1"/>
        </w:rPr>
        <w:t>en los patrones climático</w:t>
      </w:r>
      <w:r w:rsidR="00911DF6" w:rsidRPr="000E0F90">
        <w:rPr>
          <w:rFonts w:ascii="Arial" w:hAnsi="Arial" w:cs="Arial"/>
          <w:color w:val="000000" w:themeColor="text1"/>
        </w:rPr>
        <w:t xml:space="preserve">s, </w:t>
      </w:r>
      <w:r w:rsidR="00127BD4" w:rsidRPr="000E0F90">
        <w:rPr>
          <w:rFonts w:ascii="Arial" w:hAnsi="Arial" w:cs="Arial"/>
          <w:color w:val="000000" w:themeColor="text1"/>
        </w:rPr>
        <w:t>dado</w:t>
      </w:r>
      <w:r w:rsidR="00911DF6" w:rsidRPr="000E0F90">
        <w:rPr>
          <w:rFonts w:ascii="Arial" w:hAnsi="Arial" w:cs="Arial"/>
          <w:color w:val="000000" w:themeColor="text1"/>
        </w:rPr>
        <w:t xml:space="preserve"> que La Higuera se ubica en el extremo norte y occidental de la región, a diferencia de </w:t>
      </w:r>
      <w:r w:rsidR="00EB25B0" w:rsidRPr="000E0F90">
        <w:rPr>
          <w:rFonts w:ascii="Arial" w:hAnsi="Arial" w:cs="Arial"/>
          <w:color w:val="000000" w:themeColor="text1"/>
        </w:rPr>
        <w:t>Salamanca</w:t>
      </w:r>
      <w:r w:rsidR="00911DF6" w:rsidRPr="000E0F90">
        <w:rPr>
          <w:rFonts w:ascii="Arial" w:hAnsi="Arial" w:cs="Arial"/>
          <w:color w:val="000000" w:themeColor="text1"/>
        </w:rPr>
        <w:t xml:space="preserve"> que se encuentra en el extremo sur y oriental de ésta. </w:t>
      </w:r>
      <w:r w:rsidR="00EC4458" w:rsidRPr="000E0F90">
        <w:rPr>
          <w:rFonts w:ascii="Arial" w:hAnsi="Arial" w:cs="Arial"/>
          <w:color w:val="000000" w:themeColor="text1"/>
        </w:rPr>
        <w:t>Presentando la Higuera una condición</w:t>
      </w:r>
      <w:r w:rsidR="00127BD4" w:rsidRPr="000E0F90">
        <w:rPr>
          <w:rFonts w:ascii="Arial" w:hAnsi="Arial" w:cs="Arial"/>
          <w:color w:val="000000" w:themeColor="text1"/>
        </w:rPr>
        <w:t xml:space="preserve"> eminentemente</w:t>
      </w:r>
      <w:r w:rsidR="00EC4458" w:rsidRPr="000E0F90">
        <w:rPr>
          <w:rFonts w:ascii="Arial" w:hAnsi="Arial" w:cs="Arial"/>
          <w:color w:val="000000" w:themeColor="text1"/>
        </w:rPr>
        <w:t xml:space="preserve"> desértica</w:t>
      </w:r>
      <w:r w:rsidR="00F25F33" w:rsidRPr="000E0F90">
        <w:rPr>
          <w:rFonts w:ascii="Arial" w:hAnsi="Arial" w:cs="Arial"/>
          <w:color w:val="000000" w:themeColor="text1"/>
        </w:rPr>
        <w:t>,</w:t>
      </w:r>
      <w:r w:rsidR="00EC4458" w:rsidRPr="000E0F90">
        <w:rPr>
          <w:rFonts w:ascii="Arial" w:hAnsi="Arial" w:cs="Arial"/>
          <w:color w:val="000000" w:themeColor="text1"/>
        </w:rPr>
        <w:t xml:space="preserve"> a d</w:t>
      </w:r>
      <w:r w:rsidR="00F25F33" w:rsidRPr="000E0F90">
        <w:rPr>
          <w:rFonts w:ascii="Arial" w:hAnsi="Arial" w:cs="Arial"/>
          <w:color w:val="000000" w:themeColor="text1"/>
        </w:rPr>
        <w:t xml:space="preserve">iferencia de </w:t>
      </w:r>
      <w:r w:rsidR="00EB25B0" w:rsidRPr="000E0F90">
        <w:rPr>
          <w:rFonts w:ascii="Arial" w:hAnsi="Arial" w:cs="Arial"/>
          <w:color w:val="000000" w:themeColor="text1"/>
        </w:rPr>
        <w:t>Salamanca</w:t>
      </w:r>
      <w:r w:rsidR="00F25F33" w:rsidRPr="000E0F90">
        <w:rPr>
          <w:rFonts w:ascii="Arial" w:hAnsi="Arial" w:cs="Arial"/>
          <w:color w:val="000000" w:themeColor="text1"/>
        </w:rPr>
        <w:t xml:space="preserve"> donde </w:t>
      </w:r>
      <w:r w:rsidR="00EB25B0" w:rsidRPr="000E0F90">
        <w:rPr>
          <w:rFonts w:ascii="Arial" w:hAnsi="Arial" w:cs="Arial"/>
          <w:color w:val="000000" w:themeColor="text1"/>
        </w:rPr>
        <w:t>predomina</w:t>
      </w:r>
      <w:r w:rsidR="00EC4458" w:rsidRPr="000E0F90">
        <w:rPr>
          <w:rFonts w:ascii="Arial" w:hAnsi="Arial" w:cs="Arial"/>
          <w:color w:val="000000" w:themeColor="text1"/>
        </w:rPr>
        <w:t xml:space="preserve"> un patrón mediterráneo</w:t>
      </w:r>
      <w:r w:rsidR="006F01CF" w:rsidRPr="000E0F90">
        <w:rPr>
          <w:rFonts w:ascii="Arial" w:hAnsi="Arial" w:cs="Arial"/>
          <w:color w:val="000000" w:themeColor="text1"/>
        </w:rPr>
        <w:t xml:space="preserve"> lo que se refleja en el aumento de las precipitaciones y temperaturas más favorables</w:t>
      </w:r>
      <w:r w:rsidR="00E20521" w:rsidRPr="000E0F90">
        <w:rPr>
          <w:rFonts w:ascii="Arial" w:hAnsi="Arial" w:cs="Arial"/>
          <w:color w:val="000000" w:themeColor="text1"/>
        </w:rPr>
        <w:t xml:space="preserve"> para el desarrollo territorial</w:t>
      </w:r>
      <w:r w:rsidR="00127BD4" w:rsidRPr="000E0F90">
        <w:rPr>
          <w:rFonts w:ascii="Arial" w:hAnsi="Arial" w:cs="Arial"/>
          <w:color w:val="000000" w:themeColor="text1"/>
        </w:rPr>
        <w:t xml:space="preserve">. </w:t>
      </w:r>
    </w:p>
    <w:p w:rsidR="0060017E" w:rsidRPr="000E0F90" w:rsidRDefault="00A61EE1" w:rsidP="00702D9A">
      <w:pPr>
        <w:spacing w:line="360" w:lineRule="auto"/>
        <w:rPr>
          <w:rFonts w:ascii="Arial" w:hAnsi="Arial" w:cs="Arial"/>
          <w:color w:val="000000" w:themeColor="text1"/>
        </w:rPr>
      </w:pPr>
      <w:r w:rsidRPr="000E0F90">
        <w:rPr>
          <w:rFonts w:ascii="Arial" w:hAnsi="Arial" w:cs="Arial"/>
          <w:color w:val="000000" w:themeColor="text1"/>
        </w:rPr>
        <w:t>En cuanto a la dotación de recu</w:t>
      </w:r>
      <w:r w:rsidR="00EC4458" w:rsidRPr="000E0F90">
        <w:rPr>
          <w:rFonts w:ascii="Arial" w:hAnsi="Arial" w:cs="Arial"/>
          <w:color w:val="000000" w:themeColor="text1"/>
        </w:rPr>
        <w:t>rsos hídricos, la comuna de La H</w:t>
      </w:r>
      <w:r w:rsidRPr="000E0F90">
        <w:rPr>
          <w:rFonts w:ascii="Arial" w:hAnsi="Arial" w:cs="Arial"/>
          <w:color w:val="000000" w:themeColor="text1"/>
        </w:rPr>
        <w:t>ig</w:t>
      </w:r>
      <w:r w:rsidR="00EC4458" w:rsidRPr="000E0F90">
        <w:rPr>
          <w:rFonts w:ascii="Arial" w:hAnsi="Arial" w:cs="Arial"/>
          <w:color w:val="000000" w:themeColor="text1"/>
        </w:rPr>
        <w:t>u</w:t>
      </w:r>
      <w:r w:rsidRPr="000E0F90">
        <w:rPr>
          <w:rFonts w:ascii="Arial" w:hAnsi="Arial" w:cs="Arial"/>
          <w:color w:val="000000" w:themeColor="text1"/>
        </w:rPr>
        <w:t>era se ubica entre dos cuencas</w:t>
      </w:r>
      <w:r w:rsidR="00EC4458" w:rsidRPr="000E0F90">
        <w:rPr>
          <w:rFonts w:ascii="Arial" w:hAnsi="Arial" w:cs="Arial"/>
          <w:color w:val="000000" w:themeColor="text1"/>
        </w:rPr>
        <w:t xml:space="preserve"> principales</w:t>
      </w:r>
      <w:r w:rsidR="0060017E" w:rsidRPr="000E0F90">
        <w:rPr>
          <w:rFonts w:ascii="Arial" w:hAnsi="Arial" w:cs="Arial"/>
          <w:color w:val="000000" w:themeColor="text1"/>
        </w:rPr>
        <w:t xml:space="preserve"> (</w:t>
      </w:r>
      <w:r w:rsidR="00867F0E" w:rsidRPr="000E0F90">
        <w:rPr>
          <w:rFonts w:ascii="Arial" w:hAnsi="Arial" w:cs="Arial"/>
          <w:color w:val="000000" w:themeColor="text1"/>
        </w:rPr>
        <w:t>Huasco y Elqui), sin un aporte significativo</w:t>
      </w:r>
      <w:r w:rsidR="0060017E" w:rsidRPr="000E0F90">
        <w:rPr>
          <w:rFonts w:ascii="Arial" w:hAnsi="Arial" w:cs="Arial"/>
          <w:color w:val="000000" w:themeColor="text1"/>
        </w:rPr>
        <w:t xml:space="preserve"> del</w:t>
      </w:r>
      <w:r w:rsidRPr="000E0F90">
        <w:rPr>
          <w:rFonts w:ascii="Arial" w:hAnsi="Arial" w:cs="Arial"/>
          <w:color w:val="000000" w:themeColor="text1"/>
        </w:rPr>
        <w:t xml:space="preserve"> recurso</w:t>
      </w:r>
      <w:r w:rsidR="00D32B6B" w:rsidRPr="000E0F90">
        <w:rPr>
          <w:rFonts w:ascii="Arial" w:hAnsi="Arial" w:cs="Arial"/>
          <w:color w:val="000000" w:themeColor="text1"/>
        </w:rPr>
        <w:t xml:space="preserve"> hídrico</w:t>
      </w:r>
      <w:r w:rsidR="0060017E" w:rsidRPr="000E0F90">
        <w:rPr>
          <w:rFonts w:ascii="Arial" w:hAnsi="Arial" w:cs="Arial"/>
          <w:color w:val="000000" w:themeColor="text1"/>
        </w:rPr>
        <w:t>,</w:t>
      </w:r>
      <w:r w:rsidR="00EC4458" w:rsidRPr="000E0F90">
        <w:rPr>
          <w:rFonts w:ascii="Arial" w:hAnsi="Arial" w:cs="Arial"/>
          <w:color w:val="000000" w:themeColor="text1"/>
        </w:rPr>
        <w:t xml:space="preserve"> </w:t>
      </w:r>
      <w:r w:rsidR="00867F0E" w:rsidRPr="000E0F90">
        <w:rPr>
          <w:rFonts w:ascii="Arial" w:hAnsi="Arial" w:cs="Arial"/>
          <w:color w:val="000000" w:themeColor="text1"/>
        </w:rPr>
        <w:t>producto de la</w:t>
      </w:r>
      <w:r w:rsidR="00EC4458" w:rsidRPr="000E0F90">
        <w:rPr>
          <w:rFonts w:ascii="Arial" w:hAnsi="Arial" w:cs="Arial"/>
          <w:color w:val="000000" w:themeColor="text1"/>
        </w:rPr>
        <w:t xml:space="preserve"> au</w:t>
      </w:r>
      <w:r w:rsidR="0060017E" w:rsidRPr="000E0F90">
        <w:rPr>
          <w:rFonts w:ascii="Arial" w:hAnsi="Arial" w:cs="Arial"/>
          <w:color w:val="000000" w:themeColor="text1"/>
        </w:rPr>
        <w:t>s</w:t>
      </w:r>
      <w:r w:rsidR="00EC4458" w:rsidRPr="000E0F90">
        <w:rPr>
          <w:rFonts w:ascii="Arial" w:hAnsi="Arial" w:cs="Arial"/>
          <w:color w:val="000000" w:themeColor="text1"/>
        </w:rPr>
        <w:t>encia de escurrimiento permanente de la cuenca</w:t>
      </w:r>
      <w:r w:rsidRPr="000E0F90">
        <w:rPr>
          <w:rFonts w:ascii="Arial" w:hAnsi="Arial" w:cs="Arial"/>
          <w:color w:val="000000" w:themeColor="text1"/>
        </w:rPr>
        <w:t xml:space="preserve">, a lo cual se suma </w:t>
      </w:r>
      <w:r w:rsidR="0060017E" w:rsidRPr="000E0F90">
        <w:rPr>
          <w:rFonts w:ascii="Arial" w:hAnsi="Arial" w:cs="Arial"/>
          <w:color w:val="000000" w:themeColor="text1"/>
        </w:rPr>
        <w:t xml:space="preserve">su ubicación en </w:t>
      </w:r>
      <w:r w:rsidRPr="000E0F90">
        <w:rPr>
          <w:rFonts w:ascii="Arial" w:hAnsi="Arial" w:cs="Arial"/>
          <w:color w:val="000000" w:themeColor="text1"/>
        </w:rPr>
        <w:t>la zona m</w:t>
      </w:r>
      <w:r w:rsidR="00DB74B7" w:rsidRPr="000E0F90">
        <w:rPr>
          <w:rFonts w:ascii="Arial" w:hAnsi="Arial" w:cs="Arial"/>
          <w:color w:val="000000" w:themeColor="text1"/>
        </w:rPr>
        <w:t>e</w:t>
      </w:r>
      <w:r w:rsidRPr="000E0F90">
        <w:rPr>
          <w:rFonts w:ascii="Arial" w:hAnsi="Arial" w:cs="Arial"/>
          <w:color w:val="000000" w:themeColor="text1"/>
        </w:rPr>
        <w:t>dia y baja de la cuenca</w:t>
      </w:r>
      <w:r w:rsidR="0060017E" w:rsidRPr="000E0F90">
        <w:rPr>
          <w:rFonts w:ascii="Arial" w:hAnsi="Arial" w:cs="Arial"/>
          <w:color w:val="000000" w:themeColor="text1"/>
        </w:rPr>
        <w:t xml:space="preserve">. Esto repercute en los usos territoriales que dependen de este recurso, como es la agricultura. </w:t>
      </w:r>
      <w:r w:rsidR="00EB25B0" w:rsidRPr="000E0F90">
        <w:rPr>
          <w:rFonts w:ascii="Arial" w:hAnsi="Arial" w:cs="Arial"/>
          <w:color w:val="000000" w:themeColor="text1"/>
        </w:rPr>
        <w:t>Salamanca</w:t>
      </w:r>
      <w:r w:rsidR="0060017E" w:rsidRPr="000E0F90">
        <w:rPr>
          <w:rFonts w:ascii="Arial" w:hAnsi="Arial" w:cs="Arial"/>
          <w:color w:val="000000" w:themeColor="text1"/>
        </w:rPr>
        <w:t xml:space="preserve"> en tanto, se </w:t>
      </w:r>
      <w:r w:rsidRPr="000E0F90">
        <w:rPr>
          <w:rFonts w:ascii="Arial" w:hAnsi="Arial" w:cs="Arial"/>
          <w:color w:val="000000" w:themeColor="text1"/>
        </w:rPr>
        <w:t xml:space="preserve">ubica en la zona </w:t>
      </w:r>
      <w:r w:rsidR="00DB74B7" w:rsidRPr="000E0F90">
        <w:rPr>
          <w:rFonts w:ascii="Arial" w:hAnsi="Arial" w:cs="Arial"/>
          <w:color w:val="000000" w:themeColor="text1"/>
        </w:rPr>
        <w:t xml:space="preserve">media y </w:t>
      </w:r>
      <w:r w:rsidRPr="000E0F90">
        <w:rPr>
          <w:rFonts w:ascii="Arial" w:hAnsi="Arial" w:cs="Arial"/>
          <w:color w:val="000000" w:themeColor="text1"/>
        </w:rPr>
        <w:t>alta de la cuenca del rio Choapa</w:t>
      </w:r>
      <w:r w:rsidR="0060017E" w:rsidRPr="000E0F90">
        <w:rPr>
          <w:rFonts w:ascii="Arial" w:hAnsi="Arial" w:cs="Arial"/>
          <w:color w:val="000000" w:themeColor="text1"/>
        </w:rPr>
        <w:t xml:space="preserve">, lo cual asegura </w:t>
      </w:r>
      <w:r w:rsidR="00D32B6B" w:rsidRPr="000E0F90">
        <w:rPr>
          <w:rFonts w:ascii="Arial" w:hAnsi="Arial" w:cs="Arial"/>
          <w:color w:val="000000" w:themeColor="text1"/>
        </w:rPr>
        <w:t>disponibilidad permanente de agua</w:t>
      </w:r>
      <w:r w:rsidR="007721F3" w:rsidRPr="000E0F90">
        <w:rPr>
          <w:rFonts w:ascii="Arial" w:hAnsi="Arial" w:cs="Arial"/>
          <w:color w:val="000000" w:themeColor="text1"/>
        </w:rPr>
        <w:t>, lo que contribuye al desarrollo agrícola local</w:t>
      </w:r>
      <w:r w:rsidR="00D32B6B" w:rsidRPr="000E0F90">
        <w:rPr>
          <w:rFonts w:ascii="Arial" w:hAnsi="Arial" w:cs="Arial"/>
          <w:color w:val="000000" w:themeColor="text1"/>
        </w:rPr>
        <w:t>.</w:t>
      </w:r>
      <w:r w:rsidR="00F25F33" w:rsidRPr="000E0F90">
        <w:rPr>
          <w:rFonts w:ascii="Arial" w:hAnsi="Arial" w:cs="Arial"/>
          <w:color w:val="000000" w:themeColor="text1"/>
        </w:rPr>
        <w:t xml:space="preserve"> </w:t>
      </w:r>
    </w:p>
    <w:p w:rsidR="00A160A7" w:rsidRPr="000E0F90" w:rsidRDefault="00A160A7" w:rsidP="00702D9A">
      <w:pPr>
        <w:spacing w:line="360" w:lineRule="auto"/>
        <w:rPr>
          <w:rFonts w:ascii="Arial" w:hAnsi="Arial" w:cs="Arial"/>
          <w:color w:val="000000" w:themeColor="text1"/>
        </w:rPr>
      </w:pPr>
      <w:r w:rsidRPr="000E0F90">
        <w:rPr>
          <w:rFonts w:ascii="Arial" w:hAnsi="Arial" w:cs="Arial"/>
          <w:color w:val="000000" w:themeColor="text1"/>
        </w:rPr>
        <w:t xml:space="preserve">Respecto a la aptitud de suelo de los territorios, existen diferencias que afectan fuertemente la vocación de uso territorial. Por una parte en la comuna de la Higuera, se evidencia que en general los suelos ofrecen </w:t>
      </w:r>
      <w:r w:rsidR="007F27D6" w:rsidRPr="000E0F90">
        <w:rPr>
          <w:rFonts w:ascii="Arial" w:hAnsi="Arial" w:cs="Arial"/>
          <w:color w:val="000000" w:themeColor="text1"/>
        </w:rPr>
        <w:t>una aptitud forestal y pecuaria</w:t>
      </w:r>
      <w:r w:rsidRPr="000E0F90">
        <w:rPr>
          <w:rFonts w:ascii="Arial" w:hAnsi="Arial" w:cs="Arial"/>
          <w:color w:val="000000" w:themeColor="text1"/>
        </w:rPr>
        <w:t xml:space="preserve">, con pequeños parches agrícolas asociados a terrazas de quebradas, no obstante sujetos a la disponibilidad de agua. En Salamanca en tanto, se evidencian suelos con capacidad de uso catalogada como sin limitaciones para el uso agrícola. Lo cual le otorga un fuerte carácter agrícola al territorio, lo cual influye en la diversidad que puede aspirar este territorio. </w:t>
      </w:r>
    </w:p>
    <w:p w:rsidR="00481FAD" w:rsidRPr="000E0F90" w:rsidRDefault="007721F3" w:rsidP="00702D9A">
      <w:pPr>
        <w:spacing w:line="360" w:lineRule="auto"/>
        <w:rPr>
          <w:rFonts w:ascii="Arial" w:hAnsi="Arial" w:cs="Arial"/>
          <w:color w:val="000000" w:themeColor="text1"/>
        </w:rPr>
      </w:pPr>
      <w:r w:rsidRPr="000E0F90">
        <w:rPr>
          <w:rFonts w:ascii="Arial" w:hAnsi="Arial" w:cs="Arial"/>
          <w:color w:val="000000" w:themeColor="text1"/>
        </w:rPr>
        <w:lastRenderedPageBreak/>
        <w:t>En relación</w:t>
      </w:r>
      <w:r w:rsidR="0049634D" w:rsidRPr="000E0F90">
        <w:rPr>
          <w:rFonts w:ascii="Arial" w:hAnsi="Arial" w:cs="Arial"/>
          <w:color w:val="000000" w:themeColor="text1"/>
        </w:rPr>
        <w:t xml:space="preserve"> a los principales usos territoriales, La Higuera desarrolla actividades agropecuarias, minería, pesca y turismo. Sin embargo, debida a la limitada disponibilidad del recurso hídrico la actividad agrícola y ganadera se desarrolla en forma de subsistencia principalmente</w:t>
      </w:r>
      <w:r w:rsidR="00E050EC" w:rsidRPr="000E0F90">
        <w:rPr>
          <w:rFonts w:ascii="Arial" w:hAnsi="Arial" w:cs="Arial"/>
          <w:color w:val="000000" w:themeColor="text1"/>
        </w:rPr>
        <w:t>. Utilizando una superficie considerablemente menor para cultivos</w:t>
      </w:r>
      <w:r w:rsidR="00E20521" w:rsidRPr="000E0F90">
        <w:rPr>
          <w:rFonts w:ascii="Arial" w:hAnsi="Arial" w:cs="Arial"/>
          <w:color w:val="000000" w:themeColor="text1"/>
        </w:rPr>
        <w:t>, a diferencia de lo observado en</w:t>
      </w:r>
      <w:r w:rsidR="00E050EC" w:rsidRPr="000E0F90">
        <w:rPr>
          <w:rFonts w:ascii="Arial" w:hAnsi="Arial" w:cs="Arial"/>
          <w:color w:val="000000" w:themeColor="text1"/>
        </w:rPr>
        <w:t xml:space="preserve"> la comuna de Salamanca</w:t>
      </w:r>
      <w:r w:rsidR="0049634D" w:rsidRPr="000E0F90">
        <w:rPr>
          <w:rFonts w:ascii="Arial" w:hAnsi="Arial" w:cs="Arial"/>
          <w:color w:val="000000" w:themeColor="text1"/>
        </w:rPr>
        <w:t>.</w:t>
      </w:r>
      <w:r w:rsidR="008B79C4" w:rsidRPr="000E0F90">
        <w:rPr>
          <w:rFonts w:ascii="Arial" w:hAnsi="Arial" w:cs="Arial"/>
          <w:color w:val="000000" w:themeColor="text1"/>
        </w:rPr>
        <w:t xml:space="preserve"> En la comuna de </w:t>
      </w:r>
      <w:r w:rsidR="00DB74B7" w:rsidRPr="000E0F90">
        <w:rPr>
          <w:rFonts w:ascii="Arial" w:hAnsi="Arial" w:cs="Arial"/>
          <w:color w:val="000000" w:themeColor="text1"/>
        </w:rPr>
        <w:t>Salamanca</w:t>
      </w:r>
      <w:r w:rsidR="008B79C4" w:rsidRPr="000E0F90">
        <w:rPr>
          <w:rFonts w:ascii="Arial" w:hAnsi="Arial" w:cs="Arial"/>
          <w:color w:val="000000" w:themeColor="text1"/>
        </w:rPr>
        <w:t>, las actividades agropecuarias tienen mayor relevancia, lo cual queda de manifiesto</w:t>
      </w:r>
      <w:r w:rsidR="00127BD4" w:rsidRPr="000E0F90">
        <w:rPr>
          <w:rFonts w:ascii="Arial" w:hAnsi="Arial" w:cs="Arial"/>
          <w:color w:val="000000" w:themeColor="text1"/>
        </w:rPr>
        <w:t xml:space="preserve"> además</w:t>
      </w:r>
      <w:r w:rsidR="008B79C4" w:rsidRPr="000E0F90">
        <w:rPr>
          <w:rFonts w:ascii="Arial" w:hAnsi="Arial" w:cs="Arial"/>
          <w:color w:val="000000" w:themeColor="text1"/>
        </w:rPr>
        <w:t xml:space="preserve"> con la infraestructura de canalización </w:t>
      </w:r>
      <w:r w:rsidR="00964C40" w:rsidRPr="000E0F90">
        <w:rPr>
          <w:rFonts w:ascii="Arial" w:hAnsi="Arial" w:cs="Arial"/>
          <w:color w:val="000000" w:themeColor="text1"/>
        </w:rPr>
        <w:t>para riego</w:t>
      </w:r>
      <w:r w:rsidR="008B79C4" w:rsidRPr="000E0F90">
        <w:rPr>
          <w:rFonts w:ascii="Arial" w:hAnsi="Arial" w:cs="Arial"/>
          <w:color w:val="000000" w:themeColor="text1"/>
        </w:rPr>
        <w:t xml:space="preserve"> existente</w:t>
      </w:r>
      <w:r w:rsidRPr="000E0F90">
        <w:rPr>
          <w:rFonts w:ascii="Arial" w:hAnsi="Arial" w:cs="Arial"/>
          <w:color w:val="000000" w:themeColor="text1"/>
        </w:rPr>
        <w:t>,</w:t>
      </w:r>
      <w:r w:rsidR="008B79C4" w:rsidRPr="000E0F90">
        <w:rPr>
          <w:rFonts w:ascii="Arial" w:hAnsi="Arial" w:cs="Arial"/>
          <w:color w:val="000000" w:themeColor="text1"/>
        </w:rPr>
        <w:t xml:space="preserve"> destacando la producción de uva </w:t>
      </w:r>
      <w:r w:rsidR="00964C40" w:rsidRPr="000E0F90">
        <w:rPr>
          <w:rFonts w:ascii="Arial" w:hAnsi="Arial" w:cs="Arial"/>
          <w:color w:val="000000" w:themeColor="text1"/>
        </w:rPr>
        <w:t>y frutales.</w:t>
      </w:r>
      <w:r w:rsidR="008B79C4" w:rsidRPr="000E0F90">
        <w:rPr>
          <w:rFonts w:ascii="Arial" w:hAnsi="Arial" w:cs="Arial"/>
          <w:color w:val="000000" w:themeColor="text1"/>
        </w:rPr>
        <w:t xml:space="preserve"> </w:t>
      </w:r>
      <w:r w:rsidR="00F921C6" w:rsidRPr="000E0F90">
        <w:rPr>
          <w:rFonts w:ascii="Arial" w:hAnsi="Arial" w:cs="Arial"/>
          <w:color w:val="000000" w:themeColor="text1"/>
        </w:rPr>
        <w:t>En donde se destaca la Cooperativa Agrícola Capel, que concentra la producción de pequeños productores locales.</w:t>
      </w:r>
    </w:p>
    <w:p w:rsidR="00E050EC" w:rsidRPr="000E0F90" w:rsidRDefault="001C027F" w:rsidP="00702D9A">
      <w:pPr>
        <w:spacing w:line="360" w:lineRule="auto"/>
        <w:rPr>
          <w:rFonts w:ascii="Arial" w:hAnsi="Arial" w:cs="Arial"/>
          <w:color w:val="000000" w:themeColor="text1"/>
        </w:rPr>
      </w:pPr>
      <w:r w:rsidRPr="000E0F90">
        <w:rPr>
          <w:rFonts w:ascii="Arial" w:hAnsi="Arial" w:cs="Arial"/>
          <w:color w:val="000000" w:themeColor="text1"/>
        </w:rPr>
        <w:t xml:space="preserve">La actividad minera, en la comuna de La Higuera corresponde a minería de tipo artesanal, es decir de baja escala, con una </w:t>
      </w:r>
      <w:r w:rsidR="00507742" w:rsidRPr="000E0F90">
        <w:rPr>
          <w:rFonts w:ascii="Arial" w:hAnsi="Arial" w:cs="Arial"/>
          <w:color w:val="000000" w:themeColor="text1"/>
        </w:rPr>
        <w:t>reducida</w:t>
      </w:r>
      <w:r w:rsidRPr="000E0F90">
        <w:rPr>
          <w:rFonts w:ascii="Arial" w:hAnsi="Arial" w:cs="Arial"/>
          <w:color w:val="000000" w:themeColor="text1"/>
        </w:rPr>
        <w:t xml:space="preserve"> existencia faenas de la gran minería.</w:t>
      </w:r>
      <w:r w:rsidR="00507742" w:rsidRPr="000E0F90">
        <w:rPr>
          <w:rFonts w:ascii="Arial" w:hAnsi="Arial" w:cs="Arial"/>
          <w:color w:val="000000" w:themeColor="text1"/>
        </w:rPr>
        <w:t xml:space="preserve"> Esta actividad se enfoca a la extracción de cobre, oro y hierro.  </w:t>
      </w:r>
      <w:r w:rsidR="00E050EC" w:rsidRPr="000E0F90">
        <w:rPr>
          <w:rFonts w:ascii="Arial" w:hAnsi="Arial" w:cs="Arial"/>
          <w:color w:val="000000" w:themeColor="text1"/>
        </w:rPr>
        <w:t>Salamanca por otra parte, presenta una reducida representación de operaciones mineras</w:t>
      </w:r>
      <w:r w:rsidR="00507742" w:rsidRPr="000E0F90">
        <w:rPr>
          <w:rFonts w:ascii="Arial" w:hAnsi="Arial" w:cs="Arial"/>
          <w:color w:val="000000" w:themeColor="text1"/>
        </w:rPr>
        <w:t xml:space="preserve">, siendo la mayor proporción operaciones pequeñas, no obstante </w:t>
      </w:r>
      <w:r w:rsidR="006F01CF" w:rsidRPr="000E0F90">
        <w:rPr>
          <w:rFonts w:ascii="Arial" w:hAnsi="Arial" w:cs="Arial"/>
          <w:color w:val="000000" w:themeColor="text1"/>
        </w:rPr>
        <w:t>destac</w:t>
      </w:r>
      <w:r w:rsidR="00507742" w:rsidRPr="000E0F90">
        <w:rPr>
          <w:rFonts w:ascii="Arial" w:hAnsi="Arial" w:cs="Arial"/>
          <w:color w:val="000000" w:themeColor="text1"/>
        </w:rPr>
        <w:t>a</w:t>
      </w:r>
      <w:r w:rsidR="006F01CF" w:rsidRPr="000E0F90">
        <w:rPr>
          <w:rFonts w:ascii="Arial" w:hAnsi="Arial" w:cs="Arial"/>
          <w:color w:val="000000" w:themeColor="text1"/>
        </w:rPr>
        <w:t xml:space="preserve"> la operación de gra</w:t>
      </w:r>
      <w:r w:rsidR="00507742" w:rsidRPr="000E0F90">
        <w:rPr>
          <w:rFonts w:ascii="Arial" w:hAnsi="Arial" w:cs="Arial"/>
          <w:color w:val="000000" w:themeColor="text1"/>
        </w:rPr>
        <w:t xml:space="preserve">n minería Minera Los Pelambres. </w:t>
      </w:r>
      <w:r w:rsidR="00F921C6" w:rsidRPr="000E0F90">
        <w:rPr>
          <w:rFonts w:ascii="Arial" w:hAnsi="Arial" w:cs="Arial"/>
          <w:color w:val="000000" w:themeColor="text1"/>
        </w:rPr>
        <w:t xml:space="preserve">La extracción de la comuna es únicamente de cobre. </w:t>
      </w:r>
    </w:p>
    <w:p w:rsidR="00E050EC" w:rsidRPr="000E0F90" w:rsidRDefault="00E050EC" w:rsidP="00702D9A">
      <w:pPr>
        <w:spacing w:line="360" w:lineRule="auto"/>
        <w:rPr>
          <w:rFonts w:ascii="Arial" w:hAnsi="Arial" w:cs="Arial"/>
          <w:color w:val="000000" w:themeColor="text1"/>
        </w:rPr>
      </w:pPr>
      <w:r w:rsidRPr="000E0F90">
        <w:rPr>
          <w:rFonts w:ascii="Arial" w:hAnsi="Arial" w:cs="Arial"/>
          <w:color w:val="000000" w:themeColor="text1"/>
        </w:rPr>
        <w:t>En cuanto al turismo, La Higuera presenta un marcado desarrollo, dado por atractivos naturales y patrimoniales, lo que aporta a la economía local a través de la alta dotación de empresas</w:t>
      </w:r>
      <w:r w:rsidR="006F01CF" w:rsidRPr="000E0F90">
        <w:rPr>
          <w:rFonts w:ascii="Arial" w:hAnsi="Arial" w:cs="Arial"/>
          <w:color w:val="000000" w:themeColor="text1"/>
        </w:rPr>
        <w:t xml:space="preserve"> asociadas</w:t>
      </w:r>
      <w:r w:rsidRPr="000E0F90">
        <w:rPr>
          <w:rFonts w:ascii="Arial" w:hAnsi="Arial" w:cs="Arial"/>
          <w:color w:val="000000" w:themeColor="text1"/>
        </w:rPr>
        <w:t>, al igual que la provisión de empleos que genera. En Salamanca en tanto, se evidencian</w:t>
      </w:r>
      <w:r w:rsidR="00E20521" w:rsidRPr="000E0F90">
        <w:rPr>
          <w:rFonts w:ascii="Arial" w:hAnsi="Arial" w:cs="Arial"/>
          <w:color w:val="000000" w:themeColor="text1"/>
        </w:rPr>
        <w:t xml:space="preserve"> reducidas</w:t>
      </w:r>
      <w:r w:rsidRPr="000E0F90">
        <w:rPr>
          <w:rFonts w:ascii="Arial" w:hAnsi="Arial" w:cs="Arial"/>
          <w:color w:val="000000" w:themeColor="text1"/>
        </w:rPr>
        <w:t xml:space="preserve"> oportunidades de turismo, en menor magnitud que La Higuera. </w:t>
      </w:r>
    </w:p>
    <w:p w:rsidR="007721F3" w:rsidRPr="000E0F90" w:rsidRDefault="007721F3" w:rsidP="00702D9A">
      <w:pPr>
        <w:spacing w:line="360" w:lineRule="auto"/>
        <w:rPr>
          <w:rFonts w:ascii="Arial" w:hAnsi="Arial" w:cs="Arial"/>
          <w:color w:val="000000" w:themeColor="text1"/>
        </w:rPr>
      </w:pPr>
      <w:r w:rsidRPr="000E0F90">
        <w:rPr>
          <w:rFonts w:ascii="Arial" w:hAnsi="Arial" w:cs="Arial"/>
          <w:color w:val="000000" w:themeColor="text1"/>
        </w:rPr>
        <w:t>En cuanto a la contribución a la economía local de las actividades productivas, la agricultura en la comuna de La Higuera no representa un aporte importante, con un reducido número de empresas y trabajadores asociados a ella. A diferencia de lo identificado en la comuna de Salamanca,  donde la actividad silvoagropecuaria presenta la mayor cantidad de empresas, con una apreciable dotación de empleos locales.</w:t>
      </w:r>
      <w:r w:rsidR="00507742" w:rsidRPr="000E0F90">
        <w:rPr>
          <w:rFonts w:ascii="Arial" w:hAnsi="Arial" w:cs="Arial"/>
          <w:color w:val="000000" w:themeColor="text1"/>
        </w:rPr>
        <w:t xml:space="preserve"> La minería en tanto, en la comuna de Higuera, se presenta como una actividad de importancia relativa en relación a la cantidad de empresas, sin embargo, con contratación marginal de mano de obra local. Salamanca en tanto, la dotación de empleos provenientes de la minería es reducido, sin embargo se asocian empleos indirectos provenientes de empresas contratistas, presentando una mayor provisión de empleos locales.</w:t>
      </w:r>
    </w:p>
    <w:p w:rsidR="00867F0E" w:rsidRPr="000E0F90" w:rsidRDefault="00867F0E" w:rsidP="00702D9A">
      <w:pPr>
        <w:spacing w:line="360" w:lineRule="auto"/>
        <w:rPr>
          <w:rFonts w:ascii="Arial" w:hAnsi="Arial" w:cs="Arial"/>
          <w:color w:val="000000" w:themeColor="text1"/>
        </w:rPr>
      </w:pPr>
      <w:r w:rsidRPr="000E0F90">
        <w:rPr>
          <w:rFonts w:ascii="Arial" w:hAnsi="Arial" w:cs="Arial"/>
          <w:color w:val="000000" w:themeColor="text1"/>
        </w:rPr>
        <w:lastRenderedPageBreak/>
        <w:t>Respecto a las condiciones socioeconómicas de La Higuera y Salamanca, se evidencia una reducida provisión de servicios públicos (i.e. salud, educación) y complementarios en la comuna de La Higuera, así como infraestructura para el ocio y esparcimiento. Situaci</w:t>
      </w:r>
      <w:r w:rsidR="00DA0E16" w:rsidRPr="000E0F90">
        <w:rPr>
          <w:rFonts w:ascii="Arial" w:hAnsi="Arial" w:cs="Arial"/>
          <w:color w:val="000000" w:themeColor="text1"/>
        </w:rPr>
        <w:t>ón difiere de lo</w:t>
      </w:r>
      <w:r w:rsidRPr="000E0F90">
        <w:rPr>
          <w:rFonts w:ascii="Arial" w:hAnsi="Arial" w:cs="Arial"/>
          <w:color w:val="000000" w:themeColor="text1"/>
        </w:rPr>
        <w:t xml:space="preserve"> observado en el centro comunal de Salamanca, donde se identifican mayor dotación de servicios públicos y complementarios, no obstante esta condición no se extiende a los sectores más rurales.</w:t>
      </w:r>
    </w:p>
    <w:p w:rsidR="008E4EC9" w:rsidRPr="000E0F90" w:rsidRDefault="00FE7BE0" w:rsidP="00702D9A">
      <w:pPr>
        <w:spacing w:line="360" w:lineRule="auto"/>
        <w:rPr>
          <w:rFonts w:ascii="Arial" w:hAnsi="Arial" w:cs="Arial"/>
          <w:color w:val="000000" w:themeColor="text1"/>
        </w:rPr>
      </w:pPr>
      <w:r w:rsidRPr="000E0F90">
        <w:rPr>
          <w:rFonts w:ascii="Arial" w:hAnsi="Arial" w:cs="Arial"/>
          <w:color w:val="000000" w:themeColor="text1"/>
        </w:rPr>
        <w:t xml:space="preserve">A partir de lo anterior, se pueden establecer diferencias en los territorios mineros bajo estudio de la región de Coquimbo, donde la Higuera, </w:t>
      </w:r>
      <w:r w:rsidR="006F01CF" w:rsidRPr="000E0F90">
        <w:rPr>
          <w:rFonts w:ascii="Arial" w:hAnsi="Arial" w:cs="Arial"/>
          <w:color w:val="000000" w:themeColor="text1"/>
        </w:rPr>
        <w:t>presenta mayores limitantes en relación al recurso hídrico, lo que se traduce en un menor desarrollo de la actividad agrícola, sin embargo se observa el desarrollo de otros usos como el turismo, además de la pesca. Respect</w:t>
      </w:r>
      <w:r w:rsidR="00F921C6" w:rsidRPr="000E0F90">
        <w:rPr>
          <w:rFonts w:ascii="Arial" w:hAnsi="Arial" w:cs="Arial"/>
          <w:color w:val="000000" w:themeColor="text1"/>
        </w:rPr>
        <w:t xml:space="preserve">o a la actividad minera, existe una dotación moderada de faenas mineras, sin embargo no se considera una actividad relevante, dada la escasa contratación de mano de obra local, lo que recalca una débil </w:t>
      </w:r>
      <w:r w:rsidR="006F01CF" w:rsidRPr="000E0F90">
        <w:rPr>
          <w:rFonts w:ascii="Arial" w:hAnsi="Arial" w:cs="Arial"/>
          <w:color w:val="000000" w:themeColor="text1"/>
        </w:rPr>
        <w:t>vinculación de la actividad al territorio</w:t>
      </w:r>
      <w:r w:rsidR="00F921C6" w:rsidRPr="000E0F90">
        <w:rPr>
          <w:rFonts w:ascii="Arial" w:hAnsi="Arial" w:cs="Arial"/>
          <w:color w:val="000000" w:themeColor="text1"/>
        </w:rPr>
        <w:t>.</w:t>
      </w:r>
      <w:r w:rsidR="00BC358A" w:rsidRPr="000E0F90">
        <w:rPr>
          <w:rFonts w:ascii="Arial" w:hAnsi="Arial" w:cs="Arial"/>
          <w:color w:val="000000" w:themeColor="text1"/>
        </w:rPr>
        <w:t xml:space="preserve"> </w:t>
      </w:r>
      <w:r w:rsidR="008E4EC9" w:rsidRPr="000E0F90">
        <w:rPr>
          <w:rFonts w:ascii="Arial" w:hAnsi="Arial" w:cs="Arial"/>
          <w:color w:val="000000" w:themeColor="text1"/>
        </w:rPr>
        <w:t>Salamanca en tanto, se caracteriza por su mayor vocación para el desarrollo agrícola,</w:t>
      </w:r>
      <w:r w:rsidR="00F921C6" w:rsidRPr="000E0F90">
        <w:rPr>
          <w:rFonts w:ascii="Arial" w:hAnsi="Arial" w:cs="Arial"/>
          <w:color w:val="000000" w:themeColor="text1"/>
        </w:rPr>
        <w:t xml:space="preserve"> dado por la aptitud de los suelos y la disponibilidad hídrica,</w:t>
      </w:r>
      <w:r w:rsidR="008E4EC9" w:rsidRPr="000E0F90">
        <w:rPr>
          <w:rFonts w:ascii="Arial" w:hAnsi="Arial" w:cs="Arial"/>
          <w:color w:val="000000" w:themeColor="text1"/>
        </w:rPr>
        <w:t xml:space="preserve"> lo que se demuestra en la producción de la </w:t>
      </w:r>
      <w:r w:rsidR="00D32B6B" w:rsidRPr="000E0F90">
        <w:rPr>
          <w:rFonts w:ascii="Arial" w:hAnsi="Arial" w:cs="Arial"/>
          <w:color w:val="000000" w:themeColor="text1"/>
        </w:rPr>
        <w:t>comuna.</w:t>
      </w:r>
      <w:r w:rsidR="00F921C6" w:rsidRPr="000E0F90">
        <w:rPr>
          <w:rFonts w:ascii="Arial" w:hAnsi="Arial" w:cs="Arial"/>
          <w:color w:val="000000" w:themeColor="text1"/>
        </w:rPr>
        <w:t xml:space="preserve"> Si bien, existe predominancia de operaciones mineras pequeñas, destaca </w:t>
      </w:r>
      <w:r w:rsidR="006F01CF" w:rsidRPr="000E0F90">
        <w:rPr>
          <w:rFonts w:ascii="Arial" w:hAnsi="Arial" w:cs="Arial"/>
          <w:color w:val="000000" w:themeColor="text1"/>
        </w:rPr>
        <w:t xml:space="preserve">la gran minería, pero </w:t>
      </w:r>
      <w:r w:rsidR="00F921C6" w:rsidRPr="000E0F90">
        <w:rPr>
          <w:rFonts w:ascii="Arial" w:hAnsi="Arial" w:cs="Arial"/>
          <w:color w:val="000000" w:themeColor="text1"/>
        </w:rPr>
        <w:t>con</w:t>
      </w:r>
      <w:r w:rsidR="006F01CF" w:rsidRPr="000E0F90">
        <w:rPr>
          <w:rFonts w:ascii="Arial" w:hAnsi="Arial" w:cs="Arial"/>
          <w:color w:val="000000" w:themeColor="text1"/>
        </w:rPr>
        <w:t xml:space="preserve"> una</w:t>
      </w:r>
      <w:r w:rsidR="00F921C6" w:rsidRPr="000E0F90">
        <w:rPr>
          <w:rFonts w:ascii="Arial" w:hAnsi="Arial" w:cs="Arial"/>
          <w:color w:val="000000" w:themeColor="text1"/>
        </w:rPr>
        <w:t xml:space="preserve"> escasa</w:t>
      </w:r>
      <w:r w:rsidR="006F01CF" w:rsidRPr="000E0F90">
        <w:rPr>
          <w:rFonts w:ascii="Arial" w:hAnsi="Arial" w:cs="Arial"/>
          <w:color w:val="000000" w:themeColor="text1"/>
        </w:rPr>
        <w:t xml:space="preserve"> </w:t>
      </w:r>
      <w:r w:rsidR="00EB25B0" w:rsidRPr="000E0F90">
        <w:rPr>
          <w:rFonts w:ascii="Arial" w:hAnsi="Arial" w:cs="Arial"/>
          <w:color w:val="000000" w:themeColor="text1"/>
        </w:rPr>
        <w:t>vinculación</w:t>
      </w:r>
      <w:r w:rsidR="006F01CF" w:rsidRPr="000E0F90">
        <w:rPr>
          <w:rFonts w:ascii="Arial" w:hAnsi="Arial" w:cs="Arial"/>
          <w:color w:val="000000" w:themeColor="text1"/>
        </w:rPr>
        <w:t xml:space="preserve"> de la </w:t>
      </w:r>
      <w:r w:rsidR="00F921C6" w:rsidRPr="000E0F90">
        <w:rPr>
          <w:rFonts w:ascii="Arial" w:hAnsi="Arial" w:cs="Arial"/>
          <w:color w:val="000000" w:themeColor="text1"/>
        </w:rPr>
        <w:t xml:space="preserve">operación </w:t>
      </w:r>
      <w:r w:rsidR="00E20521" w:rsidRPr="000E0F90">
        <w:rPr>
          <w:rFonts w:ascii="Arial" w:hAnsi="Arial" w:cs="Arial"/>
          <w:color w:val="000000" w:themeColor="text1"/>
        </w:rPr>
        <w:t xml:space="preserve">minera </w:t>
      </w:r>
      <w:r w:rsidR="006F01CF" w:rsidRPr="000E0F90">
        <w:rPr>
          <w:rFonts w:ascii="Arial" w:hAnsi="Arial" w:cs="Arial"/>
          <w:color w:val="000000" w:themeColor="text1"/>
        </w:rPr>
        <w:t>con el territorio</w:t>
      </w:r>
      <w:r w:rsidR="00E20521" w:rsidRPr="000E0F90">
        <w:rPr>
          <w:rFonts w:ascii="Arial" w:hAnsi="Arial" w:cs="Arial"/>
          <w:color w:val="000000" w:themeColor="text1"/>
        </w:rPr>
        <w:t>,</w:t>
      </w:r>
      <w:r w:rsidR="006F01CF" w:rsidRPr="000E0F90">
        <w:rPr>
          <w:rFonts w:ascii="Arial" w:hAnsi="Arial" w:cs="Arial"/>
          <w:color w:val="000000" w:themeColor="text1"/>
        </w:rPr>
        <w:t xml:space="preserve"> </w:t>
      </w:r>
      <w:r w:rsidR="00F921C6" w:rsidRPr="000E0F90">
        <w:rPr>
          <w:rFonts w:ascii="Arial" w:hAnsi="Arial" w:cs="Arial"/>
          <w:color w:val="000000" w:themeColor="text1"/>
        </w:rPr>
        <w:t>sin embargo la existencia de empresas asociadas a la actividad minera en la comuna, ha elevado la contratación de mano de obra</w:t>
      </w:r>
      <w:r w:rsidR="006F01CF" w:rsidRPr="000E0F90">
        <w:rPr>
          <w:rFonts w:ascii="Arial" w:hAnsi="Arial" w:cs="Arial"/>
          <w:color w:val="000000" w:themeColor="text1"/>
        </w:rPr>
        <w:t xml:space="preserve"> local</w:t>
      </w:r>
      <w:r w:rsidR="00F921C6" w:rsidRPr="000E0F90">
        <w:rPr>
          <w:rFonts w:ascii="Arial" w:hAnsi="Arial" w:cs="Arial"/>
          <w:color w:val="000000" w:themeColor="text1"/>
        </w:rPr>
        <w:t xml:space="preserve">, en forma indirecta, </w:t>
      </w:r>
      <w:r w:rsidR="009D753B" w:rsidRPr="000E0F90">
        <w:rPr>
          <w:rFonts w:ascii="Arial" w:hAnsi="Arial" w:cs="Arial"/>
          <w:color w:val="000000" w:themeColor="text1"/>
        </w:rPr>
        <w:t>contribuyendo</w:t>
      </w:r>
      <w:r w:rsidR="00F921C6" w:rsidRPr="000E0F90">
        <w:rPr>
          <w:rFonts w:ascii="Arial" w:hAnsi="Arial" w:cs="Arial"/>
          <w:color w:val="000000" w:themeColor="text1"/>
        </w:rPr>
        <w:t xml:space="preserve"> al mejoramiento de las condiciones socioeconómicas directa</w:t>
      </w:r>
      <w:r w:rsidR="009D753B" w:rsidRPr="000E0F90">
        <w:rPr>
          <w:rFonts w:ascii="Arial" w:hAnsi="Arial" w:cs="Arial"/>
          <w:color w:val="000000" w:themeColor="text1"/>
        </w:rPr>
        <w:t xml:space="preserve">. </w:t>
      </w:r>
      <w:r w:rsidR="006F01CF" w:rsidRPr="000E0F90">
        <w:rPr>
          <w:rFonts w:ascii="Arial" w:hAnsi="Arial" w:cs="Arial"/>
          <w:color w:val="000000" w:themeColor="text1"/>
        </w:rPr>
        <w:t>Se evidencia un escaso desarrollo de otros usos</w:t>
      </w:r>
      <w:r w:rsidR="009D753B" w:rsidRPr="000E0F90">
        <w:rPr>
          <w:rFonts w:ascii="Arial" w:hAnsi="Arial" w:cs="Arial"/>
          <w:color w:val="000000" w:themeColor="text1"/>
        </w:rPr>
        <w:t xml:space="preserve"> territoriales, aun cuando,</w:t>
      </w:r>
      <w:r w:rsidR="006F01CF" w:rsidRPr="000E0F90">
        <w:rPr>
          <w:rFonts w:ascii="Arial" w:hAnsi="Arial" w:cs="Arial"/>
          <w:color w:val="000000" w:themeColor="text1"/>
        </w:rPr>
        <w:t xml:space="preserve"> existe</w:t>
      </w:r>
      <w:r w:rsidR="009D753B" w:rsidRPr="000E0F90">
        <w:rPr>
          <w:rFonts w:ascii="Arial" w:hAnsi="Arial" w:cs="Arial"/>
          <w:color w:val="000000" w:themeColor="text1"/>
        </w:rPr>
        <w:t>n</w:t>
      </w:r>
      <w:r w:rsidR="006F01CF" w:rsidRPr="000E0F90">
        <w:rPr>
          <w:rFonts w:ascii="Arial" w:hAnsi="Arial" w:cs="Arial"/>
          <w:color w:val="000000" w:themeColor="text1"/>
        </w:rPr>
        <w:t xml:space="preserve"> </w:t>
      </w:r>
      <w:r w:rsidR="00EB25B0" w:rsidRPr="000E0F90">
        <w:rPr>
          <w:rFonts w:ascii="Arial" w:hAnsi="Arial" w:cs="Arial"/>
          <w:color w:val="000000" w:themeColor="text1"/>
        </w:rPr>
        <w:t>posibilidades</w:t>
      </w:r>
      <w:r w:rsidR="006F01CF" w:rsidRPr="000E0F90">
        <w:rPr>
          <w:rFonts w:ascii="Arial" w:hAnsi="Arial" w:cs="Arial"/>
          <w:color w:val="000000" w:themeColor="text1"/>
        </w:rPr>
        <w:t xml:space="preserve"> para ello</w:t>
      </w:r>
      <w:r w:rsidR="008E4EC9" w:rsidRPr="000E0F90">
        <w:rPr>
          <w:rFonts w:ascii="Arial" w:hAnsi="Arial" w:cs="Arial"/>
          <w:color w:val="000000" w:themeColor="text1"/>
        </w:rPr>
        <w:t xml:space="preserve"> </w:t>
      </w:r>
    </w:p>
    <w:p w:rsidR="00C04B47" w:rsidRPr="000E0F90" w:rsidRDefault="00CB09EC" w:rsidP="00A17ADC">
      <w:pPr>
        <w:pStyle w:val="Ttulo2"/>
        <w:spacing w:before="360" w:line="360" w:lineRule="auto"/>
        <w:rPr>
          <w:rFonts w:cs="Arial"/>
        </w:rPr>
      </w:pPr>
      <w:bookmarkStart w:id="32" w:name="_Toc488774921"/>
      <w:r w:rsidRPr="000E0F90">
        <w:rPr>
          <w:rFonts w:cs="Arial"/>
        </w:rPr>
        <w:t>Evaluación sostenibilidad de territorios mineros</w:t>
      </w:r>
      <w:bookmarkEnd w:id="32"/>
      <w:r w:rsidRPr="000E0F90">
        <w:rPr>
          <w:rFonts w:cs="Arial"/>
        </w:rPr>
        <w:t xml:space="preserve"> </w:t>
      </w:r>
    </w:p>
    <w:p w:rsidR="008035CF" w:rsidRPr="000E0F90" w:rsidRDefault="008035CF" w:rsidP="00702D9A">
      <w:pPr>
        <w:spacing w:line="360" w:lineRule="auto"/>
        <w:rPr>
          <w:rFonts w:ascii="Arial" w:hAnsi="Arial" w:cs="Arial"/>
          <w:color w:val="000000" w:themeColor="text1"/>
        </w:rPr>
      </w:pPr>
      <w:r w:rsidRPr="000E0F90">
        <w:rPr>
          <w:rFonts w:ascii="Arial" w:hAnsi="Arial" w:cs="Arial"/>
          <w:color w:val="000000" w:themeColor="text1"/>
        </w:rPr>
        <w:t xml:space="preserve">Desde la perspectiva de los actores sociales locales, los territorios mineros bajo estudio presentan </w:t>
      </w:r>
      <w:r w:rsidR="006D51B0">
        <w:rPr>
          <w:rFonts w:ascii="Arial" w:hAnsi="Arial" w:cs="Arial"/>
          <w:color w:val="000000" w:themeColor="text1"/>
        </w:rPr>
        <w:t>situaciones que dificultan alcanzar la sostenibilidad</w:t>
      </w:r>
      <w:r w:rsidR="002D30B3">
        <w:rPr>
          <w:rFonts w:ascii="Arial" w:hAnsi="Arial" w:cs="Arial"/>
          <w:color w:val="000000" w:themeColor="text1"/>
        </w:rPr>
        <w:t xml:space="preserve">. </w:t>
      </w:r>
      <w:r w:rsidRPr="000E0F90">
        <w:rPr>
          <w:rFonts w:ascii="Arial" w:hAnsi="Arial" w:cs="Arial"/>
          <w:color w:val="000000" w:themeColor="text1"/>
        </w:rPr>
        <w:t>Particularmente en aspectos que tienen que ven con la dimensión temporal del concepto, es decir, equidad entre generaci</w:t>
      </w:r>
      <w:r w:rsidR="00BC081E" w:rsidRPr="000E0F90">
        <w:rPr>
          <w:rFonts w:ascii="Arial" w:hAnsi="Arial" w:cs="Arial"/>
          <w:color w:val="000000" w:themeColor="text1"/>
        </w:rPr>
        <w:t xml:space="preserve">ones y precaución y adaptación, </w:t>
      </w:r>
      <w:r w:rsidR="006D51B0" w:rsidRPr="000E0F90">
        <w:rPr>
          <w:rFonts w:ascii="Arial" w:hAnsi="Arial" w:cs="Arial"/>
          <w:color w:val="000000" w:themeColor="text1"/>
        </w:rPr>
        <w:t>evidencián</w:t>
      </w:r>
      <w:r w:rsidR="006D51B0">
        <w:rPr>
          <w:rFonts w:ascii="Arial" w:hAnsi="Arial" w:cs="Arial"/>
          <w:color w:val="000000" w:themeColor="text1"/>
        </w:rPr>
        <w:t>dose también</w:t>
      </w:r>
      <w:r w:rsidR="00BC081E" w:rsidRPr="000E0F90">
        <w:rPr>
          <w:rFonts w:ascii="Arial" w:hAnsi="Arial" w:cs="Arial"/>
          <w:color w:val="000000" w:themeColor="text1"/>
        </w:rPr>
        <w:t xml:space="preserve"> incumplimientos en el principio de civilidad y </w:t>
      </w:r>
      <w:r w:rsidRPr="000E0F90">
        <w:rPr>
          <w:rFonts w:ascii="Arial" w:hAnsi="Arial" w:cs="Arial"/>
          <w:color w:val="000000" w:themeColor="text1"/>
        </w:rPr>
        <w:t>gobernanza. Destacándose mayores conformidades en acciones tendientes a favorecer la calidad de vida y equidad</w:t>
      </w:r>
      <w:r w:rsidR="00BC081E" w:rsidRPr="000E0F90">
        <w:rPr>
          <w:rFonts w:ascii="Arial" w:hAnsi="Arial" w:cs="Arial"/>
          <w:color w:val="000000" w:themeColor="text1"/>
        </w:rPr>
        <w:t>,</w:t>
      </w:r>
      <w:r w:rsidR="002D30B3">
        <w:rPr>
          <w:rFonts w:ascii="Arial" w:hAnsi="Arial" w:cs="Arial"/>
          <w:color w:val="000000" w:themeColor="text1"/>
        </w:rPr>
        <w:t xml:space="preserve"> </w:t>
      </w:r>
      <w:r w:rsidRPr="000E0F90">
        <w:rPr>
          <w:rFonts w:ascii="Arial" w:hAnsi="Arial" w:cs="Arial"/>
          <w:color w:val="000000" w:themeColor="text1"/>
        </w:rPr>
        <w:t xml:space="preserve"> integridad </w:t>
      </w:r>
      <w:r w:rsidR="00FE7B37" w:rsidRPr="000E0F90">
        <w:rPr>
          <w:rFonts w:ascii="Arial" w:hAnsi="Arial" w:cs="Arial"/>
          <w:color w:val="000000" w:themeColor="text1"/>
        </w:rPr>
        <w:t xml:space="preserve">socio </w:t>
      </w:r>
      <w:r w:rsidRPr="000E0F90">
        <w:rPr>
          <w:rFonts w:ascii="Arial" w:hAnsi="Arial" w:cs="Arial"/>
          <w:color w:val="000000" w:themeColor="text1"/>
        </w:rPr>
        <w:t>ecológica</w:t>
      </w:r>
      <w:r w:rsidR="002D30B3">
        <w:rPr>
          <w:rFonts w:ascii="Arial" w:hAnsi="Arial" w:cs="Arial"/>
          <w:color w:val="000000" w:themeColor="text1"/>
        </w:rPr>
        <w:t xml:space="preserve"> y mantención de recursos y eficiencia</w:t>
      </w:r>
      <w:r w:rsidRPr="000E0F90">
        <w:rPr>
          <w:rFonts w:ascii="Arial" w:hAnsi="Arial" w:cs="Arial"/>
          <w:color w:val="000000" w:themeColor="text1"/>
        </w:rPr>
        <w:t xml:space="preserve">. </w:t>
      </w:r>
    </w:p>
    <w:p w:rsidR="0076352B" w:rsidRPr="000E0F90" w:rsidRDefault="0076352B" w:rsidP="00702D9A">
      <w:pPr>
        <w:spacing w:line="360" w:lineRule="auto"/>
        <w:rPr>
          <w:rFonts w:ascii="Arial" w:hAnsi="Arial" w:cs="Arial"/>
          <w:color w:val="000000" w:themeColor="text1"/>
        </w:rPr>
      </w:pPr>
      <w:r w:rsidRPr="000E0F90">
        <w:rPr>
          <w:rFonts w:ascii="Arial" w:hAnsi="Arial" w:cs="Arial"/>
          <w:color w:val="000000" w:themeColor="text1"/>
        </w:rPr>
        <w:lastRenderedPageBreak/>
        <w:t xml:space="preserve">Cabe señalar, que al ser una propuesta integrativa, se dificulta circunscribir los criterios elaborados a cada principio en forma absoluta, </w:t>
      </w:r>
      <w:r w:rsidR="002F44F7">
        <w:rPr>
          <w:rFonts w:ascii="Arial" w:hAnsi="Arial" w:cs="Arial"/>
          <w:color w:val="000000" w:themeColor="text1"/>
        </w:rPr>
        <w:t>impidiendo el análisis agrupado de la propuesta. D</w:t>
      </w:r>
      <w:r w:rsidRPr="000E0F90">
        <w:rPr>
          <w:rFonts w:ascii="Arial" w:hAnsi="Arial" w:cs="Arial"/>
          <w:color w:val="000000" w:themeColor="text1"/>
        </w:rPr>
        <w:t>ebiendo ser analizado en investigaciones futuras la forma en que se aborda para la ejecución práctica de la propuesta</w:t>
      </w:r>
    </w:p>
    <w:p w:rsidR="008035CF" w:rsidRPr="000E0F90" w:rsidRDefault="008035CF" w:rsidP="00702D9A">
      <w:pPr>
        <w:spacing w:before="120" w:line="360" w:lineRule="auto"/>
        <w:rPr>
          <w:rFonts w:ascii="Arial" w:hAnsi="Arial" w:cs="Arial"/>
          <w:color w:val="000000" w:themeColor="text1"/>
        </w:rPr>
      </w:pPr>
      <w:r w:rsidRPr="000E0F90">
        <w:rPr>
          <w:rFonts w:ascii="Arial" w:hAnsi="Arial" w:cs="Arial"/>
          <w:color w:val="000000" w:themeColor="text1"/>
        </w:rPr>
        <w:t>A continuación se presentan la discusión de los hallazgos en relación a la evaluación de cada principio, identificando aquellos aspectos que son ampliamente considerados en los territorios mineros estudiados, así como las mayores brechas respecto a la sostenibilidad, desde la perspectiva local.</w:t>
      </w:r>
    </w:p>
    <w:p w:rsidR="00E4515C" w:rsidRPr="000E0F90" w:rsidRDefault="00E4515C" w:rsidP="00702D9A">
      <w:pPr>
        <w:pStyle w:val="Ttulo3"/>
        <w:spacing w:after="0" w:line="360" w:lineRule="auto"/>
        <w:rPr>
          <w:rFonts w:ascii="Arial" w:hAnsi="Arial" w:cs="Arial"/>
        </w:rPr>
      </w:pPr>
      <w:r w:rsidRPr="000E0F90">
        <w:rPr>
          <w:rFonts w:ascii="Arial" w:hAnsi="Arial" w:cs="Arial"/>
        </w:rPr>
        <w:t xml:space="preserve">1. Integridad </w:t>
      </w:r>
      <w:r w:rsidR="00CB4BF2" w:rsidRPr="000E0F90">
        <w:rPr>
          <w:rFonts w:ascii="Arial" w:hAnsi="Arial" w:cs="Arial"/>
        </w:rPr>
        <w:t>Socio ecológica</w:t>
      </w:r>
    </w:p>
    <w:p w:rsidR="00246BED" w:rsidRPr="004B5079" w:rsidRDefault="00FE7B37" w:rsidP="00702D9A">
      <w:pPr>
        <w:spacing w:line="360" w:lineRule="auto"/>
        <w:rPr>
          <w:rFonts w:ascii="Arial" w:hAnsi="Arial" w:cs="Arial"/>
          <w:color w:val="FF0000"/>
        </w:rPr>
      </w:pPr>
      <w:r w:rsidRPr="000E0F90">
        <w:rPr>
          <w:rFonts w:ascii="Arial" w:hAnsi="Arial" w:cs="Arial"/>
          <w:color w:val="000000" w:themeColor="text1"/>
        </w:rPr>
        <w:t xml:space="preserve">De acuerdo a la información de los actores sociales locales, </w:t>
      </w:r>
      <w:r w:rsidR="008B2308" w:rsidRPr="000E0F90">
        <w:rPr>
          <w:rFonts w:ascii="Arial" w:hAnsi="Arial" w:cs="Arial"/>
          <w:color w:val="000000" w:themeColor="text1"/>
        </w:rPr>
        <w:t xml:space="preserve">se evidencia </w:t>
      </w:r>
      <w:r w:rsidR="00727C81" w:rsidRPr="000E0F90">
        <w:rPr>
          <w:rFonts w:ascii="Arial" w:hAnsi="Arial" w:cs="Arial"/>
          <w:color w:val="000000" w:themeColor="text1"/>
        </w:rPr>
        <w:t>una consideración</w:t>
      </w:r>
      <w:r w:rsidR="008F25BE" w:rsidRPr="000E0F90">
        <w:rPr>
          <w:rFonts w:ascii="Arial" w:hAnsi="Arial" w:cs="Arial"/>
          <w:color w:val="000000" w:themeColor="text1"/>
        </w:rPr>
        <w:t xml:space="preserve"> parcial </w:t>
      </w:r>
      <w:r w:rsidR="00616EF0" w:rsidRPr="000E0F90">
        <w:rPr>
          <w:rFonts w:ascii="Arial" w:hAnsi="Arial" w:cs="Arial"/>
          <w:color w:val="000000" w:themeColor="text1"/>
        </w:rPr>
        <w:t xml:space="preserve">respecto </w:t>
      </w:r>
      <w:r w:rsidRPr="000E0F90">
        <w:rPr>
          <w:rFonts w:ascii="Arial" w:hAnsi="Arial" w:cs="Arial"/>
          <w:color w:val="000000" w:themeColor="text1"/>
        </w:rPr>
        <w:t xml:space="preserve">a la integridad de los sistemas socio-ecológicos. </w:t>
      </w:r>
      <w:r w:rsidR="002F44F7">
        <w:rPr>
          <w:rFonts w:ascii="Arial" w:hAnsi="Arial" w:cs="Arial"/>
          <w:color w:val="000000" w:themeColor="text1"/>
        </w:rPr>
        <w:t>En</w:t>
      </w:r>
      <w:r w:rsidR="00DD6DFE">
        <w:rPr>
          <w:rFonts w:ascii="Arial" w:hAnsi="Arial" w:cs="Arial"/>
          <w:color w:val="000000" w:themeColor="text1"/>
        </w:rPr>
        <w:t xml:space="preserve"> la totalidad de los </w:t>
      </w:r>
      <w:r w:rsidR="002F44F7">
        <w:rPr>
          <w:rFonts w:ascii="Arial" w:hAnsi="Arial" w:cs="Arial"/>
          <w:color w:val="000000" w:themeColor="text1"/>
        </w:rPr>
        <w:t>territorios, l</w:t>
      </w:r>
      <w:r w:rsidRPr="000E0F90">
        <w:rPr>
          <w:rFonts w:ascii="Arial" w:hAnsi="Arial" w:cs="Arial"/>
          <w:color w:val="000000" w:themeColor="text1"/>
        </w:rPr>
        <w:t xml:space="preserve">os principales incumplimientos se </w:t>
      </w:r>
      <w:r w:rsidR="006D51B0">
        <w:rPr>
          <w:rFonts w:ascii="Arial" w:hAnsi="Arial" w:cs="Arial"/>
          <w:color w:val="000000" w:themeColor="text1"/>
        </w:rPr>
        <w:t>relacionan con</w:t>
      </w:r>
      <w:r w:rsidR="00616EF0" w:rsidRPr="000E0F90">
        <w:rPr>
          <w:rFonts w:ascii="Arial" w:hAnsi="Arial" w:cs="Arial"/>
          <w:color w:val="000000" w:themeColor="text1"/>
        </w:rPr>
        <w:t xml:space="preserve"> amenazas de origen antrópico a los ecosistemas</w:t>
      </w:r>
      <w:r w:rsidRPr="000E0F90">
        <w:rPr>
          <w:rFonts w:ascii="Arial" w:hAnsi="Arial" w:cs="Arial"/>
          <w:color w:val="000000" w:themeColor="text1"/>
        </w:rPr>
        <w:t xml:space="preserve"> y a </w:t>
      </w:r>
      <w:r w:rsidR="00526589" w:rsidRPr="000E0F90">
        <w:rPr>
          <w:rFonts w:ascii="Arial" w:hAnsi="Arial" w:cs="Arial"/>
          <w:color w:val="000000" w:themeColor="text1"/>
        </w:rPr>
        <w:t>las actividades territoriales locales</w:t>
      </w:r>
      <w:r w:rsidRPr="000E0F90">
        <w:rPr>
          <w:rFonts w:ascii="Arial" w:hAnsi="Arial" w:cs="Arial"/>
          <w:color w:val="000000" w:themeColor="text1"/>
        </w:rPr>
        <w:t>;</w:t>
      </w:r>
      <w:r w:rsidR="006D51B0">
        <w:rPr>
          <w:rFonts w:ascii="Arial" w:hAnsi="Arial" w:cs="Arial"/>
          <w:color w:val="000000" w:themeColor="text1"/>
        </w:rPr>
        <w:t xml:space="preserve"> a</w:t>
      </w:r>
      <w:r w:rsidRPr="000E0F90">
        <w:rPr>
          <w:rFonts w:ascii="Arial" w:hAnsi="Arial" w:cs="Arial"/>
          <w:color w:val="000000" w:themeColor="text1"/>
        </w:rPr>
        <w:t xml:space="preserve"> </w:t>
      </w:r>
      <w:r w:rsidR="00C034BB" w:rsidRPr="000E0F90">
        <w:rPr>
          <w:rFonts w:ascii="Arial" w:hAnsi="Arial" w:cs="Arial"/>
          <w:color w:val="000000" w:themeColor="text1"/>
        </w:rPr>
        <w:t xml:space="preserve">la </w:t>
      </w:r>
      <w:r w:rsidR="006D51B0">
        <w:rPr>
          <w:rFonts w:ascii="Arial" w:hAnsi="Arial" w:cs="Arial"/>
          <w:color w:val="000000" w:themeColor="text1"/>
        </w:rPr>
        <w:t xml:space="preserve">falta de </w:t>
      </w:r>
      <w:r w:rsidR="00C034BB" w:rsidRPr="000E0F90">
        <w:rPr>
          <w:rFonts w:ascii="Arial" w:hAnsi="Arial" w:cs="Arial"/>
          <w:color w:val="000000" w:themeColor="text1"/>
        </w:rPr>
        <w:t>adaptación hacia los ecosistemas</w:t>
      </w:r>
      <w:r w:rsidR="00C034BB">
        <w:rPr>
          <w:rFonts w:ascii="Arial" w:hAnsi="Arial" w:cs="Arial"/>
          <w:color w:val="000000" w:themeColor="text1"/>
        </w:rPr>
        <w:t>;</w:t>
      </w:r>
      <w:r w:rsidR="006D51B0">
        <w:rPr>
          <w:rFonts w:ascii="Arial" w:hAnsi="Arial" w:cs="Arial"/>
          <w:color w:val="000000" w:themeColor="text1"/>
        </w:rPr>
        <w:t xml:space="preserve"> a</w:t>
      </w:r>
      <w:r w:rsidR="00C034BB">
        <w:rPr>
          <w:rFonts w:ascii="Arial" w:hAnsi="Arial" w:cs="Arial"/>
          <w:color w:val="000000" w:themeColor="text1"/>
        </w:rPr>
        <w:t xml:space="preserve"> </w:t>
      </w:r>
      <w:r w:rsidR="00E328E2" w:rsidRPr="000E0F90">
        <w:rPr>
          <w:rFonts w:ascii="Arial" w:hAnsi="Arial" w:cs="Arial"/>
          <w:color w:val="000000" w:themeColor="text1"/>
        </w:rPr>
        <w:t>la</w:t>
      </w:r>
      <w:r w:rsidR="006D51B0">
        <w:rPr>
          <w:rFonts w:ascii="Arial" w:hAnsi="Arial" w:cs="Arial"/>
          <w:color w:val="000000" w:themeColor="text1"/>
        </w:rPr>
        <w:t xml:space="preserve"> nula</w:t>
      </w:r>
      <w:r w:rsidR="00E328E2" w:rsidRPr="000E0F90">
        <w:rPr>
          <w:rFonts w:ascii="Arial" w:hAnsi="Arial" w:cs="Arial"/>
          <w:color w:val="000000" w:themeColor="text1"/>
        </w:rPr>
        <w:t xml:space="preserve"> rehabilitación o restauración de ecosistemas degradados; y</w:t>
      </w:r>
      <w:r w:rsidR="00217C99">
        <w:rPr>
          <w:rFonts w:ascii="Arial" w:hAnsi="Arial" w:cs="Arial"/>
          <w:color w:val="000000" w:themeColor="text1"/>
        </w:rPr>
        <w:t xml:space="preserve"> en</w:t>
      </w:r>
      <w:r w:rsidR="00E328E2" w:rsidRPr="000E0F90">
        <w:rPr>
          <w:rFonts w:ascii="Arial" w:hAnsi="Arial" w:cs="Arial"/>
          <w:color w:val="000000" w:themeColor="text1"/>
        </w:rPr>
        <w:t xml:space="preserve"> los impactos espaciales y temporales </w:t>
      </w:r>
      <w:r w:rsidR="004B5079">
        <w:rPr>
          <w:rFonts w:ascii="Arial" w:hAnsi="Arial" w:cs="Arial"/>
          <w:color w:val="000000" w:themeColor="text1"/>
        </w:rPr>
        <w:t>de las actividades territoriales</w:t>
      </w:r>
      <w:r w:rsidR="00E328E2" w:rsidRPr="000E0F90">
        <w:rPr>
          <w:rFonts w:ascii="Arial" w:hAnsi="Arial" w:cs="Arial"/>
          <w:color w:val="000000" w:themeColor="text1"/>
        </w:rPr>
        <w:t>.</w:t>
      </w:r>
      <w:r w:rsidR="004B5079">
        <w:rPr>
          <w:rFonts w:ascii="Arial" w:hAnsi="Arial" w:cs="Arial"/>
          <w:color w:val="000000" w:themeColor="text1"/>
        </w:rPr>
        <w:t xml:space="preserve"> S</w:t>
      </w:r>
      <w:r w:rsidR="004B5079" w:rsidRPr="000E0F90">
        <w:rPr>
          <w:rFonts w:ascii="Arial" w:hAnsi="Arial" w:cs="Arial"/>
          <w:color w:val="000000" w:themeColor="text1"/>
        </w:rPr>
        <w:t xml:space="preserve">e identifican presiones en la capacidad de asimilación de desechos, </w:t>
      </w:r>
      <w:r w:rsidR="004B5079">
        <w:rPr>
          <w:rFonts w:ascii="Arial" w:hAnsi="Arial" w:cs="Arial"/>
          <w:color w:val="000000" w:themeColor="text1"/>
        </w:rPr>
        <w:t>y</w:t>
      </w:r>
      <w:r w:rsidR="004B5079" w:rsidRPr="000E0F90">
        <w:rPr>
          <w:rFonts w:ascii="Arial" w:hAnsi="Arial" w:cs="Arial"/>
          <w:color w:val="000000" w:themeColor="text1"/>
        </w:rPr>
        <w:t xml:space="preserve"> en funciones de </w:t>
      </w:r>
      <w:r w:rsidR="004B5079">
        <w:rPr>
          <w:rFonts w:ascii="Arial" w:hAnsi="Arial" w:cs="Arial"/>
          <w:color w:val="000000" w:themeColor="text1"/>
        </w:rPr>
        <w:t>provisión de servicios ecosisté</w:t>
      </w:r>
      <w:r w:rsidR="004B5079" w:rsidRPr="000E0F90">
        <w:rPr>
          <w:rFonts w:ascii="Arial" w:hAnsi="Arial" w:cs="Arial"/>
          <w:color w:val="000000" w:themeColor="text1"/>
        </w:rPr>
        <w:t>m</w:t>
      </w:r>
      <w:r w:rsidR="004B5079">
        <w:rPr>
          <w:rFonts w:ascii="Arial" w:hAnsi="Arial" w:cs="Arial"/>
          <w:color w:val="000000" w:themeColor="text1"/>
        </w:rPr>
        <w:t>icos</w:t>
      </w:r>
      <w:r w:rsidR="004B5079" w:rsidRPr="000E0F90">
        <w:rPr>
          <w:rFonts w:ascii="Arial" w:hAnsi="Arial" w:cs="Arial"/>
          <w:color w:val="000000" w:themeColor="text1"/>
        </w:rPr>
        <w:t>.</w:t>
      </w:r>
      <w:r w:rsidR="00E328E2" w:rsidRPr="000E0F90">
        <w:rPr>
          <w:rFonts w:ascii="Arial" w:hAnsi="Arial" w:cs="Arial"/>
          <w:color w:val="000000" w:themeColor="text1"/>
        </w:rPr>
        <w:t xml:space="preserve"> Por otra parte</w:t>
      </w:r>
      <w:r w:rsidR="002F44F7">
        <w:rPr>
          <w:rFonts w:ascii="Arial" w:hAnsi="Arial" w:cs="Arial"/>
          <w:color w:val="000000" w:themeColor="text1"/>
        </w:rPr>
        <w:t>,</w:t>
      </w:r>
      <w:r w:rsidR="00E328E2" w:rsidRPr="000E0F90">
        <w:rPr>
          <w:rFonts w:ascii="Arial" w:hAnsi="Arial" w:cs="Arial"/>
          <w:color w:val="000000" w:themeColor="text1"/>
        </w:rPr>
        <w:t xml:space="preserve"> se evidencian cumplimientos parciales en </w:t>
      </w:r>
      <w:r w:rsidR="001862A5" w:rsidRPr="000E0F90">
        <w:rPr>
          <w:rFonts w:ascii="Arial" w:hAnsi="Arial" w:cs="Arial"/>
          <w:color w:val="000000" w:themeColor="text1"/>
        </w:rPr>
        <w:t xml:space="preserve">la </w:t>
      </w:r>
      <w:r w:rsidR="00C034BB">
        <w:rPr>
          <w:rFonts w:ascii="Arial" w:hAnsi="Arial" w:cs="Arial"/>
          <w:color w:val="000000" w:themeColor="text1"/>
        </w:rPr>
        <w:t>implementación de</w:t>
      </w:r>
      <w:r w:rsidR="001862A5" w:rsidRPr="000E0F90">
        <w:rPr>
          <w:rFonts w:ascii="Arial" w:hAnsi="Arial" w:cs="Arial"/>
          <w:color w:val="000000" w:themeColor="text1"/>
        </w:rPr>
        <w:t xml:space="preserve"> </w:t>
      </w:r>
      <w:r w:rsidR="00C034BB">
        <w:rPr>
          <w:rFonts w:ascii="Arial" w:hAnsi="Arial" w:cs="Arial"/>
          <w:color w:val="000000" w:themeColor="text1"/>
        </w:rPr>
        <w:t>medidas de mitigación efectivas</w:t>
      </w:r>
      <w:r w:rsidR="001862A5">
        <w:rPr>
          <w:rFonts w:ascii="Arial" w:hAnsi="Arial" w:cs="Arial"/>
          <w:color w:val="000000" w:themeColor="text1"/>
        </w:rPr>
        <w:t xml:space="preserve"> </w:t>
      </w:r>
      <w:r w:rsidR="004856F2">
        <w:rPr>
          <w:rFonts w:ascii="Arial" w:hAnsi="Arial" w:cs="Arial"/>
          <w:color w:val="000000" w:themeColor="text1"/>
        </w:rPr>
        <w:t xml:space="preserve">y </w:t>
      </w:r>
      <w:r w:rsidR="003A71DA">
        <w:rPr>
          <w:rFonts w:ascii="Arial" w:hAnsi="Arial" w:cs="Arial"/>
          <w:color w:val="000000" w:themeColor="text1"/>
        </w:rPr>
        <w:t>limitaciones en</w:t>
      </w:r>
      <w:r w:rsidR="004856F2">
        <w:rPr>
          <w:rFonts w:ascii="Arial" w:hAnsi="Arial" w:cs="Arial"/>
          <w:color w:val="000000" w:themeColor="text1"/>
        </w:rPr>
        <w:t xml:space="preserve"> la</w:t>
      </w:r>
      <w:r w:rsidR="004856F2">
        <w:rPr>
          <w:rFonts w:ascii="Arial" w:hAnsi="Arial" w:cs="Arial"/>
        </w:rPr>
        <w:t xml:space="preserve"> </w:t>
      </w:r>
      <w:r w:rsidR="004856F2" w:rsidRPr="004B5079">
        <w:rPr>
          <w:rFonts w:ascii="Arial" w:hAnsi="Arial" w:cs="Arial"/>
        </w:rPr>
        <w:t>preservación de actividades territoriales.</w:t>
      </w:r>
    </w:p>
    <w:p w:rsidR="00B5076F" w:rsidRDefault="00B5076F" w:rsidP="00702D9A">
      <w:pPr>
        <w:spacing w:before="240" w:line="360" w:lineRule="auto"/>
        <w:rPr>
          <w:rFonts w:ascii="Arial" w:hAnsi="Arial" w:cs="Arial"/>
          <w:color w:val="000000" w:themeColor="text1"/>
        </w:rPr>
      </w:pPr>
      <w:r>
        <w:rPr>
          <w:rFonts w:ascii="Arial" w:hAnsi="Arial" w:cs="Arial"/>
          <w:color w:val="000000" w:themeColor="text1"/>
        </w:rPr>
        <w:t xml:space="preserve">Respecto a las amenazas antropogénicas, se evidencian impactos en la calidad y disponibilidad del recurso hídrico, </w:t>
      </w:r>
      <w:r w:rsidR="00A830E3">
        <w:rPr>
          <w:rFonts w:ascii="Arial" w:hAnsi="Arial" w:cs="Arial"/>
          <w:color w:val="000000" w:themeColor="text1"/>
        </w:rPr>
        <w:t xml:space="preserve">en Tierra Amarilla, Alto del Carmen, La Higuera y Salamanca </w:t>
      </w:r>
      <w:r>
        <w:rPr>
          <w:rFonts w:ascii="Arial" w:hAnsi="Arial" w:cs="Arial"/>
          <w:color w:val="000000" w:themeColor="text1"/>
        </w:rPr>
        <w:t>por actividades miner</w:t>
      </w:r>
      <w:r w:rsidR="00A830E3">
        <w:rPr>
          <w:rFonts w:ascii="Arial" w:hAnsi="Arial" w:cs="Arial"/>
          <w:color w:val="000000" w:themeColor="text1"/>
        </w:rPr>
        <w:t>as principalmente y agrícolas en menor grado</w:t>
      </w:r>
      <w:r w:rsidR="00D23173">
        <w:rPr>
          <w:rFonts w:ascii="Arial" w:hAnsi="Arial" w:cs="Arial"/>
          <w:color w:val="000000" w:themeColor="text1"/>
        </w:rPr>
        <w:t xml:space="preserve">. </w:t>
      </w:r>
      <w:r w:rsidR="00A830E3">
        <w:rPr>
          <w:rFonts w:ascii="Arial" w:hAnsi="Arial" w:cs="Arial"/>
          <w:color w:val="000000" w:themeColor="text1"/>
        </w:rPr>
        <w:t>Se identifica c</w:t>
      </w:r>
      <w:r>
        <w:rPr>
          <w:rFonts w:ascii="Arial" w:hAnsi="Arial" w:cs="Arial"/>
          <w:color w:val="000000" w:themeColor="text1"/>
        </w:rPr>
        <w:t>ontaminación atmosférica y del recurso suelo</w:t>
      </w:r>
      <w:r w:rsidR="00D23173">
        <w:rPr>
          <w:rFonts w:ascii="Arial" w:hAnsi="Arial" w:cs="Arial"/>
          <w:color w:val="000000" w:themeColor="text1"/>
        </w:rPr>
        <w:t>, principalmente en Tierra Amarilla y Salamanca</w:t>
      </w:r>
      <w:r>
        <w:rPr>
          <w:rFonts w:ascii="Arial" w:hAnsi="Arial" w:cs="Arial"/>
          <w:color w:val="000000" w:themeColor="text1"/>
        </w:rPr>
        <w:t>, por actividades mineras</w:t>
      </w:r>
      <w:r w:rsidR="00D23173">
        <w:rPr>
          <w:rFonts w:ascii="Arial" w:hAnsi="Arial" w:cs="Arial"/>
          <w:color w:val="000000" w:themeColor="text1"/>
        </w:rPr>
        <w:t>, básicamente</w:t>
      </w:r>
      <w:r>
        <w:rPr>
          <w:rFonts w:ascii="Arial" w:hAnsi="Arial" w:cs="Arial"/>
          <w:color w:val="000000" w:themeColor="text1"/>
        </w:rPr>
        <w:t xml:space="preserve">. Afectando la salud </w:t>
      </w:r>
      <w:r w:rsidR="00D23173">
        <w:rPr>
          <w:rFonts w:ascii="Arial" w:hAnsi="Arial" w:cs="Arial"/>
          <w:color w:val="000000" w:themeColor="text1"/>
        </w:rPr>
        <w:t xml:space="preserve">y seguridad </w:t>
      </w:r>
      <w:r>
        <w:rPr>
          <w:rFonts w:ascii="Arial" w:hAnsi="Arial" w:cs="Arial"/>
          <w:color w:val="000000" w:themeColor="text1"/>
        </w:rPr>
        <w:t>humana, así como el desarrollo de otras actividades territoriales</w:t>
      </w:r>
      <w:r w:rsidR="00D23173">
        <w:rPr>
          <w:rFonts w:ascii="Arial" w:hAnsi="Arial" w:cs="Arial"/>
          <w:color w:val="000000" w:themeColor="text1"/>
        </w:rPr>
        <w:t>,</w:t>
      </w:r>
      <w:r>
        <w:rPr>
          <w:rFonts w:ascii="Arial" w:hAnsi="Arial" w:cs="Arial"/>
          <w:color w:val="000000" w:themeColor="text1"/>
        </w:rPr>
        <w:t xml:space="preserve"> como la actividad agrícola. </w:t>
      </w:r>
      <w:r w:rsidR="00D23173">
        <w:rPr>
          <w:rFonts w:ascii="Arial" w:hAnsi="Arial" w:cs="Arial"/>
          <w:color w:val="000000" w:themeColor="text1"/>
        </w:rPr>
        <w:t xml:space="preserve">Cabe señalar que en los territorios mineros nacionales, los impactos en el recurso hídrico, atmosférico y edáfico se encuentran descritos como parte de las consecuencias de la actividad minera local </w:t>
      </w:r>
      <w:r w:rsidR="00D23173" w:rsidRPr="000E0F90">
        <w:rPr>
          <w:rFonts w:ascii="Arial" w:hAnsi="Arial" w:cs="Arial"/>
          <w:color w:val="000000" w:themeColor="text1"/>
          <w:lang w:eastAsia="es-CL"/>
        </w:rPr>
        <w:fldChar w:fldCharType="begin" w:fldLock="1"/>
      </w:r>
      <w:r w:rsidR="00D23173" w:rsidRPr="000E0F90">
        <w:rPr>
          <w:rFonts w:ascii="Arial" w:hAnsi="Arial" w:cs="Arial"/>
          <w:color w:val="000000" w:themeColor="text1"/>
          <w:lang w:eastAsia="es-CL"/>
        </w:rPr>
        <w:instrText>ADDIN CSL_CITATION { "citationItems" : [ { "id" : "ITEM-1", "itemData" : { "author" : [ { "dropping-particle" : "", "family" : "Oyarz\u00fan", "given" : "J", "non-dropping-particle" : "", "parse-names" : false, "suffix" : "" }, { "dropping-particle" : "", "family" : "Oyarz\u00fan", "given" : "R", "non-dropping-particle" : "", "parse-names" : false, "suffix" : "" } ], "container-title" : "Sustainable Development", "id" : "ITEM-1", "issue" : "December 2009", "issued" : { "date-parts" : [ [ "2011" ] ] }, "page" : "263-274", "title" : "Sustainable Development Threats, Inter-Sector Confl icts and Environmental Policy Requirements in the Arid, Mining Rich, Northern Chile Territory", "type" : "article-journal", "volume" : "19" }, "uris" : [ "http://www.mendeley.com/documents/?uuid=928eabd5-0755-4c69-a4cc-894aa1284178" ] } ], "mendeley" : { "formattedCitation" : "(Oyarz\u00fan &amp; Oyarz\u00fan, 2011)", "plainTextFormattedCitation" : "(Oyarz\u00fan &amp; Oyarz\u00fan, 2011)", "previouslyFormattedCitation" : "(Oyarz\u00fan &amp; Oyarz\u00fan, 2011)" }, "properties" : { "noteIndex" : 0 }, "schema" : "https://github.com/citation-style-language/schema/raw/master/csl-citation.json" }</w:instrText>
      </w:r>
      <w:r w:rsidR="00D23173" w:rsidRPr="000E0F90">
        <w:rPr>
          <w:rFonts w:ascii="Arial" w:hAnsi="Arial" w:cs="Arial"/>
          <w:color w:val="000000" w:themeColor="text1"/>
          <w:lang w:eastAsia="es-CL"/>
        </w:rPr>
        <w:fldChar w:fldCharType="separate"/>
      </w:r>
      <w:r w:rsidR="00D23173" w:rsidRPr="000E0F90">
        <w:rPr>
          <w:rFonts w:ascii="Arial" w:hAnsi="Arial" w:cs="Arial"/>
          <w:noProof/>
          <w:color w:val="000000" w:themeColor="text1"/>
          <w:lang w:eastAsia="es-CL"/>
        </w:rPr>
        <w:t>(Oyarzún &amp; Oyarzún, 2011)</w:t>
      </w:r>
      <w:r w:rsidR="00D23173" w:rsidRPr="000E0F90">
        <w:rPr>
          <w:rFonts w:ascii="Arial" w:hAnsi="Arial" w:cs="Arial"/>
          <w:color w:val="000000" w:themeColor="text1"/>
          <w:lang w:eastAsia="es-CL"/>
        </w:rPr>
        <w:fldChar w:fldCharType="end"/>
      </w:r>
      <w:r w:rsidR="00D23173" w:rsidRPr="000E0F90">
        <w:rPr>
          <w:rFonts w:ascii="Arial" w:hAnsi="Arial" w:cs="Arial"/>
          <w:color w:val="000000" w:themeColor="text1"/>
          <w:lang w:eastAsia="es-CL"/>
        </w:rPr>
        <w:t xml:space="preserve"> </w:t>
      </w:r>
      <w:r w:rsidR="00D23173" w:rsidRPr="000E0F90">
        <w:rPr>
          <w:rFonts w:ascii="Arial" w:hAnsi="Arial" w:cs="Arial"/>
          <w:color w:val="000000" w:themeColor="text1"/>
          <w:lang w:eastAsia="es-CL"/>
        </w:rPr>
        <w:fldChar w:fldCharType="begin" w:fldLock="1"/>
      </w:r>
      <w:r w:rsidR="00D23173" w:rsidRPr="000E0F90">
        <w:rPr>
          <w:rFonts w:ascii="Arial" w:hAnsi="Arial" w:cs="Arial"/>
          <w:color w:val="000000" w:themeColor="text1"/>
          <w:lang w:eastAsia="es-CL"/>
        </w:rPr>
        <w:instrText>ADDIN CSL_CITATION { "citationItems" : [ { "id" : "ITEM-1", "itemData" : { "DOI" : "10.1080/17480930.2015.1128799", "ISSN" : "1748-0930", "abstract" : "Chile is the principal producer of copper with a total of 5.8\u00a0million tonnes fine copper production in 2013. Chilean mining industry currently faces a projected increase in waste production, depleting water resources in the arid mining regions of the north and a lack of fossil fuel energy sources. In this study, a review of the historical background of environmental practices in Chile is presented, focused between 1970 and 2010. A review of the current state of sustainable development, comprising energy, water, stakeholder participation, environmental impacts and institutional decentralisation in the mining industry is presented.", "author" : [ { "dropping-particle" : "", "family" : "Ghorbani", "given" : "Yousef", "non-dropping-particle" : "", "parse-names" : false, "suffix" : "" }, { "dropping-particle" : "", "family" : "Kuan", "given" : "Seng How", "non-dropping-particle" : "", "parse-names" : false, "suffix" : "" } ], "container-title" : "International Journal of Mining, Reclamation and Environment", "id" : "ITEM-1", "issue" : "February", "issued" : { "date-parts" : [ [ "2016" ] ] }, "note" : "NULL", "page" : "1-29", "publisher" : "Taylor &amp; Francis", "title" : "A review of sustainable development in the Chilean mining sector: past, present and future", "type" : "article-journal", "volume" : "0930" }, "uris" : [ "http://www.mendeley.com/documents/?uuid=ba6630bb-3cdb-4443-b119-f6b6f68bafa7" ] } ], "mendeley" : { "formattedCitation" : "(Ghorbani &amp; Kuan, 2016)", "plainTextFormattedCitation" : "(Ghorbani &amp; Kuan, 2016)", "previouslyFormattedCitation" : "(Ghorbani &amp; Kuan, 2016)" }, "properties" : { "noteIndex" : 0 }, "schema" : "https://github.com/citation-style-language/schema/raw/master/csl-citation.json" }</w:instrText>
      </w:r>
      <w:r w:rsidR="00D23173" w:rsidRPr="000E0F90">
        <w:rPr>
          <w:rFonts w:ascii="Arial" w:hAnsi="Arial" w:cs="Arial"/>
          <w:color w:val="000000" w:themeColor="text1"/>
          <w:lang w:eastAsia="es-CL"/>
        </w:rPr>
        <w:fldChar w:fldCharType="separate"/>
      </w:r>
      <w:r w:rsidR="00D23173" w:rsidRPr="000E0F90">
        <w:rPr>
          <w:rFonts w:ascii="Arial" w:hAnsi="Arial" w:cs="Arial"/>
          <w:noProof/>
          <w:color w:val="000000" w:themeColor="text1"/>
          <w:lang w:eastAsia="es-CL"/>
        </w:rPr>
        <w:t>(Ghorbani &amp; Kuan, 2016)</w:t>
      </w:r>
      <w:r w:rsidR="00D23173" w:rsidRPr="000E0F90">
        <w:rPr>
          <w:rFonts w:ascii="Arial" w:hAnsi="Arial" w:cs="Arial"/>
          <w:color w:val="000000" w:themeColor="text1"/>
          <w:lang w:eastAsia="es-CL"/>
        </w:rPr>
        <w:fldChar w:fldCharType="end"/>
      </w:r>
      <w:r w:rsidR="00D23173" w:rsidRPr="000E0F90">
        <w:rPr>
          <w:rFonts w:ascii="Arial" w:hAnsi="Arial" w:cs="Arial"/>
          <w:color w:val="000000" w:themeColor="text1"/>
          <w:lang w:eastAsia="es-CL"/>
        </w:rPr>
        <w:t xml:space="preserve"> </w:t>
      </w:r>
      <w:r w:rsidR="00D23173" w:rsidRPr="000E0F90">
        <w:rPr>
          <w:rFonts w:ascii="Arial" w:hAnsi="Arial" w:cs="Arial"/>
          <w:color w:val="000000" w:themeColor="text1"/>
          <w:lang w:eastAsia="es-CL"/>
        </w:rPr>
        <w:fldChar w:fldCharType="begin" w:fldLock="1"/>
      </w:r>
      <w:r w:rsidR="00D23173" w:rsidRPr="000E0F90">
        <w:rPr>
          <w:rFonts w:ascii="Arial" w:hAnsi="Arial" w:cs="Arial"/>
          <w:color w:val="000000" w:themeColor="text1"/>
          <w:lang w:eastAsia="es-CL"/>
        </w:rPr>
        <w:instrText>ADDIN CSL_CITATION { "citationItems" : [ { "id" : "ITEM-1", "itemData" : { "author" : [ { "dropping-particle" : "", "family" : "Schildermans", "given" : "Peter", "non-dropping-particle" : "", "parse-names" : false, "suffix" : "" } ], "id" : "ITEM-1", "issued" : { "date-parts" : [ [ "2011" ] ] }, "note" : "NULL", "page" : "256", "title" : "The Chilean copper industry towards a more ecologically durable exploitation ?", "type" : "article-journal" }, "uris" : [ "http://www.mendeley.com/documents/?uuid=b25a2fcc-89a4-4984-9241-223ea94111a8" ] } ], "mendeley" : { "formattedCitation" : "(Schildermans, 2011)", "plainTextFormattedCitation" : "(Schildermans, 2011)", "previouslyFormattedCitation" : "(Schildermans, 2011)" }, "properties" : { "noteIndex" : 0 }, "schema" : "https://github.com/citation-style-language/schema/raw/master/csl-citation.json" }</w:instrText>
      </w:r>
      <w:r w:rsidR="00D23173" w:rsidRPr="000E0F90">
        <w:rPr>
          <w:rFonts w:ascii="Arial" w:hAnsi="Arial" w:cs="Arial"/>
          <w:color w:val="000000" w:themeColor="text1"/>
          <w:lang w:eastAsia="es-CL"/>
        </w:rPr>
        <w:fldChar w:fldCharType="separate"/>
      </w:r>
      <w:r w:rsidR="00D23173" w:rsidRPr="000E0F90">
        <w:rPr>
          <w:rFonts w:ascii="Arial" w:hAnsi="Arial" w:cs="Arial"/>
          <w:noProof/>
          <w:color w:val="000000" w:themeColor="text1"/>
          <w:lang w:eastAsia="es-CL"/>
        </w:rPr>
        <w:t>(Schildermans, 2011)</w:t>
      </w:r>
      <w:r w:rsidR="00D23173" w:rsidRPr="000E0F90">
        <w:rPr>
          <w:rFonts w:ascii="Arial" w:hAnsi="Arial" w:cs="Arial"/>
          <w:color w:val="000000" w:themeColor="text1"/>
          <w:lang w:eastAsia="es-CL"/>
        </w:rPr>
        <w:fldChar w:fldCharType="end"/>
      </w:r>
      <w:r w:rsidR="00D23173" w:rsidRPr="000E0F90">
        <w:rPr>
          <w:rFonts w:ascii="Arial" w:hAnsi="Arial" w:cs="Arial"/>
          <w:color w:val="000000" w:themeColor="text1"/>
          <w:lang w:eastAsia="es-CL"/>
        </w:rPr>
        <w:t xml:space="preserve"> </w:t>
      </w:r>
      <w:r w:rsidR="00D23173" w:rsidRPr="000E0F90">
        <w:rPr>
          <w:rFonts w:ascii="Arial" w:hAnsi="Arial" w:cs="Arial"/>
          <w:color w:val="000000" w:themeColor="text1"/>
          <w:lang w:eastAsia="es-CL"/>
        </w:rPr>
        <w:fldChar w:fldCharType="begin" w:fldLock="1"/>
      </w:r>
      <w:r w:rsidR="00D23173" w:rsidRPr="000E0F90">
        <w:rPr>
          <w:rFonts w:ascii="Arial" w:hAnsi="Arial" w:cs="Arial"/>
          <w:color w:val="000000" w:themeColor="text1"/>
          <w:lang w:eastAsia="es-CL"/>
        </w:rPr>
        <w:instrText>ADDIN CSL_CITATION { "citationItems" : [ { "id" : "ITEM-1", "itemData" : { "DOI" : "10.1007/s10653-016-9793-5", "ISSN" : "15732983", "PMID" : "26758741", "abstract" : "Urban expansion in areas of active and legacy mining imposes a sustainability challenge, especially in arid environments where cities compete for resources with agriculture and industry. The city of Copiap\u00f3, with 150,000 inhabitants in the Atacama Desert, reflects this challenge. More than 30 abandoned tailings from legacy mining are scattered throughout its urban and peri-urban area, which include an active copper smelter. Despite the public concern generated by the mining-related pollution, no geochemical information is currently available for Copiap\u00f3, particularly for metal concentration in environmental solid phases. A geochemical screening of soils (n = 42), street dusts (n = 71) and tailings (n = 68) was conducted in November 2014 and April 2015. Organic matter, pH and elemental composition measurements were taken. Notably, copper in soils (60-2120 mg/kg) and street dusts (110-10,200 mg/kg) consistently exceeded international guidelines for residential and industrial use, while a lower proportion of samples exceeded international guidelines for arsenic, zinc and lead. Metal enrichment occurred in residential, industrial and agricultural areas near tailings and the copper smelter. This first screening of metal contamination sets the basis for future risk assessments toward defining knowledge-based policies and urban planning. Challenges include developing: (1) adequate intervention guideline values; (2) appropriate geochemical background levels for key metals; (3) urban planning that considers contaminated areas; (4) cost-effective control strategies for abandoned tailings in water-scarce areas; and (5) scenarios and technologies for tailings reprocessing. Assessing urban geochemical risks is a critical endeavor for areas where extreme events triggered by climate change are likely, as the mud flooding that impacted Copiap\u00f3 in late March 2015.", "author" : [ { "dropping-particle" : "", "family" : "Carkovic", "given" : "Athena B.", "non-dropping-particle" : "", "parse-names" : false, "suffix" : "" }, { "dropping-particle" : "", "family" : "Calcagni", "given" : "Magdalena S.", "non-dropping-particle" : "", "parse-names" : false, "suffix" : "" }, { "dropping-particle" : "", "family" : "Vega", "given" : "Alejandra S.", "non-dropping-particle" : "", "parse-names" : false, "suffix" : "" }, { "dropping-particle" : "", "family" : "Coquery", "given" : "Marina", "non-dropping-particle" : "", "parse-names" : false, "suffix" : "" }, { "dropping-particle" : "", "family" : "Moya", "given" : "Pablo M.", "non-dropping-particle" : "", "parse-names" : false, "suffix" : "" }, { "dropping-particle" : "", "family" : "Bonilla", "given" : "Carlos a.", "non-dropping-particle" : "", "parse-names" : false, "suffix" : "" }, { "dropping-particle" : "", "family" : "Past??n", "given" : "Pablo a.", "non-dropping-particle" : "", "parse-names" : false, "suffix" : "" } ], "container-title" : "Environmental Geochemistry and Health", "id" : "ITEM-1", "issued" : { "date-parts" : [ [ "2016" ] ] }, "page" : "1001-1014", "title" : "Active and legacy mining in an arid urban environment: challenges and perspectives for Copiap??, Northern Chile", "type" : "article-journal", "volume" : "38" }, "uris" : [ "http://www.mendeley.com/documents/?uuid=54fc0d7e-7d07-4100-b89b-b4e7c153c230" ] } ], "mendeley" : { "formattedCitation" : "(Carkovic et al., 2016)", "plainTextFormattedCitation" : "(Carkovic et al., 2016)", "previouslyFormattedCitation" : "(Carkovic et al., 2016)" }, "properties" : { "noteIndex" : 0 }, "schema" : "https://github.com/citation-style-language/schema/raw/master/csl-citation.json" }</w:instrText>
      </w:r>
      <w:r w:rsidR="00D23173" w:rsidRPr="000E0F90">
        <w:rPr>
          <w:rFonts w:ascii="Arial" w:hAnsi="Arial" w:cs="Arial"/>
          <w:color w:val="000000" w:themeColor="text1"/>
          <w:lang w:eastAsia="es-CL"/>
        </w:rPr>
        <w:fldChar w:fldCharType="separate"/>
      </w:r>
      <w:r w:rsidR="00D23173" w:rsidRPr="000E0F90">
        <w:rPr>
          <w:rFonts w:ascii="Arial" w:hAnsi="Arial" w:cs="Arial"/>
          <w:noProof/>
          <w:color w:val="000000" w:themeColor="text1"/>
          <w:lang w:eastAsia="es-CL"/>
        </w:rPr>
        <w:t>(Carkovic et al., 2016)</w:t>
      </w:r>
      <w:r w:rsidR="00D23173" w:rsidRPr="000E0F90">
        <w:rPr>
          <w:rFonts w:ascii="Arial" w:hAnsi="Arial" w:cs="Arial"/>
          <w:color w:val="000000" w:themeColor="text1"/>
          <w:lang w:eastAsia="es-CL"/>
        </w:rPr>
        <w:fldChar w:fldCharType="end"/>
      </w:r>
      <w:r w:rsidR="00D23173" w:rsidRPr="000E0F90">
        <w:rPr>
          <w:rFonts w:ascii="Arial" w:hAnsi="Arial" w:cs="Arial"/>
          <w:color w:val="000000" w:themeColor="text1"/>
          <w:lang w:eastAsia="es-CL"/>
        </w:rPr>
        <w:t xml:space="preserve"> </w:t>
      </w:r>
      <w:r w:rsidR="00D23173" w:rsidRPr="000E0F90">
        <w:rPr>
          <w:rFonts w:ascii="Arial" w:hAnsi="Arial" w:cs="Arial"/>
          <w:color w:val="000000" w:themeColor="text1"/>
          <w:lang w:eastAsia="es-CL"/>
        </w:rPr>
        <w:fldChar w:fldCharType="begin" w:fldLock="1"/>
      </w:r>
      <w:r w:rsidR="00D23173" w:rsidRPr="000E0F90">
        <w:rPr>
          <w:rFonts w:ascii="Arial" w:hAnsi="Arial" w:cs="Arial"/>
          <w:color w:val="000000" w:themeColor="text1"/>
          <w:lang w:eastAsia="es-CL"/>
        </w:rPr>
        <w:instrText>ADDIN CSL_CITATION { "citationItems" : [ { "id" : "ITEM-1", "itemData" : { "DOI" : "10.3390/su8020128", "ISSN" : "20711050", "abstract" : "\u00a9 2016 by the authors. Chile contains some of the driest areas in the world, yet human activities in these areas require large volumes of water, the result is regions experiencing high water scarcity leading to environmental degradation, conflicts and reduced industrial productivity. The aim of this paper was to quantify the water scarcity in the central and northern regions by calculating the water scarcity index-the ratio of annual water demand to availability. A focus of the paper was to determine the impact of the main industries in each region and investigate the benefit of implementing water reduction strategies within these industries. The water resources of each investigated region were found to be greatly overexploited and particularly so in the region of Antofagasta. The mining industry was found to be the greatest water consuming sector in this region and further analysis demonstrated that the degree of water scarcity could be greatly reduced by the implementation of water reduction strategies. The agricultural sector dominated water demand in all other regions and it was found that upgrading irrigation efficiency alongside reducing consumption in mining improved the situation in all regions. Nevertheless, given the scale of water scarcity, further investigation is necessary to obtain more recent and accurate data and analyze alternative strategies.", "author" : [ { "dropping-particle" : "", "family" : "Aitken", "given" : "Douglas", "non-dropping-particle" : "", "parse-names" : false, "suffix" : "" }, { "dropping-particle" : "", "family" : "Rivera", "given" : "Diego", "non-dropping-particle" : "", "parse-names" : false, "suffix" : "" }, { "dropping-particle" : "", "family" : "Godoy-Fa\u00fandez", "given" : "Alex", "non-dropping-particle" : "", "parse-names" : false, "suffix" : "" }, { "dropping-particle" : "", "family" : "Holzapfel", "given" : "Eduardo", "non-dropping-particle" : "", "parse-names" : false, "suffix" : "" } ], "container-title" : "Sustainability (Switzerland)", "id" : "ITEM-1", "issued" : { "date-parts" : [ [ "2016" ] ] }, "title" : "Water scarcity and the impact of the mining and agricultural sectors in Chile", "type" : "article-journal", "volume" : "8" }, "uris" : [ "http://www.mendeley.com/documents/?uuid=fe10f7bc-78c7-4bc3-ac08-542a99e5361e" ] } ], "mendeley" : { "formattedCitation" : "(Aitken, Rivera, Godoy-Fa\u00fandez, &amp; Holzapfel, 2016)", "plainTextFormattedCitation" : "(Aitken, Rivera, Godoy-Fa\u00fandez, &amp; Holzapfel, 2016)", "previouslyFormattedCitation" : "(Aitken, Rivera, Godoy-Fa\u00fandez, &amp; Holzapfel, 2016)" }, "properties" : { "noteIndex" : 0 }, "schema" : "https://github.com/citation-style-language/schema/raw/master/csl-citation.json" }</w:instrText>
      </w:r>
      <w:r w:rsidR="00D23173" w:rsidRPr="000E0F90">
        <w:rPr>
          <w:rFonts w:ascii="Arial" w:hAnsi="Arial" w:cs="Arial"/>
          <w:color w:val="000000" w:themeColor="text1"/>
          <w:lang w:eastAsia="es-CL"/>
        </w:rPr>
        <w:fldChar w:fldCharType="separate"/>
      </w:r>
      <w:r w:rsidR="00D23173" w:rsidRPr="000E0F90">
        <w:rPr>
          <w:rFonts w:ascii="Arial" w:hAnsi="Arial" w:cs="Arial"/>
          <w:noProof/>
          <w:color w:val="000000" w:themeColor="text1"/>
          <w:lang w:eastAsia="es-CL"/>
        </w:rPr>
        <w:t>(Aitken, Rivera, Godoy-Faúndez, &amp; Holzapfel, 2016)</w:t>
      </w:r>
      <w:r w:rsidR="00D23173" w:rsidRPr="000E0F90">
        <w:rPr>
          <w:rFonts w:ascii="Arial" w:hAnsi="Arial" w:cs="Arial"/>
          <w:color w:val="000000" w:themeColor="text1"/>
          <w:lang w:eastAsia="es-CL"/>
        </w:rPr>
        <w:fldChar w:fldCharType="end"/>
      </w:r>
      <w:r w:rsidR="00D23173" w:rsidRPr="000E0F90">
        <w:rPr>
          <w:rFonts w:ascii="Arial" w:hAnsi="Arial" w:cs="Arial"/>
          <w:color w:val="000000" w:themeColor="text1"/>
          <w:lang w:eastAsia="es-CL"/>
        </w:rPr>
        <w:t>.</w:t>
      </w:r>
      <w:r w:rsidR="00261D1D">
        <w:rPr>
          <w:rFonts w:ascii="Arial" w:hAnsi="Arial" w:cs="Arial"/>
          <w:color w:val="000000" w:themeColor="text1"/>
          <w:lang w:eastAsia="es-CL"/>
        </w:rPr>
        <w:t xml:space="preserve"> </w:t>
      </w:r>
      <w:r w:rsidR="00D23173">
        <w:rPr>
          <w:rFonts w:ascii="Arial" w:hAnsi="Arial" w:cs="Arial"/>
          <w:color w:val="000000" w:themeColor="text1"/>
        </w:rPr>
        <w:t>Esta s</w:t>
      </w:r>
      <w:r>
        <w:rPr>
          <w:rFonts w:ascii="Arial" w:hAnsi="Arial" w:cs="Arial"/>
          <w:color w:val="000000" w:themeColor="text1"/>
        </w:rPr>
        <w:t xml:space="preserve">ituación señala la falta de una postura de adaptación a los ecosistemas locales, por el contrario un incremento de la presión </w:t>
      </w:r>
      <w:r>
        <w:rPr>
          <w:rFonts w:ascii="Arial" w:hAnsi="Arial" w:cs="Arial"/>
          <w:color w:val="000000" w:themeColor="text1"/>
        </w:rPr>
        <w:lastRenderedPageBreak/>
        <w:t xml:space="preserve">hacia </w:t>
      </w:r>
      <w:r w:rsidRPr="000E0F90">
        <w:rPr>
          <w:rFonts w:ascii="Arial" w:hAnsi="Arial" w:cs="Arial"/>
          <w:color w:val="000000" w:themeColor="text1"/>
        </w:rPr>
        <w:t xml:space="preserve">la capacidad de asimilación de desechos, </w:t>
      </w:r>
      <w:r>
        <w:rPr>
          <w:rFonts w:ascii="Arial" w:hAnsi="Arial" w:cs="Arial"/>
          <w:color w:val="000000" w:themeColor="text1"/>
        </w:rPr>
        <w:t>y</w:t>
      </w:r>
      <w:r w:rsidRPr="000E0F90">
        <w:rPr>
          <w:rFonts w:ascii="Arial" w:hAnsi="Arial" w:cs="Arial"/>
          <w:color w:val="000000" w:themeColor="text1"/>
        </w:rPr>
        <w:t xml:space="preserve"> en funciones de </w:t>
      </w:r>
      <w:r>
        <w:rPr>
          <w:rFonts w:ascii="Arial" w:hAnsi="Arial" w:cs="Arial"/>
          <w:color w:val="000000" w:themeColor="text1"/>
        </w:rPr>
        <w:t>provisión de servicios ecosisté</w:t>
      </w:r>
      <w:r w:rsidRPr="000E0F90">
        <w:rPr>
          <w:rFonts w:ascii="Arial" w:hAnsi="Arial" w:cs="Arial"/>
          <w:color w:val="000000" w:themeColor="text1"/>
        </w:rPr>
        <w:t>m</w:t>
      </w:r>
      <w:r>
        <w:rPr>
          <w:rFonts w:ascii="Arial" w:hAnsi="Arial" w:cs="Arial"/>
          <w:color w:val="000000" w:themeColor="text1"/>
        </w:rPr>
        <w:t>icos</w:t>
      </w:r>
      <w:r w:rsidR="00D23173">
        <w:rPr>
          <w:rFonts w:ascii="Arial" w:hAnsi="Arial" w:cs="Arial"/>
          <w:color w:val="000000" w:themeColor="text1"/>
        </w:rPr>
        <w:t>, afectando la disponibilidad presente y futura de éstos</w:t>
      </w:r>
      <w:r>
        <w:rPr>
          <w:rFonts w:ascii="Arial" w:hAnsi="Arial" w:cs="Arial"/>
          <w:color w:val="000000" w:themeColor="text1"/>
        </w:rPr>
        <w:t>.</w:t>
      </w:r>
    </w:p>
    <w:p w:rsidR="00D23173" w:rsidRPr="000E0F90" w:rsidRDefault="00D23173" w:rsidP="00D23173">
      <w:pPr>
        <w:spacing w:before="240" w:line="360" w:lineRule="auto"/>
        <w:rPr>
          <w:rFonts w:ascii="Arial" w:hAnsi="Arial" w:cs="Arial"/>
          <w:color w:val="000000" w:themeColor="text1"/>
        </w:rPr>
      </w:pPr>
      <w:r w:rsidRPr="000E0F90">
        <w:rPr>
          <w:rFonts w:ascii="Arial" w:hAnsi="Arial" w:cs="Arial"/>
          <w:color w:val="000000" w:themeColor="text1"/>
        </w:rPr>
        <w:t xml:space="preserve">Si bien, en las </w:t>
      </w:r>
      <w:r>
        <w:rPr>
          <w:rFonts w:ascii="Arial" w:hAnsi="Arial" w:cs="Arial"/>
          <w:color w:val="000000" w:themeColor="text1"/>
        </w:rPr>
        <w:t>Tierra Amarilla como Salamanca</w:t>
      </w:r>
      <w:r w:rsidRPr="000E0F90">
        <w:rPr>
          <w:rFonts w:ascii="Arial" w:hAnsi="Arial" w:cs="Arial"/>
          <w:color w:val="000000" w:themeColor="text1"/>
        </w:rPr>
        <w:t>, las empresas</w:t>
      </w:r>
      <w:r>
        <w:rPr>
          <w:rFonts w:ascii="Arial" w:hAnsi="Arial" w:cs="Arial"/>
          <w:color w:val="000000" w:themeColor="text1"/>
        </w:rPr>
        <w:t xml:space="preserve"> mineras</w:t>
      </w:r>
      <w:r w:rsidRPr="000E0F90">
        <w:rPr>
          <w:rFonts w:ascii="Arial" w:hAnsi="Arial" w:cs="Arial"/>
          <w:color w:val="000000" w:themeColor="text1"/>
        </w:rPr>
        <w:t xml:space="preserve"> realizan medidas de mitigación, éstas son consideradas insuficientes en la reducción significativa de los efectos tanto en la salud humana como en actividades productivas</w:t>
      </w:r>
      <w:r w:rsidR="00A830E3">
        <w:rPr>
          <w:rFonts w:ascii="Arial" w:hAnsi="Arial" w:cs="Arial"/>
          <w:color w:val="000000" w:themeColor="text1"/>
        </w:rPr>
        <w:t>,</w:t>
      </w:r>
      <w:r w:rsidR="00A830E3" w:rsidRPr="00A830E3">
        <w:rPr>
          <w:rFonts w:ascii="Arial" w:hAnsi="Arial" w:cs="Arial"/>
          <w:color w:val="000000" w:themeColor="text1"/>
        </w:rPr>
        <w:t xml:space="preserve"> </w:t>
      </w:r>
      <w:r w:rsidR="00A830E3" w:rsidRPr="00FA7E30">
        <w:rPr>
          <w:rFonts w:ascii="Arial" w:hAnsi="Arial" w:cs="Arial"/>
          <w:color w:val="000000" w:themeColor="text1"/>
        </w:rPr>
        <w:t>advirtiendo la posibilidad de sobrepasar la capacidad de asimilación de la naturaleza</w:t>
      </w:r>
      <w:r w:rsidRPr="000E0F90">
        <w:rPr>
          <w:rFonts w:ascii="Arial" w:hAnsi="Arial" w:cs="Arial"/>
          <w:color w:val="000000" w:themeColor="text1"/>
        </w:rPr>
        <w:t xml:space="preserve">. </w:t>
      </w:r>
      <w:r w:rsidR="00A830E3" w:rsidRPr="00FA7E30">
        <w:rPr>
          <w:rFonts w:ascii="Arial" w:hAnsi="Arial" w:cs="Arial"/>
          <w:color w:val="000000" w:themeColor="text1"/>
        </w:rPr>
        <w:t xml:space="preserve">Cabe señalar que por parte de la industria minera nacional se implementan diversas medidas para reducir las emisiones contaminantes, lo cual es impulsado por regulaciones locales e internacionales </w:t>
      </w:r>
      <w:r w:rsidR="00A830E3" w:rsidRPr="00FA7E30">
        <w:rPr>
          <w:rFonts w:ascii="Arial" w:hAnsi="Arial" w:cs="Arial"/>
          <w:color w:val="000000" w:themeColor="text1"/>
          <w:lang w:eastAsia="es-CL"/>
        </w:rPr>
        <w:fldChar w:fldCharType="begin" w:fldLock="1"/>
      </w:r>
      <w:r w:rsidR="00A830E3" w:rsidRPr="00FA7E30">
        <w:rPr>
          <w:rFonts w:ascii="Arial" w:hAnsi="Arial" w:cs="Arial"/>
          <w:color w:val="000000" w:themeColor="text1"/>
          <w:lang w:eastAsia="es-CL"/>
        </w:rPr>
        <w:instrText>ADDIN CSL_CITATION { "citationItems" : [ { "id" : "ITEM-1", "itemData" : { "DOI" : "10.1080/17480930.2015.1128799", "ISSN" : "1748-0930", "abstract" : "Chile is the principal producer of copper with a total of 5.8\u00a0million tonnes fine copper production in 2013. Chilean mining industry currently faces a projected increase in waste production, depleting water resources in the arid mining regions of the north and a lack of fossil fuel energy sources. In this study, a review of the historical background of environmental practices in Chile is presented, focused between 1970 and 2010. A review of the current state of sustainable development, comprising energy, water, stakeholder participation, environmental impacts and institutional decentralisation in the mining industry is presented.", "author" : [ { "dropping-particle" : "", "family" : "Ghorbani", "given" : "Yousef", "non-dropping-particle" : "", "parse-names" : false, "suffix" : "" }, { "dropping-particle" : "", "family" : "Kuan", "given" : "Seng How", "non-dropping-particle" : "", "parse-names" : false, "suffix" : "" } ], "container-title" : "International Journal of Mining, Reclamation and Environment", "id" : "ITEM-1", "issue" : "February", "issued" : { "date-parts" : [ [ "2016" ] ] }, "note" : "NULL", "page" : "1-29", "publisher" : "Taylor &amp; Francis", "title" : "A review of sustainable development in the Chilean mining sector: past, present and future", "type" : "article-journal", "volume" : "0930" }, "uris" : [ "http://www.mendeley.com/documents/?uuid=ba6630bb-3cdb-4443-b119-f6b6f68bafa7" ] } ], "mendeley" : { "formattedCitation" : "(Ghorbani &amp; Kuan, 2016)", "plainTextFormattedCitation" : "(Ghorbani &amp; Kuan, 2016)", "previouslyFormattedCitation" : "(Ghorbani &amp; Kuan, 2016)" }, "properties" : { "noteIndex" : 0 }, "schema" : "https://github.com/citation-style-language/schema/raw/master/csl-citation.json" }</w:instrText>
      </w:r>
      <w:r w:rsidR="00A830E3" w:rsidRPr="00FA7E30">
        <w:rPr>
          <w:rFonts w:ascii="Arial" w:hAnsi="Arial" w:cs="Arial"/>
          <w:color w:val="000000" w:themeColor="text1"/>
          <w:lang w:eastAsia="es-CL"/>
        </w:rPr>
        <w:fldChar w:fldCharType="separate"/>
      </w:r>
      <w:r w:rsidR="00A830E3" w:rsidRPr="00FA7E30">
        <w:rPr>
          <w:rFonts w:ascii="Arial" w:hAnsi="Arial" w:cs="Arial"/>
          <w:noProof/>
          <w:color w:val="000000" w:themeColor="text1"/>
          <w:lang w:eastAsia="es-CL"/>
        </w:rPr>
        <w:t>(Ghorbani &amp; Kuan, 2016)</w:t>
      </w:r>
      <w:r w:rsidR="00A830E3" w:rsidRPr="00FA7E30">
        <w:rPr>
          <w:rFonts w:ascii="Arial" w:hAnsi="Arial" w:cs="Arial"/>
          <w:color w:val="000000" w:themeColor="text1"/>
          <w:lang w:eastAsia="es-CL"/>
        </w:rPr>
        <w:fldChar w:fldCharType="end"/>
      </w:r>
      <w:r w:rsidR="00A830E3" w:rsidRPr="00FA7E30">
        <w:rPr>
          <w:rFonts w:ascii="Arial" w:hAnsi="Arial" w:cs="Arial"/>
          <w:color w:val="000000" w:themeColor="text1"/>
          <w:lang w:eastAsia="es-CL"/>
        </w:rPr>
        <w:t xml:space="preserve">. </w:t>
      </w:r>
      <w:r w:rsidRPr="000E0F90">
        <w:rPr>
          <w:rFonts w:ascii="Arial" w:hAnsi="Arial" w:cs="Arial"/>
          <w:color w:val="000000" w:themeColor="text1"/>
        </w:rPr>
        <w:t>En cuanto a la responsabilidad de los actores causantes de contaminación en dichos territorios, en general no se evide</w:t>
      </w:r>
      <w:r w:rsidR="00261D1D">
        <w:rPr>
          <w:rFonts w:ascii="Arial" w:hAnsi="Arial" w:cs="Arial"/>
          <w:color w:val="000000" w:themeColor="text1"/>
        </w:rPr>
        <w:t>ncia que los actores causantes</w:t>
      </w:r>
      <w:r w:rsidRPr="000E0F90">
        <w:rPr>
          <w:rFonts w:ascii="Arial" w:hAnsi="Arial" w:cs="Arial"/>
          <w:color w:val="000000" w:themeColor="text1"/>
        </w:rPr>
        <w:t xml:space="preserve"> se hagan cargo de los impactos (más allá de las medidas de mitigación), principalmente en los eventos pasados</w:t>
      </w:r>
      <w:r w:rsidR="004856F2">
        <w:rPr>
          <w:rFonts w:ascii="Arial" w:hAnsi="Arial" w:cs="Arial"/>
          <w:color w:val="000000" w:themeColor="text1"/>
        </w:rPr>
        <w:t>. S</w:t>
      </w:r>
      <w:r w:rsidRPr="000E0F90">
        <w:rPr>
          <w:rFonts w:ascii="Arial" w:hAnsi="Arial" w:cs="Arial"/>
          <w:color w:val="000000" w:themeColor="text1"/>
        </w:rPr>
        <w:t>e identifica sólo un caso</w:t>
      </w:r>
      <w:r w:rsidR="004856F2" w:rsidRPr="004856F2">
        <w:rPr>
          <w:rFonts w:ascii="Arial" w:hAnsi="Arial" w:cs="Arial"/>
          <w:color w:val="000000" w:themeColor="text1"/>
        </w:rPr>
        <w:t xml:space="preserve"> </w:t>
      </w:r>
      <w:r w:rsidR="004856F2">
        <w:rPr>
          <w:rFonts w:ascii="Arial" w:hAnsi="Arial" w:cs="Arial"/>
          <w:color w:val="000000" w:themeColor="text1"/>
        </w:rPr>
        <w:t>en Salamanca</w:t>
      </w:r>
      <w:r w:rsidRPr="000E0F90">
        <w:rPr>
          <w:rFonts w:ascii="Arial" w:hAnsi="Arial" w:cs="Arial"/>
          <w:color w:val="000000" w:themeColor="text1"/>
        </w:rPr>
        <w:t xml:space="preserve">, en que la compañía minera ha </w:t>
      </w:r>
      <w:r w:rsidR="004856F2">
        <w:rPr>
          <w:rFonts w:ascii="Arial" w:hAnsi="Arial" w:cs="Arial"/>
          <w:color w:val="000000" w:themeColor="text1"/>
        </w:rPr>
        <w:t>abordado</w:t>
      </w:r>
      <w:r w:rsidRPr="000E0F90">
        <w:rPr>
          <w:rFonts w:ascii="Arial" w:hAnsi="Arial" w:cs="Arial"/>
          <w:color w:val="000000" w:themeColor="text1"/>
        </w:rPr>
        <w:t xml:space="preserve"> los impactos en </w:t>
      </w:r>
      <w:r w:rsidR="004856F2">
        <w:rPr>
          <w:rFonts w:ascii="Arial" w:hAnsi="Arial" w:cs="Arial"/>
          <w:color w:val="000000" w:themeColor="text1"/>
        </w:rPr>
        <w:t>de la minería en la agricultura</w:t>
      </w:r>
      <w:r w:rsidRPr="000E0F90">
        <w:rPr>
          <w:rFonts w:ascii="Arial" w:hAnsi="Arial" w:cs="Arial"/>
          <w:color w:val="000000" w:themeColor="text1"/>
        </w:rPr>
        <w:t xml:space="preserve">, a través de entrega de incentivos.  </w:t>
      </w:r>
    </w:p>
    <w:p w:rsidR="008A09F0" w:rsidRPr="004856F2" w:rsidRDefault="00D23173" w:rsidP="00702D9A">
      <w:pPr>
        <w:spacing w:before="240" w:line="360" w:lineRule="auto"/>
        <w:rPr>
          <w:rFonts w:ascii="Arial" w:hAnsi="Arial" w:cs="Arial"/>
        </w:rPr>
      </w:pPr>
      <w:r w:rsidRPr="004856F2">
        <w:rPr>
          <w:rFonts w:ascii="Arial" w:hAnsi="Arial" w:cs="Arial"/>
        </w:rPr>
        <w:t>E</w:t>
      </w:r>
      <w:r w:rsidR="008D0278" w:rsidRPr="004856F2">
        <w:rPr>
          <w:rFonts w:ascii="Arial" w:hAnsi="Arial" w:cs="Arial"/>
        </w:rPr>
        <w:t>n los territorios,</w:t>
      </w:r>
      <w:r w:rsidRPr="004856F2">
        <w:rPr>
          <w:rFonts w:ascii="Arial" w:hAnsi="Arial" w:cs="Arial"/>
        </w:rPr>
        <w:t xml:space="preserve"> se registran</w:t>
      </w:r>
      <w:r w:rsidR="008D0278" w:rsidRPr="004856F2">
        <w:rPr>
          <w:rFonts w:ascii="Arial" w:hAnsi="Arial" w:cs="Arial"/>
        </w:rPr>
        <w:t xml:space="preserve"> </w:t>
      </w:r>
      <w:r w:rsidR="008A09F0" w:rsidRPr="004856F2">
        <w:rPr>
          <w:rFonts w:ascii="Arial" w:hAnsi="Arial" w:cs="Arial"/>
        </w:rPr>
        <w:t>limitaciones a las actividades territoriales con la llegada de proyectos intensivos, dada por la restricción del libre tránsito, por la adquisición de predios agrícolas y derechos de agua, los efectos de contaminación en el suelo, y la reducción de la disponibilidad y calidad de las aguas. Como es la ganadería de trashumancia, la agricultura tradicional de subsistencia, y en menor grado la minería de menor escala</w:t>
      </w:r>
      <w:r w:rsidRPr="004856F2">
        <w:rPr>
          <w:rFonts w:ascii="Arial" w:hAnsi="Arial" w:cs="Arial"/>
        </w:rPr>
        <w:t xml:space="preserve"> (Arellano et al., 2013)</w:t>
      </w:r>
      <w:r w:rsidR="008A09F0" w:rsidRPr="004856F2">
        <w:rPr>
          <w:rFonts w:ascii="Arial" w:hAnsi="Arial" w:cs="Arial"/>
        </w:rPr>
        <w:t xml:space="preserve"> (Camus &amp; Hajek 1998) </w:t>
      </w:r>
      <w:r w:rsidR="008A09F0" w:rsidRPr="004856F2">
        <w:rPr>
          <w:rFonts w:ascii="Arial" w:hAnsi="Arial" w:cs="Arial"/>
        </w:rPr>
        <w:fldChar w:fldCharType="begin" w:fldLock="1"/>
      </w:r>
      <w:r w:rsidR="008A09F0" w:rsidRPr="004856F2">
        <w:rPr>
          <w:rFonts w:ascii="Arial" w:hAnsi="Arial" w:cs="Arial"/>
        </w:rPr>
        <w:instrText>ADDIN CSL_CITATION { "citationItems" : [ { "id" : "ITEM-1", "itemData" : { "author" : [ { "dropping-particle" : "", "family" : "Schildermans", "given" : "Peter", "non-dropping-particle" : "", "parse-names" : false, "suffix" : "" } ], "id" : "ITEM-1", "issued" : { "date-parts" : [ [ "2011" ] ] }, "note" : "NULL", "page" : "256", "title" : "The Chilean copper industry towards a more ecologically durable exploitation ?", "type" : "article-journal" }, "uris" : [ "http://www.mendeley.com/documents/?uuid=b25a2fcc-89a4-4984-9241-223ea94111a8" ] } ], "mendeley" : { "formattedCitation" : "(Schildermans, 2011)", "plainTextFormattedCitation" : "(Schildermans, 2011)", "previouslyFormattedCitation" : "(Schildermans, 2011)" }, "properties" : { "noteIndex" : 0 }, "schema" : "https://github.com/citation-style-language/schema/raw/master/csl-citation.json" }</w:instrText>
      </w:r>
      <w:r w:rsidR="008A09F0" w:rsidRPr="004856F2">
        <w:rPr>
          <w:rFonts w:ascii="Arial" w:hAnsi="Arial" w:cs="Arial"/>
        </w:rPr>
        <w:fldChar w:fldCharType="separate"/>
      </w:r>
      <w:r w:rsidR="008A09F0" w:rsidRPr="004856F2">
        <w:rPr>
          <w:rFonts w:ascii="Arial" w:hAnsi="Arial" w:cs="Arial"/>
          <w:noProof/>
        </w:rPr>
        <w:t>(Schildermans, 2011)</w:t>
      </w:r>
      <w:r w:rsidR="008A09F0" w:rsidRPr="004856F2">
        <w:rPr>
          <w:rFonts w:ascii="Arial" w:hAnsi="Arial" w:cs="Arial"/>
        </w:rPr>
        <w:fldChar w:fldCharType="end"/>
      </w:r>
      <w:r w:rsidR="008A09F0" w:rsidRPr="004856F2">
        <w:rPr>
          <w:rFonts w:ascii="Arial" w:hAnsi="Arial" w:cs="Arial"/>
        </w:rPr>
        <w:t>.</w:t>
      </w:r>
      <w:r w:rsidR="00246BED" w:rsidRPr="004856F2">
        <w:rPr>
          <w:rFonts w:ascii="Arial" w:hAnsi="Arial" w:cs="Arial"/>
        </w:rPr>
        <w:t xml:space="preserve"> </w:t>
      </w:r>
    </w:p>
    <w:p w:rsidR="008E20DE" w:rsidRDefault="0082402F" w:rsidP="00702D9A">
      <w:pPr>
        <w:spacing w:before="240" w:line="360" w:lineRule="auto"/>
        <w:rPr>
          <w:rFonts w:ascii="Arial" w:hAnsi="Arial" w:cs="Arial"/>
          <w:color w:val="000000" w:themeColor="text1"/>
        </w:rPr>
      </w:pPr>
      <w:r w:rsidRPr="00F65FAC">
        <w:rPr>
          <w:rFonts w:ascii="Arial" w:hAnsi="Arial" w:cs="Arial"/>
          <w:color w:val="000000" w:themeColor="text1"/>
          <w:lang w:eastAsia="es-CL"/>
        </w:rPr>
        <w:t xml:space="preserve">Respecto a los impactos de alcance temporal y espacial, </w:t>
      </w:r>
      <w:r w:rsidR="00002833" w:rsidRPr="000E0F90">
        <w:rPr>
          <w:rFonts w:ascii="Arial" w:hAnsi="Arial" w:cs="Arial"/>
          <w:color w:val="000000" w:themeColor="text1"/>
          <w:lang w:eastAsia="es-CL"/>
        </w:rPr>
        <w:t xml:space="preserve">se evidencia </w:t>
      </w:r>
      <w:r w:rsidR="009F1F6C" w:rsidRPr="000E0F90">
        <w:rPr>
          <w:rFonts w:ascii="Arial" w:hAnsi="Arial" w:cs="Arial"/>
          <w:color w:val="000000" w:themeColor="text1"/>
          <w:lang w:eastAsia="es-CL"/>
        </w:rPr>
        <w:t>la existencia pas</w:t>
      </w:r>
      <w:r w:rsidR="00FC3248" w:rsidRPr="000E0F90">
        <w:rPr>
          <w:rFonts w:ascii="Arial" w:hAnsi="Arial" w:cs="Arial"/>
          <w:color w:val="000000" w:themeColor="text1"/>
          <w:lang w:eastAsia="es-CL"/>
        </w:rPr>
        <w:t>i</w:t>
      </w:r>
      <w:r w:rsidR="009F1F6C" w:rsidRPr="000E0F90">
        <w:rPr>
          <w:rFonts w:ascii="Arial" w:hAnsi="Arial" w:cs="Arial"/>
          <w:color w:val="000000" w:themeColor="text1"/>
          <w:lang w:eastAsia="es-CL"/>
        </w:rPr>
        <w:t xml:space="preserve">vos ambientales mineros, </w:t>
      </w:r>
      <w:r w:rsidR="00002833" w:rsidRPr="000E0F90">
        <w:rPr>
          <w:rFonts w:ascii="Arial" w:hAnsi="Arial" w:cs="Arial"/>
          <w:color w:val="000000" w:themeColor="text1"/>
          <w:lang w:eastAsia="es-CL"/>
        </w:rPr>
        <w:t>como relaves, y pasivos históricos abandonados sin un adecuado plan de cierre o bien, sin</w:t>
      </w:r>
      <w:r w:rsidR="00002833" w:rsidRPr="000E0F90">
        <w:rPr>
          <w:rFonts w:ascii="Arial" w:hAnsi="Arial" w:cs="Arial"/>
          <w:color w:val="000000" w:themeColor="text1"/>
        </w:rPr>
        <w:t xml:space="preserve"> rehabilitación o restauración de los ecosistemas afectados</w:t>
      </w:r>
      <w:r w:rsidR="008D0278">
        <w:rPr>
          <w:rFonts w:ascii="Arial" w:hAnsi="Arial" w:cs="Arial"/>
          <w:color w:val="000000" w:themeColor="text1"/>
        </w:rPr>
        <w:t xml:space="preserve">, en los </w:t>
      </w:r>
      <w:r w:rsidR="008E20DE">
        <w:rPr>
          <w:rFonts w:ascii="Arial" w:hAnsi="Arial" w:cs="Arial"/>
          <w:color w:val="000000" w:themeColor="text1"/>
        </w:rPr>
        <w:t>territorios de Tierra Amarilla,</w:t>
      </w:r>
      <w:r w:rsidR="008D0278">
        <w:rPr>
          <w:rFonts w:ascii="Arial" w:hAnsi="Arial" w:cs="Arial"/>
          <w:color w:val="000000" w:themeColor="text1"/>
        </w:rPr>
        <w:t xml:space="preserve"> Salamanca</w:t>
      </w:r>
      <w:r w:rsidR="008E20DE">
        <w:rPr>
          <w:rFonts w:ascii="Arial" w:hAnsi="Arial" w:cs="Arial"/>
          <w:color w:val="000000" w:themeColor="text1"/>
        </w:rPr>
        <w:t xml:space="preserve"> y la Higuera</w:t>
      </w:r>
      <w:r w:rsidR="00002833" w:rsidRPr="000E0F90">
        <w:rPr>
          <w:rFonts w:ascii="Arial" w:hAnsi="Arial" w:cs="Arial"/>
          <w:color w:val="000000" w:themeColor="text1"/>
        </w:rPr>
        <w:t>. Al respecto, el abandono de pasivos,</w:t>
      </w:r>
      <w:r w:rsidR="006C324C" w:rsidRPr="000E0F90">
        <w:rPr>
          <w:rFonts w:ascii="Arial" w:hAnsi="Arial" w:cs="Arial"/>
          <w:color w:val="000000" w:themeColor="text1"/>
          <w:lang w:eastAsia="es-CL"/>
        </w:rPr>
        <w:t xml:space="preserve"> se produce en el país desde la década de los 70, a raíz de la falta de políticas medioambientales </w:t>
      </w:r>
      <w:r w:rsidR="006C324C" w:rsidRPr="000E0F90">
        <w:rPr>
          <w:rFonts w:ascii="Arial" w:hAnsi="Arial" w:cs="Arial"/>
          <w:color w:val="000000" w:themeColor="text1"/>
          <w:lang w:eastAsia="es-CL"/>
        </w:rPr>
        <w:fldChar w:fldCharType="begin" w:fldLock="1"/>
      </w:r>
      <w:r w:rsidR="004D18D6" w:rsidRPr="000E0F90">
        <w:rPr>
          <w:rFonts w:ascii="Arial" w:hAnsi="Arial" w:cs="Arial"/>
          <w:color w:val="000000" w:themeColor="text1"/>
          <w:lang w:eastAsia="es-CL"/>
        </w:rPr>
        <w:instrText>ADDIN CSL_CITATION { "citationItems" : [ { "id" : "ITEM-1", "itemData" : { "author" : [ { "dropping-particle" : "", "family" : "Schildermans", "given" : "Peter", "non-dropping-particle" : "", "parse-names" : false, "suffix" : "" } ], "id" : "ITEM-1", "issued" : { "date-parts" : [ [ "2011" ] ] }, "note" : "NULL", "page" : "256", "title" : "The Chilean copper industry towards a more ecologically durable exploitation ?", "type" : "article-journal" }, "uris" : [ "http://www.mendeley.com/documents/?uuid=b25a2fcc-89a4-4984-9241-223ea94111a8" ] } ], "mendeley" : { "formattedCitation" : "(Schildermans, 2011)", "plainTextFormattedCitation" : "(Schildermans, 2011)", "previouslyFormattedCitation" : "(Schildermans, 2011)" }, "properties" : { "noteIndex" : 0 }, "schema" : "https://github.com/citation-style-language/schema/raw/master/csl-citation.json" }</w:instrText>
      </w:r>
      <w:r w:rsidR="006C324C" w:rsidRPr="000E0F90">
        <w:rPr>
          <w:rFonts w:ascii="Arial" w:hAnsi="Arial" w:cs="Arial"/>
          <w:color w:val="000000" w:themeColor="text1"/>
          <w:lang w:eastAsia="es-CL"/>
        </w:rPr>
        <w:fldChar w:fldCharType="separate"/>
      </w:r>
      <w:r w:rsidR="004D18D6" w:rsidRPr="000E0F90">
        <w:rPr>
          <w:rFonts w:ascii="Arial" w:hAnsi="Arial" w:cs="Arial"/>
          <w:noProof/>
          <w:color w:val="000000" w:themeColor="text1"/>
          <w:lang w:eastAsia="es-CL"/>
        </w:rPr>
        <w:t>(Schildermans, 2011)</w:t>
      </w:r>
      <w:r w:rsidR="006C324C" w:rsidRPr="000E0F90">
        <w:rPr>
          <w:rFonts w:ascii="Arial" w:hAnsi="Arial" w:cs="Arial"/>
          <w:color w:val="000000" w:themeColor="text1"/>
          <w:lang w:eastAsia="es-CL"/>
        </w:rPr>
        <w:fldChar w:fldCharType="end"/>
      </w:r>
      <w:r w:rsidR="006C324C" w:rsidRPr="000E0F90">
        <w:rPr>
          <w:rFonts w:ascii="Arial" w:hAnsi="Arial" w:cs="Arial"/>
          <w:color w:val="000000" w:themeColor="text1"/>
          <w:lang w:eastAsia="es-CL"/>
        </w:rPr>
        <w:t xml:space="preserve">. Siendo </w:t>
      </w:r>
      <w:r w:rsidR="009F1F6C" w:rsidRPr="000E0F90">
        <w:rPr>
          <w:rFonts w:ascii="Arial" w:hAnsi="Arial" w:cs="Arial"/>
          <w:noProof/>
          <w:color w:val="000000" w:themeColor="text1"/>
          <w:lang w:eastAsia="es-CL"/>
        </w:rPr>
        <w:t>los relaves</w:t>
      </w:r>
      <w:r w:rsidRPr="000E0F90">
        <w:rPr>
          <w:rFonts w:ascii="Arial" w:hAnsi="Arial" w:cs="Arial"/>
          <w:noProof/>
          <w:color w:val="000000" w:themeColor="text1"/>
          <w:lang w:eastAsia="es-CL"/>
        </w:rPr>
        <w:t>,</w:t>
      </w:r>
      <w:r w:rsidR="009F1F6C" w:rsidRPr="000E0F90">
        <w:rPr>
          <w:rFonts w:ascii="Arial" w:hAnsi="Arial" w:cs="Arial"/>
          <w:noProof/>
          <w:color w:val="000000" w:themeColor="text1"/>
          <w:lang w:eastAsia="es-CL"/>
        </w:rPr>
        <w:t xml:space="preserve"> los residuos mineros más comunmente depositados en el territorio minero</w:t>
      </w:r>
      <w:r w:rsidR="006C324C" w:rsidRPr="000E0F90">
        <w:rPr>
          <w:rFonts w:ascii="Arial" w:hAnsi="Arial" w:cs="Arial"/>
          <w:noProof/>
          <w:color w:val="000000" w:themeColor="text1"/>
          <w:lang w:eastAsia="es-CL"/>
        </w:rPr>
        <w:t xml:space="preserve"> nacional</w:t>
      </w:r>
      <w:r w:rsidR="009F1F6C" w:rsidRPr="000E0F90">
        <w:rPr>
          <w:rFonts w:ascii="Arial" w:hAnsi="Arial" w:cs="Arial"/>
          <w:noProof/>
          <w:color w:val="000000" w:themeColor="text1"/>
          <w:lang w:eastAsia="es-CL"/>
        </w:rPr>
        <w:t xml:space="preserve">, y los que presentan el mayor riesgo para el medioambiente y la salud humana, </w:t>
      </w:r>
      <w:r w:rsidR="009F1F6C" w:rsidRPr="000E0F90">
        <w:rPr>
          <w:rFonts w:ascii="Arial" w:hAnsi="Arial" w:cs="Arial"/>
          <w:color w:val="000000" w:themeColor="text1"/>
          <w:lang w:eastAsia="es-CL"/>
        </w:rPr>
        <w:fldChar w:fldCharType="begin" w:fldLock="1"/>
      </w:r>
      <w:r w:rsidR="0098473B" w:rsidRPr="000E0F90">
        <w:rPr>
          <w:rFonts w:ascii="Arial" w:hAnsi="Arial" w:cs="Arial"/>
          <w:color w:val="000000" w:themeColor="text1"/>
          <w:lang w:eastAsia="es-CL"/>
        </w:rPr>
        <w:instrText>ADDIN CSL_CITATION { "citationItems" : [ { "id" : "ITEM-1", "itemData" : { "DOI" : "10.1080/17480930.2015.1128799", "ISSN" : "1748-0930", "abstract" : "Chile is the principal producer of copper with a total of 5.8\u00a0million tonnes fine copper production in 2013. Chilean mining industry currently faces a projected increase in waste production, depleting water resources in the arid mining regions of the north and a lack of fossil fuel energy sources. In this study, a review of the historical background of environmental practices in Chile is presented, focused between 1970 and 2010. A review of the current state of sustainable development, comprising energy, water, stakeholder participation, environmental impacts and institutional decentralisation in the mining industry is presented.", "author" : [ { "dropping-particle" : "", "family" : "Ghorbani", "given" : "Yousef", "non-dropping-particle" : "", "parse-names" : false, "suffix" : "" }, { "dropping-particle" : "", "family" : "Kuan", "given" : "Seng How", "non-dropping-particle" : "", "parse-names" : false, "suffix" : "" } ], "container-title" : "International Journal of Mining, Reclamation and Environment", "id" : "ITEM-1", "issue" : "February", "issued" : { "date-parts" : [ [ "2016" ] ] }, "note" : "NULL", "page" : "1-29", "publisher" : "Taylor &amp; Francis", "title" : "A review of sustainable development in the Chilean mining sector: past, present and future", "type" : "article-journal", "volume" : "0930" }, "uris" : [ "http://www.mendeley.com/documents/?uuid=ba6630bb-3cdb-4443-b119-f6b6f68bafa7" ] } ], "mendeley" : { "formattedCitation" : "(Ghorbani &amp; Kuan, 2016)", "plainTextFormattedCitation" : "(Ghorbani &amp; Kuan, 2016)", "previouslyFormattedCitation" : "(Ghorbani &amp; Kuan, 2016)" }, "properties" : { "noteIndex" : 0 }, "schema" : "https://github.com/citation-style-language/schema/raw/master/csl-citation.json" }</w:instrText>
      </w:r>
      <w:r w:rsidR="009F1F6C" w:rsidRPr="000E0F90">
        <w:rPr>
          <w:rFonts w:ascii="Arial" w:hAnsi="Arial" w:cs="Arial"/>
          <w:color w:val="000000" w:themeColor="text1"/>
          <w:lang w:eastAsia="es-CL"/>
        </w:rPr>
        <w:fldChar w:fldCharType="separate"/>
      </w:r>
      <w:r w:rsidR="0098473B" w:rsidRPr="000E0F90">
        <w:rPr>
          <w:rFonts w:ascii="Arial" w:hAnsi="Arial" w:cs="Arial"/>
          <w:noProof/>
          <w:color w:val="000000" w:themeColor="text1"/>
          <w:lang w:eastAsia="es-CL"/>
        </w:rPr>
        <w:t>(Ghorbani &amp; Kuan, 2016)</w:t>
      </w:r>
      <w:r w:rsidR="009F1F6C" w:rsidRPr="000E0F90">
        <w:rPr>
          <w:rFonts w:ascii="Arial" w:hAnsi="Arial" w:cs="Arial"/>
          <w:color w:val="000000" w:themeColor="text1"/>
          <w:lang w:eastAsia="es-CL"/>
        </w:rPr>
        <w:fldChar w:fldCharType="end"/>
      </w:r>
      <w:r w:rsidRPr="000E0F90">
        <w:rPr>
          <w:rFonts w:ascii="Arial" w:hAnsi="Arial" w:cs="Arial"/>
          <w:color w:val="000000" w:themeColor="text1"/>
        </w:rPr>
        <w:t xml:space="preserve"> </w:t>
      </w:r>
      <w:r w:rsidR="002C295A" w:rsidRPr="000E0F90">
        <w:rPr>
          <w:rFonts w:ascii="Arial" w:hAnsi="Arial" w:cs="Arial"/>
          <w:color w:val="000000" w:themeColor="text1"/>
        </w:rPr>
        <w:fldChar w:fldCharType="begin" w:fldLock="1"/>
      </w:r>
      <w:r w:rsidR="00346B38" w:rsidRPr="000E0F90">
        <w:rPr>
          <w:rFonts w:ascii="Arial" w:hAnsi="Arial" w:cs="Arial"/>
          <w:color w:val="000000" w:themeColor="text1"/>
        </w:rPr>
        <w:instrText>ADDIN CSL_CITATION { "citationItems" : [ { "id" : "ITEM-1", "itemData" : { "DOI" : "10.1007/s10653-016-9793-5", "ISSN" : "15732983", "PMID" : "26758741", "abstract" : "Urban expansion in areas of active and legacy mining imposes a sustainability challenge, especially in arid environments where cities compete for resources with agriculture and industry. The city of Copiap\u00f3, with 150,000 inhabitants in the Atacama Desert, reflects this challenge. More than 30 abandoned tailings from legacy mining are scattered throughout its urban and peri-urban area, which include an active copper smelter. Despite the public concern generated by the mining-related pollution, no geochemical information is currently available for Copiap\u00f3, particularly for metal concentration in environmental solid phases. A geochemical screening of soils (n = 42), street dusts (n = 71) and tailings (n = 68) was conducted in November 2014 and April 2015. Organic matter, pH and elemental composition measurements were taken. Notably, copper in soils (60-2120 mg/kg) and street dusts (110-10,200 mg/kg) consistently exceeded international guidelines for residential and industrial use, while a lower proportion of samples exceeded international guidelines for arsenic, zinc and lead. Metal enrichment occurred in residential, industrial and agricultural areas near tailings and the copper smelter. This first screening of metal contamination sets the basis for future risk assessments toward defining knowledge-based policies and urban planning. Challenges include developing: (1) adequate intervention guideline values; (2) appropriate geochemical background levels for key metals; (3) urban planning that considers contaminated areas; (4) cost-effective control strategies for abandoned tailings in water-scarce areas; and (5) scenarios and technologies for tailings reprocessing. Assessing urban geochemical risks is a critical endeavor for areas where extreme events triggered by climate change are likely, as the mud flooding that impacted Copiap\u00f3 in late March 2015.", "author" : [ { "dropping-particle" : "", "family" : "Carkovic", "given" : "Athena B.", "non-dropping-particle" : "", "parse-names" : false, "suffix" : "" }, { "dropping-particle" : "", "family" : "Calcagni", "given" : "Magdalena S.", "non-dropping-particle" : "", "parse-names" : false, "suffix" : "" }, { "dropping-particle" : "", "family" : "Vega", "given" : "Alejandra S.", "non-dropping-particle" : "", "parse-names" : false, "suffix" : "" }, { "dropping-particle" : "", "family" : "Coquery", "given" : "Marina", "non-dropping-particle" : "", "parse-names" : false, "suffix" : "" }, { "dropping-particle" : "", "family" : "Moya", "given" : "Pablo M.", "non-dropping-particle" : "", "parse-names" : false, "suffix" : "" }, { "dropping-particle" : "", "family" : "Bonilla", "given" : "Carlos a.", "non-dropping-particle" : "", "parse-names" : false, "suffix" : "" }, { "dropping-particle" : "", "family" : "Past??n", "given" : "Pablo a.", "non-dropping-particle" : "", "parse-names" : false, "suffix" : "" } ], "container-title" : "Environmental Geochemistry and Health", "id" : "ITEM-1", "issued" : { "date-parts" : [ [ "2016" ] ] }, "page" : "1001-1014", "title" : "Active and legacy mining in an arid urban environment: challenges and perspectives for Copiap??, Northern Chile", "type" : "article-journal", "volume" : "38" }, "uris" : [ "http://www.mendeley.com/documents/?uuid=54fc0d7e-7d07-4100-b89b-b4e7c153c230" ] } ], "mendeley" : { "formattedCitation" : "(Carkovic et al., 2016)", "plainTextFormattedCitation" : "(Carkovic et al., 2016)", "previouslyFormattedCitation" : "(Carkovic et al., 2016)" }, "properties" : { "noteIndex" : 0 }, "schema" : "https://github.com/citation-style-language/schema/raw/master/csl-citation.json" }</w:instrText>
      </w:r>
      <w:r w:rsidR="002C295A" w:rsidRPr="000E0F90">
        <w:rPr>
          <w:rFonts w:ascii="Arial" w:hAnsi="Arial" w:cs="Arial"/>
          <w:color w:val="000000" w:themeColor="text1"/>
        </w:rPr>
        <w:fldChar w:fldCharType="separate"/>
      </w:r>
      <w:r w:rsidR="002C295A" w:rsidRPr="000E0F90">
        <w:rPr>
          <w:rFonts w:ascii="Arial" w:hAnsi="Arial" w:cs="Arial"/>
          <w:noProof/>
          <w:color w:val="000000" w:themeColor="text1"/>
        </w:rPr>
        <w:t>(Carkovic et al., 2016)</w:t>
      </w:r>
      <w:r w:rsidR="002C295A" w:rsidRPr="000E0F90">
        <w:rPr>
          <w:rFonts w:ascii="Arial" w:hAnsi="Arial" w:cs="Arial"/>
          <w:color w:val="000000" w:themeColor="text1"/>
        </w:rPr>
        <w:fldChar w:fldCharType="end"/>
      </w:r>
      <w:r w:rsidR="00002833" w:rsidRPr="000E0F90">
        <w:rPr>
          <w:rFonts w:ascii="Arial" w:hAnsi="Arial" w:cs="Arial"/>
          <w:color w:val="000000" w:themeColor="text1"/>
        </w:rPr>
        <w:t>.</w:t>
      </w:r>
      <w:r w:rsidR="001A35CF" w:rsidRPr="000E0F90">
        <w:rPr>
          <w:rFonts w:ascii="Arial" w:hAnsi="Arial" w:cs="Arial"/>
          <w:color w:val="000000" w:themeColor="text1"/>
        </w:rPr>
        <w:t xml:space="preserve"> </w:t>
      </w:r>
    </w:p>
    <w:p w:rsidR="0082402F" w:rsidRDefault="008A09F0" w:rsidP="00702D9A">
      <w:pPr>
        <w:spacing w:before="240" w:line="360" w:lineRule="auto"/>
        <w:rPr>
          <w:rFonts w:ascii="Arial" w:hAnsi="Arial" w:cs="Arial"/>
          <w:color w:val="000000" w:themeColor="text1"/>
        </w:rPr>
      </w:pPr>
      <w:r w:rsidRPr="000E0F90">
        <w:rPr>
          <w:rFonts w:ascii="Arial" w:hAnsi="Arial" w:cs="Arial"/>
          <w:color w:val="000000" w:themeColor="text1"/>
        </w:rPr>
        <w:t>En cuanto a los impactos de alcance espacial, l</w:t>
      </w:r>
      <w:r w:rsidR="0082402F" w:rsidRPr="000E0F90">
        <w:rPr>
          <w:rFonts w:ascii="Arial" w:hAnsi="Arial" w:cs="Arial"/>
          <w:color w:val="000000" w:themeColor="text1"/>
        </w:rPr>
        <w:t xml:space="preserve">os </w:t>
      </w:r>
      <w:r w:rsidRPr="000E0F90">
        <w:rPr>
          <w:rFonts w:ascii="Arial" w:hAnsi="Arial" w:cs="Arial"/>
          <w:color w:val="000000" w:themeColor="text1"/>
        </w:rPr>
        <w:t xml:space="preserve">efectos </w:t>
      </w:r>
      <w:r w:rsidR="0082402F" w:rsidRPr="000E0F90">
        <w:rPr>
          <w:rFonts w:ascii="Arial" w:hAnsi="Arial" w:cs="Arial"/>
          <w:color w:val="000000" w:themeColor="text1"/>
        </w:rPr>
        <w:t xml:space="preserve">en la calidad y disponibilidad del recurso hídrico, </w:t>
      </w:r>
      <w:r w:rsidR="00002833" w:rsidRPr="000E0F90">
        <w:rPr>
          <w:rFonts w:ascii="Arial" w:hAnsi="Arial" w:cs="Arial"/>
          <w:color w:val="000000" w:themeColor="text1"/>
        </w:rPr>
        <w:t>dado por</w:t>
      </w:r>
      <w:r w:rsidR="0082402F" w:rsidRPr="000E0F90">
        <w:rPr>
          <w:rFonts w:ascii="Arial" w:hAnsi="Arial" w:cs="Arial"/>
          <w:color w:val="000000" w:themeColor="text1"/>
        </w:rPr>
        <w:t xml:space="preserve"> la ubicación en la cabecera de cuenca de territorios</w:t>
      </w:r>
      <w:r w:rsidR="00002833" w:rsidRPr="000E0F90">
        <w:rPr>
          <w:rFonts w:ascii="Arial" w:hAnsi="Arial" w:cs="Arial"/>
          <w:color w:val="000000" w:themeColor="text1"/>
        </w:rPr>
        <w:t xml:space="preserve"> </w:t>
      </w:r>
      <w:r w:rsidR="00002833" w:rsidRPr="000E0F90">
        <w:rPr>
          <w:rFonts w:ascii="Arial" w:hAnsi="Arial" w:cs="Arial"/>
          <w:color w:val="000000" w:themeColor="text1"/>
        </w:rPr>
        <w:lastRenderedPageBreak/>
        <w:t>semiáridos</w:t>
      </w:r>
      <w:r w:rsidR="0082402F" w:rsidRPr="000E0F90">
        <w:rPr>
          <w:rFonts w:ascii="Arial" w:hAnsi="Arial" w:cs="Arial"/>
          <w:color w:val="000000" w:themeColor="text1"/>
        </w:rPr>
        <w:t>,</w:t>
      </w:r>
      <w:r w:rsidR="008E20DE">
        <w:rPr>
          <w:rFonts w:ascii="Arial" w:hAnsi="Arial" w:cs="Arial"/>
          <w:color w:val="000000" w:themeColor="text1"/>
        </w:rPr>
        <w:t xml:space="preserve"> </w:t>
      </w:r>
      <w:r w:rsidR="0082402F" w:rsidRPr="000E0F90">
        <w:rPr>
          <w:rFonts w:ascii="Arial" w:hAnsi="Arial" w:cs="Arial"/>
          <w:color w:val="000000" w:themeColor="text1"/>
        </w:rPr>
        <w:t>implica impactos ineludibles en los ecosistemas adyacentes.</w:t>
      </w:r>
      <w:r w:rsidRPr="000E0F90">
        <w:rPr>
          <w:rFonts w:ascii="Arial" w:hAnsi="Arial" w:cs="Arial"/>
          <w:color w:val="000000" w:themeColor="text1"/>
        </w:rPr>
        <w:t xml:space="preserve"> </w:t>
      </w:r>
      <w:r w:rsidR="004856F2">
        <w:rPr>
          <w:rFonts w:ascii="Arial" w:hAnsi="Arial" w:cs="Arial"/>
          <w:color w:val="000000" w:themeColor="text1"/>
        </w:rPr>
        <w:t>Incluso</w:t>
      </w:r>
      <w:r w:rsidRPr="000E0F90">
        <w:rPr>
          <w:rFonts w:ascii="Arial" w:hAnsi="Arial" w:cs="Arial"/>
          <w:color w:val="000000" w:themeColor="text1"/>
        </w:rPr>
        <w:t xml:space="preserve">, se evidencian efectos de la minería en la contaminación de cursos de agua que llegan al mar, afectando la sobrevida de especies marinas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"author" : [ { "dropping-particle" : "", "family" : "Schildermans", "given" : "Peter", "non-dropping-particle" : "", "parse-names" : false, "suffix" : "" } ], "id" : "ITEM-1", "issued" : { "date-parts" : [ [ "2011" ] ] }, "note" : "NULL", "page" : "256", "title" : "The Chilean copper industry towards a more ecologically durable exploitation ?", "type" : "article-journal" }, "uris" : [ "http://www.mendeley.com/documents/?uuid=b25a2fcc-89a4-4984-9241-223ea94111a8" ] } ], "mendeley" : { "formattedCitation" : "(Schildermans, 2011)", "plainTextFormattedCitation" : "(Schildermans, 2011)", "previouslyFormattedCitation" : "(Schildermans, 2011)"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(Schildermans, 2011)</w:t>
      </w:r>
      <w:r w:rsidRPr="000E0F90">
        <w:rPr>
          <w:rFonts w:ascii="Arial" w:hAnsi="Arial" w:cs="Arial"/>
          <w:color w:val="000000" w:themeColor="text1"/>
        </w:rPr>
        <w:fldChar w:fldCharType="end"/>
      </w:r>
      <w:r w:rsidRPr="000E0F90">
        <w:rPr>
          <w:rFonts w:ascii="Arial" w:hAnsi="Arial" w:cs="Arial"/>
          <w:color w:val="000000" w:themeColor="text1"/>
        </w:rPr>
        <w:t>.</w:t>
      </w:r>
    </w:p>
    <w:p w:rsidR="00E200A3" w:rsidRPr="000E0F90" w:rsidRDefault="00E200A3" w:rsidP="00702D9A">
      <w:pPr>
        <w:pStyle w:val="Ttulo3"/>
        <w:spacing w:before="360" w:after="0" w:line="360" w:lineRule="auto"/>
        <w:rPr>
          <w:rFonts w:ascii="Arial" w:hAnsi="Arial" w:cs="Arial"/>
        </w:rPr>
      </w:pPr>
      <w:r w:rsidRPr="000E0F90">
        <w:rPr>
          <w:rFonts w:ascii="Arial" w:hAnsi="Arial" w:cs="Arial"/>
        </w:rPr>
        <w:t>2. Calidad de Vida y Equidad</w:t>
      </w:r>
    </w:p>
    <w:p w:rsidR="001A35CF" w:rsidRPr="000E0F90" w:rsidRDefault="001A35CF" w:rsidP="00702D9A">
      <w:pPr>
        <w:spacing w:line="360" w:lineRule="auto"/>
        <w:rPr>
          <w:rFonts w:ascii="Arial" w:hAnsi="Arial" w:cs="Arial"/>
          <w:color w:val="000000" w:themeColor="text1"/>
        </w:rPr>
      </w:pPr>
      <w:r w:rsidRPr="000E0F90">
        <w:rPr>
          <w:rFonts w:ascii="Arial" w:hAnsi="Arial" w:cs="Arial"/>
          <w:color w:val="000000" w:themeColor="text1"/>
        </w:rPr>
        <w:t xml:space="preserve">De acuerdo a lo señalado por los actores sociales locales, se identifica un cumplimiento parcial en la Calidad de Vida y Equidad. </w:t>
      </w:r>
      <w:r w:rsidR="00BE6F4E" w:rsidRPr="000E0F90">
        <w:rPr>
          <w:rFonts w:ascii="Arial" w:hAnsi="Arial" w:cs="Arial"/>
          <w:color w:val="000000" w:themeColor="text1"/>
        </w:rPr>
        <w:t xml:space="preserve">Evidenciándose situaciones que dificultan la consecución de este principio, como es las condiciones de seguridad y salud local; la provisión de empleos estables y satisfactorios; </w:t>
      </w:r>
      <w:r w:rsidR="00F524C1" w:rsidRPr="00EB0B3C">
        <w:rPr>
          <w:rFonts w:ascii="Arial" w:hAnsi="Arial" w:cs="Arial"/>
        </w:rPr>
        <w:t xml:space="preserve">la </w:t>
      </w:r>
      <w:r w:rsidR="00F65FAC" w:rsidRPr="00EB0B3C">
        <w:rPr>
          <w:rFonts w:ascii="Arial" w:hAnsi="Arial" w:cs="Arial"/>
        </w:rPr>
        <w:t>disrupción</w:t>
      </w:r>
      <w:r w:rsidR="00F524C1" w:rsidRPr="00EB0B3C">
        <w:rPr>
          <w:rFonts w:ascii="Arial" w:hAnsi="Arial" w:cs="Arial"/>
        </w:rPr>
        <w:t xml:space="preserve"> de formas de vida</w:t>
      </w:r>
      <w:r w:rsidR="00F524C1" w:rsidRPr="000E0F90">
        <w:rPr>
          <w:rFonts w:ascii="Arial" w:hAnsi="Arial" w:cs="Arial"/>
          <w:color w:val="000000" w:themeColor="text1"/>
        </w:rPr>
        <w:t xml:space="preserve">; </w:t>
      </w:r>
      <w:r w:rsidR="00BE6F4E" w:rsidRPr="000E0F90">
        <w:rPr>
          <w:rFonts w:ascii="Arial" w:hAnsi="Arial" w:cs="Arial"/>
          <w:color w:val="000000" w:themeColor="text1"/>
        </w:rPr>
        <w:t xml:space="preserve">el desarrollo equivalente y transversal de los territorios; la distribución equitativa de los beneficios; y el traspaso de las externalidades a otros territorios. En tanto, acciones que parcialmente contribuyen a este principio corresponden a: la proporción de servicios básicos, la existencia de amenidades locales, el desarrollo cultural, y la reducción de la brecha de los más necesitados. </w:t>
      </w:r>
    </w:p>
    <w:p w:rsidR="003A71DA" w:rsidRDefault="00BE6F4E" w:rsidP="00702D9A">
      <w:pPr>
        <w:spacing w:before="240" w:line="360" w:lineRule="auto"/>
        <w:rPr>
          <w:rFonts w:ascii="Arial" w:hAnsi="Arial" w:cs="Arial"/>
          <w:color w:val="000000" w:themeColor="text1"/>
        </w:rPr>
      </w:pPr>
      <w:r w:rsidRPr="000E0F90">
        <w:rPr>
          <w:rFonts w:ascii="Arial" w:hAnsi="Arial" w:cs="Arial"/>
          <w:color w:val="000000" w:themeColor="text1"/>
        </w:rPr>
        <w:t>Respecto a</w:t>
      </w:r>
      <w:r w:rsidR="007A3AEA" w:rsidRPr="000E0F90">
        <w:rPr>
          <w:rFonts w:ascii="Arial" w:hAnsi="Arial" w:cs="Arial"/>
          <w:color w:val="000000" w:themeColor="text1"/>
        </w:rPr>
        <w:t xml:space="preserve"> las </w:t>
      </w:r>
      <w:r w:rsidR="007A3AEA" w:rsidRPr="00FA7E30">
        <w:rPr>
          <w:rFonts w:ascii="Arial" w:hAnsi="Arial" w:cs="Arial"/>
          <w:color w:val="000000" w:themeColor="text1"/>
        </w:rPr>
        <w:t>condiciones de salud y seguridad de los habitantes locales</w:t>
      </w:r>
      <w:r w:rsidR="003814B6" w:rsidRPr="00FA7E30">
        <w:rPr>
          <w:rFonts w:ascii="Arial" w:hAnsi="Arial" w:cs="Arial"/>
          <w:color w:val="000000" w:themeColor="text1"/>
        </w:rPr>
        <w:t xml:space="preserve">, la contaminación permanente del territorio y los riesgos </w:t>
      </w:r>
      <w:r w:rsidR="00EB0B3C" w:rsidRPr="00FA7E30">
        <w:rPr>
          <w:rFonts w:ascii="Arial" w:hAnsi="Arial" w:cs="Arial"/>
          <w:color w:val="000000" w:themeColor="text1"/>
        </w:rPr>
        <w:t xml:space="preserve">a la seguridad humana </w:t>
      </w:r>
      <w:r w:rsidR="003814B6" w:rsidRPr="00FA7E30">
        <w:rPr>
          <w:rFonts w:ascii="Arial" w:hAnsi="Arial" w:cs="Arial"/>
          <w:color w:val="000000" w:themeColor="text1"/>
        </w:rPr>
        <w:t>asociados a la actividad minera</w:t>
      </w:r>
      <w:r w:rsidR="00EB0B3C" w:rsidRPr="00FA7E30">
        <w:rPr>
          <w:rFonts w:ascii="Arial" w:hAnsi="Arial" w:cs="Arial"/>
          <w:color w:val="000000" w:themeColor="text1"/>
        </w:rPr>
        <w:t>,</w:t>
      </w:r>
      <w:r w:rsidRPr="00FA7E30">
        <w:rPr>
          <w:rFonts w:ascii="Arial" w:hAnsi="Arial" w:cs="Arial"/>
          <w:color w:val="000000" w:themeColor="text1"/>
        </w:rPr>
        <w:t xml:space="preserve"> son identificadas ampliamente</w:t>
      </w:r>
      <w:r w:rsidR="00261D1D">
        <w:rPr>
          <w:rFonts w:ascii="Arial" w:hAnsi="Arial" w:cs="Arial"/>
          <w:color w:val="000000" w:themeColor="text1"/>
        </w:rPr>
        <w:t xml:space="preserve"> en Tierra amarilla, Salamanca y La Higuera, principalmente</w:t>
      </w:r>
      <w:r w:rsidR="007A3AEA" w:rsidRPr="00FA7E30">
        <w:rPr>
          <w:rFonts w:ascii="Arial" w:hAnsi="Arial" w:cs="Arial"/>
          <w:color w:val="000000" w:themeColor="text1"/>
        </w:rPr>
        <w:t>.</w:t>
      </w:r>
      <w:r w:rsidR="00B67A96" w:rsidRPr="00FA7E30">
        <w:rPr>
          <w:rFonts w:ascii="Arial" w:hAnsi="Arial" w:cs="Arial"/>
          <w:color w:val="000000" w:themeColor="text1"/>
        </w:rPr>
        <w:t xml:space="preserve"> En relación a ello, </w:t>
      </w:r>
      <w:r w:rsidR="00B67A96" w:rsidRPr="00FA7E30">
        <w:rPr>
          <w:rFonts w:ascii="Arial" w:hAnsi="Arial" w:cs="Arial"/>
          <w:color w:val="000000" w:themeColor="text1"/>
          <w:lang w:eastAsia="es-CL"/>
        </w:rPr>
        <w:fldChar w:fldCharType="begin" w:fldLock="1"/>
      </w:r>
      <w:r w:rsidR="0098473B" w:rsidRPr="00FA7E30">
        <w:rPr>
          <w:rFonts w:ascii="Arial" w:hAnsi="Arial" w:cs="Arial"/>
          <w:color w:val="000000" w:themeColor="text1"/>
          <w:lang w:eastAsia="es-CL"/>
        </w:rPr>
        <w:instrText>ADDIN CSL_CITATION { "citationItems" : [ { "id" : "ITEM-1", "itemData" : { "DOI" : "10.1080/17480930.2015.1128799", "ISSN" : "1748-0930", "abstract" : "Chile is the principal producer of copper with a total of 5.8\u00a0million tonnes fine copper production in 2013. Chilean mining industry currently faces a projected increase in waste production, depleting water resources in the arid mining regions of the north and a lack of fossil fuel energy sources. In this study, a review of the historical background of environmental practices in Chile is presented, focused between 1970 and 2010. A review of the current state of sustainable development, comprising energy, water, stakeholder participation, environmental impacts and institutional decentralisation in the mining industry is presented.", "author" : [ { "dropping-particle" : "", "family" : "Ghorbani", "given" : "Yousef", "non-dropping-particle" : "", "parse-names" : false, "suffix" : "" }, { "dropping-particle" : "", "family" : "Kuan", "given" : "Seng How", "non-dropping-particle" : "", "parse-names" : false, "suffix" : "" } ], "container-title" : "International Journal of Mining, Reclamation and Environment", "id" : "ITEM-1", "issue" : "February", "issued" : { "date-parts" : [ [ "2016" ] ] }, "note" : "NULL", "page" : "1-29", "publisher" : "Taylor &amp; Francis", "title" : "A review of sustainable development in the Chilean mining sector: past, present and future", "type" : "article-journal", "volume" : "0930" }, "uris" : [ "http://www.mendeley.com/documents/?uuid=ba6630bb-3cdb-4443-b119-f6b6f68bafa7" ] } ], "mendeley" : { "formattedCitation" : "(Ghorbani &amp; Kuan, 2016)", "plainTextFormattedCitation" : "(Ghorbani &amp; Kuan, 2016)", "previouslyFormattedCitation" : "(Ghorbani &amp; Kuan, 2016)" }, "properties" : { "noteIndex" : 0 }, "schema" : "https://github.com/citation-style-language/schema/raw/master/csl-citation.json" }</w:instrText>
      </w:r>
      <w:r w:rsidR="00B67A96" w:rsidRPr="00FA7E30">
        <w:rPr>
          <w:rFonts w:ascii="Arial" w:hAnsi="Arial" w:cs="Arial"/>
          <w:color w:val="000000" w:themeColor="text1"/>
          <w:lang w:eastAsia="es-CL"/>
        </w:rPr>
        <w:fldChar w:fldCharType="separate"/>
      </w:r>
      <w:r w:rsidR="0098473B" w:rsidRPr="00FA7E30">
        <w:rPr>
          <w:rFonts w:ascii="Arial" w:hAnsi="Arial" w:cs="Arial"/>
          <w:noProof/>
          <w:color w:val="000000" w:themeColor="text1"/>
          <w:lang w:eastAsia="es-CL"/>
        </w:rPr>
        <w:t>(Ghorbani &amp; Kuan, 2016)</w:t>
      </w:r>
      <w:r w:rsidR="00B67A96" w:rsidRPr="00FA7E30">
        <w:rPr>
          <w:rFonts w:ascii="Arial" w:hAnsi="Arial" w:cs="Arial"/>
          <w:color w:val="000000" w:themeColor="text1"/>
          <w:lang w:eastAsia="es-CL"/>
        </w:rPr>
        <w:fldChar w:fldCharType="end"/>
      </w:r>
      <w:r w:rsidR="00B67A96" w:rsidRPr="00FA7E30">
        <w:rPr>
          <w:rFonts w:ascii="Arial" w:hAnsi="Arial" w:cs="Arial"/>
          <w:color w:val="000000" w:themeColor="text1"/>
          <w:lang w:eastAsia="es-CL"/>
        </w:rPr>
        <w:t xml:space="preserve"> señalan que fallas en los relaves puede llevar a la contaminación de ríos y aguas profundas, exponiendo en forma continua a los habitantes cercanos a contaminantes, los cuales se acumulan en el sistema digestivo, respiratorio y piel.</w:t>
      </w:r>
      <w:r w:rsidR="00D87C96" w:rsidRPr="00FA7E30">
        <w:rPr>
          <w:rFonts w:ascii="Arial" w:hAnsi="Arial" w:cs="Arial"/>
          <w:color w:val="000000" w:themeColor="text1"/>
          <w:lang w:eastAsia="es-CL"/>
        </w:rPr>
        <w:t xml:space="preserve"> </w:t>
      </w:r>
      <w:r w:rsidR="00D86921" w:rsidRPr="00FA7E30">
        <w:rPr>
          <w:rFonts w:ascii="Arial" w:hAnsi="Arial" w:cs="Arial"/>
          <w:noProof/>
          <w:color w:val="000000" w:themeColor="text1"/>
        </w:rPr>
        <w:t>Tchernitchin &amp; Muñoz</w:t>
      </w:r>
      <w:r w:rsidR="00D86921">
        <w:rPr>
          <w:rFonts w:ascii="Arial" w:hAnsi="Arial" w:cs="Arial"/>
          <w:noProof/>
          <w:color w:val="000000" w:themeColor="text1"/>
        </w:rPr>
        <w:t xml:space="preserve"> (</w:t>
      </w:r>
      <w:r w:rsidR="00D86921" w:rsidRPr="00FA7E30">
        <w:rPr>
          <w:rFonts w:ascii="Arial" w:hAnsi="Arial" w:cs="Arial"/>
          <w:noProof/>
          <w:color w:val="000000" w:themeColor="text1"/>
        </w:rPr>
        <w:t xml:space="preserve"> 2012</w:t>
      </w:r>
      <w:r w:rsidR="00D86921">
        <w:rPr>
          <w:rFonts w:ascii="Arial" w:hAnsi="Arial" w:cs="Arial"/>
          <w:noProof/>
          <w:color w:val="000000" w:themeColor="text1"/>
        </w:rPr>
        <w:t>)</w:t>
      </w:r>
      <w:r w:rsidR="00512E65" w:rsidRPr="00FA7E30">
        <w:rPr>
          <w:rFonts w:ascii="Arial" w:hAnsi="Arial" w:cs="Arial"/>
          <w:color w:val="000000" w:themeColor="text1"/>
        </w:rPr>
        <w:t xml:space="preserve"> señalan que uno de los mayores riesgos de los tranques de relaves en funcionamiento o después de la etapa de cierre son la ruptura de su pared de contención y la inundación de los terrenos que quedan aguas abajo de éste. </w:t>
      </w:r>
    </w:p>
    <w:p w:rsidR="002D1050" w:rsidRPr="000E0F90" w:rsidRDefault="00BE6F4E" w:rsidP="00702D9A">
      <w:pPr>
        <w:spacing w:before="240" w:line="360" w:lineRule="auto"/>
        <w:rPr>
          <w:rFonts w:ascii="Arial" w:hAnsi="Arial" w:cs="Arial"/>
          <w:color w:val="000000" w:themeColor="text1"/>
        </w:rPr>
      </w:pPr>
      <w:r w:rsidRPr="00FA7E30">
        <w:rPr>
          <w:rFonts w:ascii="Arial" w:hAnsi="Arial" w:cs="Arial"/>
          <w:color w:val="000000" w:themeColor="text1"/>
        </w:rPr>
        <w:t xml:space="preserve">Por otra parte, </w:t>
      </w:r>
      <w:r w:rsidR="001F475B" w:rsidRPr="00FA7E30">
        <w:rPr>
          <w:rFonts w:ascii="Arial" w:hAnsi="Arial" w:cs="Arial"/>
          <w:color w:val="000000" w:themeColor="text1"/>
        </w:rPr>
        <w:t xml:space="preserve">se identifica </w:t>
      </w:r>
      <w:r w:rsidR="007746CB" w:rsidRPr="00FA7E30">
        <w:rPr>
          <w:rFonts w:ascii="Arial" w:hAnsi="Arial" w:cs="Arial"/>
          <w:color w:val="000000" w:themeColor="text1"/>
        </w:rPr>
        <w:t>una reducida dotación de empleos duraderos y satisfactorios</w:t>
      </w:r>
      <w:r w:rsidR="00261D1D">
        <w:rPr>
          <w:rFonts w:ascii="Arial" w:hAnsi="Arial" w:cs="Arial"/>
          <w:color w:val="000000" w:themeColor="text1"/>
        </w:rPr>
        <w:t xml:space="preserve"> en la totalidad de los territorios</w:t>
      </w:r>
      <w:r w:rsidR="007746CB" w:rsidRPr="00FA7E30">
        <w:rPr>
          <w:rFonts w:ascii="Arial" w:hAnsi="Arial" w:cs="Arial"/>
          <w:color w:val="000000" w:themeColor="text1"/>
        </w:rPr>
        <w:t xml:space="preserve">, dado que éstos provienen principalmente del sector agrícola, y en menor grado de la minería, </w:t>
      </w:r>
      <w:r w:rsidR="00C83810" w:rsidRPr="00FA7E30">
        <w:rPr>
          <w:rFonts w:ascii="Arial" w:hAnsi="Arial" w:cs="Arial"/>
          <w:color w:val="000000" w:themeColor="text1"/>
        </w:rPr>
        <w:t xml:space="preserve">aunque </w:t>
      </w:r>
      <w:r w:rsidR="007746CB" w:rsidRPr="00FA7E30">
        <w:rPr>
          <w:rFonts w:ascii="Arial" w:hAnsi="Arial" w:cs="Arial"/>
          <w:color w:val="000000" w:themeColor="text1"/>
        </w:rPr>
        <w:t xml:space="preserve">de forma indirecta. </w:t>
      </w:r>
      <w:r w:rsidR="00347865" w:rsidRPr="00FA7E30">
        <w:rPr>
          <w:rFonts w:ascii="Arial" w:hAnsi="Arial" w:cs="Arial"/>
          <w:color w:val="000000" w:themeColor="text1"/>
        </w:rPr>
        <w:t>Esta escasa contratación de la</w:t>
      </w:r>
      <w:r w:rsidR="002D1050" w:rsidRPr="00FA7E30">
        <w:rPr>
          <w:rFonts w:ascii="Arial" w:hAnsi="Arial" w:cs="Arial"/>
          <w:color w:val="000000" w:themeColor="text1"/>
        </w:rPr>
        <w:t xml:space="preserve"> mano de obra local </w:t>
      </w:r>
      <w:r w:rsidR="008A6E94" w:rsidRPr="00FA7E30">
        <w:rPr>
          <w:rFonts w:ascii="Arial" w:hAnsi="Arial" w:cs="Arial"/>
          <w:color w:val="000000" w:themeColor="text1"/>
        </w:rPr>
        <w:t xml:space="preserve">por parte de la minería, </w:t>
      </w:r>
      <w:r w:rsidR="002D1050" w:rsidRPr="00FA7E30">
        <w:rPr>
          <w:rFonts w:ascii="Arial" w:hAnsi="Arial" w:cs="Arial"/>
          <w:color w:val="000000" w:themeColor="text1"/>
        </w:rPr>
        <w:t>se explica por la falta de competencias técnicas de los trabajadores locales</w:t>
      </w:r>
      <w:r w:rsidR="008A6E94" w:rsidRPr="00FA7E30">
        <w:rPr>
          <w:rFonts w:ascii="Arial" w:hAnsi="Arial" w:cs="Arial"/>
          <w:color w:val="000000" w:themeColor="text1"/>
        </w:rPr>
        <w:t xml:space="preserve"> </w:t>
      </w:r>
      <w:r w:rsidR="008A6E94" w:rsidRPr="00FA7E30">
        <w:rPr>
          <w:rFonts w:ascii="Arial" w:hAnsi="Arial" w:cs="Arial"/>
          <w:color w:val="000000" w:themeColor="text1"/>
        </w:rPr>
        <w:fldChar w:fldCharType="begin" w:fldLock="1"/>
      </w:r>
      <w:r w:rsidR="008A6E94" w:rsidRPr="00FA7E30">
        <w:rPr>
          <w:rFonts w:ascii="Arial" w:hAnsi="Arial" w:cs="Arial"/>
          <w:color w:val="000000" w:themeColor="text1"/>
        </w:rPr>
        <w:instrText>ADDIN CSL_CITATION { "citationItems" : [ { "id" : "ITEM-1", "itemData" : { "DOI" : "10.1016/j.jrurstud.2009.06.005", "ISSN" : "07430167", "author" : [ { "dropping-particle" : "", "family" : "Cheshire", "given" : "Lynda", "non-dropping-particle" : "", "parse-names" : false, "suffix" : "" } ], "container-title" : "Journal of Rural Studies", "id" : "ITEM-1", "issue" : "1", "issued" : { "date-parts" : [ [ "2010", "1" ] ] }, "page" : "12-20", "publisher" : "Elsevier Ltd", "title" : "A corporate responsibility? The constitution of fly-in, fly-out mining companies as governance partners in remote, mine-affected localities", "type" : "article-journal", "volume" : "26" }, "uris" : [ "http://www.mendeley.com/documents/?uuid=11694aef-f151-40e7-8f4b-f9615f2ba8de" ] } ], "mendeley" : { "formattedCitation" : "(Cheshire, 2010)", "plainTextFormattedCitation" : "(Cheshire, 2010)", "previouslyFormattedCitation" : "(Cheshire, 2010)" }, "properties" : { "noteIndex" : 0 }, "schema" : "https://github.com/citation-style-language/schema/raw/master/csl-citation.json" }</w:instrText>
      </w:r>
      <w:r w:rsidR="008A6E94" w:rsidRPr="00FA7E30">
        <w:rPr>
          <w:rFonts w:ascii="Arial" w:hAnsi="Arial" w:cs="Arial"/>
          <w:color w:val="000000" w:themeColor="text1"/>
        </w:rPr>
        <w:fldChar w:fldCharType="separate"/>
      </w:r>
      <w:r w:rsidR="008A6E94" w:rsidRPr="00FA7E30">
        <w:rPr>
          <w:rFonts w:ascii="Arial" w:hAnsi="Arial" w:cs="Arial"/>
          <w:noProof/>
          <w:color w:val="000000" w:themeColor="text1"/>
        </w:rPr>
        <w:t>(Cheshire, 2010)</w:t>
      </w:r>
      <w:r w:rsidR="008A6E94" w:rsidRPr="00FA7E30">
        <w:rPr>
          <w:rFonts w:ascii="Arial" w:hAnsi="Arial" w:cs="Arial"/>
          <w:color w:val="000000" w:themeColor="text1"/>
        </w:rPr>
        <w:fldChar w:fldCharType="end"/>
      </w:r>
      <w:r w:rsidR="008A6E94" w:rsidRPr="00FA7E30">
        <w:rPr>
          <w:rFonts w:ascii="Arial" w:hAnsi="Arial" w:cs="Arial"/>
          <w:color w:val="000000" w:themeColor="text1"/>
        </w:rPr>
        <w:t xml:space="preserve">, ocurriendo </w:t>
      </w:r>
      <w:r w:rsidRPr="00FA7E30">
        <w:rPr>
          <w:rFonts w:ascii="Arial" w:hAnsi="Arial" w:cs="Arial"/>
          <w:color w:val="000000" w:themeColor="text1"/>
        </w:rPr>
        <w:t>la contratación</w:t>
      </w:r>
      <w:r w:rsidR="008A6E94" w:rsidRPr="00FA7E30">
        <w:rPr>
          <w:rFonts w:ascii="Arial" w:hAnsi="Arial" w:cs="Arial"/>
          <w:color w:val="000000" w:themeColor="text1"/>
        </w:rPr>
        <w:t xml:space="preserve"> solo en </w:t>
      </w:r>
      <w:r w:rsidRPr="00FA7E30">
        <w:rPr>
          <w:rFonts w:ascii="Arial" w:hAnsi="Arial" w:cs="Arial"/>
          <w:color w:val="000000" w:themeColor="text1"/>
        </w:rPr>
        <w:t>faenas</w:t>
      </w:r>
      <w:r w:rsidR="008A6E94" w:rsidRPr="00FA7E30">
        <w:rPr>
          <w:rFonts w:ascii="Arial" w:hAnsi="Arial" w:cs="Arial"/>
          <w:color w:val="000000" w:themeColor="text1"/>
        </w:rPr>
        <w:t xml:space="preserve"> de construcción</w:t>
      </w:r>
      <w:r w:rsidRPr="00FA7E30">
        <w:rPr>
          <w:rFonts w:ascii="Arial" w:hAnsi="Arial" w:cs="Arial"/>
          <w:color w:val="000000" w:themeColor="text1"/>
        </w:rPr>
        <w:t xml:space="preserve"> o servicios asociados, como es el caso de Salamanca</w:t>
      </w:r>
      <w:r w:rsidR="008A6E94" w:rsidRPr="00FA7E30">
        <w:rPr>
          <w:rFonts w:ascii="Arial" w:hAnsi="Arial" w:cs="Arial"/>
          <w:color w:val="000000" w:themeColor="text1"/>
        </w:rPr>
        <w:t>.</w:t>
      </w:r>
      <w:r w:rsidR="008A6E94" w:rsidRPr="000E0F90">
        <w:rPr>
          <w:rFonts w:ascii="Arial" w:hAnsi="Arial" w:cs="Arial"/>
          <w:color w:val="000000" w:themeColor="text1"/>
        </w:rPr>
        <w:t xml:space="preserve"> </w:t>
      </w:r>
      <w:r w:rsidR="002D1050" w:rsidRPr="000E0F90">
        <w:rPr>
          <w:rFonts w:ascii="Arial" w:hAnsi="Arial" w:cs="Arial"/>
          <w:color w:val="000000" w:themeColor="text1"/>
        </w:rPr>
        <w:t xml:space="preserve">No existiendo iniciativas locales que atiendan esta situación, es decir, no existen instancias de mejoramiento de la capacidad técnica local para personas que </w:t>
      </w:r>
      <w:r w:rsidR="002D1050" w:rsidRPr="000E0F90">
        <w:rPr>
          <w:rFonts w:ascii="Arial" w:hAnsi="Arial" w:cs="Arial"/>
          <w:color w:val="000000" w:themeColor="text1"/>
        </w:rPr>
        <w:lastRenderedPageBreak/>
        <w:t xml:space="preserve">aspiren a trabajar en faenas mineras. </w:t>
      </w:r>
      <w:r w:rsidR="00C21CCD" w:rsidRPr="000E0F90">
        <w:rPr>
          <w:rFonts w:ascii="Arial" w:hAnsi="Arial" w:cs="Arial"/>
          <w:color w:val="000000" w:themeColor="text1"/>
        </w:rPr>
        <w:t xml:space="preserve">Esta situación se describe en otros territorios mineros, como es la Región de Antofagasta, donde la actividad minera se relaciona en forma limitada con empresas de servicios locales y mano de obra local </w:t>
      </w:r>
      <w:r w:rsidR="00C21CCD" w:rsidRPr="000E0F90">
        <w:rPr>
          <w:rFonts w:ascii="Arial" w:hAnsi="Arial" w:cs="Arial"/>
          <w:color w:val="000000" w:themeColor="text1"/>
        </w:rPr>
        <w:fldChar w:fldCharType="begin" w:fldLock="1"/>
      </w:r>
      <w:r w:rsidR="008A6E94" w:rsidRPr="000E0F90">
        <w:rPr>
          <w:rFonts w:ascii="Arial" w:hAnsi="Arial" w:cs="Arial"/>
          <w:color w:val="000000" w:themeColor="text1"/>
        </w:rPr>
        <w:instrText>ADDIN CSL_CITATION { "citationItems" : [ { "id" : "ITEM-1", "itemData" : { "DOI" : "10.1093/jeg/lbt007", "ISBN" : "1468-2702", "ISSN" : "14682702", "abstract" : "Various regions have recently proposed the creation of clusters around large-scale mining. However, until the 1980s, mining regions were predominantly considered productive enclaves. This article analyzes the case of the Antofagasta Region, the main mining region in Chile. A descriptive analysis is put forward that addresses the ideal types of the mining cluster and enclave, establishing as criteria of comparison the mechanisms proposed by Marshall as sources of agglomeration economies. Despite strong growth, the Antofagasta Region approximates more a mining enclave than a cluster. This implies the need to revise and adapt the concept of enclave to the current reality. [PUBLICATION ABSTRACT]", "author" : [ { "dropping-particle" : "", "family" : "Arias", "given" : "Mart\u00edn", "non-dropping-particle" : "", "parse-names" : false, "suffix" : "" }, { "dropping-particle" : "", "family" : "Atienza", "given" : "Miguel", "non-dropping-particle" : "", "parse-names" : false, "suffix" : "" }, { "dropping-particle" : "", "family" : "Cademartori", "given" : "Jan", "non-dropping-particle" : "", "parse-names" : false, "suffix" : "" } ], "container-title" : "Journal of Economic Geography", "id" : "ITEM-1", "issue" : "May 2013", "issued" : { "date-parts" : [ [ "2014" ] ] }, "page" : "73-95", "title" : "Large mining enterprises and regional development in Chile: Between the enclave and cluster", "type" : "article-journal", "volume" : "14" }, "uris" : [ "http://www.mendeley.com/documents/?uuid=62be2dcb-9e8a-46de-8e66-caba499396fb" ] } ], "mendeley" : { "formattedCitation" : "(Arias, Atienza, &amp; Cademartori, 2014)", "plainTextFormattedCitation" : "(Arias, Atienza, &amp; Cademartori, 2014)", "previouslyFormattedCitation" : "(Arias, Atienza, &amp; Cademartori, 2014)" }, "properties" : { "noteIndex" : 0 }, "schema" : "https://github.com/citation-style-language/schema/raw/master/csl-citation.json" }</w:instrText>
      </w:r>
      <w:r w:rsidR="00C21CCD" w:rsidRPr="000E0F90">
        <w:rPr>
          <w:rFonts w:ascii="Arial" w:hAnsi="Arial" w:cs="Arial"/>
          <w:color w:val="000000" w:themeColor="text1"/>
        </w:rPr>
        <w:fldChar w:fldCharType="separate"/>
      </w:r>
      <w:r w:rsidR="00C21CCD" w:rsidRPr="000E0F90">
        <w:rPr>
          <w:rFonts w:ascii="Arial" w:hAnsi="Arial" w:cs="Arial"/>
          <w:noProof/>
          <w:color w:val="000000" w:themeColor="text1"/>
        </w:rPr>
        <w:t>(Arias, Atienza, &amp; Cademartori, 2014)</w:t>
      </w:r>
      <w:r w:rsidR="00C21CCD" w:rsidRPr="000E0F90">
        <w:rPr>
          <w:rFonts w:ascii="Arial" w:hAnsi="Arial" w:cs="Arial"/>
          <w:color w:val="000000" w:themeColor="text1"/>
        </w:rPr>
        <w:fldChar w:fldCharType="end"/>
      </w:r>
      <w:r w:rsidR="008A6E94" w:rsidRPr="000E0F90">
        <w:rPr>
          <w:rFonts w:ascii="Arial" w:hAnsi="Arial" w:cs="Arial"/>
          <w:color w:val="000000" w:themeColor="text1"/>
        </w:rPr>
        <w:t xml:space="preserve"> </w:t>
      </w:r>
      <w:r w:rsidR="008A6E94" w:rsidRPr="000E0F90">
        <w:rPr>
          <w:rFonts w:ascii="Arial" w:hAnsi="Arial" w:cs="Arial"/>
          <w:color w:val="000000" w:themeColor="text1"/>
        </w:rPr>
        <w:fldChar w:fldCharType="begin" w:fldLock="1"/>
      </w:r>
      <w:r w:rsidR="00E7621F" w:rsidRPr="000E0F90">
        <w:rPr>
          <w:rFonts w:ascii="Arial" w:hAnsi="Arial" w:cs="Arial"/>
          <w:color w:val="000000" w:themeColor="text1"/>
        </w:rPr>
        <w:instrText>ADDIN CSL_CITATION { "citationItems" : [ { "id" : "ITEM-1", "itemData" : { "DOI" : "10.4067/S0717-73562016005000001", "ISSN" : "07177356", "abstract" : "Presentamos los resultados de un estudio exploratorio y cualitativo acerca de las transformaciones agrarias y los conflictos h\u00eddricos que han emergido en las \u00faltimas tres d\u00e9cadas entre localidades hist\u00f3ricamente agr\u00edcolas y grandes empresas mineras en el norte de Chile. Investigamos en tres casos de estudio: Quillagua (comuna Mar\u00eda Elena, Regi\u00f3n de Antofagasta), Peine (comuna San Pedro de Atacama, Regi\u00f3n de Antofagasta) y Los Loros (comuna Tierra Amarilla, Regi\u00f3n de Atacama). A partir del discurso de los entrevistados, efectuamos una reconstrucci\u00f3n hist\u00f3rica de los cambios centr\u00e1ndonos en tres dimensiones interrelacionadas que permiten abordar el problema: caracter\u00edsticas de las actividades agropecuarias, presencia y v\u00ednculos con la miner\u00eda, y situaci\u00f3n de los recursos h\u00eddricos. Palabras claves: gran miner\u00eda, localidades agr\u00edcolas, conflictos h\u00eddricos, norte de Chile. We present the results of an exploratory and qualitative research about on the agrarian transformations and the water conflicts that emerged the last three decades between localities historically agrarian and large mining companies in northern Chile. This research consists of three case studies: Quillagua (Municipality of Mar\u00eda Elena, Antofagasta Region), Peine (Municipality of San Pedro de Atacama, Antofagasta Region) and Los Loros (Municipality of Tierra Amarilla, Atacama Region). Based on the interviewees's discourse, we elaborate a historical reconstruction of the changes, focussing on three interrelated dimensions that tackle the problem: characteristics of agricultural activities, presence and ties to mining, and the situation of the hydric resources.", "author" : [ { "dropping-particle" : "", "family" : "Calder\u00f3n et. al.", "given" : "", "non-dropping-particle" : "", "parse-names" : false, "suffix" : "" } ], "id" : "ITEM-1", "issued" : { "date-parts" : [ [ "2016" ] ] }, "page" : "1-12", "title" : "Gran Miner\u00eda Y Localidades Agr\u00edcolas En El Norte De Chile : Comparaci\u00f3n", "type" : "article-journal" }, "uris" : [ "http://www.mendeley.com/documents/?uuid=03cda2b5-eb6f-4aaa-a1ff-2e483b93fd77" ] } ], "mendeley" : { "formattedCitation" : "(Calder\u00f3n et. al., 2016)", "plainTextFormattedCitation" : "(Calder\u00f3n et. al., 2016)", "previouslyFormattedCitation" : "(Calder\u00f3n et. al., 2016)" }, "properties" : { "noteIndex" : 0 }, "schema" : "https://github.com/citation-style-language/schema/raw/master/csl-citation.json" }</w:instrText>
      </w:r>
      <w:r w:rsidR="008A6E94" w:rsidRPr="000E0F90">
        <w:rPr>
          <w:rFonts w:ascii="Arial" w:hAnsi="Arial" w:cs="Arial"/>
          <w:color w:val="000000" w:themeColor="text1"/>
        </w:rPr>
        <w:fldChar w:fldCharType="separate"/>
      </w:r>
      <w:r w:rsidR="008A6E94" w:rsidRPr="000E0F90">
        <w:rPr>
          <w:rFonts w:ascii="Arial" w:hAnsi="Arial" w:cs="Arial"/>
          <w:noProof/>
          <w:color w:val="000000" w:themeColor="text1"/>
        </w:rPr>
        <w:t>(Calderón et. al., 2016)</w:t>
      </w:r>
      <w:r w:rsidR="008A6E94" w:rsidRPr="000E0F90">
        <w:rPr>
          <w:rFonts w:ascii="Arial" w:hAnsi="Arial" w:cs="Arial"/>
          <w:color w:val="000000" w:themeColor="text1"/>
        </w:rPr>
        <w:fldChar w:fldCharType="end"/>
      </w:r>
      <w:r w:rsidR="00C21CCD" w:rsidRPr="000E0F90">
        <w:rPr>
          <w:rFonts w:ascii="Arial" w:hAnsi="Arial" w:cs="Arial"/>
          <w:color w:val="000000" w:themeColor="text1"/>
        </w:rPr>
        <w:t>.</w:t>
      </w:r>
      <w:r w:rsidR="008A6E94" w:rsidRPr="000E0F90">
        <w:rPr>
          <w:rFonts w:ascii="Arial" w:hAnsi="Arial" w:cs="Arial"/>
          <w:color w:val="000000" w:themeColor="text1"/>
        </w:rPr>
        <w:t xml:space="preserve"> </w:t>
      </w:r>
    </w:p>
    <w:p w:rsidR="00E87562" w:rsidRPr="000E0F90" w:rsidRDefault="00EB0B3C" w:rsidP="00702D9A">
      <w:pPr>
        <w:spacing w:before="240" w:line="360" w:lineRule="auto"/>
        <w:rPr>
          <w:rFonts w:ascii="Arial" w:hAnsi="Arial" w:cs="Arial"/>
          <w:color w:val="000000" w:themeColor="text1"/>
        </w:rPr>
      </w:pPr>
      <w:r>
        <w:rPr>
          <w:rFonts w:ascii="Arial" w:hAnsi="Arial" w:cs="Arial"/>
          <w:color w:val="000000" w:themeColor="text1"/>
        </w:rPr>
        <w:t xml:space="preserve">Existe una débil </w:t>
      </w:r>
      <w:r w:rsidR="001F475B" w:rsidRPr="000E0F90">
        <w:rPr>
          <w:rFonts w:ascii="Arial" w:hAnsi="Arial" w:cs="Arial"/>
          <w:color w:val="000000" w:themeColor="text1"/>
        </w:rPr>
        <w:t xml:space="preserve">tendencia hacia la autonomía </w:t>
      </w:r>
      <w:r w:rsidR="00B85759" w:rsidRPr="000E0F90">
        <w:rPr>
          <w:rFonts w:ascii="Arial" w:hAnsi="Arial" w:cs="Arial"/>
          <w:color w:val="000000" w:themeColor="text1"/>
        </w:rPr>
        <w:t>en los territorios mineros</w:t>
      </w:r>
      <w:r w:rsidR="001F475B" w:rsidRPr="000E0F90">
        <w:rPr>
          <w:rFonts w:ascii="Arial" w:hAnsi="Arial" w:cs="Arial"/>
          <w:color w:val="000000" w:themeColor="text1"/>
        </w:rPr>
        <w:t xml:space="preserve">, dado por la </w:t>
      </w:r>
      <w:r w:rsidR="001F475B" w:rsidRPr="00FA7E30">
        <w:rPr>
          <w:rFonts w:ascii="Arial" w:hAnsi="Arial" w:cs="Arial"/>
          <w:color w:val="000000" w:themeColor="text1"/>
        </w:rPr>
        <w:t>limitada dotación en calidad y cantidad de servicios públ</w:t>
      </w:r>
      <w:r w:rsidR="00E87562" w:rsidRPr="00FA7E30">
        <w:rPr>
          <w:rFonts w:ascii="Arial" w:hAnsi="Arial" w:cs="Arial"/>
          <w:color w:val="000000" w:themeColor="text1"/>
        </w:rPr>
        <w:t>icos, así</w:t>
      </w:r>
      <w:r w:rsidR="00E87562" w:rsidRPr="000E0F90">
        <w:rPr>
          <w:rFonts w:ascii="Arial" w:hAnsi="Arial" w:cs="Arial"/>
          <w:color w:val="000000" w:themeColor="text1"/>
        </w:rPr>
        <w:t xml:space="preserve"> como complementarios</w:t>
      </w:r>
      <w:r w:rsidR="00261D1D">
        <w:rPr>
          <w:rFonts w:ascii="Arial" w:hAnsi="Arial" w:cs="Arial"/>
          <w:color w:val="000000" w:themeColor="text1"/>
        </w:rPr>
        <w:t xml:space="preserve"> en todos los territorios</w:t>
      </w:r>
      <w:r w:rsidR="00E87562" w:rsidRPr="000E0F90">
        <w:rPr>
          <w:rFonts w:ascii="Arial" w:hAnsi="Arial" w:cs="Arial"/>
          <w:color w:val="000000" w:themeColor="text1"/>
        </w:rPr>
        <w:t>. Por otra parte se evidencian limitados espacios para el ocio y esparcimiento</w:t>
      </w:r>
      <w:r w:rsidR="001F475B" w:rsidRPr="000E0F90">
        <w:rPr>
          <w:rFonts w:ascii="Arial" w:hAnsi="Arial" w:cs="Arial"/>
          <w:color w:val="000000" w:themeColor="text1"/>
        </w:rPr>
        <w:t xml:space="preserve">. </w:t>
      </w:r>
      <w:r w:rsidR="00B85759" w:rsidRPr="000E0F90">
        <w:rPr>
          <w:rFonts w:ascii="Arial" w:hAnsi="Arial" w:cs="Arial"/>
          <w:color w:val="000000" w:themeColor="text1"/>
        </w:rPr>
        <w:t>Lo cual es evidenciado por</w:t>
      </w:r>
      <w:r w:rsidR="00261D1D">
        <w:rPr>
          <w:rFonts w:ascii="Arial" w:hAnsi="Arial" w:cs="Arial"/>
          <w:color w:val="000000" w:themeColor="text1"/>
        </w:rPr>
        <w:t xml:space="preserve"> Arellano et al. (2013)</w:t>
      </w:r>
      <w:r w:rsidR="00B85759" w:rsidRPr="000E0F90">
        <w:rPr>
          <w:rFonts w:ascii="Arial" w:hAnsi="Arial" w:cs="Arial"/>
          <w:color w:val="000000" w:themeColor="text1"/>
        </w:rPr>
        <w:t xml:space="preserve"> señalando que dichos territorios presentan una débil estructura funcional</w:t>
      </w:r>
      <w:r w:rsidR="003A71DA">
        <w:rPr>
          <w:rFonts w:ascii="Arial" w:hAnsi="Arial" w:cs="Arial"/>
          <w:color w:val="000000" w:themeColor="text1"/>
        </w:rPr>
        <w:t xml:space="preserve"> que</w:t>
      </w:r>
      <w:r w:rsidR="00B85759" w:rsidRPr="000E0F90">
        <w:rPr>
          <w:rFonts w:ascii="Arial" w:hAnsi="Arial" w:cs="Arial"/>
          <w:color w:val="000000" w:themeColor="text1"/>
        </w:rPr>
        <w:t xml:space="preserve"> </w:t>
      </w:r>
      <w:r w:rsidR="003A71DA">
        <w:rPr>
          <w:rFonts w:ascii="Arial" w:hAnsi="Arial" w:cs="Arial"/>
          <w:color w:val="000000" w:themeColor="text1"/>
        </w:rPr>
        <w:t>favorezca la</w:t>
      </w:r>
      <w:r w:rsidR="00B85759" w:rsidRPr="000E0F90">
        <w:rPr>
          <w:rFonts w:ascii="Arial" w:hAnsi="Arial" w:cs="Arial"/>
          <w:color w:val="000000" w:themeColor="text1"/>
        </w:rPr>
        <w:t xml:space="preserve"> calidad de vida, lo cual no se corresponde a la dotación de recursos que presentan. </w:t>
      </w:r>
    </w:p>
    <w:p w:rsidR="00BD5B65" w:rsidRDefault="001F475B" w:rsidP="00702D9A">
      <w:pPr>
        <w:spacing w:before="240" w:line="360" w:lineRule="auto"/>
        <w:rPr>
          <w:rFonts w:ascii="Arial" w:hAnsi="Arial" w:cs="Arial"/>
          <w:color w:val="000000" w:themeColor="text1"/>
        </w:rPr>
      </w:pPr>
      <w:r w:rsidRPr="000E0F90">
        <w:rPr>
          <w:rFonts w:ascii="Arial" w:hAnsi="Arial" w:cs="Arial"/>
          <w:color w:val="000000" w:themeColor="text1"/>
        </w:rPr>
        <w:t xml:space="preserve">Cabe señalar que existe existen instancias </w:t>
      </w:r>
      <w:r w:rsidRPr="00FA7E30">
        <w:rPr>
          <w:rFonts w:ascii="Arial" w:hAnsi="Arial" w:cs="Arial"/>
          <w:color w:val="000000" w:themeColor="text1"/>
        </w:rPr>
        <w:t xml:space="preserve">que buscan reducir la brecha entre los más necesitados y el resto de los actores, </w:t>
      </w:r>
      <w:r w:rsidR="00261D1D">
        <w:rPr>
          <w:rFonts w:ascii="Arial" w:hAnsi="Arial" w:cs="Arial"/>
          <w:color w:val="000000" w:themeColor="text1"/>
        </w:rPr>
        <w:t>a través de entrega de aportes sociales, monetarios o de fomento</w:t>
      </w:r>
      <w:r w:rsidR="00D86921">
        <w:rPr>
          <w:rFonts w:ascii="Arial" w:hAnsi="Arial" w:cs="Arial"/>
          <w:color w:val="000000" w:themeColor="text1"/>
        </w:rPr>
        <w:t>,</w:t>
      </w:r>
      <w:r w:rsidR="00261D1D">
        <w:rPr>
          <w:rFonts w:ascii="Arial" w:hAnsi="Arial" w:cs="Arial"/>
          <w:color w:val="000000" w:themeColor="text1"/>
        </w:rPr>
        <w:t xml:space="preserve"> </w:t>
      </w:r>
      <w:r w:rsidRPr="00FA7E30">
        <w:rPr>
          <w:rFonts w:ascii="Arial" w:hAnsi="Arial" w:cs="Arial"/>
          <w:color w:val="000000" w:themeColor="text1"/>
        </w:rPr>
        <w:t>proveniente de la industria minera</w:t>
      </w:r>
      <w:r w:rsidR="00261D1D">
        <w:rPr>
          <w:rFonts w:ascii="Arial" w:hAnsi="Arial" w:cs="Arial"/>
          <w:color w:val="000000" w:themeColor="text1"/>
        </w:rPr>
        <w:t>, principalmente en territorios donde existen operaciones y proyectos mineros</w:t>
      </w:r>
      <w:r w:rsidR="004464EF" w:rsidRPr="00FA7E30">
        <w:rPr>
          <w:rFonts w:ascii="Arial" w:hAnsi="Arial" w:cs="Arial"/>
          <w:color w:val="000000" w:themeColor="text1"/>
        </w:rPr>
        <w:t xml:space="preserve">. </w:t>
      </w:r>
      <w:r w:rsidR="00261D1D" w:rsidRPr="00FA7E30">
        <w:rPr>
          <w:rFonts w:ascii="Arial" w:hAnsi="Arial" w:cs="Arial"/>
          <w:color w:val="000000" w:themeColor="text1"/>
        </w:rPr>
        <w:t>Estos aportes, son una práctica generalizada en la industria minera de gran tamaño,</w:t>
      </w:r>
      <w:r w:rsidR="00261D1D">
        <w:rPr>
          <w:rFonts w:ascii="Arial" w:hAnsi="Arial" w:cs="Arial"/>
          <w:color w:val="000000" w:themeColor="text1"/>
        </w:rPr>
        <w:t xml:space="preserve"> </w:t>
      </w:r>
      <w:r w:rsidR="00BD5B65">
        <w:rPr>
          <w:rFonts w:ascii="Arial" w:hAnsi="Arial" w:cs="Arial"/>
          <w:color w:val="000000" w:themeColor="text1"/>
        </w:rPr>
        <w:t xml:space="preserve">las cuales a través de </w:t>
      </w:r>
      <w:r w:rsidR="00BD5B65" w:rsidRPr="00FA7E30">
        <w:rPr>
          <w:rFonts w:ascii="Arial" w:hAnsi="Arial" w:cs="Arial"/>
          <w:color w:val="000000" w:themeColor="text1"/>
        </w:rPr>
        <w:t xml:space="preserve">Fundaciones o desde forma directa aportan riqueza a los territorios desde la entrega de capacitación, tecnologías y fomento del desarrollo </w:t>
      </w:r>
      <w:r w:rsidR="00D86921">
        <w:rPr>
          <w:rFonts w:ascii="Arial" w:hAnsi="Arial" w:cs="Arial"/>
          <w:color w:val="000000" w:themeColor="text1"/>
        </w:rPr>
        <w:t>p</w:t>
      </w:r>
      <w:r w:rsidR="00BD5B65" w:rsidRPr="00FA7E30">
        <w:rPr>
          <w:rFonts w:ascii="Arial" w:hAnsi="Arial" w:cs="Arial"/>
          <w:color w:val="000000" w:themeColor="text1"/>
        </w:rPr>
        <w:t xml:space="preserve">roductivo </w:t>
      </w:r>
      <w:r w:rsidR="00BD5B65" w:rsidRPr="00FA7E30">
        <w:rPr>
          <w:rFonts w:ascii="Arial" w:hAnsi="Arial" w:cs="Arial"/>
          <w:color w:val="000000" w:themeColor="text1"/>
        </w:rPr>
        <w:fldChar w:fldCharType="begin" w:fldLock="1"/>
      </w:r>
      <w:r w:rsidR="00BD5B65" w:rsidRPr="00FA7E30">
        <w:rPr>
          <w:rFonts w:ascii="Arial" w:hAnsi="Arial" w:cs="Arial"/>
          <w:color w:val="000000" w:themeColor="text1"/>
        </w:rPr>
        <w:instrText>ADDIN CSL_CITATION { "citationItems" : [ { "id" : "ITEM-1", "itemData" : { "DOI" : "10.1080/17480930.2015.1128799", "ISSN" : "1748-0930", "abstract" : "Chile is the principal producer of copper with a total of 5.8\u00a0million tonnes fine copper production in 2013. Chilean mining industry currently faces a projected increase in waste production, depleting water resources in the arid mining regions of the north and a lack of fossil fuel energy sources. In this study, a review of the historical background of environmental practices in Chile is presented, focused between 1970 and 2010. A review of the current state of sustainable development, comprising energy, water, stakeholder participation, environmental impacts and institutional decentralisation in the mining industry is presented.", "author" : [ { "dropping-particle" : "", "family" : "Ghorbani", "given" : "Yousef", "non-dropping-particle" : "", "parse-names" : false, "suffix" : "" }, { "dropping-particle" : "", "family" : "Kuan", "given" : "Seng How", "non-dropping-particle" : "", "parse-names" : false, "suffix" : "" } ], "container-title" : "International Journal of Mining, Reclamation and Environment", "id" : "ITEM-1", "issue" : "February", "issued" : { "date-parts" : [ [ "2016" ] ] }, "note" : "NULL", "page" : "1-29", "publisher" : "Taylor &amp; Francis", "title" : "A review of sustainable development in the Chilean mining sector: past, present and future", "type" : "article-journal", "volume" : "0930" }, "uris" : [ "http://www.mendeley.com/documents/?uuid=ba6630bb-3cdb-4443-b119-f6b6f68bafa7" ] } ], "mendeley" : { "formattedCitation" : "(Ghorbani &amp; Kuan, 2016)", "plainTextFormattedCitation" : "(Ghorbani &amp; Kuan, 2016)", "previouslyFormattedCitation" : "(Ghorbani &amp; Kuan, 2016)" }, "properties" : { "noteIndex" : 0 }, "schema" : "https://github.com/citation-style-language/schema/raw/master/csl-citation.json" }</w:instrText>
      </w:r>
      <w:r w:rsidR="00BD5B65" w:rsidRPr="00FA7E30">
        <w:rPr>
          <w:rFonts w:ascii="Arial" w:hAnsi="Arial" w:cs="Arial"/>
          <w:color w:val="000000" w:themeColor="text1"/>
        </w:rPr>
        <w:fldChar w:fldCharType="separate"/>
      </w:r>
      <w:r w:rsidR="00BD5B65" w:rsidRPr="00FA7E30">
        <w:rPr>
          <w:rFonts w:ascii="Arial" w:hAnsi="Arial" w:cs="Arial"/>
          <w:noProof/>
          <w:color w:val="000000" w:themeColor="text1"/>
        </w:rPr>
        <w:t>(Ghorbani &amp; Kuan, 2016)</w:t>
      </w:r>
      <w:r w:rsidR="00BD5B65" w:rsidRPr="00FA7E30">
        <w:rPr>
          <w:rFonts w:ascii="Arial" w:hAnsi="Arial" w:cs="Arial"/>
          <w:color w:val="000000" w:themeColor="text1"/>
        </w:rPr>
        <w:fldChar w:fldCharType="end"/>
      </w:r>
      <w:r w:rsidR="00BD5B65" w:rsidRPr="00FA7E30">
        <w:rPr>
          <w:rFonts w:ascii="Arial" w:hAnsi="Arial" w:cs="Arial"/>
          <w:color w:val="000000" w:themeColor="text1"/>
        </w:rPr>
        <w:t xml:space="preserve"> </w:t>
      </w:r>
      <w:r w:rsidR="00BD5B65" w:rsidRPr="00FA7E30">
        <w:rPr>
          <w:rFonts w:ascii="Arial" w:hAnsi="Arial" w:cs="Arial"/>
          <w:color w:val="000000" w:themeColor="text1"/>
        </w:rPr>
        <w:fldChar w:fldCharType="begin" w:fldLock="1"/>
      </w:r>
      <w:r w:rsidR="00BD5B65" w:rsidRPr="00FA7E30">
        <w:rPr>
          <w:rFonts w:ascii="Arial" w:hAnsi="Arial" w:cs="Arial"/>
          <w:color w:val="000000" w:themeColor="text1"/>
        </w:rPr>
        <w:instrText>ADDIN CSL_CITATION { "citationItems" : [ { "id" : "ITEM-1", "itemData" : { "DOI" : "10.4067/S0717-73562016005000001", "ISSN" : "07177356", "abstract" : "Presentamos los resultados de un estudio exploratorio y cualitativo acerca de las transformaciones agrarias y los conflictos h\u00eddricos que han emergido en las \u00faltimas tres d\u00e9cadas entre localidades hist\u00f3ricamente agr\u00edcolas y grandes empresas mineras en el norte de Chile. Investigamos en tres casos de estudio: Quillagua (comuna Mar\u00eda Elena, Regi\u00f3n de Antofagasta), Peine (comuna San Pedro de Atacama, Regi\u00f3n de Antofagasta) y Los Loros (comuna Tierra Amarilla, Regi\u00f3n de Atacama). A partir del discurso de los entrevistados, efectuamos una reconstrucci\u00f3n hist\u00f3rica de los cambios centr\u00e1ndonos en tres dimensiones interrelacionadas que permiten abordar el problema: caracter\u00edsticas de las actividades agropecuarias, presencia y v\u00ednculos con la miner\u00eda, y situaci\u00f3n de los recursos h\u00eddricos. Palabras claves: gran miner\u00eda, localidades agr\u00edcolas, conflictos h\u00eddricos, norte de Chile. We present the results of an exploratory and qualitative research about on the agrarian transformations and the water conflicts that emerged the last three decades between localities historically agrarian and large mining companies in northern Chile. This research consists of three case studies: Quillagua (Municipality of Mar\u00eda Elena, Antofagasta Region), Peine (Municipality of San Pedro de Atacama, Antofagasta Region) and Los Loros (Municipality of Tierra Amarilla, Atacama Region). Based on the interviewees's discourse, we elaborate a historical reconstruction of the changes, focussing on three interrelated dimensions that tackle the problem: characteristics of agricultural activities, presence and ties to mining, and the situation of the hydric resources.", "author" : [ { "dropping-particle" : "", "family" : "Calder\u00f3n et. al.", "given" : "", "non-dropping-particle" : "", "parse-names" : false, "suffix" : "" } ], "id" : "ITEM-1", "issued" : { "date-parts" : [ [ "2016" ] ] }, "page" : "1-12", "title" : "Gran Miner\u00eda Y Localidades Agr\u00edcolas En El Norte De Chile : Comparaci\u00f3n", "type" : "article-journal" }, "uris" : [ "http://www.mendeley.com/documents/?uuid=03cda2b5-eb6f-4aaa-a1ff-2e483b93fd77" ] } ], "mendeley" : { "formattedCitation" : "(Calder\u00f3n et. al., 2016)", "plainTextFormattedCitation" : "(Calder\u00f3n et. al., 2016)", "previouslyFormattedCitation" : "(Calder\u00f3n et. al., 2016)" }, "properties" : { "noteIndex" : 0 }, "schema" : "https://github.com/citation-style-language/schema/raw/master/csl-citation.json" }</w:instrText>
      </w:r>
      <w:r w:rsidR="00BD5B65" w:rsidRPr="00FA7E30">
        <w:rPr>
          <w:rFonts w:ascii="Arial" w:hAnsi="Arial" w:cs="Arial"/>
          <w:color w:val="000000" w:themeColor="text1"/>
        </w:rPr>
        <w:fldChar w:fldCharType="separate"/>
      </w:r>
      <w:r w:rsidR="00BD5B65" w:rsidRPr="00FA7E30">
        <w:rPr>
          <w:rFonts w:ascii="Arial" w:hAnsi="Arial" w:cs="Arial"/>
          <w:noProof/>
          <w:color w:val="000000" w:themeColor="text1"/>
        </w:rPr>
        <w:t>(Calderón et. al., 2016)</w:t>
      </w:r>
      <w:r w:rsidR="00BD5B65" w:rsidRPr="00FA7E30">
        <w:rPr>
          <w:rFonts w:ascii="Arial" w:hAnsi="Arial" w:cs="Arial"/>
          <w:color w:val="000000" w:themeColor="text1"/>
        </w:rPr>
        <w:fldChar w:fldCharType="end"/>
      </w:r>
      <w:r w:rsidR="00BD5B65">
        <w:rPr>
          <w:rFonts w:ascii="Arial" w:hAnsi="Arial" w:cs="Arial"/>
          <w:color w:val="000000" w:themeColor="text1"/>
        </w:rPr>
        <w:t xml:space="preserve">. </w:t>
      </w:r>
    </w:p>
    <w:p w:rsidR="002D1050" w:rsidRPr="000E0F90" w:rsidRDefault="00BD5B65" w:rsidP="00702D9A">
      <w:pPr>
        <w:spacing w:before="240" w:line="360" w:lineRule="auto"/>
        <w:rPr>
          <w:rFonts w:ascii="Arial" w:hAnsi="Arial" w:cs="Arial"/>
          <w:color w:val="000000" w:themeColor="text1"/>
        </w:rPr>
      </w:pPr>
      <w:r>
        <w:rPr>
          <w:rFonts w:ascii="Arial" w:hAnsi="Arial" w:cs="Arial"/>
          <w:color w:val="000000" w:themeColor="text1"/>
        </w:rPr>
        <w:t xml:space="preserve">Por otra parte, se identifica </w:t>
      </w:r>
      <w:r w:rsidR="00EB25B0" w:rsidRPr="00FA7E30">
        <w:rPr>
          <w:rFonts w:ascii="Arial" w:hAnsi="Arial" w:cs="Arial"/>
          <w:color w:val="000000" w:themeColor="text1"/>
        </w:rPr>
        <w:t>disrupción</w:t>
      </w:r>
      <w:r w:rsidR="0017610B" w:rsidRPr="00FA7E30">
        <w:rPr>
          <w:rFonts w:ascii="Arial" w:hAnsi="Arial" w:cs="Arial"/>
          <w:color w:val="000000" w:themeColor="text1"/>
        </w:rPr>
        <w:t xml:space="preserve"> en las formas de vida</w:t>
      </w:r>
      <w:r w:rsidR="0017610B" w:rsidRPr="000E0F90">
        <w:rPr>
          <w:rFonts w:ascii="Arial" w:hAnsi="Arial" w:cs="Arial"/>
          <w:color w:val="000000" w:themeColor="text1"/>
        </w:rPr>
        <w:t xml:space="preserve"> </w:t>
      </w:r>
      <w:r w:rsidRPr="000E0F90">
        <w:rPr>
          <w:rFonts w:ascii="Arial" w:hAnsi="Arial" w:cs="Arial"/>
          <w:color w:val="000000" w:themeColor="text1"/>
        </w:rPr>
        <w:t xml:space="preserve">tradicionales y la consecuente pérdida de elementos identitarios y culturales </w:t>
      </w:r>
      <w:r w:rsidR="0017610B" w:rsidRPr="000E0F90">
        <w:rPr>
          <w:rFonts w:ascii="Arial" w:hAnsi="Arial" w:cs="Arial"/>
          <w:color w:val="000000" w:themeColor="text1"/>
        </w:rPr>
        <w:t>ocasionada por la llegada de las empresas mineras</w:t>
      </w:r>
      <w:r w:rsidR="00D86921">
        <w:rPr>
          <w:rFonts w:ascii="Arial" w:hAnsi="Arial" w:cs="Arial"/>
          <w:color w:val="000000" w:themeColor="text1"/>
        </w:rPr>
        <w:t>, en Tierra Amarilla, Alto del Carmen y La Higuera, mayormente</w:t>
      </w:r>
      <w:r w:rsidR="001F475B" w:rsidRPr="000E0F90">
        <w:rPr>
          <w:rFonts w:ascii="Arial" w:hAnsi="Arial" w:cs="Arial"/>
          <w:color w:val="000000" w:themeColor="text1"/>
        </w:rPr>
        <w:t xml:space="preserve">. </w:t>
      </w:r>
      <w:r>
        <w:rPr>
          <w:rFonts w:ascii="Arial" w:hAnsi="Arial" w:cs="Arial"/>
          <w:color w:val="000000" w:themeColor="text1"/>
        </w:rPr>
        <w:t>Esto se asocia a la dificultad de realizar agricultura y ganadería tradicional, en el cambio en la provisión de empleo y en pérdidas de formas de vida. Al respecto, l</w:t>
      </w:r>
      <w:r w:rsidR="002D1050" w:rsidRPr="000E0F90">
        <w:rPr>
          <w:rFonts w:ascii="Arial" w:hAnsi="Arial" w:cs="Arial"/>
          <w:color w:val="000000" w:themeColor="text1"/>
        </w:rPr>
        <w:t xml:space="preserve">a reducción de la disponibilidad del recurso hídrico es citada como un elemento importante para la preservación de las culturas prehispánicas y tradiciones rurales, en los territorios mineros del norte de Chile, las cuales a través del desarrollo de la agricultura, preservan elementos claves de la cultura indígena </w:t>
      </w:r>
      <w:r w:rsidR="002D1050" w:rsidRPr="000E0F90">
        <w:rPr>
          <w:rFonts w:ascii="Arial" w:hAnsi="Arial" w:cs="Arial"/>
          <w:color w:val="000000" w:themeColor="text1"/>
        </w:rPr>
        <w:fldChar w:fldCharType="begin" w:fldLock="1"/>
      </w:r>
      <w:r w:rsidR="002D1050" w:rsidRPr="000E0F90">
        <w:rPr>
          <w:rFonts w:ascii="Arial" w:hAnsi="Arial" w:cs="Arial"/>
          <w:color w:val="000000" w:themeColor="text1"/>
        </w:rPr>
        <w:instrText>ADDIN CSL_CITATION { "citationItems" : [ { "id" : "ITEM-1", "itemData" : { "author" : [ { "dropping-particle" : "", "family" : "Oyarz\u00fan", "given" : "J", "non-dropping-particle" : "", "parse-names" : false, "suffix" : "" }, { "dropping-particle" : "", "family" : "Oyarz\u00fan", "given" : "R", "non-dropping-particle" : "", "parse-names" : false, "suffix" : "" } ], "container-title" : "Sustainable Development", "id" : "ITEM-1", "issue" : "December 2009", "issued" : { "date-parts" : [ [ "2011" ] ] }, "page" : "263-274", "title" : "Sustainable Development Threats, Inter-Sector Confl icts and Environmental Policy Requirements in the Arid, Mining Rich, Northern Chile Territory", "type" : "article-journal", "volume" : "19" }, "uris" : [ "http://www.mendeley.com/documents/?uuid=928eabd5-0755-4c69-a4cc-894aa1284178" ] } ], "mendeley" : { "formattedCitation" : "(Oyarz\u00fan &amp; Oyarz\u00fan, 2011)", "plainTextFormattedCitation" : "(Oyarz\u00fan &amp; Oyarz\u00fan, 2011)", "previouslyFormattedCitation" : "(Oyarz\u00fan &amp; Oyarz\u00fan, 2011)" }, "properties" : { "noteIndex" : 0 }, "schema" : "https://github.com/citation-style-language/schema/raw/master/csl-citation.json" }</w:instrText>
      </w:r>
      <w:r w:rsidR="002D1050" w:rsidRPr="000E0F90">
        <w:rPr>
          <w:rFonts w:ascii="Arial" w:hAnsi="Arial" w:cs="Arial"/>
          <w:color w:val="000000" w:themeColor="text1"/>
        </w:rPr>
        <w:fldChar w:fldCharType="separate"/>
      </w:r>
      <w:r w:rsidR="002D1050" w:rsidRPr="000E0F90">
        <w:rPr>
          <w:rFonts w:ascii="Arial" w:hAnsi="Arial" w:cs="Arial"/>
          <w:noProof/>
          <w:color w:val="000000" w:themeColor="text1"/>
        </w:rPr>
        <w:t>(Oyarzún &amp; Oyarzún, 2011)</w:t>
      </w:r>
      <w:r w:rsidR="002D1050" w:rsidRPr="000E0F90">
        <w:rPr>
          <w:rFonts w:ascii="Arial" w:hAnsi="Arial" w:cs="Arial"/>
          <w:color w:val="000000" w:themeColor="text1"/>
        </w:rPr>
        <w:fldChar w:fldCharType="end"/>
      </w:r>
      <w:r w:rsidR="002D1050" w:rsidRPr="000E0F90">
        <w:rPr>
          <w:rFonts w:ascii="Arial" w:hAnsi="Arial" w:cs="Arial"/>
          <w:color w:val="000000" w:themeColor="text1"/>
        </w:rPr>
        <w:t xml:space="preserve">. Evidenciando una falta de armonía en el desarrollo de los diversos usos territoriales. Como lo expresa </w:t>
      </w:r>
      <w:r w:rsidR="002D1050" w:rsidRPr="000E0F90">
        <w:rPr>
          <w:rFonts w:ascii="Arial" w:hAnsi="Arial" w:cs="Arial"/>
          <w:color w:val="000000" w:themeColor="text1"/>
        </w:rPr>
        <w:fldChar w:fldCharType="begin" w:fldLock="1"/>
      </w:r>
      <w:r w:rsidR="002D1050" w:rsidRPr="000E0F90">
        <w:rPr>
          <w:rFonts w:ascii="Arial" w:hAnsi="Arial" w:cs="Arial"/>
          <w:color w:val="000000" w:themeColor="text1"/>
        </w:rPr>
        <w:instrText>ADDIN CSL_CITATION { "citationItems" : [ { "id" : "ITEM-1", "itemData" : { "DOI" : "10.1002/sd.205", "ISBN" : "09680802 (ISSN)", "ISSN" : "09680802", "abstract" : "Chile has been a highly successful mining country for over two centuries. Huge sums of money are generated but only a small proportion of the revenue is being directed back into the region whose natural resources are being depleted. Mining companies may not be in control of the way central government spends these funds but they have a responsibility towards the communities they impact. The environmental problems associated with mining practices have attracted most attention but the impact on the communities is proving to be a far greater challenge. This paper focuses on the social consequences and the evolving response of the mining companies to these problems and the future sustainability of the region. Copyright \u00a9 2003 John Wiley &amp; Sons, Ltd. and ERP Environment [ABSTRACT FROM AUTHOR]", "author" : [ { "dropping-particle" : "", "family" : "Newbold", "given" : "Jane", "non-dropping-particle" : "", "parse-names" : false, "suffix" : "" } ], "container-title" : "Sustainable Development", "id" : "ITEM-1", "issued" : { "date-parts" : [ [ "2003" ] ] }, "page" : "84-90", "title" : "Social consequences of mining and present day solutions - Region II in Chile highlighted", "type" : "article-journal", "volume" : "11" }, "uris" : [ "http://www.mendeley.com/documents/?uuid=f552e5ea-de04-4581-bce0-d42e0b0754e9" ] } ], "mendeley" : { "formattedCitation" : "(Newbold, 2003)", "plainTextFormattedCitation" : "(Newbold, 2003)", "previouslyFormattedCitation" : "(Newbold, 2003)" }, "properties" : { "noteIndex" : 0 }, "schema" : "https://github.com/citation-style-language/schema/raw/master/csl-citation.json" }</w:instrText>
      </w:r>
      <w:r w:rsidR="002D1050" w:rsidRPr="000E0F90">
        <w:rPr>
          <w:rFonts w:ascii="Arial" w:hAnsi="Arial" w:cs="Arial"/>
          <w:color w:val="000000" w:themeColor="text1"/>
        </w:rPr>
        <w:fldChar w:fldCharType="separate"/>
      </w:r>
      <w:r w:rsidR="002D1050" w:rsidRPr="000E0F90">
        <w:rPr>
          <w:rFonts w:ascii="Arial" w:hAnsi="Arial" w:cs="Arial"/>
          <w:noProof/>
          <w:color w:val="000000" w:themeColor="text1"/>
        </w:rPr>
        <w:t>(Newbold, 2003)</w:t>
      </w:r>
      <w:r w:rsidR="002D1050" w:rsidRPr="000E0F90">
        <w:rPr>
          <w:rFonts w:ascii="Arial" w:hAnsi="Arial" w:cs="Arial"/>
          <w:color w:val="000000" w:themeColor="text1"/>
        </w:rPr>
        <w:fldChar w:fldCharType="end"/>
      </w:r>
      <w:r w:rsidR="002D1050" w:rsidRPr="000E0F90">
        <w:rPr>
          <w:rFonts w:ascii="Arial" w:hAnsi="Arial" w:cs="Arial"/>
          <w:color w:val="000000" w:themeColor="text1"/>
        </w:rPr>
        <w:t xml:space="preserve"> en los territorios mineros del norte de Chile hace falta un sentido de cohesión, autosuficiencia y adaptabilidad.</w:t>
      </w:r>
    </w:p>
    <w:p w:rsidR="002D1050" w:rsidRPr="00FA7E30" w:rsidRDefault="002D1050" w:rsidP="00702D9A">
      <w:pPr>
        <w:spacing w:before="240" w:line="360" w:lineRule="auto"/>
        <w:rPr>
          <w:rFonts w:ascii="Arial" w:hAnsi="Arial" w:cs="Arial"/>
          <w:color w:val="000000" w:themeColor="text1"/>
        </w:rPr>
      </w:pPr>
      <w:r w:rsidRPr="000E0F90">
        <w:rPr>
          <w:rFonts w:ascii="Arial" w:hAnsi="Arial" w:cs="Arial"/>
          <w:color w:val="000000" w:themeColor="text1"/>
        </w:rPr>
        <w:lastRenderedPageBreak/>
        <w:t xml:space="preserve">Como forma de contrarrestar esta pérdida de formas de vida, propiedades y derechos </w:t>
      </w:r>
      <w:r w:rsidRPr="00FA7E30">
        <w:rPr>
          <w:rFonts w:ascii="Arial" w:hAnsi="Arial" w:cs="Arial"/>
          <w:color w:val="000000" w:themeColor="text1"/>
        </w:rPr>
        <w:t>de agua, así como los impact</w:t>
      </w:r>
      <w:r w:rsidR="003829EF" w:rsidRPr="00FA7E30">
        <w:rPr>
          <w:rFonts w:ascii="Arial" w:hAnsi="Arial" w:cs="Arial"/>
          <w:color w:val="000000" w:themeColor="text1"/>
        </w:rPr>
        <w:t>os medioambientales de las actividades productivas</w:t>
      </w:r>
      <w:r w:rsidRPr="00FA7E30">
        <w:rPr>
          <w:rFonts w:ascii="Arial" w:hAnsi="Arial" w:cs="Arial"/>
          <w:color w:val="000000" w:themeColor="text1"/>
        </w:rPr>
        <w:t xml:space="preserve"> se han creado comunidades indígenas</w:t>
      </w:r>
      <w:r w:rsidR="003829EF" w:rsidRPr="00FA7E30">
        <w:rPr>
          <w:rFonts w:ascii="Arial" w:hAnsi="Arial" w:cs="Arial"/>
          <w:color w:val="000000" w:themeColor="text1"/>
        </w:rPr>
        <w:t xml:space="preserve"> levantado iniciativas de preservación del legado cultural, </w:t>
      </w:r>
      <w:r w:rsidR="00BD5B65">
        <w:rPr>
          <w:rFonts w:ascii="Arial" w:hAnsi="Arial" w:cs="Arial"/>
          <w:color w:val="000000" w:themeColor="text1"/>
        </w:rPr>
        <w:t xml:space="preserve">principalmente en Alto del Carmen, </w:t>
      </w:r>
      <w:r w:rsidR="003829EF" w:rsidRPr="00FA7E30">
        <w:rPr>
          <w:rFonts w:ascii="Arial" w:hAnsi="Arial" w:cs="Arial"/>
          <w:color w:val="000000" w:themeColor="text1"/>
        </w:rPr>
        <w:t>contribuyendo positivamente a la calidad de vida local, al proveer de amenidades locales (i.e. Fiestas religiosas, costumbristas) y fomentar el sentido de lugar.</w:t>
      </w:r>
    </w:p>
    <w:p w:rsidR="00B85759" w:rsidRPr="00FA7E30" w:rsidRDefault="00BD5B65" w:rsidP="00702D9A">
      <w:pPr>
        <w:spacing w:before="240" w:line="360" w:lineRule="auto"/>
        <w:rPr>
          <w:rFonts w:ascii="Arial" w:hAnsi="Arial" w:cs="Arial"/>
          <w:color w:val="000000" w:themeColor="text1"/>
        </w:rPr>
      </w:pPr>
      <w:r>
        <w:rPr>
          <w:rFonts w:ascii="Arial" w:hAnsi="Arial" w:cs="Arial"/>
          <w:color w:val="000000" w:themeColor="text1"/>
        </w:rPr>
        <w:t xml:space="preserve">Por otra parte en la </w:t>
      </w:r>
      <w:r w:rsidR="00D86921">
        <w:rPr>
          <w:rFonts w:ascii="Arial" w:hAnsi="Arial" w:cs="Arial"/>
          <w:color w:val="000000" w:themeColor="text1"/>
        </w:rPr>
        <w:t>Tierra Amarilla, Alto del Carmen y La Higuera</w:t>
      </w:r>
      <w:r>
        <w:rPr>
          <w:rFonts w:ascii="Arial" w:hAnsi="Arial" w:cs="Arial"/>
          <w:color w:val="000000" w:themeColor="text1"/>
        </w:rPr>
        <w:t xml:space="preserve"> de los territorios </w:t>
      </w:r>
      <w:r w:rsidR="003829EF" w:rsidRPr="00FA7E30">
        <w:rPr>
          <w:rFonts w:ascii="Arial" w:hAnsi="Arial" w:cs="Arial"/>
          <w:color w:val="000000" w:themeColor="text1"/>
        </w:rPr>
        <w:t>se evidencia un</w:t>
      </w:r>
      <w:r w:rsidR="00221499" w:rsidRPr="00FA7E30">
        <w:rPr>
          <w:rFonts w:ascii="Arial" w:hAnsi="Arial" w:cs="Arial"/>
          <w:color w:val="000000" w:themeColor="text1"/>
        </w:rPr>
        <w:t xml:space="preserve">a limitada diversificación </w:t>
      </w:r>
      <w:r w:rsidR="003829EF" w:rsidRPr="00FA7E30">
        <w:rPr>
          <w:rFonts w:ascii="Arial" w:hAnsi="Arial" w:cs="Arial"/>
          <w:color w:val="000000" w:themeColor="text1"/>
        </w:rPr>
        <w:t>territorial</w:t>
      </w:r>
      <w:r w:rsidR="00E715EE" w:rsidRPr="00FA7E30">
        <w:rPr>
          <w:rFonts w:ascii="Arial" w:hAnsi="Arial" w:cs="Arial"/>
          <w:color w:val="000000" w:themeColor="text1"/>
        </w:rPr>
        <w:t xml:space="preserve"> y consolidación de negocios locales</w:t>
      </w:r>
      <w:r w:rsidR="003829EF" w:rsidRPr="00FA7E30">
        <w:rPr>
          <w:rFonts w:ascii="Arial" w:hAnsi="Arial" w:cs="Arial"/>
          <w:color w:val="000000" w:themeColor="text1"/>
        </w:rPr>
        <w:t>, lo cual es atribuido po</w:t>
      </w:r>
      <w:r w:rsidR="00693A72" w:rsidRPr="00FA7E30">
        <w:rPr>
          <w:rFonts w:ascii="Arial" w:hAnsi="Arial" w:cs="Arial"/>
          <w:color w:val="000000" w:themeColor="text1"/>
        </w:rPr>
        <w:t>r una parte, a la llegada de</w:t>
      </w:r>
      <w:r w:rsidR="003829EF" w:rsidRPr="00FA7E30">
        <w:rPr>
          <w:rFonts w:ascii="Arial" w:hAnsi="Arial" w:cs="Arial"/>
          <w:color w:val="000000" w:themeColor="text1"/>
        </w:rPr>
        <w:t xml:space="preserve"> </w:t>
      </w:r>
      <w:r w:rsidR="00693A72" w:rsidRPr="00FA7E30">
        <w:rPr>
          <w:rFonts w:ascii="Arial" w:hAnsi="Arial" w:cs="Arial"/>
          <w:color w:val="000000" w:themeColor="text1"/>
        </w:rPr>
        <w:t xml:space="preserve">mega </w:t>
      </w:r>
      <w:r w:rsidR="003829EF" w:rsidRPr="00FA7E30">
        <w:rPr>
          <w:rFonts w:ascii="Arial" w:hAnsi="Arial" w:cs="Arial"/>
          <w:color w:val="000000" w:themeColor="text1"/>
        </w:rPr>
        <w:t>proyectos mineros y agr</w:t>
      </w:r>
      <w:r w:rsidR="00221499" w:rsidRPr="00FA7E30">
        <w:rPr>
          <w:rFonts w:ascii="Arial" w:hAnsi="Arial" w:cs="Arial"/>
          <w:color w:val="000000" w:themeColor="text1"/>
        </w:rPr>
        <w:t xml:space="preserve">ícolas intensivos, </w:t>
      </w:r>
      <w:r w:rsidR="00E715EE" w:rsidRPr="00FA7E30">
        <w:rPr>
          <w:rFonts w:ascii="Arial" w:hAnsi="Arial" w:cs="Arial"/>
          <w:color w:val="000000" w:themeColor="text1"/>
        </w:rPr>
        <w:t>concentrándose los recursos en la intensificación de actividades</w:t>
      </w:r>
      <w:r w:rsidR="00221499" w:rsidRPr="00FA7E30">
        <w:rPr>
          <w:rFonts w:ascii="Arial" w:hAnsi="Arial" w:cs="Arial"/>
          <w:color w:val="000000" w:themeColor="text1"/>
        </w:rPr>
        <w:t>.</w:t>
      </w:r>
      <w:r w:rsidR="00D86921">
        <w:rPr>
          <w:rFonts w:ascii="Arial" w:hAnsi="Arial" w:cs="Arial"/>
          <w:color w:val="000000" w:themeColor="text1"/>
        </w:rPr>
        <w:t xml:space="preserve"> En Salamanca en tanto, existe una mayor consolidación de los negocios locales, dada por la existencia de cooperativas agrícolas e incentivos a la agricultura local por parte de la minera.</w:t>
      </w:r>
      <w:r w:rsidR="00221499" w:rsidRPr="00FA7E30">
        <w:rPr>
          <w:rFonts w:ascii="Arial" w:hAnsi="Arial" w:cs="Arial"/>
          <w:color w:val="000000" w:themeColor="text1"/>
        </w:rPr>
        <w:t xml:space="preserve"> </w:t>
      </w:r>
      <w:r w:rsidR="00E715EE" w:rsidRPr="00FA7E30">
        <w:rPr>
          <w:rFonts w:ascii="Arial" w:hAnsi="Arial" w:cs="Arial"/>
          <w:color w:val="000000" w:themeColor="text1"/>
        </w:rPr>
        <w:t>En relación a lo anterior, se identifica el desarrollo desigual, de algunos sectores productivos por sobre otros, potenciándose fuertemente el sector minero</w:t>
      </w:r>
      <w:r w:rsidR="00E715EE" w:rsidRPr="000E0F90">
        <w:rPr>
          <w:rFonts w:ascii="Arial" w:hAnsi="Arial" w:cs="Arial"/>
          <w:color w:val="000000" w:themeColor="text1"/>
        </w:rPr>
        <w:t xml:space="preserve">, por sobre el sector agrícola, siendo este último, aquel que provee de la mayor proporción de empleos locales, lo que impide la consolidación transversal y equitativa del territorio. </w:t>
      </w:r>
      <w:r w:rsidR="00D4722B" w:rsidRPr="000E0F90">
        <w:rPr>
          <w:rFonts w:ascii="Arial" w:hAnsi="Arial" w:cs="Arial"/>
          <w:color w:val="000000" w:themeColor="text1"/>
        </w:rPr>
        <w:t xml:space="preserve">Esto ha sido </w:t>
      </w:r>
      <w:r w:rsidR="00D4722B" w:rsidRPr="00FA7E30">
        <w:rPr>
          <w:rFonts w:ascii="Arial" w:hAnsi="Arial" w:cs="Arial"/>
          <w:color w:val="000000" w:themeColor="text1"/>
        </w:rPr>
        <w:t xml:space="preserve">evidenciado en regiones altamente especializadas en la exportación de minerales, las cuales tienden a debilitar otros sectores también enfocados a la exportación, como la agricultura </w:t>
      </w:r>
      <w:r w:rsidR="00D4722B" w:rsidRPr="00FA7E30">
        <w:rPr>
          <w:rFonts w:ascii="Arial" w:hAnsi="Arial" w:cs="Arial"/>
          <w:color w:val="000000" w:themeColor="text1"/>
        </w:rPr>
        <w:fldChar w:fldCharType="begin" w:fldLock="1"/>
      </w:r>
      <w:r w:rsidR="00D4722B" w:rsidRPr="00FA7E30">
        <w:rPr>
          <w:rFonts w:ascii="Arial" w:hAnsi="Arial" w:cs="Arial"/>
          <w:color w:val="000000" w:themeColor="text1"/>
        </w:rPr>
        <w:instrText>ADDIN CSL_CITATION { "citationItems" : [ { "id" : "ITEM-1", "itemData" : { "DOI" : "10.1016/j.geoforum.2014.06.007", "ISSN" : "00167185", "abstract" : "In the resource-based, export-driven and steadily growing economy of Chile, neither the revenues nor the negative effects of exports are distributed evenly in space. Accordingly, export specialization patterns in Chile must be analyzed on a regional scale to understand the relationships between export diversification, economic growth and dependency. We analyze how the degree of export specialization among Chile's regions is linked to regional GDP growth and to regional export growth. Moreover, by taking a long-term perspective, we can evaluate these relationships during a phase of strong national currency and in the context of an external \"shock\". Our analysis applies the theoretical frameworks of the 'resource curse' and 'Dutch disease' on a regional geographical scale.We identify a tendency towards increased export specialization that is linked in part to high volatility of both GDP growth and export growth. There is also evidence of a growing dependence of Chilean regional economies on export trade. The 1991-2010 period covered by the analysis provides evidence of how external factors, such as high commodity prices and low US dollar exchange rates, foster specialization and weaken non-mineral exports in relative terms, especially in the highly specialized mineral-based regions of Chile. This result is consistent with the application of the Dutch disease thesis on a regional scale. Our analysis also shows the negative short-term effect of an external demand crisis on the mineral export sector and on highly specialized regions. The article concludes by emphasizing the need for a regional perspective on exports and on the effects of external factors within the country. ?? 2014.", "author" : [ { "dropping-particle" : "", "family" : "Rehner", "given" : "Johannes", "non-dropping-particle" : "", "parse-names" : false, "suffix" : "" }, { "dropping-particle" : "", "family" : "Baeza", "given" : "Sebasti\u00e1n a.", "non-dropping-particle" : "", "parse-names" : false, "suffix" : "" }, { "dropping-particle" : "", "family" : "Barton", "given" : "Jonathan R.", "non-dropping-particle" : "", "parse-names" : false, "suffix" : "" } ], "container-title" : "Geoforum", "id" : "ITEM-1", "issued" : { "date-parts" : [ [ "2014" ] ] }, "page" : "35-45", "publisher" : "Elsevier Ltd", "title" : "Chile's resource-based export boom and its outcomes: Regional specialization, export stability and economic growth", "type" : "article-journal", "volume" : "56" }, "uris" : [ "http://www.mendeley.com/documents/?uuid=e386a035-0d75-4c85-a6fe-8341e8316180" ] } ], "mendeley" : { "formattedCitation" : "(Rehner, Baeza, &amp; Barton, 2014)", "plainTextFormattedCitation" : "(Rehner, Baeza, &amp; Barton, 2014)", "previouslyFormattedCitation" : "(Rehner, Baeza, &amp; Barton, 2014)" }, "properties" : { "noteIndex" : 0 }, "schema" : "https://github.com/citation-style-language/schema/raw/master/csl-citation.json" }</w:instrText>
      </w:r>
      <w:r w:rsidR="00D4722B" w:rsidRPr="00FA7E30">
        <w:rPr>
          <w:rFonts w:ascii="Arial" w:hAnsi="Arial" w:cs="Arial"/>
          <w:color w:val="000000" w:themeColor="text1"/>
        </w:rPr>
        <w:fldChar w:fldCharType="separate"/>
      </w:r>
      <w:r w:rsidR="00D4722B" w:rsidRPr="00FA7E30">
        <w:rPr>
          <w:rFonts w:ascii="Arial" w:hAnsi="Arial" w:cs="Arial"/>
          <w:noProof/>
          <w:color w:val="000000" w:themeColor="text1"/>
        </w:rPr>
        <w:t>(Rehner, Baeza, &amp; Barton, 2014)</w:t>
      </w:r>
      <w:r w:rsidR="00D4722B" w:rsidRPr="00FA7E30">
        <w:rPr>
          <w:rFonts w:ascii="Arial" w:hAnsi="Arial" w:cs="Arial"/>
          <w:color w:val="000000" w:themeColor="text1"/>
        </w:rPr>
        <w:fldChar w:fldCharType="end"/>
      </w:r>
      <w:r w:rsidR="00D4722B" w:rsidRPr="00FA7E30">
        <w:rPr>
          <w:rFonts w:ascii="Arial" w:hAnsi="Arial" w:cs="Arial"/>
          <w:color w:val="000000" w:themeColor="text1"/>
        </w:rPr>
        <w:t xml:space="preserve">. </w:t>
      </w:r>
      <w:r w:rsidR="003829EF" w:rsidRPr="00FA7E30">
        <w:rPr>
          <w:rFonts w:ascii="Arial" w:hAnsi="Arial" w:cs="Arial"/>
          <w:color w:val="000000" w:themeColor="text1"/>
        </w:rPr>
        <w:t>Sin embargo, también se identifican oportunidades de desarrollo territorial que no son aprovechadas en los territorios mineros locales, como es el turismo, ganadería, agricultura y áreas silvestres</w:t>
      </w:r>
      <w:r w:rsidR="00840F82">
        <w:rPr>
          <w:rFonts w:ascii="Arial" w:hAnsi="Arial" w:cs="Arial"/>
          <w:color w:val="000000" w:themeColor="text1"/>
        </w:rPr>
        <w:t xml:space="preserve"> (Arellano et al., 2013)</w:t>
      </w:r>
      <w:r w:rsidR="00221499" w:rsidRPr="00FA7E30">
        <w:rPr>
          <w:rFonts w:ascii="Arial" w:hAnsi="Arial" w:cs="Arial"/>
          <w:color w:val="000000" w:themeColor="text1"/>
        </w:rPr>
        <w:t xml:space="preserve">. </w:t>
      </w:r>
    </w:p>
    <w:p w:rsidR="00C21CCD" w:rsidRPr="000E0F90" w:rsidRDefault="00840F82" w:rsidP="00702D9A">
      <w:pPr>
        <w:spacing w:before="240" w:line="360" w:lineRule="auto"/>
        <w:rPr>
          <w:rFonts w:ascii="Arial" w:eastAsiaTheme="majorEastAsia" w:hAnsi="Arial" w:cs="Arial"/>
          <w:b/>
          <w:bCs/>
          <w:color w:val="000000" w:themeColor="text1"/>
        </w:rPr>
      </w:pPr>
      <w:r>
        <w:rPr>
          <w:rFonts w:ascii="Arial" w:hAnsi="Arial" w:cs="Arial"/>
          <w:color w:val="000000" w:themeColor="text1"/>
        </w:rPr>
        <w:t>Queda de manifiesto que en los</w:t>
      </w:r>
      <w:r w:rsidR="001F475B" w:rsidRPr="00FA7E30">
        <w:rPr>
          <w:rFonts w:ascii="Arial" w:hAnsi="Arial" w:cs="Arial"/>
          <w:color w:val="000000" w:themeColor="text1"/>
        </w:rPr>
        <w:t xml:space="preserve"> territorios </w:t>
      </w:r>
      <w:r>
        <w:rPr>
          <w:rFonts w:ascii="Arial" w:hAnsi="Arial" w:cs="Arial"/>
          <w:color w:val="000000" w:themeColor="text1"/>
        </w:rPr>
        <w:t>donde existen operaciones mineras l</w:t>
      </w:r>
      <w:r w:rsidR="001F475B" w:rsidRPr="00FA7E30">
        <w:rPr>
          <w:rFonts w:ascii="Arial" w:hAnsi="Arial" w:cs="Arial"/>
          <w:color w:val="000000" w:themeColor="text1"/>
        </w:rPr>
        <w:t xml:space="preserve">a distribución de los beneficios </w:t>
      </w:r>
      <w:r w:rsidR="0098473B" w:rsidRPr="00FA7E30">
        <w:rPr>
          <w:rFonts w:ascii="Arial" w:hAnsi="Arial" w:cs="Arial"/>
          <w:color w:val="000000" w:themeColor="text1"/>
        </w:rPr>
        <w:t>o</w:t>
      </w:r>
      <w:r w:rsidR="001F475B" w:rsidRPr="00FA7E30">
        <w:rPr>
          <w:rFonts w:ascii="Arial" w:hAnsi="Arial" w:cs="Arial"/>
          <w:color w:val="000000" w:themeColor="text1"/>
        </w:rPr>
        <w:t>btenidos d</w:t>
      </w:r>
      <w:r w:rsidR="00347865" w:rsidRPr="00FA7E30">
        <w:rPr>
          <w:rFonts w:ascii="Arial" w:hAnsi="Arial" w:cs="Arial"/>
          <w:color w:val="000000" w:themeColor="text1"/>
        </w:rPr>
        <w:t>e las actividades económicas se realiza en</w:t>
      </w:r>
      <w:r w:rsidR="001F475B" w:rsidRPr="00FA7E30">
        <w:rPr>
          <w:rFonts w:ascii="Arial" w:hAnsi="Arial" w:cs="Arial"/>
          <w:color w:val="000000" w:themeColor="text1"/>
        </w:rPr>
        <w:t xml:space="preserve"> forma desigual, dejando a los territorios ricos en recursos minerales, con una dotación inferior a la inicial y sin percibir beneficios de</w:t>
      </w:r>
      <w:r w:rsidR="001F475B" w:rsidRPr="000E0F90">
        <w:rPr>
          <w:rFonts w:ascii="Arial" w:hAnsi="Arial" w:cs="Arial"/>
          <w:color w:val="000000" w:themeColor="text1"/>
        </w:rPr>
        <w:t xml:space="preserve"> la actividad, soportando además externalidades negativas de la actividad. Esta limitada capitalización</w:t>
      </w:r>
      <w:r>
        <w:rPr>
          <w:rFonts w:ascii="Arial" w:hAnsi="Arial" w:cs="Arial"/>
          <w:color w:val="000000" w:themeColor="text1"/>
        </w:rPr>
        <w:t>,</w:t>
      </w:r>
      <w:r w:rsidR="001F475B" w:rsidRPr="000E0F90">
        <w:rPr>
          <w:rFonts w:ascii="Arial" w:hAnsi="Arial" w:cs="Arial"/>
          <w:color w:val="000000" w:themeColor="text1"/>
        </w:rPr>
        <w:t xml:space="preserve"> fue identificada </w:t>
      </w:r>
      <w:r w:rsidR="00E571B6" w:rsidRPr="000E0F90">
        <w:rPr>
          <w:rFonts w:ascii="Arial" w:hAnsi="Arial" w:cs="Arial"/>
          <w:color w:val="000000" w:themeColor="text1"/>
        </w:rPr>
        <w:t xml:space="preserve">en </w:t>
      </w:r>
      <w:r w:rsidR="00FB65CA" w:rsidRPr="000E0F90">
        <w:rPr>
          <w:rFonts w:ascii="Arial" w:hAnsi="Arial" w:cs="Arial"/>
          <w:color w:val="000000" w:themeColor="text1"/>
        </w:rPr>
        <w:t xml:space="preserve">los territorios mineros locales, siendo atribuida a la presencia de minería de gran escala de capitales internacionales, las cuales exportan tanto la producción, como los beneficios obtenidos de la actividad </w:t>
      </w:r>
      <w:r w:rsidR="00FB65CA" w:rsidRPr="000E0F90">
        <w:rPr>
          <w:rFonts w:ascii="Arial" w:hAnsi="Arial" w:cs="Arial"/>
          <w:color w:val="000000" w:themeColor="text1"/>
        </w:rPr>
        <w:fldChar w:fldCharType="begin" w:fldLock="1"/>
      </w:r>
      <w:r w:rsidR="004F06A0" w:rsidRPr="000E0F90">
        <w:rPr>
          <w:rFonts w:ascii="Arial" w:hAnsi="Arial" w:cs="Arial"/>
          <w:color w:val="000000" w:themeColor="text1"/>
        </w:rPr>
        <w:instrText>ADDIN CSL_CITATION { "citationItems" : [ { "id" : "ITEM-1", "itemData" : { "DOI" : "10.4067/S0250-71612014000300012", "ISSN" : "07176236", "abstract" : "An important share of Chilean copper production is located in two regions: Antofagasta and Atacama. In recent years there has been a rise in the price of copper, and the incomes of the inhabitants of these regions have varied differently as a response to the variations in the price of copper. This article analyzes these differences between the evolution of regional income based on the size or scale of production in the mining sector. Using an input-output model disaggregated by the scale of production (large versus small and medium-sized scales) of the mining sector for each region, linkages and multipliers have been calculated and a sensitivity analysis carried out in order to test the strength of the estimations. This strategy allowed for identifying and calculating the impact of each scale on local income and production, showing the heterogeneous impact of the mining sector on local economies, which is very relevant for evaluating the current Chilean mining policy.", "author" : [ { "dropping-particle" : "", "family" : "Rivera", "given" : "Nathaly", "non-dropping-particle" : "", "parse-names" : false, "suffix" : "" }, { "dropping-particle" : "", "family" : "Aroca", "given" : "Patricio", "non-dropping-particle" : "", "parse-names" : false, "suffix" : "" } ], "container-title" : "Eure", "id" : "ITEM-1", "issued" : { "date-parts" : [ [ "2014" ] ] }, "page" : "145-155", "title" : "Escalas de producci\u00f3n en econom\u00edas mineras. El caso de Chile en su dimensi\u00f3n regional", "type" : "article-journal", "volume" : "40" }, "uris" : [ "http://www.mendeley.com/documents/?uuid=b3b5e564-933e-42ed-a47a-7e4269bcc413" ] } ], "mendeley" : { "formattedCitation" : "(Rivera &amp; Aroca, 2014)", "plainTextFormattedCitation" : "(Rivera &amp; Aroca, 2014)", "previouslyFormattedCitation" : "(Rivera &amp; Aroca, 2014)" }, "properties" : { "noteIndex" : 0 }, "schema" : "https://github.com/citation-style-language/schema/raw/master/csl-citation.json" }</w:instrText>
      </w:r>
      <w:r w:rsidR="00FB65CA" w:rsidRPr="000E0F90">
        <w:rPr>
          <w:rFonts w:ascii="Arial" w:hAnsi="Arial" w:cs="Arial"/>
          <w:color w:val="000000" w:themeColor="text1"/>
        </w:rPr>
        <w:fldChar w:fldCharType="separate"/>
      </w:r>
      <w:r w:rsidR="00FB65CA" w:rsidRPr="000E0F90">
        <w:rPr>
          <w:rFonts w:ascii="Arial" w:hAnsi="Arial" w:cs="Arial"/>
          <w:noProof/>
          <w:color w:val="000000" w:themeColor="text1"/>
        </w:rPr>
        <w:t>(Rivera &amp; Aroca, 2014)</w:t>
      </w:r>
      <w:r w:rsidR="00FB65CA" w:rsidRPr="000E0F90">
        <w:rPr>
          <w:rFonts w:ascii="Arial" w:hAnsi="Arial" w:cs="Arial"/>
          <w:color w:val="000000" w:themeColor="text1"/>
        </w:rPr>
        <w:fldChar w:fldCharType="end"/>
      </w:r>
      <w:r w:rsidR="00FB65CA" w:rsidRPr="000E0F90">
        <w:rPr>
          <w:rFonts w:ascii="Arial" w:hAnsi="Arial" w:cs="Arial"/>
          <w:color w:val="000000" w:themeColor="text1"/>
        </w:rPr>
        <w:t>.</w:t>
      </w:r>
      <w:r w:rsidR="001F475B" w:rsidRPr="000E0F90">
        <w:rPr>
          <w:rFonts w:ascii="Arial" w:hAnsi="Arial" w:cs="Arial"/>
          <w:color w:val="000000" w:themeColor="text1"/>
        </w:rPr>
        <w:t xml:space="preserve"> </w:t>
      </w:r>
    </w:p>
    <w:p w:rsidR="00E200A3" w:rsidRPr="000E0F90" w:rsidRDefault="00E200A3" w:rsidP="00702D9A">
      <w:pPr>
        <w:pStyle w:val="Ttulo3"/>
        <w:spacing w:after="0" w:line="360" w:lineRule="auto"/>
        <w:rPr>
          <w:rFonts w:ascii="Arial" w:hAnsi="Arial" w:cs="Arial"/>
        </w:rPr>
      </w:pPr>
      <w:r w:rsidRPr="000E0F90">
        <w:rPr>
          <w:rFonts w:ascii="Arial" w:hAnsi="Arial" w:cs="Arial"/>
        </w:rPr>
        <w:lastRenderedPageBreak/>
        <w:t>3. Equidad entre generaciones</w:t>
      </w:r>
    </w:p>
    <w:p w:rsidR="009C7871" w:rsidRDefault="00FF0576" w:rsidP="00702D9A">
      <w:pPr>
        <w:spacing w:line="360" w:lineRule="auto"/>
        <w:rPr>
          <w:rFonts w:ascii="Arial" w:hAnsi="Arial" w:cs="Arial"/>
          <w:color w:val="000000" w:themeColor="text1"/>
        </w:rPr>
      </w:pPr>
      <w:r w:rsidRPr="000E0F90">
        <w:rPr>
          <w:rFonts w:ascii="Arial" w:hAnsi="Arial" w:cs="Arial"/>
          <w:color w:val="000000" w:themeColor="text1"/>
        </w:rPr>
        <w:t>Respecto a la</w:t>
      </w:r>
      <w:r w:rsidR="006D6C84" w:rsidRPr="000E0F90">
        <w:rPr>
          <w:rFonts w:ascii="Arial" w:hAnsi="Arial" w:cs="Arial"/>
          <w:color w:val="000000" w:themeColor="text1"/>
        </w:rPr>
        <w:t xml:space="preserve"> equidad entre generaciones</w:t>
      </w:r>
      <w:r w:rsidRPr="000E0F90">
        <w:rPr>
          <w:rFonts w:ascii="Arial" w:hAnsi="Arial" w:cs="Arial"/>
          <w:color w:val="000000" w:themeColor="text1"/>
        </w:rPr>
        <w:t>,</w:t>
      </w:r>
      <w:r w:rsidR="00840F82">
        <w:rPr>
          <w:rFonts w:ascii="Arial" w:hAnsi="Arial" w:cs="Arial"/>
          <w:color w:val="000000" w:themeColor="text1"/>
        </w:rPr>
        <w:t xml:space="preserve"> en la totalidad de los</w:t>
      </w:r>
      <w:r w:rsidR="006D6C84" w:rsidRPr="000E0F90">
        <w:rPr>
          <w:rFonts w:ascii="Arial" w:hAnsi="Arial" w:cs="Arial"/>
          <w:color w:val="000000" w:themeColor="text1"/>
        </w:rPr>
        <w:t xml:space="preserve"> territorios, se identifican acciones que podrían reducir las posibilidades de las generaciones futuras de satisfacer sus necesidades. Entre estas, </w:t>
      </w:r>
      <w:r w:rsidR="009C7871" w:rsidRPr="000E0F90">
        <w:rPr>
          <w:rFonts w:ascii="Arial" w:hAnsi="Arial" w:cs="Arial"/>
          <w:color w:val="000000" w:themeColor="text1"/>
        </w:rPr>
        <w:t>preservar los ecosistemas y recursos críticos, abordar situaciones de daño significativo, asegurar el valor duradero de las generaciones futuras, así como con la capacidad de adaptación del territorio a escenarios futuros. Sin embargo, destaca la preservación del sentido de lugar</w:t>
      </w:r>
      <w:r w:rsidR="00840F82">
        <w:rPr>
          <w:rFonts w:ascii="Arial" w:hAnsi="Arial" w:cs="Arial"/>
          <w:color w:val="000000" w:themeColor="text1"/>
        </w:rPr>
        <w:t>, como un elemento que podría contribuir al desarrollo futuro</w:t>
      </w:r>
      <w:r w:rsidR="009C7871" w:rsidRPr="000E0F90">
        <w:rPr>
          <w:rFonts w:ascii="Arial" w:hAnsi="Arial" w:cs="Arial"/>
          <w:color w:val="000000" w:themeColor="text1"/>
        </w:rPr>
        <w:t>.</w:t>
      </w:r>
    </w:p>
    <w:p w:rsidR="00880206" w:rsidRPr="000E0F90" w:rsidRDefault="00840F82" w:rsidP="00702D9A">
      <w:pPr>
        <w:spacing w:line="360" w:lineRule="auto"/>
        <w:rPr>
          <w:rFonts w:ascii="Arial" w:hAnsi="Arial" w:cs="Arial"/>
          <w:color w:val="000000" w:themeColor="text1"/>
        </w:rPr>
      </w:pPr>
      <w:r>
        <w:rPr>
          <w:rFonts w:ascii="Arial" w:hAnsi="Arial" w:cs="Arial"/>
          <w:color w:val="000000" w:themeColor="text1"/>
        </w:rPr>
        <w:t>Particularmente en Alto del Carmen, Tierra Amarilla y La Higuera</w:t>
      </w:r>
      <w:r w:rsidR="009C7871">
        <w:rPr>
          <w:rFonts w:ascii="Arial" w:hAnsi="Arial" w:cs="Arial"/>
          <w:color w:val="000000" w:themeColor="text1"/>
        </w:rPr>
        <w:t>, s</w:t>
      </w:r>
      <w:r w:rsidR="00CA7C9C" w:rsidRPr="000E0F90">
        <w:rPr>
          <w:rFonts w:ascii="Arial" w:hAnsi="Arial" w:cs="Arial"/>
          <w:color w:val="000000" w:themeColor="text1"/>
        </w:rPr>
        <w:t xml:space="preserve">e identifican acciones que </w:t>
      </w:r>
      <w:r w:rsidR="00CA7C9C" w:rsidRPr="009C7871">
        <w:rPr>
          <w:rFonts w:ascii="Arial" w:hAnsi="Arial" w:cs="Arial"/>
          <w:color w:val="000000" w:themeColor="text1"/>
        </w:rPr>
        <w:t>preservan el legado cultural, identidad y sentido de lugar,</w:t>
      </w:r>
      <w:r w:rsidR="00CA7C9C" w:rsidRPr="000E0F90">
        <w:rPr>
          <w:rFonts w:ascii="Arial" w:hAnsi="Arial" w:cs="Arial"/>
          <w:color w:val="000000" w:themeColor="text1"/>
        </w:rPr>
        <w:t xml:space="preserve"> así como interés en iniciativas de conservación de elementos territoriales</w:t>
      </w:r>
      <w:r w:rsidR="008A6E94" w:rsidRPr="000E0F90">
        <w:rPr>
          <w:rFonts w:ascii="Arial" w:hAnsi="Arial" w:cs="Arial"/>
          <w:color w:val="000000" w:themeColor="text1"/>
        </w:rPr>
        <w:t xml:space="preserve"> de significancia e</w:t>
      </w:r>
      <w:r w:rsidR="00342DC1" w:rsidRPr="000E0F90">
        <w:rPr>
          <w:rFonts w:ascii="Arial" w:hAnsi="Arial" w:cs="Arial"/>
          <w:color w:val="000000" w:themeColor="text1"/>
        </w:rPr>
        <w:t>coló</w:t>
      </w:r>
      <w:r w:rsidR="008A6E94" w:rsidRPr="000E0F90">
        <w:rPr>
          <w:rFonts w:ascii="Arial" w:hAnsi="Arial" w:cs="Arial"/>
          <w:color w:val="000000" w:themeColor="text1"/>
        </w:rPr>
        <w:t>gica</w:t>
      </w:r>
      <w:r w:rsidR="00CA7C9C" w:rsidRPr="000E0F90">
        <w:rPr>
          <w:rFonts w:ascii="Arial" w:hAnsi="Arial" w:cs="Arial"/>
          <w:color w:val="000000" w:themeColor="text1"/>
        </w:rPr>
        <w:t xml:space="preserve">, </w:t>
      </w:r>
      <w:r w:rsidR="001C7EC5" w:rsidRPr="000E0F90">
        <w:rPr>
          <w:rFonts w:ascii="Arial" w:hAnsi="Arial" w:cs="Arial"/>
          <w:color w:val="000000" w:themeColor="text1"/>
        </w:rPr>
        <w:t>cultural</w:t>
      </w:r>
      <w:r w:rsidR="00342DC1" w:rsidRPr="000E0F90">
        <w:rPr>
          <w:rFonts w:ascii="Arial" w:hAnsi="Arial" w:cs="Arial"/>
          <w:color w:val="000000" w:themeColor="text1"/>
        </w:rPr>
        <w:t xml:space="preserve">, </w:t>
      </w:r>
      <w:r w:rsidR="00CA7C9C" w:rsidRPr="000E0F90">
        <w:rPr>
          <w:rFonts w:ascii="Arial" w:hAnsi="Arial" w:cs="Arial"/>
          <w:color w:val="000000" w:themeColor="text1"/>
        </w:rPr>
        <w:t xml:space="preserve">la creación de comunidades indígenas, la existencia de museos, así como el desarrollo de actividades religiosas. </w:t>
      </w:r>
      <w:r w:rsidR="00E7621F" w:rsidRPr="000E0F90">
        <w:rPr>
          <w:rFonts w:ascii="Arial" w:hAnsi="Arial" w:cs="Arial"/>
          <w:color w:val="000000" w:themeColor="text1"/>
        </w:rPr>
        <w:t xml:space="preserve">Al respecto, </w:t>
      </w:r>
      <w:r w:rsidR="00342DC1" w:rsidRPr="000E0F90">
        <w:rPr>
          <w:rFonts w:ascii="Arial" w:hAnsi="Arial" w:cs="Arial"/>
          <w:color w:val="000000" w:themeColor="text1"/>
        </w:rPr>
        <w:t>cabe señalar que influye</w:t>
      </w:r>
      <w:r w:rsidR="00E7621F" w:rsidRPr="000E0F90">
        <w:rPr>
          <w:rFonts w:ascii="Arial" w:hAnsi="Arial" w:cs="Arial"/>
          <w:color w:val="000000" w:themeColor="text1"/>
        </w:rPr>
        <w:t xml:space="preserve"> fuertemente en la conservación de </w:t>
      </w:r>
      <w:r w:rsidR="00342DC1" w:rsidRPr="000E0F90">
        <w:rPr>
          <w:rFonts w:ascii="Arial" w:hAnsi="Arial" w:cs="Arial"/>
          <w:color w:val="000000" w:themeColor="text1"/>
        </w:rPr>
        <w:t xml:space="preserve">la cultura indígena, el respaldo institucional (Ley 19.523, Convenio 169 de la OIT y Declaración de la ONU sobre derechos de pueblos indígenas), el cual además se pronuncia en el control del territorio y sus recursos, los beneficios de las actividades extractivas </w:t>
      </w:r>
      <w:r w:rsidR="00342DC1" w:rsidRPr="000E0F90">
        <w:rPr>
          <w:rFonts w:ascii="Arial" w:hAnsi="Arial" w:cs="Arial"/>
          <w:color w:val="000000" w:themeColor="text1"/>
        </w:rPr>
        <w:fldChar w:fldCharType="begin" w:fldLock="1"/>
      </w:r>
      <w:r w:rsidR="00FB65CA" w:rsidRPr="000E0F90">
        <w:rPr>
          <w:rFonts w:ascii="Arial" w:hAnsi="Arial" w:cs="Arial"/>
          <w:color w:val="000000" w:themeColor="text1"/>
        </w:rPr>
        <w:instrText>ADDIN CSL_CITATION { "citationItems" : [ { "id" : "ITEM-1", "itemData" : { "DOI" : "10.4067/S0717-73562016005000001", "ISSN" : "07177356", "abstract" : "Presentamos los resultados de un estudio exploratorio y cualitativo acerca de las transformaciones agrarias y los conflictos h\u00eddricos que han emergido en las \u00faltimas tres d\u00e9cadas entre localidades hist\u00f3ricamente agr\u00edcolas y grandes empresas mineras en el norte de Chile. Investigamos en tres casos de estudio: Quillagua (comuna Mar\u00eda Elena, Regi\u00f3n de Antofagasta), Peine (comuna San Pedro de Atacama, Regi\u00f3n de Antofagasta) y Los Loros (comuna Tierra Amarilla, Regi\u00f3n de Atacama). A partir del discurso de los entrevistados, efectuamos una reconstrucci\u00f3n hist\u00f3rica de los cambios centr\u00e1ndonos en tres dimensiones interrelacionadas que permiten abordar el problema: caracter\u00edsticas de las actividades agropecuarias, presencia y v\u00ednculos con la miner\u00eda, y situaci\u00f3n de los recursos h\u00eddricos. Palabras claves: gran miner\u00eda, localidades agr\u00edcolas, conflictos h\u00eddricos, norte de Chile. We present the results of an exploratory and qualitative research about on the agrarian transformations and the water conflicts that emerged the last three decades between localities historically agrarian and large mining companies in northern Chile. This research consists of three case studies: Quillagua (Municipality of Mar\u00eda Elena, Antofagasta Region), Peine (Municipality of San Pedro de Atacama, Antofagasta Region) and Los Loros (Municipality of Tierra Amarilla, Atacama Region). Based on the interviewees's discourse, we elaborate a historical reconstruction of the changes, focussing on three interrelated dimensions that tackle the problem: characteristics of agricultural activities, presence and ties to mining, and the situation of the hydric resources.", "author" : [ { "dropping-particle" : "", "family" : "Calder\u00f3n et. al.", "given" : "", "non-dropping-particle" : "", "parse-names" : false, "suffix" : "" } ], "id" : "ITEM-1", "issued" : { "date-parts" : [ [ "2016" ] ] }, "page" : "1-12", "title" : "Gran Miner\u00eda Y Localidades Agr\u00edcolas En El Norte De Chile : Comparaci\u00f3n", "type" : "article-journal" }, "uris" : [ "http://www.mendeley.com/documents/?uuid=03cda2b5-eb6f-4aaa-a1ff-2e483b93fd77" ] } ], "mendeley" : { "formattedCitation" : "(Calder\u00f3n et. al., 2016)", "plainTextFormattedCitation" : "(Calder\u00f3n et. al., 2016)", "previouslyFormattedCitation" : "(Calder\u00f3n et. al., 2016)" }, "properties" : { "noteIndex" : 0 }, "schema" : "https://github.com/citation-style-language/schema/raw/master/csl-citation.json" }</w:instrText>
      </w:r>
      <w:r w:rsidR="00342DC1" w:rsidRPr="000E0F90">
        <w:rPr>
          <w:rFonts w:ascii="Arial" w:hAnsi="Arial" w:cs="Arial"/>
          <w:color w:val="000000" w:themeColor="text1"/>
        </w:rPr>
        <w:fldChar w:fldCharType="separate"/>
      </w:r>
      <w:r w:rsidR="00342DC1" w:rsidRPr="000E0F90">
        <w:rPr>
          <w:rFonts w:ascii="Arial" w:hAnsi="Arial" w:cs="Arial"/>
          <w:noProof/>
          <w:color w:val="000000" w:themeColor="text1"/>
        </w:rPr>
        <w:t>(Calderón et. al., 2016)</w:t>
      </w:r>
      <w:r w:rsidR="00342DC1" w:rsidRPr="000E0F90">
        <w:rPr>
          <w:rFonts w:ascii="Arial" w:hAnsi="Arial" w:cs="Arial"/>
          <w:color w:val="000000" w:themeColor="text1"/>
        </w:rPr>
        <w:fldChar w:fldCharType="end"/>
      </w:r>
      <w:r w:rsidR="00880206" w:rsidRPr="000E0F90">
        <w:rPr>
          <w:rFonts w:ascii="Arial" w:hAnsi="Arial" w:cs="Arial"/>
          <w:color w:val="000000" w:themeColor="text1"/>
        </w:rPr>
        <w:t>.</w:t>
      </w:r>
    </w:p>
    <w:p w:rsidR="00055C3A" w:rsidRPr="000E0F90" w:rsidRDefault="005D75FF" w:rsidP="00702D9A">
      <w:pPr>
        <w:spacing w:line="360" w:lineRule="auto"/>
        <w:rPr>
          <w:rFonts w:ascii="Arial" w:hAnsi="Arial" w:cs="Arial"/>
          <w:color w:val="000000" w:themeColor="text1"/>
        </w:rPr>
      </w:pPr>
      <w:r w:rsidRPr="000E0F90">
        <w:rPr>
          <w:rFonts w:ascii="Arial" w:hAnsi="Arial" w:cs="Arial"/>
          <w:color w:val="000000" w:themeColor="text1"/>
        </w:rPr>
        <w:t xml:space="preserve">Respecto a la necesidad de </w:t>
      </w:r>
      <w:r w:rsidRPr="009C7871">
        <w:rPr>
          <w:rFonts w:ascii="Arial" w:hAnsi="Arial" w:cs="Arial"/>
          <w:color w:val="000000" w:themeColor="text1"/>
        </w:rPr>
        <w:t>asegurar el valor duradero de</w:t>
      </w:r>
      <w:r w:rsidR="00840F82">
        <w:rPr>
          <w:rFonts w:ascii="Arial" w:hAnsi="Arial" w:cs="Arial"/>
          <w:color w:val="000000" w:themeColor="text1"/>
        </w:rPr>
        <w:t xml:space="preserve"> </w:t>
      </w:r>
      <w:r w:rsidRPr="009C7871">
        <w:rPr>
          <w:rFonts w:ascii="Arial" w:hAnsi="Arial" w:cs="Arial"/>
          <w:color w:val="000000" w:themeColor="text1"/>
        </w:rPr>
        <w:t>l</w:t>
      </w:r>
      <w:r w:rsidR="00840F82">
        <w:rPr>
          <w:rFonts w:ascii="Arial" w:hAnsi="Arial" w:cs="Arial"/>
          <w:color w:val="000000" w:themeColor="text1"/>
        </w:rPr>
        <w:t>os</w:t>
      </w:r>
      <w:r w:rsidRPr="009C7871">
        <w:rPr>
          <w:rFonts w:ascii="Arial" w:hAnsi="Arial" w:cs="Arial"/>
          <w:color w:val="000000" w:themeColor="text1"/>
        </w:rPr>
        <w:t xml:space="preserve"> territorio</w:t>
      </w:r>
      <w:r w:rsidR="00840F82">
        <w:rPr>
          <w:rFonts w:ascii="Arial" w:hAnsi="Arial" w:cs="Arial"/>
          <w:color w:val="000000" w:themeColor="text1"/>
        </w:rPr>
        <w:t>s</w:t>
      </w:r>
      <w:r w:rsidR="00F937CC" w:rsidRPr="009C7871">
        <w:rPr>
          <w:rFonts w:ascii="Arial" w:hAnsi="Arial" w:cs="Arial"/>
          <w:color w:val="000000" w:themeColor="text1"/>
        </w:rPr>
        <w:t>,</w:t>
      </w:r>
      <w:r w:rsidR="002C037B">
        <w:rPr>
          <w:rFonts w:ascii="Arial" w:hAnsi="Arial" w:cs="Arial"/>
          <w:color w:val="000000" w:themeColor="text1"/>
        </w:rPr>
        <w:t xml:space="preserve"> en Tierra Amarilla y Alto del Carmen</w:t>
      </w:r>
      <w:r w:rsidR="00F937CC" w:rsidRPr="000E0F90">
        <w:rPr>
          <w:rFonts w:ascii="Arial" w:hAnsi="Arial" w:cs="Arial"/>
          <w:color w:val="000000" w:themeColor="text1"/>
        </w:rPr>
        <w:t xml:space="preserve"> existe una reducida diversificación del capital natur</w:t>
      </w:r>
      <w:r w:rsidR="00EE523F" w:rsidRPr="000E0F90">
        <w:rPr>
          <w:rFonts w:ascii="Arial" w:hAnsi="Arial" w:cs="Arial"/>
          <w:color w:val="000000" w:themeColor="text1"/>
        </w:rPr>
        <w:t xml:space="preserve">al, desarrollando </w:t>
      </w:r>
      <w:r w:rsidR="009C7871">
        <w:rPr>
          <w:rFonts w:ascii="Arial" w:hAnsi="Arial" w:cs="Arial"/>
          <w:color w:val="000000" w:themeColor="text1"/>
        </w:rPr>
        <w:t>principalmente</w:t>
      </w:r>
      <w:r w:rsidR="00EE523F" w:rsidRPr="000E0F90">
        <w:rPr>
          <w:rFonts w:ascii="Arial" w:hAnsi="Arial" w:cs="Arial"/>
          <w:color w:val="000000" w:themeColor="text1"/>
        </w:rPr>
        <w:t xml:space="preserve"> </w:t>
      </w:r>
      <w:r w:rsidR="00055C3A" w:rsidRPr="000E0F90">
        <w:rPr>
          <w:rFonts w:ascii="Arial" w:hAnsi="Arial" w:cs="Arial"/>
          <w:color w:val="000000" w:themeColor="text1"/>
        </w:rPr>
        <w:t xml:space="preserve">el sector </w:t>
      </w:r>
      <w:r w:rsidR="002C037B">
        <w:rPr>
          <w:rFonts w:ascii="Arial" w:hAnsi="Arial" w:cs="Arial"/>
          <w:color w:val="000000" w:themeColor="text1"/>
        </w:rPr>
        <w:t xml:space="preserve">minero y </w:t>
      </w:r>
      <w:r w:rsidR="00055C3A" w:rsidRPr="000E0F90">
        <w:rPr>
          <w:rFonts w:ascii="Arial" w:hAnsi="Arial" w:cs="Arial"/>
          <w:color w:val="000000" w:themeColor="text1"/>
        </w:rPr>
        <w:t>agrícola</w:t>
      </w:r>
      <w:r w:rsidR="00880206" w:rsidRPr="000E0F90">
        <w:rPr>
          <w:rFonts w:ascii="Arial" w:hAnsi="Arial" w:cs="Arial"/>
          <w:color w:val="000000" w:themeColor="text1"/>
        </w:rPr>
        <w:t xml:space="preserve"> intensivo, </w:t>
      </w:r>
      <w:r w:rsidR="002C037B">
        <w:rPr>
          <w:rFonts w:ascii="Arial" w:hAnsi="Arial" w:cs="Arial"/>
          <w:color w:val="000000" w:themeColor="text1"/>
        </w:rPr>
        <w:t xml:space="preserve">éste último </w:t>
      </w:r>
      <w:r w:rsidR="00880206" w:rsidRPr="000E0F90">
        <w:rPr>
          <w:rFonts w:ascii="Arial" w:hAnsi="Arial" w:cs="Arial"/>
          <w:color w:val="000000" w:themeColor="text1"/>
        </w:rPr>
        <w:t>enfocado a la exportación</w:t>
      </w:r>
      <w:r w:rsidR="00055C3A" w:rsidRPr="000E0F90">
        <w:rPr>
          <w:rFonts w:ascii="Arial" w:hAnsi="Arial" w:cs="Arial"/>
          <w:color w:val="000000" w:themeColor="text1"/>
        </w:rPr>
        <w:t xml:space="preserve">. </w:t>
      </w:r>
      <w:r w:rsidR="00EE523F" w:rsidRPr="000E0F90">
        <w:rPr>
          <w:rFonts w:ascii="Arial" w:hAnsi="Arial" w:cs="Arial"/>
          <w:color w:val="000000" w:themeColor="text1"/>
        </w:rPr>
        <w:t>Llevando a la i</w:t>
      </w:r>
      <w:r w:rsidR="00F937CC" w:rsidRPr="000E0F90">
        <w:rPr>
          <w:rFonts w:ascii="Arial" w:hAnsi="Arial" w:cs="Arial"/>
          <w:color w:val="000000" w:themeColor="text1"/>
        </w:rPr>
        <w:t xml:space="preserve">ntensificación de las actividades, </w:t>
      </w:r>
      <w:r w:rsidR="0008010C" w:rsidRPr="000E0F90">
        <w:rPr>
          <w:rFonts w:ascii="Arial" w:hAnsi="Arial" w:cs="Arial"/>
          <w:color w:val="000000" w:themeColor="text1"/>
        </w:rPr>
        <w:t>restringiendo la</w:t>
      </w:r>
      <w:r w:rsidR="00F937CC" w:rsidRPr="000E0F90">
        <w:rPr>
          <w:rFonts w:ascii="Arial" w:hAnsi="Arial" w:cs="Arial"/>
          <w:color w:val="000000" w:themeColor="text1"/>
        </w:rPr>
        <w:t xml:space="preserve"> agricultura </w:t>
      </w:r>
      <w:r w:rsidR="0008010C" w:rsidRPr="000E0F90">
        <w:rPr>
          <w:rFonts w:ascii="Arial" w:hAnsi="Arial" w:cs="Arial"/>
          <w:color w:val="000000" w:themeColor="text1"/>
        </w:rPr>
        <w:t xml:space="preserve">y ganadería </w:t>
      </w:r>
      <w:r w:rsidR="00F937CC" w:rsidRPr="000E0F90">
        <w:rPr>
          <w:rFonts w:ascii="Arial" w:hAnsi="Arial" w:cs="Arial"/>
          <w:color w:val="000000" w:themeColor="text1"/>
        </w:rPr>
        <w:t>de subsistencia</w:t>
      </w:r>
      <w:r w:rsidR="00EE523F" w:rsidRPr="000E0F90">
        <w:rPr>
          <w:rFonts w:ascii="Arial" w:hAnsi="Arial" w:cs="Arial"/>
          <w:color w:val="000000" w:themeColor="text1"/>
        </w:rPr>
        <w:t>, a</w:t>
      </w:r>
      <w:r w:rsidR="00EB25B0" w:rsidRPr="000E0F90">
        <w:rPr>
          <w:rFonts w:ascii="Arial" w:hAnsi="Arial" w:cs="Arial"/>
          <w:color w:val="000000" w:themeColor="text1"/>
        </w:rPr>
        <w:t>fecta</w:t>
      </w:r>
      <w:r w:rsidR="00EE523F" w:rsidRPr="000E0F90">
        <w:rPr>
          <w:rFonts w:ascii="Arial" w:hAnsi="Arial" w:cs="Arial"/>
          <w:color w:val="000000" w:themeColor="text1"/>
        </w:rPr>
        <w:t>ndo</w:t>
      </w:r>
      <w:r w:rsidR="00055C3A" w:rsidRPr="000E0F90">
        <w:rPr>
          <w:rFonts w:ascii="Arial" w:hAnsi="Arial" w:cs="Arial"/>
          <w:color w:val="000000" w:themeColor="text1"/>
        </w:rPr>
        <w:t xml:space="preserve"> la ruralidad e </w:t>
      </w:r>
      <w:r w:rsidR="00EB25B0" w:rsidRPr="000E0F90">
        <w:rPr>
          <w:rFonts w:ascii="Arial" w:hAnsi="Arial" w:cs="Arial"/>
          <w:color w:val="000000" w:themeColor="text1"/>
        </w:rPr>
        <w:t>identidad</w:t>
      </w:r>
      <w:r w:rsidR="00055C3A" w:rsidRPr="000E0F90">
        <w:rPr>
          <w:rFonts w:ascii="Arial" w:hAnsi="Arial" w:cs="Arial"/>
          <w:color w:val="000000" w:themeColor="text1"/>
        </w:rPr>
        <w:t xml:space="preserve"> local. </w:t>
      </w:r>
      <w:r w:rsidR="002F04F1" w:rsidRPr="000E0F90">
        <w:rPr>
          <w:rFonts w:ascii="Arial" w:hAnsi="Arial" w:cs="Arial"/>
          <w:color w:val="000000" w:themeColor="text1"/>
        </w:rPr>
        <w:t>Existiendo</w:t>
      </w:r>
      <w:r w:rsidR="00447DDE" w:rsidRPr="000E0F90">
        <w:rPr>
          <w:rFonts w:ascii="Arial" w:hAnsi="Arial" w:cs="Arial"/>
          <w:color w:val="000000" w:themeColor="text1"/>
        </w:rPr>
        <w:t xml:space="preserve"> en la comuna de Salamanca, una situación particular, dada por la existencia de la Cooperativa Capel, antes de la llegada de la mega minería, con lo cual se ha preservado el desarrollo de la pequeña agricultura rural. </w:t>
      </w:r>
      <w:r w:rsidR="002C037B">
        <w:rPr>
          <w:rFonts w:ascii="Arial" w:hAnsi="Arial" w:cs="Arial"/>
          <w:color w:val="000000" w:themeColor="text1"/>
        </w:rPr>
        <w:t>Por otra parte, La Higuera, ha desarrollado fuertemente el turismo dados los atractivos naturales que presenta. Sin embargo, en la totalidad de los territorios e</w:t>
      </w:r>
      <w:r w:rsidR="00447DDE" w:rsidRPr="000E0F90">
        <w:rPr>
          <w:rFonts w:ascii="Arial" w:hAnsi="Arial" w:cs="Arial"/>
          <w:color w:val="000000" w:themeColor="text1"/>
        </w:rPr>
        <w:t xml:space="preserve">xisten </w:t>
      </w:r>
      <w:r w:rsidR="002F04F1" w:rsidRPr="000E0F90">
        <w:rPr>
          <w:rFonts w:ascii="Arial" w:hAnsi="Arial" w:cs="Arial"/>
          <w:color w:val="000000" w:themeColor="text1"/>
        </w:rPr>
        <w:t xml:space="preserve">alternativas </w:t>
      </w:r>
      <w:r w:rsidR="002C037B">
        <w:rPr>
          <w:rFonts w:ascii="Arial" w:hAnsi="Arial" w:cs="Arial"/>
          <w:color w:val="000000" w:themeColor="text1"/>
        </w:rPr>
        <w:t xml:space="preserve">no exploradas, </w:t>
      </w:r>
      <w:r w:rsidR="002F04F1" w:rsidRPr="000E0F90">
        <w:rPr>
          <w:rFonts w:ascii="Arial" w:hAnsi="Arial" w:cs="Arial"/>
          <w:color w:val="000000" w:themeColor="text1"/>
        </w:rPr>
        <w:t>para diversificar los usos territoriales las cuales no se han desarrollado</w:t>
      </w:r>
      <w:r w:rsidR="002C037B">
        <w:rPr>
          <w:rFonts w:ascii="Arial" w:hAnsi="Arial" w:cs="Arial"/>
          <w:color w:val="000000" w:themeColor="text1"/>
        </w:rPr>
        <w:t>.</w:t>
      </w:r>
      <w:r w:rsidR="002F04F1" w:rsidRPr="000E0F90">
        <w:rPr>
          <w:rFonts w:ascii="Arial" w:hAnsi="Arial" w:cs="Arial"/>
          <w:color w:val="000000" w:themeColor="text1"/>
        </w:rPr>
        <w:t xml:space="preserve"> </w:t>
      </w:r>
    </w:p>
    <w:p w:rsidR="00055C3A" w:rsidRDefault="00EE523F" w:rsidP="00702D9A">
      <w:pPr>
        <w:spacing w:line="360" w:lineRule="auto"/>
        <w:rPr>
          <w:rFonts w:ascii="Arial" w:hAnsi="Arial" w:cs="Arial"/>
          <w:color w:val="000000" w:themeColor="text1"/>
        </w:rPr>
      </w:pPr>
      <w:r w:rsidRPr="000E0F90">
        <w:rPr>
          <w:rFonts w:ascii="Arial" w:hAnsi="Arial" w:cs="Arial"/>
          <w:color w:val="000000" w:themeColor="text1"/>
        </w:rPr>
        <w:t>E</w:t>
      </w:r>
      <w:r w:rsidR="00840F82">
        <w:rPr>
          <w:rFonts w:ascii="Arial" w:hAnsi="Arial" w:cs="Arial"/>
          <w:color w:val="000000" w:themeColor="text1"/>
        </w:rPr>
        <w:t xml:space="preserve">n Tierra Amarilla, La Higuera y Salamanca, </w:t>
      </w:r>
      <w:r w:rsidR="00F937CC" w:rsidRPr="000E0F90">
        <w:rPr>
          <w:rFonts w:ascii="Arial" w:hAnsi="Arial" w:cs="Arial"/>
          <w:color w:val="000000" w:themeColor="text1"/>
        </w:rPr>
        <w:t xml:space="preserve">no se identifican iniciativas que busquen hacerse cargo de </w:t>
      </w:r>
      <w:r w:rsidR="00F937CC" w:rsidRPr="009C7871">
        <w:rPr>
          <w:rFonts w:ascii="Arial" w:hAnsi="Arial" w:cs="Arial"/>
          <w:color w:val="000000" w:themeColor="text1"/>
        </w:rPr>
        <w:t>daños significativos medioambiental y humano</w:t>
      </w:r>
      <w:r w:rsidR="00F937CC" w:rsidRPr="000E0F90">
        <w:rPr>
          <w:rFonts w:ascii="Arial" w:hAnsi="Arial" w:cs="Arial"/>
          <w:color w:val="000000" w:themeColor="text1"/>
        </w:rPr>
        <w:t xml:space="preserve">, que se han desarrollado en el pasado y en el presente, lo cual implica que las generaciones futuras recibirán una carga medioambiental y social. </w:t>
      </w:r>
      <w:r w:rsidR="00055C3A" w:rsidRPr="000E0F90">
        <w:rPr>
          <w:rFonts w:ascii="Arial" w:hAnsi="Arial" w:cs="Arial"/>
          <w:color w:val="000000" w:themeColor="text1"/>
        </w:rPr>
        <w:t xml:space="preserve">Al respecto, en 2011, se aprobó la Ley </w:t>
      </w:r>
      <w:r w:rsidR="00055C3A" w:rsidRPr="000E0F90">
        <w:rPr>
          <w:rFonts w:ascii="Arial" w:hAnsi="Arial" w:cs="Arial"/>
          <w:color w:val="000000" w:themeColor="text1"/>
        </w:rPr>
        <w:lastRenderedPageBreak/>
        <w:t>20.551 que regula el cierre de faenas e instalaciones mineras, por lo que se espera reducir estos impactos en el futuro.</w:t>
      </w:r>
      <w:r w:rsidR="005C7084" w:rsidRPr="000E0F90">
        <w:rPr>
          <w:rFonts w:ascii="Arial" w:hAnsi="Arial" w:cs="Arial"/>
          <w:color w:val="000000" w:themeColor="text1"/>
        </w:rPr>
        <w:t xml:space="preserve"> </w:t>
      </w:r>
    </w:p>
    <w:p w:rsidR="00F524C1" w:rsidRPr="000E0F90" w:rsidRDefault="00F524C1" w:rsidP="00702D9A">
      <w:pPr>
        <w:spacing w:line="360" w:lineRule="auto"/>
        <w:rPr>
          <w:rFonts w:ascii="Arial" w:hAnsi="Arial" w:cs="Arial"/>
          <w:color w:val="000000" w:themeColor="text1"/>
        </w:rPr>
      </w:pPr>
      <w:r w:rsidRPr="000E0F90">
        <w:rPr>
          <w:rFonts w:ascii="Arial" w:hAnsi="Arial" w:cs="Arial"/>
          <w:color w:val="000000" w:themeColor="text1"/>
        </w:rPr>
        <w:t xml:space="preserve">No se evidencian acciones orientadas a la </w:t>
      </w:r>
      <w:r w:rsidRPr="009C7871">
        <w:rPr>
          <w:rFonts w:ascii="Arial" w:hAnsi="Arial" w:cs="Arial"/>
          <w:color w:val="000000" w:themeColor="text1"/>
        </w:rPr>
        <w:t>capitalización de los recursos extraídos</w:t>
      </w:r>
      <w:r w:rsidRPr="000E0F90">
        <w:rPr>
          <w:rFonts w:ascii="Arial" w:hAnsi="Arial" w:cs="Arial"/>
          <w:color w:val="000000" w:themeColor="text1"/>
        </w:rPr>
        <w:t xml:space="preserve">, en patrimonio local. </w:t>
      </w:r>
      <w:r w:rsidR="009C7871">
        <w:rPr>
          <w:rFonts w:ascii="Arial" w:hAnsi="Arial" w:cs="Arial"/>
          <w:color w:val="000000" w:themeColor="text1"/>
        </w:rPr>
        <w:t xml:space="preserve">Salvo, las iniciativas de fomento productivo agrícola local desarrolladas por la minería de la comuna de Salamanca. </w:t>
      </w:r>
      <w:r w:rsidRPr="000E0F90">
        <w:rPr>
          <w:rFonts w:ascii="Arial" w:hAnsi="Arial" w:cs="Arial"/>
          <w:color w:val="000000" w:themeColor="text1"/>
        </w:rPr>
        <w:t xml:space="preserve">Destaca la ausencia de preocupación en relación al inminente agotamiento que tendrán los recursos minerales, lo cual se podría explicar por la escala de análisis del estudio o dado que no es considerara una actividad productiva que genere ingresos en el ámbito local. </w:t>
      </w:r>
    </w:p>
    <w:p w:rsidR="00D506BA" w:rsidRPr="000E0F90" w:rsidRDefault="00D506BA" w:rsidP="00702D9A">
      <w:pPr>
        <w:spacing w:line="360" w:lineRule="auto"/>
        <w:rPr>
          <w:rFonts w:ascii="Arial" w:hAnsi="Arial" w:cs="Arial"/>
          <w:color w:val="000000" w:themeColor="text1"/>
        </w:rPr>
      </w:pPr>
      <w:r w:rsidRPr="000E0F90">
        <w:rPr>
          <w:rFonts w:ascii="Arial" w:hAnsi="Arial" w:cs="Arial"/>
          <w:color w:val="000000" w:themeColor="text1"/>
        </w:rPr>
        <w:t xml:space="preserve">Destaca </w:t>
      </w:r>
      <w:r w:rsidR="00F524C1" w:rsidRPr="000E0F90">
        <w:rPr>
          <w:rFonts w:ascii="Arial" w:hAnsi="Arial" w:cs="Arial"/>
          <w:color w:val="000000" w:themeColor="text1"/>
        </w:rPr>
        <w:t xml:space="preserve">también </w:t>
      </w:r>
      <w:r w:rsidRPr="000E0F90">
        <w:rPr>
          <w:rFonts w:ascii="Arial" w:hAnsi="Arial" w:cs="Arial"/>
          <w:color w:val="000000" w:themeColor="text1"/>
        </w:rPr>
        <w:t>la ausencia de una planificación de</w:t>
      </w:r>
      <w:r w:rsidR="00840F82">
        <w:rPr>
          <w:rFonts w:ascii="Arial" w:hAnsi="Arial" w:cs="Arial"/>
          <w:color w:val="000000" w:themeColor="text1"/>
        </w:rPr>
        <w:t xml:space="preserve"> </w:t>
      </w:r>
      <w:r w:rsidRPr="000E0F90">
        <w:rPr>
          <w:rFonts w:ascii="Arial" w:hAnsi="Arial" w:cs="Arial"/>
          <w:color w:val="000000" w:themeColor="text1"/>
        </w:rPr>
        <w:t>l</w:t>
      </w:r>
      <w:r w:rsidR="00840F82">
        <w:rPr>
          <w:rFonts w:ascii="Arial" w:hAnsi="Arial" w:cs="Arial"/>
          <w:color w:val="000000" w:themeColor="text1"/>
        </w:rPr>
        <w:t>os</w:t>
      </w:r>
      <w:r w:rsidRPr="000E0F90">
        <w:rPr>
          <w:rFonts w:ascii="Arial" w:hAnsi="Arial" w:cs="Arial"/>
          <w:color w:val="000000" w:themeColor="text1"/>
        </w:rPr>
        <w:t xml:space="preserve"> territorio</w:t>
      </w:r>
      <w:r w:rsidR="00840F82">
        <w:rPr>
          <w:rFonts w:ascii="Arial" w:hAnsi="Arial" w:cs="Arial"/>
          <w:color w:val="000000" w:themeColor="text1"/>
        </w:rPr>
        <w:t>s</w:t>
      </w:r>
      <w:r w:rsidRPr="000E0F90">
        <w:rPr>
          <w:rFonts w:ascii="Arial" w:hAnsi="Arial" w:cs="Arial"/>
          <w:color w:val="000000" w:themeColor="text1"/>
        </w:rPr>
        <w:t xml:space="preserve"> en el futuro al momento de tomar las decisiones en el presente, la cual considere las limitantes y potencialidades de la matriz natural. Lo cual queda de manifiesto, al no considerar </w:t>
      </w:r>
      <w:r w:rsidR="001C7EC5" w:rsidRPr="000E0F90">
        <w:rPr>
          <w:rFonts w:ascii="Arial" w:hAnsi="Arial" w:cs="Arial"/>
          <w:color w:val="000000" w:themeColor="text1"/>
        </w:rPr>
        <w:t xml:space="preserve">en la planificación actual de los territorios mineros, </w:t>
      </w:r>
      <w:r w:rsidRPr="000E0F90">
        <w:rPr>
          <w:rFonts w:ascii="Arial" w:hAnsi="Arial" w:cs="Arial"/>
          <w:color w:val="000000" w:themeColor="text1"/>
        </w:rPr>
        <w:t>los impactos de legado existentes, la intensificación de los eventos naturales producto del cambio climático,</w:t>
      </w:r>
      <w:r w:rsidR="001C7EC5" w:rsidRPr="000E0F90">
        <w:rPr>
          <w:rFonts w:ascii="Arial" w:hAnsi="Arial" w:cs="Arial"/>
          <w:color w:val="000000" w:themeColor="text1"/>
        </w:rPr>
        <w:t xml:space="preserve"> y las condiciones socioeconómicas locales</w:t>
      </w:r>
      <w:r w:rsidRPr="000E0F90">
        <w:rPr>
          <w:rFonts w:ascii="Arial" w:hAnsi="Arial" w:cs="Arial"/>
          <w:color w:val="000000" w:themeColor="text1"/>
        </w:rPr>
        <w:t xml:space="preserve">. Como es el caso de Copiapó, donde la población se ha expandido hacia áreas contaminadas expuestas a pasivos ambientales mineros, desconociendo la probabilidad de ocurrencia de aluviones poniendo en riesgo la salud de la población </w:t>
      </w:r>
      <w:r w:rsidRPr="000E0F90">
        <w:rPr>
          <w:rFonts w:ascii="Arial" w:hAnsi="Arial" w:cs="Arial"/>
          <w:color w:val="000000" w:themeColor="text1"/>
        </w:rPr>
        <w:fldChar w:fldCharType="begin" w:fldLock="1"/>
      </w:r>
      <w:r w:rsidR="009B13FF" w:rsidRPr="000E0F90">
        <w:rPr>
          <w:rFonts w:ascii="Arial" w:hAnsi="Arial" w:cs="Arial"/>
          <w:color w:val="000000" w:themeColor="text1"/>
        </w:rPr>
        <w:instrText>ADDIN CSL_CITATION { "citationItems" : [ { "id" : "ITEM-1", "itemData" : { "DOI" : "10.1007/s10653-016-9793-5", "ISSN" : "15732983", "PMID" : "26758741", "abstract" : "Urban expansion in areas of active and legacy mining imposes a sustainability challenge, especially in arid environments where cities compete for resources with agriculture and industry. The city of Copiap\u00f3, with 150,000 inhabitants in the Atacama Desert, reflects this challenge. More than 30 abandoned tailings from legacy mining are scattered throughout its urban and peri-urban area, which include an active copper smelter. Despite the public concern generated by the mining-related pollution, no geochemical information is currently available for Copiap\u00f3, particularly for metal concentration in environmental solid phases. A geochemical screening of soils (n = 42), street dusts (n = 71) and tailings (n = 68) was conducted in November 2014 and April 2015. Organic matter, pH and elemental composition measurements were taken. Notably, copper in soils (60-2120 mg/kg) and street dusts (110-10,200 mg/kg) consistently exceeded international guidelines for residential and industrial use, while a lower proportion of samples exceeded international guidelines for arsenic, zinc and lead. Metal enrichment occurred in residential, industrial and agricultural areas near tailings and the copper smelter. This first screening of metal contamination sets the basis for future risk assessments toward defining knowledge-based policies and urban planning. Challenges include developing: (1) adequate intervention guideline values; (2) appropriate geochemical background levels for key metals; (3) urban planning that considers contaminated areas; (4) cost-effective control strategies for abandoned tailings in water-scarce areas; and (5) scenarios and technologies for tailings reprocessing. Assessing urban geochemical risks is a critical endeavor for areas where extreme events triggered by climate change are likely, as the mud flooding that impacted Copiap\u00f3 in late March 2015.", "author" : [ { "dropping-particle" : "", "family" : "Carkovic", "given" : "Athena B.", "non-dropping-particle" : "", "parse-names" : false, "suffix" : "" }, { "dropping-particle" : "", "family" : "Calcagni", "given" : "Magdalena S.", "non-dropping-particle" : "", "parse-names" : false, "suffix" : "" }, { "dropping-particle" : "", "family" : "Vega", "given" : "Alejandra S.", "non-dropping-particle" : "", "parse-names" : false, "suffix" : "" }, { "dropping-particle" : "", "family" : "Coquery", "given" : "Marina", "non-dropping-particle" : "", "parse-names" : false, "suffix" : "" }, { "dropping-particle" : "", "family" : "Moya", "given" : "Pablo M.", "non-dropping-particle" : "", "parse-names" : false, "suffix" : "" }, { "dropping-particle" : "", "family" : "Bonilla", "given" : "Carlos a.", "non-dropping-particle" : "", "parse-names" : false, "suffix" : "" }, { "dropping-particle" : "", "family" : "Past??n", "given" : "Pablo a.", "non-dropping-particle" : "", "parse-names" : false, "suffix" : "" } ], "container-title" : "Environmental Geochemistry and Health", "id" : "ITEM-1", "issued" : { "date-parts" : [ [ "2016" ] ] }, "page" : "1001-1014", "title" : "Active and legacy mining in an arid urban environment: challenges and perspectives for Copiap??, Northern Chile", "type" : "article-journal", "volume" : "38" }, "uris" : [ "http://www.mendeley.com/documents/?uuid=54fc0d7e-7d07-4100-b89b-b4e7c153c230" ] } ], "mendeley" : { "formattedCitation" : "(Carkovic et al., 2016)", "plainTextFormattedCitation" : "(Carkovic et al., 2016)", "previouslyFormattedCitation" : "(Carkovic et al., 2016)"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(Carkovic et al., 2016)</w:t>
      </w:r>
      <w:r w:rsidRPr="000E0F90">
        <w:rPr>
          <w:rFonts w:ascii="Arial" w:hAnsi="Arial" w:cs="Arial"/>
          <w:color w:val="000000" w:themeColor="text1"/>
        </w:rPr>
        <w:fldChar w:fldCharType="end"/>
      </w:r>
      <w:r w:rsidRPr="000E0F90">
        <w:rPr>
          <w:rFonts w:ascii="Arial" w:hAnsi="Arial" w:cs="Arial"/>
          <w:color w:val="000000" w:themeColor="text1"/>
        </w:rPr>
        <w:t xml:space="preserve">. </w:t>
      </w:r>
    </w:p>
    <w:p w:rsidR="00E200A3" w:rsidRPr="000E0F90" w:rsidRDefault="00E200A3" w:rsidP="00702D9A">
      <w:pPr>
        <w:pStyle w:val="Ttulo3"/>
        <w:spacing w:before="360" w:after="0" w:line="360" w:lineRule="auto"/>
        <w:rPr>
          <w:rFonts w:ascii="Arial" w:hAnsi="Arial" w:cs="Arial"/>
        </w:rPr>
      </w:pPr>
      <w:r w:rsidRPr="000E0F90">
        <w:rPr>
          <w:rFonts w:ascii="Arial" w:hAnsi="Arial" w:cs="Arial"/>
        </w:rPr>
        <w:t>4. Mantención de Recursos y Eficiencia</w:t>
      </w:r>
    </w:p>
    <w:p w:rsidR="0071298A" w:rsidRPr="000E0F90" w:rsidRDefault="009F167E" w:rsidP="00702D9A">
      <w:pPr>
        <w:spacing w:line="360" w:lineRule="auto"/>
        <w:rPr>
          <w:rFonts w:ascii="Arial" w:hAnsi="Arial" w:cs="Arial"/>
          <w:color w:val="000000" w:themeColor="text1"/>
        </w:rPr>
      </w:pPr>
      <w:r w:rsidRPr="000E0F90">
        <w:rPr>
          <w:rFonts w:ascii="Arial" w:hAnsi="Arial" w:cs="Arial"/>
          <w:color w:val="000000" w:themeColor="text1"/>
        </w:rPr>
        <w:t xml:space="preserve">En relación a </w:t>
      </w:r>
      <w:r w:rsidR="00BA5A09" w:rsidRPr="000E0F90">
        <w:rPr>
          <w:rFonts w:ascii="Arial" w:hAnsi="Arial" w:cs="Arial"/>
          <w:color w:val="000000" w:themeColor="text1"/>
        </w:rPr>
        <w:t xml:space="preserve">la </w:t>
      </w:r>
      <w:r w:rsidR="0071298A" w:rsidRPr="000E0F90">
        <w:rPr>
          <w:rFonts w:ascii="Arial" w:hAnsi="Arial" w:cs="Arial"/>
          <w:color w:val="000000" w:themeColor="text1"/>
        </w:rPr>
        <w:t>mantención de recursos y eficiencia, las principales brechas evidenciadas por los actores sociales corresponden a la utilización de recursos dentro de los límites naturales; hacer uso de las características regionales; reducir la generación de desechos de actividades extractivas; reducir la contaminación medioambiental. Por otra parte, se identifican situaciones que parcialmente contribuyen a la sostenibilidad como el uso</w:t>
      </w:r>
      <w:r w:rsidR="003A71DA">
        <w:rPr>
          <w:rFonts w:ascii="Arial" w:hAnsi="Arial" w:cs="Arial"/>
          <w:color w:val="000000" w:themeColor="text1"/>
        </w:rPr>
        <w:t xml:space="preserve"> eficiente de recursos.</w:t>
      </w:r>
    </w:p>
    <w:p w:rsidR="00703ADA" w:rsidRPr="000E0F90" w:rsidRDefault="0071298A" w:rsidP="00702D9A">
      <w:pPr>
        <w:spacing w:line="360" w:lineRule="auto"/>
        <w:rPr>
          <w:rFonts w:ascii="Arial" w:hAnsi="Arial" w:cs="Arial"/>
          <w:color w:val="000000" w:themeColor="text1"/>
        </w:rPr>
      </w:pPr>
      <w:r w:rsidRPr="000E0F90">
        <w:rPr>
          <w:rFonts w:ascii="Arial" w:hAnsi="Arial" w:cs="Arial"/>
          <w:color w:val="000000" w:themeColor="text1"/>
        </w:rPr>
        <w:t xml:space="preserve">Respecto a </w:t>
      </w:r>
      <w:r w:rsidR="004D3E12" w:rsidRPr="000E0F90">
        <w:rPr>
          <w:rFonts w:ascii="Arial" w:hAnsi="Arial" w:cs="Arial"/>
          <w:color w:val="000000" w:themeColor="text1"/>
        </w:rPr>
        <w:t>la disponibilidad de los recursos naturales</w:t>
      </w:r>
      <w:r w:rsidR="008831F2">
        <w:rPr>
          <w:rFonts w:ascii="Arial" w:hAnsi="Arial" w:cs="Arial"/>
          <w:color w:val="000000" w:themeColor="text1"/>
        </w:rPr>
        <w:t xml:space="preserve"> en la totalidad de los territorios</w:t>
      </w:r>
      <w:r w:rsidR="004D3E12" w:rsidRPr="000E0F90">
        <w:rPr>
          <w:rFonts w:ascii="Arial" w:hAnsi="Arial" w:cs="Arial"/>
          <w:color w:val="000000" w:themeColor="text1"/>
        </w:rPr>
        <w:t xml:space="preserve">, </w:t>
      </w:r>
      <w:r w:rsidR="00DB3E2A" w:rsidRPr="000E0F90">
        <w:rPr>
          <w:rFonts w:ascii="Arial" w:hAnsi="Arial" w:cs="Arial"/>
          <w:color w:val="000000" w:themeColor="text1"/>
        </w:rPr>
        <w:t>s</w:t>
      </w:r>
      <w:r w:rsidR="0028602B" w:rsidRPr="000E0F90">
        <w:rPr>
          <w:rFonts w:ascii="Arial" w:hAnsi="Arial" w:cs="Arial"/>
          <w:color w:val="000000" w:themeColor="text1"/>
        </w:rPr>
        <w:t>e</w:t>
      </w:r>
      <w:r w:rsidR="00E300BE" w:rsidRPr="000E0F90">
        <w:rPr>
          <w:rFonts w:ascii="Arial" w:hAnsi="Arial" w:cs="Arial"/>
          <w:color w:val="000000" w:themeColor="text1"/>
        </w:rPr>
        <w:t xml:space="preserve"> </w:t>
      </w:r>
      <w:r w:rsidR="009A16F9" w:rsidRPr="000E0F90">
        <w:rPr>
          <w:rFonts w:ascii="Arial" w:hAnsi="Arial" w:cs="Arial"/>
          <w:color w:val="000000" w:themeColor="text1"/>
        </w:rPr>
        <w:t>señala la</w:t>
      </w:r>
      <w:r w:rsidR="00DB3E2A" w:rsidRPr="000E0F90">
        <w:rPr>
          <w:rFonts w:ascii="Arial" w:hAnsi="Arial" w:cs="Arial"/>
          <w:color w:val="000000" w:themeColor="text1"/>
        </w:rPr>
        <w:t xml:space="preserve"> </w:t>
      </w:r>
      <w:r w:rsidR="00E300BE" w:rsidRPr="000E0F90">
        <w:rPr>
          <w:rFonts w:ascii="Arial" w:hAnsi="Arial" w:cs="Arial"/>
          <w:color w:val="000000" w:themeColor="text1"/>
        </w:rPr>
        <w:t xml:space="preserve">reducción progresiva </w:t>
      </w:r>
      <w:r w:rsidR="00E300BE" w:rsidRPr="00CC27F6">
        <w:rPr>
          <w:rFonts w:ascii="Arial" w:hAnsi="Arial" w:cs="Arial"/>
          <w:color w:val="000000" w:themeColor="text1"/>
        </w:rPr>
        <w:t xml:space="preserve">del recurso </w:t>
      </w:r>
      <w:r w:rsidR="00E300BE" w:rsidRPr="000E0F90">
        <w:rPr>
          <w:rFonts w:ascii="Arial" w:hAnsi="Arial" w:cs="Arial"/>
          <w:color w:val="000000" w:themeColor="text1"/>
        </w:rPr>
        <w:t xml:space="preserve">hídrico, </w:t>
      </w:r>
      <w:r w:rsidR="00CC27F6">
        <w:rPr>
          <w:rFonts w:ascii="Arial" w:hAnsi="Arial" w:cs="Arial"/>
          <w:color w:val="000000" w:themeColor="text1"/>
        </w:rPr>
        <w:t xml:space="preserve">a causa </w:t>
      </w:r>
      <w:r w:rsidR="00441CF5" w:rsidRPr="000E0F90">
        <w:rPr>
          <w:rFonts w:ascii="Arial" w:hAnsi="Arial" w:cs="Arial"/>
          <w:color w:val="000000" w:themeColor="text1"/>
        </w:rPr>
        <w:t>de</w:t>
      </w:r>
      <w:r w:rsidR="00CC27F6">
        <w:rPr>
          <w:rFonts w:ascii="Arial" w:hAnsi="Arial" w:cs="Arial"/>
          <w:color w:val="000000" w:themeColor="text1"/>
        </w:rPr>
        <w:t>l aumento de las demandas de</w:t>
      </w:r>
      <w:r w:rsidR="00441CF5" w:rsidRPr="000E0F90">
        <w:rPr>
          <w:rFonts w:ascii="Arial" w:hAnsi="Arial" w:cs="Arial"/>
          <w:color w:val="000000" w:themeColor="text1"/>
        </w:rPr>
        <w:t xml:space="preserve"> las operaciones mineras</w:t>
      </w:r>
      <w:r w:rsidR="00E300BE" w:rsidRPr="000E0F90">
        <w:rPr>
          <w:rFonts w:ascii="Arial" w:hAnsi="Arial" w:cs="Arial"/>
          <w:color w:val="000000" w:themeColor="text1"/>
        </w:rPr>
        <w:t>.</w:t>
      </w:r>
      <w:r w:rsidR="0028602B" w:rsidRPr="000E0F90">
        <w:rPr>
          <w:rFonts w:ascii="Arial" w:hAnsi="Arial" w:cs="Arial"/>
          <w:color w:val="000000" w:themeColor="text1"/>
        </w:rPr>
        <w:t xml:space="preserve"> Lo que estaría ocasionando la dificultad de desarrollar la agricultura y la </w:t>
      </w:r>
      <w:r w:rsidR="00EB25B0" w:rsidRPr="000E0F90">
        <w:rPr>
          <w:rFonts w:ascii="Arial" w:hAnsi="Arial" w:cs="Arial"/>
          <w:color w:val="000000" w:themeColor="text1"/>
        </w:rPr>
        <w:t>ganadería</w:t>
      </w:r>
      <w:r w:rsidR="0028602B" w:rsidRPr="000E0F90">
        <w:rPr>
          <w:rFonts w:ascii="Arial" w:hAnsi="Arial" w:cs="Arial"/>
          <w:color w:val="000000" w:themeColor="text1"/>
        </w:rPr>
        <w:t xml:space="preserve"> de trashumancia</w:t>
      </w:r>
      <w:r w:rsidR="00B97771" w:rsidRPr="000E0F90">
        <w:rPr>
          <w:rFonts w:ascii="Arial" w:hAnsi="Arial" w:cs="Arial"/>
          <w:color w:val="000000" w:themeColor="text1"/>
        </w:rPr>
        <w:t>, así como impactando en los ecosistemas locales</w:t>
      </w:r>
      <w:r w:rsidR="0028602B" w:rsidRPr="000E0F90">
        <w:rPr>
          <w:rFonts w:ascii="Arial" w:hAnsi="Arial" w:cs="Arial"/>
          <w:color w:val="000000" w:themeColor="text1"/>
        </w:rPr>
        <w:t>. Impactos que se han reconocido como consecuencias de la minería nacional</w:t>
      </w:r>
      <w:r w:rsidR="008A4F9B" w:rsidRPr="000E0F90">
        <w:rPr>
          <w:rFonts w:ascii="Arial" w:hAnsi="Arial" w:cs="Arial"/>
          <w:color w:val="000000" w:themeColor="text1"/>
        </w:rPr>
        <w:t xml:space="preserve"> en diversos estudios</w:t>
      </w:r>
      <w:r w:rsidR="0028602B" w:rsidRPr="000E0F90">
        <w:rPr>
          <w:rFonts w:ascii="Arial" w:hAnsi="Arial" w:cs="Arial"/>
          <w:color w:val="000000" w:themeColor="text1"/>
        </w:rPr>
        <w:t xml:space="preserve"> </w:t>
      </w:r>
      <w:r w:rsidR="0028602B" w:rsidRPr="000E0F90">
        <w:rPr>
          <w:rFonts w:ascii="Arial" w:hAnsi="Arial" w:cs="Arial"/>
          <w:color w:val="000000" w:themeColor="text1"/>
          <w:lang w:eastAsia="es-CL"/>
        </w:rPr>
        <w:fldChar w:fldCharType="begin" w:fldLock="1"/>
      </w:r>
      <w:r w:rsidR="0028602B" w:rsidRPr="000E0F90">
        <w:rPr>
          <w:rFonts w:ascii="Arial" w:hAnsi="Arial" w:cs="Arial"/>
          <w:color w:val="000000" w:themeColor="text1"/>
          <w:lang w:eastAsia="es-CL"/>
        </w:rPr>
        <w:instrText>ADDIN CSL_CITATION { "citationItems" : [ { "id" : "ITEM-1", "itemData" : { "DOI" : "10.1080/17480930.2015.1128799", "ISSN" : "1748-0930", "abstract" : "Chile is the principal producer of copper with a total of 5.8\u00a0million tonnes fine copper production in 2013. Chilean mining industry currently faces a projected increase in waste production, depleting water resources in the arid mining regions of the north and a lack of fossil fuel energy sources. In this study, a review of the historical background of environmental practices in Chile is presented, focused between 1970 and 2010. A review of the current state of sustainable development, comprising energy, water, stakeholder participation, environmental impacts and institutional decentralisation in the mining industry is presented.", "author" : [ { "dropping-particle" : "", "family" : "Ghorbani", "given" : "Yousef", "non-dropping-particle" : "", "parse-names" : false, "suffix" : "" }, { "dropping-particle" : "", "family" : "Kuan", "given" : "Seng How", "non-dropping-particle" : "", "parse-names" : false, "suffix" : "" } ], "container-title" : "International Journal of Mining, Reclamation and Environment", "id" : "ITEM-1", "issue" : "February", "issued" : { "date-parts" : [ [ "2016" ] ] }, "note" : "NULL", "page" : "1-29", "publisher" : "Taylor &amp; Francis", "title" : "A review of sustainable development in the Chilean mining sector: past, present and future", "type" : "article-journal", "volume" : "0930" }, "uris" : [ "http://www.mendeley.com/documents/?uuid=ba6630bb-3cdb-4443-b119-f6b6f68bafa7" ] } ], "mendeley" : { "formattedCitation" : "(Ghorbani &amp; Kuan, 2016)", "plainTextFormattedCitation" : "(Ghorbani &amp; Kuan, 2016)", "previouslyFormattedCitation" : "(Ghorbani &amp; Kuan, 2016)" }, "properties" : { "noteIndex" : 0 }, "schema" : "https://github.com/citation-style-language/schema/raw/master/csl-citation.json" }</w:instrText>
      </w:r>
      <w:r w:rsidR="0028602B" w:rsidRPr="000E0F90">
        <w:rPr>
          <w:rFonts w:ascii="Arial" w:hAnsi="Arial" w:cs="Arial"/>
          <w:color w:val="000000" w:themeColor="text1"/>
          <w:lang w:eastAsia="es-CL"/>
        </w:rPr>
        <w:fldChar w:fldCharType="separate"/>
      </w:r>
      <w:r w:rsidR="0028602B" w:rsidRPr="000E0F90">
        <w:rPr>
          <w:rFonts w:ascii="Arial" w:hAnsi="Arial" w:cs="Arial"/>
          <w:noProof/>
          <w:color w:val="000000" w:themeColor="text1"/>
          <w:lang w:eastAsia="es-CL"/>
        </w:rPr>
        <w:t>(Ghorbani &amp; Kuan, 2016)</w:t>
      </w:r>
      <w:r w:rsidR="0028602B" w:rsidRPr="000E0F90">
        <w:rPr>
          <w:rFonts w:ascii="Arial" w:hAnsi="Arial" w:cs="Arial"/>
          <w:color w:val="000000" w:themeColor="text1"/>
          <w:lang w:eastAsia="es-CL"/>
        </w:rPr>
        <w:fldChar w:fldCharType="end"/>
      </w:r>
      <w:r w:rsidR="0028602B" w:rsidRPr="000E0F90">
        <w:rPr>
          <w:rFonts w:ascii="Arial" w:hAnsi="Arial" w:cs="Arial"/>
          <w:color w:val="000000" w:themeColor="text1"/>
          <w:lang w:eastAsia="es-CL"/>
        </w:rPr>
        <w:t xml:space="preserve"> </w:t>
      </w:r>
      <w:r w:rsidR="0028602B" w:rsidRPr="000E0F90">
        <w:rPr>
          <w:rFonts w:ascii="Arial" w:hAnsi="Arial" w:cs="Arial"/>
          <w:color w:val="000000" w:themeColor="text1"/>
          <w:lang w:eastAsia="es-CL"/>
        </w:rPr>
        <w:fldChar w:fldCharType="begin" w:fldLock="1"/>
      </w:r>
      <w:r w:rsidR="004D18D6" w:rsidRPr="000E0F90">
        <w:rPr>
          <w:rFonts w:ascii="Arial" w:hAnsi="Arial" w:cs="Arial"/>
          <w:color w:val="000000" w:themeColor="text1"/>
          <w:lang w:eastAsia="es-CL"/>
        </w:rPr>
        <w:instrText>ADDIN CSL_CITATION { "citationItems" : [ { "id" : "ITEM-1", "itemData" : { "author" : [ { "dropping-particle" : "", "family" : "Schildermans", "given" : "Peter", "non-dropping-particle" : "", "parse-names" : false, "suffix" : "" } ], "id" : "ITEM-1", "issued" : { "date-parts" : [ [ "2011" ] ] }, "note" : "NULL", "page" : "256", "title" : "The Chilean copper industry towards a more ecologically durable exploitation ?", "type" : "article-journal" }, "uris" : [ "http://www.mendeley.com/documents/?uuid=b25a2fcc-89a4-4984-9241-223ea94111a8" ] } ], "mendeley" : { "formattedCitation" : "(Schildermans, 2011)", "plainTextFormattedCitation" : "(Schildermans, 2011)", "previouslyFormattedCitation" : "(Schildermans, 2011)" }, "properties" : { "noteIndex" : 0 }, "schema" : "https://github.com/citation-style-language/schema/raw/master/csl-citation.json" }</w:instrText>
      </w:r>
      <w:r w:rsidR="0028602B" w:rsidRPr="000E0F90">
        <w:rPr>
          <w:rFonts w:ascii="Arial" w:hAnsi="Arial" w:cs="Arial"/>
          <w:color w:val="000000" w:themeColor="text1"/>
          <w:lang w:eastAsia="es-CL"/>
        </w:rPr>
        <w:fldChar w:fldCharType="separate"/>
      </w:r>
      <w:r w:rsidR="004D18D6" w:rsidRPr="000E0F90">
        <w:rPr>
          <w:rFonts w:ascii="Arial" w:hAnsi="Arial" w:cs="Arial"/>
          <w:noProof/>
          <w:color w:val="000000" w:themeColor="text1"/>
          <w:lang w:eastAsia="es-CL"/>
        </w:rPr>
        <w:t>(Schildermans, 2011)</w:t>
      </w:r>
      <w:r w:rsidR="0028602B" w:rsidRPr="000E0F90">
        <w:rPr>
          <w:rFonts w:ascii="Arial" w:hAnsi="Arial" w:cs="Arial"/>
          <w:color w:val="000000" w:themeColor="text1"/>
          <w:lang w:eastAsia="es-CL"/>
        </w:rPr>
        <w:fldChar w:fldCharType="end"/>
      </w:r>
      <w:r w:rsidR="00717317" w:rsidRPr="000E0F90">
        <w:rPr>
          <w:rFonts w:ascii="Arial" w:hAnsi="Arial" w:cs="Arial"/>
          <w:color w:val="000000" w:themeColor="text1"/>
          <w:lang w:eastAsia="es-CL"/>
        </w:rPr>
        <w:t xml:space="preserve"> </w:t>
      </w:r>
      <w:r w:rsidR="00717317" w:rsidRPr="000E0F90">
        <w:rPr>
          <w:rFonts w:ascii="Arial" w:hAnsi="Arial" w:cs="Arial"/>
          <w:color w:val="000000" w:themeColor="text1"/>
          <w:lang w:eastAsia="es-CL"/>
        </w:rPr>
        <w:fldChar w:fldCharType="begin" w:fldLock="1"/>
      </w:r>
      <w:r w:rsidR="00B97771" w:rsidRPr="000E0F90">
        <w:rPr>
          <w:rFonts w:ascii="Arial" w:hAnsi="Arial" w:cs="Arial"/>
          <w:color w:val="000000" w:themeColor="text1"/>
          <w:lang w:eastAsia="es-CL"/>
        </w:rPr>
        <w:instrText>ADDIN CSL_CITATION { "citationItems" : [ { "id" : "ITEM-1", "itemData" : { "author" : [ { "dropping-particle" : "", "family" : "Oyarz\u00fan", "given" : "J", "non-dropping-particle" : "", "parse-names" : false, "suffix" : "" }, { "dropping-particle" : "", "family" : "Oyarz\u00fan", "given" : "R", "non-dropping-particle" : "", "parse-names" : false, "suffix" : "" } ], "container-title" : "Sustainable Development", "id" : "ITEM-1", "issue" : "December 2009", "issued" : { "date-parts" : [ [ "2011" ] ] }, "page" : "263-274", "title" : "Sustainable Development Threats, Inter-Sector Confl icts and Environmental Policy Requirements in the Arid, Mining Rich, Northern Chile Territory", "type" : "article-journal", "volume" : "19" }, "uris" : [ "http://www.mendeley.com/documents/?uuid=928eabd5-0755-4c69-a4cc-894aa1284178" ] } ], "mendeley" : { "formattedCitation" : "(Oyarz\u00fan &amp; Oyarz\u00fan, 2011)", "plainTextFormattedCitation" : "(Oyarz\u00fan &amp; Oyarz\u00fan, 2011)", "previouslyFormattedCitation" : "(Oyarz\u00fan &amp; Oyarz\u00fan, 2011)" }, "properties" : { "noteIndex" : 0 }, "schema" : "https://github.com/citation-style-language/schema/raw/master/csl-citation.json" }</w:instrText>
      </w:r>
      <w:r w:rsidR="00717317" w:rsidRPr="000E0F90">
        <w:rPr>
          <w:rFonts w:ascii="Arial" w:hAnsi="Arial" w:cs="Arial"/>
          <w:color w:val="000000" w:themeColor="text1"/>
          <w:lang w:eastAsia="es-CL"/>
        </w:rPr>
        <w:fldChar w:fldCharType="separate"/>
      </w:r>
      <w:r w:rsidR="00717317" w:rsidRPr="000E0F90">
        <w:rPr>
          <w:rFonts w:ascii="Arial" w:hAnsi="Arial" w:cs="Arial"/>
          <w:noProof/>
          <w:color w:val="000000" w:themeColor="text1"/>
          <w:lang w:eastAsia="es-CL"/>
        </w:rPr>
        <w:t>(Oyarzún &amp; Oyarzún, 2011)</w:t>
      </w:r>
      <w:r w:rsidR="00717317" w:rsidRPr="000E0F90">
        <w:rPr>
          <w:rFonts w:ascii="Arial" w:hAnsi="Arial" w:cs="Arial"/>
          <w:color w:val="000000" w:themeColor="text1"/>
          <w:lang w:eastAsia="es-CL"/>
        </w:rPr>
        <w:fldChar w:fldCharType="end"/>
      </w:r>
      <w:r w:rsidR="0028602B" w:rsidRPr="000E0F90">
        <w:rPr>
          <w:rFonts w:ascii="Arial" w:hAnsi="Arial" w:cs="Arial"/>
          <w:color w:val="000000" w:themeColor="text1"/>
          <w:lang w:eastAsia="es-CL"/>
        </w:rPr>
        <w:t xml:space="preserve">. </w:t>
      </w:r>
      <w:r w:rsidR="00703ADA" w:rsidRPr="000E0F90">
        <w:rPr>
          <w:rFonts w:ascii="Arial" w:hAnsi="Arial" w:cs="Arial"/>
          <w:color w:val="000000" w:themeColor="text1"/>
        </w:rPr>
        <w:t xml:space="preserve">Cabe señalar que dado que gran parte de los derechos de </w:t>
      </w:r>
      <w:r w:rsidR="00703ADA" w:rsidRPr="000E0F90">
        <w:rPr>
          <w:rFonts w:ascii="Arial" w:hAnsi="Arial" w:cs="Arial"/>
          <w:color w:val="000000" w:themeColor="text1"/>
        </w:rPr>
        <w:lastRenderedPageBreak/>
        <w:t xml:space="preserve">agua están en manos de las empresas mineras </w:t>
      </w:r>
      <w:r w:rsidR="00703ADA" w:rsidRPr="000E0F90">
        <w:rPr>
          <w:rFonts w:ascii="Arial" w:hAnsi="Arial" w:cs="Arial"/>
          <w:color w:val="000000" w:themeColor="text1"/>
        </w:rPr>
        <w:fldChar w:fldCharType="begin" w:fldLock="1"/>
      </w:r>
      <w:r w:rsidR="00703ADA" w:rsidRPr="000E0F90">
        <w:rPr>
          <w:rFonts w:ascii="Arial" w:hAnsi="Arial" w:cs="Arial"/>
          <w:color w:val="000000" w:themeColor="text1"/>
        </w:rPr>
        <w:instrText>ADDIN CSL_CITATION { "citationItems" : [ { "id" : "ITEM-1", "itemData" : { "DOI" : "10.1080/17480930.2015.1128799", "ISSN" : "1748-0930", "abstract" : "Chile is the principal producer of copper with a total of 5.8\u00a0million tonnes fine copper production in 2013. Chilean mining industry currently faces a projected increase in waste production, depleting water resources in the arid mining regions of the north and a lack of fossil fuel energy sources. In this study, a review of the historical background of environmental practices in Chile is presented, focused between 1970 and 2010. A review of the current state of sustainable development, comprising energy, water, stakeholder participation, environmental impacts and institutional decentralisation in the mining industry is presented.", "author" : [ { "dropping-particle" : "", "family" : "Ghorbani", "given" : "Yousef", "non-dropping-particle" : "", "parse-names" : false, "suffix" : "" }, { "dropping-particle" : "", "family" : "Kuan", "given" : "Seng How", "non-dropping-particle" : "", "parse-names" : false, "suffix" : "" } ], "container-title" : "International Journal of Mining, Reclamation and Environment", "id" : "ITEM-1", "issue" : "February", "issued" : { "date-parts" : [ [ "2016" ] ] }, "note" : "NULL", "page" : "1-29", "publisher" : "Taylor &amp; Francis", "title" : "A review of sustainable development in the Chilean mining sector: past, present and future", "type" : "article-journal", "volume" : "0930" }, "uris" : [ "http://www.mendeley.com/documents/?uuid=ba6630bb-3cdb-4443-b119-f6b6f68bafa7" ] } ], "mendeley" : { "formattedCitation" : "(Ghorbani &amp; Kuan, 2016)", "plainTextFormattedCitation" : "(Ghorbani &amp; Kuan, 2016)", "previouslyFormattedCitation" : "(Ghorbani &amp; Kuan, 2016)" }, "properties" : { "noteIndex" : 0 }, "schema" : "https://github.com/citation-style-language/schema/raw/master/csl-citation.json" }</w:instrText>
      </w:r>
      <w:r w:rsidR="00703ADA" w:rsidRPr="000E0F90">
        <w:rPr>
          <w:rFonts w:ascii="Arial" w:hAnsi="Arial" w:cs="Arial"/>
          <w:color w:val="000000" w:themeColor="text1"/>
        </w:rPr>
        <w:fldChar w:fldCharType="separate"/>
      </w:r>
      <w:r w:rsidR="00703ADA" w:rsidRPr="000E0F90">
        <w:rPr>
          <w:rFonts w:ascii="Arial" w:hAnsi="Arial" w:cs="Arial"/>
          <w:noProof/>
          <w:color w:val="000000" w:themeColor="text1"/>
        </w:rPr>
        <w:t>(Ghorbani &amp; Kuan, 2016)</w:t>
      </w:r>
      <w:r w:rsidR="00703ADA" w:rsidRPr="000E0F90">
        <w:rPr>
          <w:rFonts w:ascii="Arial" w:hAnsi="Arial" w:cs="Arial"/>
          <w:color w:val="000000" w:themeColor="text1"/>
        </w:rPr>
        <w:fldChar w:fldCharType="end"/>
      </w:r>
      <w:r w:rsidR="00703ADA" w:rsidRPr="000E0F90">
        <w:rPr>
          <w:rFonts w:ascii="Arial" w:hAnsi="Arial" w:cs="Arial"/>
          <w:color w:val="000000" w:themeColor="text1"/>
        </w:rPr>
        <w:t xml:space="preserve">, generalmente en una proporción mayor a lo que utilizan efectivamente, lo cual se percibe como restricciones al uso del recurso, por parte de los actores locales. </w:t>
      </w:r>
    </w:p>
    <w:p w:rsidR="005D5A11" w:rsidRPr="000E0F90" w:rsidRDefault="005D5A11" w:rsidP="00702D9A">
      <w:pPr>
        <w:spacing w:line="360" w:lineRule="auto"/>
        <w:rPr>
          <w:rFonts w:ascii="Arial" w:hAnsi="Arial" w:cs="Arial"/>
          <w:color w:val="000000" w:themeColor="text1"/>
        </w:rPr>
      </w:pPr>
      <w:r w:rsidRPr="00FA7E30">
        <w:rPr>
          <w:rFonts w:ascii="Arial" w:hAnsi="Arial" w:cs="Arial"/>
          <w:color w:val="000000" w:themeColor="text1"/>
        </w:rPr>
        <w:t>En las operaciones mineras, en tanto, se reconoce la implementación de estrategias de eficiencia hídrica</w:t>
      </w:r>
      <w:r w:rsidRPr="000E0F90">
        <w:rPr>
          <w:rFonts w:ascii="Arial" w:hAnsi="Arial" w:cs="Arial"/>
          <w:color w:val="000000" w:themeColor="text1"/>
        </w:rPr>
        <w:t xml:space="preserve">. En relación a ello, la industria minera nacional ha implementado estrategias de reutilización de agua y desalinización de agua, como forma de aumentar la disponibilidad territorial del recurso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"10.1080/17480930.2015.1128799", "ISSN" : "1748-0930", "abstract" : "Chile is the principal producer of copper with a total of 5.8\u00a0million tonnes fine copper production in 2013. Chilean mining industry currently faces a projected increase in waste production, depleting water resources in the arid mining regions of the north and a lack of fossil fuel energy sources. In this study, a review of the historical background of environmental practices in Chile is presented, focused between 1970 and 2010. A review of the current state of sustainable development, comprising energy, water, stakeholder participation, environmental impacts and institutional decentralisation in the mining industry is presented.", "author" : [ { "dropping-particle" : "", "family" : "Ghorbani", "given" : "Yousef", "non-dropping-particle" : "", "parse-names" : false, "suffix" : "" }, { "dropping-particle" : "", "family" : "Kuan", "given" : "Seng How", "non-dropping-particle" : "", "parse-names" : false, "suffix" : "" } ], "container-title" : "International Journal of Mining, Reclamation and Environment", "id" : "ITEM-1", "issue" : "February", "issued" : { "date-parts" : [ [ "2016" ] ] }, "note" : "NULL", "page" : "1-29", "publisher" : "Taylor &amp; Francis", "title" : "A review of sustainable development in the Chilean mining sector: past, present and future", "type" : "article-journal", "volume" : "0930" }, "uris" : [ "http://www.mendeley.com/documents/?uuid=ba6630bb-3cdb-4443-b119-f6b6f68bafa7" ] } ], "mendeley" : { "formattedCitation" : "(Ghorbani &amp; Kuan, 2016)", "plainTextFormattedCitation" : "(Ghorbani &amp; Kuan, 2016)", "previouslyFormattedCitation" : "(Ghorbani &amp; Kuan, 2016)"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(Ghorbani &amp; Kuan, 2016)</w:t>
      </w:r>
      <w:r w:rsidRPr="000E0F90">
        <w:rPr>
          <w:rFonts w:ascii="Arial" w:hAnsi="Arial" w:cs="Arial"/>
          <w:color w:val="000000" w:themeColor="text1"/>
        </w:rPr>
        <w:fldChar w:fldCharType="end"/>
      </w:r>
      <w:r w:rsidRPr="000E0F90">
        <w:rPr>
          <w:rFonts w:ascii="Arial" w:hAnsi="Arial" w:cs="Arial"/>
          <w:color w:val="000000" w:themeColor="text1"/>
        </w:rPr>
        <w:t xml:space="preserve">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"10.3390/su8020128", "ISSN" : "20711050", "abstract" : "\u00a9 2016 by the authors. Chile contains some of the driest areas in the world, yet human activities in these areas require large volumes of water, the result is regions experiencing high water scarcity leading to environmental degradation, conflicts and reduced industrial productivity. The aim of this paper was to quantify the water scarcity in the central and northern regions by calculating the water scarcity index-the ratio of annual water demand to availability. A focus of the paper was to determine the impact of the main industries in each region and investigate the benefit of implementing water reduction strategies within these industries. The water resources of each investigated region were found to be greatly overexploited and particularly so in the region of Antofagasta. The mining industry was found to be the greatest water consuming sector in this region and further analysis demonstrated that the degree of water scarcity could be greatly reduced by the implementation of water reduction strategies. The agricultural sector dominated water demand in all other regions and it was found that upgrading irrigation efficiency alongside reducing consumption in mining improved the situation in all regions. Nevertheless, given the scale of water scarcity, further investigation is necessary to obtain more recent and accurate data and analyze alternative strategies.", "author" : [ { "dropping-particle" : "", "family" : "Aitken", "given" : "Douglas", "non-dropping-particle" : "", "parse-names" : false, "suffix" : "" }, { "dropping-particle" : "", "family" : "Rivera", "given" : "Diego", "non-dropping-particle" : "", "parse-names" : false, "suffix" : "" }, { "dropping-particle" : "", "family" : "Godoy-Fa\u00fandez", "given" : "Alex", "non-dropping-particle" : "", "parse-names" : false, "suffix" : "" }, { "dropping-particle" : "", "family" : "Holzapfel", "given" : "Eduardo", "non-dropping-particle" : "", "parse-names" : false, "suffix" : "" } ], "container-title" : "Sustainability (Switzerland)", "id" : "ITEM-1", "issued" : { "date-parts" : [ [ "2016" ] ] }, "title" : "Water scarcity and the impact of the mining and agricultural sectors in Chile", "type" : "article-journal", "volume" : "8" }, "uris" : [ "http://www.mendeley.com/documents/?uuid=fe10f7bc-78c7-4bc3-ac08-542a99e5361e" ] } ], "mendeley" : { "formattedCitation" : "(Aitken et al., 2016)", "plainTextFormattedCitation" : "(Aitken et al., 2016)", "previouslyFormattedCitation" : "(Aitken et al., 2016)"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(Aitken et al., 2016)</w:t>
      </w:r>
      <w:r w:rsidRPr="000E0F90">
        <w:rPr>
          <w:rFonts w:ascii="Arial" w:hAnsi="Arial" w:cs="Arial"/>
          <w:color w:val="000000" w:themeColor="text1"/>
        </w:rPr>
        <w:fldChar w:fldCharType="end"/>
      </w:r>
      <w:r w:rsidRPr="000E0F90">
        <w:rPr>
          <w:rFonts w:ascii="Arial" w:hAnsi="Arial" w:cs="Arial"/>
          <w:color w:val="000000" w:themeColor="text1"/>
        </w:rPr>
        <w:t xml:space="preserve">. Sin embargo, existirían posibilidades de aumentar la eficiencia hídrica en las operaciones mineras nacionales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"10.3390/su8020128", "ISSN" : "20711050", "abstract" : "\u00a9 2016 by the authors. Chile contains some of the driest areas in the world, yet human activities in these areas require large volumes of water, the result is regions experiencing high water scarcity leading to environmental degradation, conflicts and reduced industrial productivity. The aim of this paper was to quantify the water scarcity in the central and northern regions by calculating the water scarcity index-the ratio of annual water demand to availability. A focus of the paper was to determine the impact of the main industries in each region and investigate the benefit of implementing water reduction strategies within these industries. The water resources of each investigated region were found to be greatly overexploited and particularly so in the region of Antofagasta. The mining industry was found to be the greatest water consuming sector in this region and further analysis demonstrated that the degree of water scarcity could be greatly reduced by the implementation of water reduction strategies. The agricultural sector dominated water demand in all other regions and it was found that upgrading irrigation efficiency alongside reducing consumption in mining improved the situation in all regions. Nevertheless, given the scale of water scarcity, further investigation is necessary to obtain more recent and accurate data and analyze alternative strategies.", "author" : [ { "dropping-particle" : "", "family" : "Aitken", "given" : "Douglas", "non-dropping-particle" : "", "parse-names" : false, "suffix" : "" }, { "dropping-particle" : "", "family" : "Rivera", "given" : "Diego", "non-dropping-particle" : "", "parse-names" : false, "suffix" : "" }, { "dropping-particle" : "", "family" : "Godoy-Fa\u00fandez", "given" : "Alex", "non-dropping-particle" : "", "parse-names" : false, "suffix" : "" }, { "dropping-particle" : "", "family" : "Holzapfel", "given" : "Eduardo", "non-dropping-particle" : "", "parse-names" : false, "suffix" : "" } ], "container-title" : "Sustainability (Switzerland)", "id" : "ITEM-1", "issued" : { "date-parts" : [ [ "2016" ] ] }, "title" : "Water scarcity and the impact of the mining and agricultural sectors in Chile", "type" : "article-journal", "volume" : "8" }, "uris" : [ "http://www.mendeley.com/documents/?uuid=fe10f7bc-78c7-4bc3-ac08-542a99e5361e" ] } ], "mendeley" : { "formattedCitation" : "(Aitken et al., 2016)", "plainTextFormattedCitation" : "(Aitken et al., 2016)", "previouslyFormattedCitation" : "(Aitken et al., 2016)"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(Aitken et al., 2016)</w:t>
      </w:r>
      <w:r w:rsidRPr="000E0F90">
        <w:rPr>
          <w:rFonts w:ascii="Arial" w:hAnsi="Arial" w:cs="Arial"/>
          <w:color w:val="000000" w:themeColor="text1"/>
        </w:rPr>
        <w:fldChar w:fldCharType="end"/>
      </w:r>
      <w:r w:rsidRPr="000E0F90">
        <w:rPr>
          <w:rFonts w:ascii="Arial" w:hAnsi="Arial" w:cs="Arial"/>
          <w:color w:val="000000" w:themeColor="text1"/>
        </w:rPr>
        <w:t xml:space="preserve">. </w:t>
      </w:r>
    </w:p>
    <w:p w:rsidR="00541964" w:rsidRPr="000E0F90" w:rsidRDefault="005D5A11" w:rsidP="00702D9A">
      <w:pPr>
        <w:spacing w:line="360" w:lineRule="auto"/>
        <w:rPr>
          <w:rFonts w:ascii="Arial" w:hAnsi="Arial" w:cs="Arial"/>
          <w:color w:val="000000" w:themeColor="text1"/>
        </w:rPr>
      </w:pPr>
      <w:r w:rsidRPr="000E0F90">
        <w:rPr>
          <w:rFonts w:ascii="Arial" w:hAnsi="Arial" w:cs="Arial"/>
          <w:color w:val="000000" w:themeColor="text1"/>
        </w:rPr>
        <w:t>En el sector agrícola, r</w:t>
      </w:r>
      <w:r w:rsidR="009A16F9" w:rsidRPr="000E0F90">
        <w:rPr>
          <w:rFonts w:ascii="Arial" w:hAnsi="Arial" w:cs="Arial"/>
          <w:color w:val="000000" w:themeColor="text1"/>
        </w:rPr>
        <w:t xml:space="preserve">especto a la </w:t>
      </w:r>
      <w:r w:rsidRPr="000E0F90">
        <w:rPr>
          <w:rFonts w:ascii="Arial" w:hAnsi="Arial" w:cs="Arial"/>
          <w:color w:val="000000" w:themeColor="text1"/>
        </w:rPr>
        <w:t xml:space="preserve">implementación de tecnologías de eficiencia hídrica, </w:t>
      </w:r>
      <w:r w:rsidR="00DB3E2A" w:rsidRPr="000E0F90">
        <w:rPr>
          <w:rFonts w:ascii="Arial" w:hAnsi="Arial" w:cs="Arial"/>
          <w:color w:val="000000" w:themeColor="text1"/>
        </w:rPr>
        <w:t>se señala una</w:t>
      </w:r>
      <w:r w:rsidR="002A2E5B" w:rsidRPr="000E0F90">
        <w:rPr>
          <w:rFonts w:ascii="Arial" w:hAnsi="Arial" w:cs="Arial"/>
          <w:color w:val="000000" w:themeColor="text1"/>
        </w:rPr>
        <w:t xml:space="preserve"> </w:t>
      </w:r>
      <w:r w:rsidRPr="000E0F90">
        <w:rPr>
          <w:rFonts w:ascii="Arial" w:hAnsi="Arial" w:cs="Arial"/>
          <w:color w:val="000000" w:themeColor="text1"/>
        </w:rPr>
        <w:t>limitada</w:t>
      </w:r>
      <w:r w:rsidR="002A2E5B" w:rsidRPr="000E0F90">
        <w:rPr>
          <w:rFonts w:ascii="Arial" w:hAnsi="Arial" w:cs="Arial"/>
          <w:color w:val="000000" w:themeColor="text1"/>
        </w:rPr>
        <w:t xml:space="preserve"> implementación.</w:t>
      </w:r>
      <w:r w:rsidR="00DB3E2A" w:rsidRPr="000E0F90">
        <w:rPr>
          <w:rFonts w:ascii="Arial" w:hAnsi="Arial" w:cs="Arial"/>
          <w:color w:val="000000" w:themeColor="text1"/>
        </w:rPr>
        <w:t xml:space="preserve"> </w:t>
      </w:r>
      <w:r w:rsidR="00441CF5" w:rsidRPr="000E0F90">
        <w:rPr>
          <w:rFonts w:ascii="Arial" w:hAnsi="Arial" w:cs="Arial"/>
          <w:color w:val="000000" w:themeColor="text1"/>
        </w:rPr>
        <w:t>Lo cual se condice con la información oficial para el sector agrícola, donde si bien ha implementado tecnologías de eficiencia, aún no se incorporan en la totalidad de la</w:t>
      </w:r>
      <w:r w:rsidR="008831F2">
        <w:rPr>
          <w:rFonts w:ascii="Arial" w:hAnsi="Arial" w:cs="Arial"/>
          <w:color w:val="000000" w:themeColor="text1"/>
        </w:rPr>
        <w:t>s</w:t>
      </w:r>
      <w:r w:rsidR="00441CF5" w:rsidRPr="000E0F90">
        <w:rPr>
          <w:rFonts w:ascii="Arial" w:hAnsi="Arial" w:cs="Arial"/>
          <w:color w:val="000000" w:themeColor="text1"/>
        </w:rPr>
        <w:t xml:space="preserve"> regi</w:t>
      </w:r>
      <w:r w:rsidR="008831F2">
        <w:rPr>
          <w:rFonts w:ascii="Arial" w:hAnsi="Arial" w:cs="Arial"/>
          <w:color w:val="000000" w:themeColor="text1"/>
        </w:rPr>
        <w:t>ones bajo estudio</w:t>
      </w:r>
      <w:r w:rsidR="00441CF5" w:rsidRPr="000E0F90">
        <w:rPr>
          <w:rFonts w:ascii="Arial" w:hAnsi="Arial" w:cs="Arial"/>
          <w:color w:val="000000" w:themeColor="text1"/>
        </w:rPr>
        <w:t xml:space="preserve"> </w:t>
      </w:r>
      <w:sdt>
        <w:sdtPr>
          <w:rPr>
            <w:rFonts w:ascii="Arial" w:hAnsi="Arial" w:cs="Arial"/>
            <w:color w:val="000000" w:themeColor="text1"/>
          </w:rPr>
          <w:id w:val="-1919248271"/>
          <w:citation/>
        </w:sdtPr>
        <w:sdtEndPr/>
        <w:sdtContent>
          <w:r w:rsidR="00441CF5" w:rsidRPr="000E0F90">
            <w:rPr>
              <w:rFonts w:ascii="Arial" w:hAnsi="Arial" w:cs="Arial"/>
              <w:color w:val="000000" w:themeColor="text1"/>
            </w:rPr>
            <w:fldChar w:fldCharType="begin"/>
          </w:r>
          <w:r w:rsidR="00441CF5" w:rsidRPr="000E0F90">
            <w:rPr>
              <w:rFonts w:ascii="Arial" w:hAnsi="Arial" w:cs="Arial"/>
              <w:color w:val="000000" w:themeColor="text1"/>
            </w:rPr>
            <w:instrText xml:space="preserve"> CITATION ODE14 \l 13322 </w:instrText>
          </w:r>
          <w:r w:rsidR="00441CF5" w:rsidRPr="000E0F90">
            <w:rPr>
              <w:rFonts w:ascii="Arial" w:hAnsi="Arial" w:cs="Arial"/>
              <w:color w:val="000000" w:themeColor="text1"/>
            </w:rPr>
            <w:fldChar w:fldCharType="separate"/>
          </w:r>
          <w:r w:rsidR="008D0261" w:rsidRPr="000E0F90">
            <w:rPr>
              <w:rFonts w:ascii="Arial" w:hAnsi="Arial" w:cs="Arial"/>
              <w:noProof/>
              <w:color w:val="000000" w:themeColor="text1"/>
            </w:rPr>
            <w:t>(ODEPA &amp; INE, 2014)</w:t>
          </w:r>
          <w:r w:rsidR="00441CF5" w:rsidRPr="000E0F90">
            <w:rPr>
              <w:rFonts w:ascii="Arial" w:hAnsi="Arial" w:cs="Arial"/>
              <w:color w:val="000000" w:themeColor="text1"/>
            </w:rPr>
            <w:fldChar w:fldCharType="end"/>
          </w:r>
        </w:sdtContent>
      </w:sdt>
      <w:r w:rsidR="00441CF5" w:rsidRPr="000E0F90">
        <w:rPr>
          <w:rFonts w:ascii="Arial" w:hAnsi="Arial" w:cs="Arial"/>
          <w:color w:val="000000" w:themeColor="text1"/>
        </w:rPr>
        <w:t xml:space="preserve">. </w:t>
      </w:r>
      <w:r w:rsidR="00021EBF" w:rsidRPr="000E0F90">
        <w:rPr>
          <w:rFonts w:ascii="Arial" w:hAnsi="Arial" w:cs="Arial"/>
          <w:color w:val="000000" w:themeColor="text1"/>
        </w:rPr>
        <w:t>Esto es de gran relevancia, considerando la demanda hídrica</w:t>
      </w:r>
      <w:r w:rsidR="00541964" w:rsidRPr="000E0F90">
        <w:rPr>
          <w:rFonts w:ascii="Arial" w:hAnsi="Arial" w:cs="Arial"/>
          <w:color w:val="000000" w:themeColor="text1"/>
        </w:rPr>
        <w:t xml:space="preserve"> que realiza el sector en las regiones III y IV, correspondiente al 74% y 83% de la demanda total, respectivamente, existiendo grandes posibilidades de reducir el estrés hídrico por esta vía </w:t>
      </w:r>
      <w:r w:rsidR="00541964" w:rsidRPr="000E0F90">
        <w:rPr>
          <w:rFonts w:ascii="Arial" w:hAnsi="Arial" w:cs="Arial"/>
          <w:color w:val="000000" w:themeColor="text1"/>
        </w:rPr>
        <w:fldChar w:fldCharType="begin" w:fldLock="1"/>
      </w:r>
      <w:r w:rsidR="00541964" w:rsidRPr="000E0F90">
        <w:rPr>
          <w:rFonts w:ascii="Arial" w:hAnsi="Arial" w:cs="Arial"/>
          <w:color w:val="000000" w:themeColor="text1"/>
        </w:rPr>
        <w:instrText>ADDIN CSL_CITATION { "citationItems" : [ { "id" : "ITEM-1", "itemData" : { "DOI" : "10.3390/su8020128", "ISSN" : "20711050", "abstract" : "\u00a9 2016 by the authors. Chile contains some of the driest areas in the world, yet human activities in these areas require large volumes of water, the result is regions experiencing high water scarcity leading to environmental degradation, conflicts and reduced industrial productivity. The aim of this paper was to quantify the water scarcity in the central and northern regions by calculating the water scarcity index-the ratio of annual water demand to availability. A focus of the paper was to determine the impact of the main industries in each region and investigate the benefit of implementing water reduction strategies within these industries. The water resources of each investigated region were found to be greatly overexploited and particularly so in the region of Antofagasta. The mining industry was found to be the greatest water consuming sector in this region and further analysis demonstrated that the degree of water scarcity could be greatly reduced by the implementation of water reduction strategies. The agricultural sector dominated water demand in all other regions and it was found that upgrading irrigation efficiency alongside reducing consumption in mining improved the situation in all regions. Nevertheless, given the scale of water scarcity, further investigation is necessary to obtain more recent and accurate data and analyze alternative strategies.", "author" : [ { "dropping-particle" : "", "family" : "Aitken", "given" : "Douglas", "non-dropping-particle" : "", "parse-names" : false, "suffix" : "" }, { "dropping-particle" : "", "family" : "Rivera", "given" : "Diego", "non-dropping-particle" : "", "parse-names" : false, "suffix" : "" }, { "dropping-particle" : "", "family" : "Godoy-Fa\u00fandez", "given" : "Alex", "non-dropping-particle" : "", "parse-names" : false, "suffix" : "" }, { "dropping-particle" : "", "family" : "Holzapfel", "given" : "Eduardo", "non-dropping-particle" : "", "parse-names" : false, "suffix" : "" } ], "container-title" : "Sustainability (Switzerland)", "id" : "ITEM-1", "issued" : { "date-parts" : [ [ "2016" ] ] }, "title" : "Water scarcity and the impact of the mining and agricultural sectors in Chile", "type" : "article-journal", "volume" : "8" }, "uris" : [ "http://www.mendeley.com/documents/?uuid=fe10f7bc-78c7-4bc3-ac08-542a99e5361e" ] } ], "mendeley" : { "formattedCitation" : "(Aitken et al., 2016)", "plainTextFormattedCitation" : "(Aitken et al., 2016)", "previouslyFormattedCitation" : "(Aitken et al., 2016)" }, "properties" : { "noteIndex" : 0 }, "schema" : "https://github.com/citation-style-language/schema/raw/master/csl-citation.json" }</w:instrText>
      </w:r>
      <w:r w:rsidR="00541964" w:rsidRPr="000E0F90">
        <w:rPr>
          <w:rFonts w:ascii="Arial" w:hAnsi="Arial" w:cs="Arial"/>
          <w:color w:val="000000" w:themeColor="text1"/>
        </w:rPr>
        <w:fldChar w:fldCharType="separate"/>
      </w:r>
      <w:r w:rsidR="00541964" w:rsidRPr="000E0F90">
        <w:rPr>
          <w:rFonts w:ascii="Arial" w:hAnsi="Arial" w:cs="Arial"/>
          <w:noProof/>
          <w:color w:val="000000" w:themeColor="text1"/>
        </w:rPr>
        <w:t>(Aitken et al., 2016)</w:t>
      </w:r>
      <w:r w:rsidR="00541964" w:rsidRPr="000E0F90">
        <w:rPr>
          <w:rFonts w:ascii="Arial" w:hAnsi="Arial" w:cs="Arial"/>
          <w:color w:val="000000" w:themeColor="text1"/>
        </w:rPr>
        <w:fldChar w:fldCharType="end"/>
      </w:r>
      <w:r w:rsidR="00541964" w:rsidRPr="000E0F90">
        <w:rPr>
          <w:rFonts w:ascii="Arial" w:hAnsi="Arial" w:cs="Arial"/>
          <w:color w:val="000000" w:themeColor="text1"/>
        </w:rPr>
        <w:t xml:space="preserve">. </w:t>
      </w:r>
    </w:p>
    <w:p w:rsidR="00774970" w:rsidRPr="00FA7E30" w:rsidRDefault="002A2E5B" w:rsidP="00702D9A">
      <w:pPr>
        <w:spacing w:line="360" w:lineRule="auto"/>
        <w:rPr>
          <w:rFonts w:ascii="Arial" w:hAnsi="Arial" w:cs="Arial"/>
          <w:noProof/>
          <w:color w:val="000000" w:themeColor="text1"/>
          <w:lang w:eastAsia="es-CL"/>
        </w:rPr>
      </w:pPr>
      <w:r w:rsidRPr="000E0F90">
        <w:rPr>
          <w:rFonts w:ascii="Arial" w:hAnsi="Arial" w:cs="Arial"/>
          <w:color w:val="000000" w:themeColor="text1"/>
        </w:rPr>
        <w:t xml:space="preserve">Del mismo modo, </w:t>
      </w:r>
      <w:r w:rsidR="00B97771" w:rsidRPr="000E0F90">
        <w:rPr>
          <w:rFonts w:ascii="Arial" w:hAnsi="Arial" w:cs="Arial"/>
          <w:color w:val="000000" w:themeColor="text1"/>
        </w:rPr>
        <w:t xml:space="preserve">en relación a iniciativas </w:t>
      </w:r>
      <w:r w:rsidR="00B97771" w:rsidRPr="00FA7E30">
        <w:rPr>
          <w:rFonts w:ascii="Arial" w:hAnsi="Arial" w:cs="Arial"/>
          <w:color w:val="000000" w:themeColor="text1"/>
        </w:rPr>
        <w:t>de eficiencia energética, los resultados de la evaluación, no</w:t>
      </w:r>
      <w:r w:rsidRPr="00FA7E30">
        <w:rPr>
          <w:rFonts w:ascii="Arial" w:hAnsi="Arial" w:cs="Arial"/>
          <w:color w:val="000000" w:themeColor="text1"/>
        </w:rPr>
        <w:t xml:space="preserve"> </w:t>
      </w:r>
      <w:r w:rsidR="00441CF5" w:rsidRPr="00FA7E30">
        <w:rPr>
          <w:rFonts w:ascii="Arial" w:hAnsi="Arial" w:cs="Arial"/>
          <w:color w:val="000000" w:themeColor="text1"/>
        </w:rPr>
        <w:t>manejan información al respecto, lo que se atribuye a que</w:t>
      </w:r>
      <w:r w:rsidR="008831F2">
        <w:rPr>
          <w:rFonts w:ascii="Arial" w:hAnsi="Arial" w:cs="Arial"/>
          <w:color w:val="000000" w:themeColor="text1"/>
        </w:rPr>
        <w:t xml:space="preserve"> probablemente</w:t>
      </w:r>
      <w:r w:rsidR="00441CF5" w:rsidRPr="00FA7E30">
        <w:rPr>
          <w:rFonts w:ascii="Arial" w:hAnsi="Arial" w:cs="Arial"/>
          <w:color w:val="000000" w:themeColor="text1"/>
        </w:rPr>
        <w:t xml:space="preserve"> aún no existen conflictos por el uso de este recurso</w:t>
      </w:r>
      <w:r w:rsidRPr="00FA7E30">
        <w:rPr>
          <w:rFonts w:ascii="Arial" w:hAnsi="Arial" w:cs="Arial"/>
          <w:color w:val="000000" w:themeColor="text1"/>
        </w:rPr>
        <w:t>.</w:t>
      </w:r>
      <w:r w:rsidR="00774970" w:rsidRPr="00FA7E30">
        <w:rPr>
          <w:rFonts w:ascii="Arial" w:hAnsi="Arial" w:cs="Arial"/>
          <w:color w:val="000000" w:themeColor="text1"/>
        </w:rPr>
        <w:t xml:space="preserve"> </w:t>
      </w:r>
      <w:r w:rsidR="00441CF5" w:rsidRPr="00FA7E30">
        <w:rPr>
          <w:rFonts w:ascii="Arial" w:hAnsi="Arial" w:cs="Arial"/>
          <w:color w:val="000000" w:themeColor="text1"/>
        </w:rPr>
        <w:t>Sin embargo, d</w:t>
      </w:r>
      <w:r w:rsidR="00B97771" w:rsidRPr="00FA7E30">
        <w:rPr>
          <w:rFonts w:ascii="Arial" w:hAnsi="Arial" w:cs="Arial"/>
          <w:color w:val="000000" w:themeColor="text1"/>
        </w:rPr>
        <w:t xml:space="preserve">ado que </w:t>
      </w:r>
      <w:r w:rsidR="00B97771" w:rsidRPr="00FA7E30">
        <w:rPr>
          <w:rFonts w:ascii="Arial" w:hAnsi="Arial" w:cs="Arial"/>
          <w:color w:val="000000" w:themeColor="text1"/>
          <w:lang w:eastAsia="es-CL"/>
        </w:rPr>
        <w:t>e</w:t>
      </w:r>
      <w:r w:rsidR="00B97771" w:rsidRPr="00FA7E30">
        <w:rPr>
          <w:rFonts w:ascii="Arial" w:hAnsi="Arial" w:cs="Arial"/>
          <w:noProof/>
          <w:color w:val="000000" w:themeColor="text1"/>
          <w:lang w:eastAsia="es-CL"/>
        </w:rPr>
        <w:t>l sector minero nacional demanda una gran cantidad de energía</w:t>
      </w:r>
      <w:r w:rsidR="004B43E8">
        <w:rPr>
          <w:rFonts w:ascii="Arial" w:hAnsi="Arial" w:cs="Arial"/>
          <w:noProof/>
          <w:color w:val="000000" w:themeColor="text1"/>
          <w:lang w:eastAsia="es-CL"/>
        </w:rPr>
        <w:t>,</w:t>
      </w:r>
      <w:r w:rsidR="00B97771" w:rsidRPr="00FA7E30">
        <w:rPr>
          <w:rFonts w:ascii="Arial" w:hAnsi="Arial" w:cs="Arial"/>
          <w:color w:val="000000" w:themeColor="text1"/>
        </w:rPr>
        <w:t xml:space="preserve"> </w:t>
      </w:r>
      <w:r w:rsidR="00774970" w:rsidRPr="00FA7E30">
        <w:rPr>
          <w:rFonts w:ascii="Arial" w:hAnsi="Arial" w:cs="Arial"/>
          <w:color w:val="000000" w:themeColor="text1"/>
          <w:lang w:eastAsia="es-CL"/>
        </w:rPr>
        <w:t xml:space="preserve">podría </w:t>
      </w:r>
      <w:r w:rsidR="004B43E8">
        <w:rPr>
          <w:rFonts w:ascii="Arial" w:hAnsi="Arial" w:cs="Arial"/>
          <w:noProof/>
          <w:color w:val="000000" w:themeColor="text1"/>
          <w:lang w:eastAsia="es-CL"/>
        </w:rPr>
        <w:t xml:space="preserve">evidenciarse </w:t>
      </w:r>
      <w:r w:rsidR="0057402B" w:rsidRPr="00FA7E30">
        <w:rPr>
          <w:rFonts w:ascii="Arial" w:hAnsi="Arial" w:cs="Arial"/>
          <w:noProof/>
          <w:color w:val="000000" w:themeColor="text1"/>
          <w:lang w:eastAsia="es-CL"/>
        </w:rPr>
        <w:t>competencia del recurso con otros usos indutriales y el uso humano</w:t>
      </w:r>
      <w:r w:rsidR="00774970" w:rsidRPr="00FA7E30">
        <w:rPr>
          <w:rFonts w:ascii="Arial" w:hAnsi="Arial" w:cs="Arial"/>
          <w:noProof/>
          <w:color w:val="000000" w:themeColor="text1"/>
          <w:lang w:eastAsia="es-CL"/>
        </w:rPr>
        <w:t xml:space="preserve"> en el futuro próximo</w:t>
      </w:r>
      <w:r w:rsidR="004B43E8">
        <w:rPr>
          <w:rFonts w:ascii="Arial" w:hAnsi="Arial" w:cs="Arial"/>
          <w:noProof/>
          <w:color w:val="000000" w:themeColor="text1"/>
          <w:lang w:eastAsia="es-CL"/>
        </w:rPr>
        <w:t xml:space="preserve"> </w:t>
      </w:r>
      <w:r w:rsidR="004B43E8" w:rsidRPr="00FA7E30">
        <w:rPr>
          <w:rFonts w:ascii="Arial" w:hAnsi="Arial" w:cs="Arial"/>
          <w:color w:val="000000" w:themeColor="text1"/>
          <w:lang w:eastAsia="es-CL"/>
        </w:rPr>
        <w:fldChar w:fldCharType="begin" w:fldLock="1"/>
      </w:r>
      <w:r w:rsidR="004B43E8" w:rsidRPr="00FA7E30">
        <w:rPr>
          <w:rFonts w:ascii="Arial" w:hAnsi="Arial" w:cs="Arial"/>
          <w:color w:val="000000" w:themeColor="text1"/>
          <w:lang w:eastAsia="es-CL"/>
        </w:rPr>
        <w:instrText>ADDIN CSL_CITATION { "citationItems" : [ { "id" : "ITEM-1", "itemData" : { "DOI" : "10.1080/17480930.2015.1128799", "ISSN" : "1748-0930", "abstract" : "Chile is the principal producer of copper with a total of 5.8\u00a0million tonnes fine copper production in 2013. Chilean mining industry currently faces a projected increase in waste production, depleting water resources in the arid mining regions of the north and a lack of fossil fuel energy sources. In this study, a review of the historical background of environmental practices in Chile is presented, focused between 1970 and 2010. A review of the current state of sustainable development, comprising energy, water, stakeholder participation, environmental impacts and institutional decentralisation in the mining industry is presented.", "author" : [ { "dropping-particle" : "", "family" : "Ghorbani", "given" : "Yousef", "non-dropping-particle" : "", "parse-names" : false, "suffix" : "" }, { "dropping-particle" : "", "family" : "Kuan", "given" : "Seng How", "non-dropping-particle" : "", "parse-names" : false, "suffix" : "" } ], "container-title" : "International Journal of Mining, Reclamation and Environment", "id" : "ITEM-1", "issue" : "February", "issued" : { "date-parts" : [ [ "2016" ] ] }, "note" : "NULL", "page" : "1-29", "publisher" : "Taylor &amp; Francis", "title" : "A review of sustainable development in the Chilean mining sector: past, present and future", "type" : "article-journal", "volume" : "0930" }, "uris" : [ "http://www.mendeley.com/documents/?uuid=ba6630bb-3cdb-4443-b119-f6b6f68bafa7" ] } ], "mendeley" : { "formattedCitation" : "(Ghorbani &amp; Kuan, 2016)", "plainTextFormattedCitation" : "(Ghorbani &amp; Kuan, 2016)", "previouslyFormattedCitation" : "(Ghorbani &amp; Kuan, 2016)" }, "properties" : { "noteIndex" : 0 }, "schema" : "https://github.com/citation-style-language/schema/raw/master/csl-citation.json" }</w:instrText>
      </w:r>
      <w:r w:rsidR="004B43E8" w:rsidRPr="00FA7E30">
        <w:rPr>
          <w:rFonts w:ascii="Arial" w:hAnsi="Arial" w:cs="Arial"/>
          <w:color w:val="000000" w:themeColor="text1"/>
          <w:lang w:eastAsia="es-CL"/>
        </w:rPr>
        <w:fldChar w:fldCharType="separate"/>
      </w:r>
      <w:r w:rsidR="004B43E8" w:rsidRPr="00FA7E30">
        <w:rPr>
          <w:rFonts w:ascii="Arial" w:hAnsi="Arial" w:cs="Arial"/>
          <w:noProof/>
          <w:color w:val="000000" w:themeColor="text1"/>
          <w:lang w:eastAsia="es-CL"/>
        </w:rPr>
        <w:t>(Ghorbani &amp; Kuan, 2016)</w:t>
      </w:r>
      <w:r w:rsidR="004B43E8" w:rsidRPr="00FA7E30">
        <w:rPr>
          <w:rFonts w:ascii="Arial" w:hAnsi="Arial" w:cs="Arial"/>
          <w:color w:val="000000" w:themeColor="text1"/>
          <w:lang w:eastAsia="es-CL"/>
        </w:rPr>
        <w:fldChar w:fldCharType="end"/>
      </w:r>
      <w:r w:rsidR="00774970" w:rsidRPr="00FA7E30">
        <w:rPr>
          <w:rFonts w:ascii="Arial" w:hAnsi="Arial" w:cs="Arial"/>
          <w:noProof/>
          <w:color w:val="000000" w:themeColor="text1"/>
          <w:lang w:eastAsia="es-CL"/>
        </w:rPr>
        <w:t xml:space="preserve">. Principalmente por la menor ley que presentarán los yacimientos por una parte, y por el incremento sostenido que menifestará la demanda de mineral. </w:t>
      </w:r>
    </w:p>
    <w:p w:rsidR="00774970" w:rsidRPr="000E0F90" w:rsidRDefault="00AE39A0" w:rsidP="00702D9A">
      <w:pPr>
        <w:spacing w:line="360" w:lineRule="auto"/>
        <w:rPr>
          <w:rFonts w:ascii="Arial" w:hAnsi="Arial" w:cs="Arial"/>
          <w:noProof/>
          <w:color w:val="000000" w:themeColor="text1"/>
          <w:lang w:eastAsia="es-CL"/>
        </w:rPr>
      </w:pPr>
      <w:r w:rsidRPr="00FA7E30">
        <w:rPr>
          <w:rFonts w:ascii="Arial" w:hAnsi="Arial" w:cs="Arial"/>
          <w:color w:val="000000" w:themeColor="text1"/>
        </w:rPr>
        <w:t>Si bien, los impactos que pudiesen tener las acciones territoriales en localidades adyacentes no son mencionados por los actores relevantes, se debe tener en</w:t>
      </w:r>
      <w:r w:rsidRPr="000E0F90">
        <w:rPr>
          <w:rFonts w:ascii="Arial" w:hAnsi="Arial" w:cs="Arial"/>
          <w:color w:val="000000" w:themeColor="text1"/>
        </w:rPr>
        <w:t xml:space="preserve"> consideración dado que los territorios evaluados se encuen</w:t>
      </w:r>
      <w:r w:rsidR="00572F4B" w:rsidRPr="000E0F90">
        <w:rPr>
          <w:rFonts w:ascii="Arial" w:hAnsi="Arial" w:cs="Arial"/>
          <w:color w:val="000000" w:themeColor="text1"/>
        </w:rPr>
        <w:t xml:space="preserve">tran en la cabecera de cuenca, pudiendo afectar </w:t>
      </w:r>
      <w:r w:rsidRPr="000E0F90">
        <w:rPr>
          <w:rFonts w:ascii="Arial" w:hAnsi="Arial" w:cs="Arial"/>
          <w:color w:val="000000" w:themeColor="text1"/>
        </w:rPr>
        <w:t>la dis</w:t>
      </w:r>
      <w:r w:rsidR="00572F4B" w:rsidRPr="000E0F90">
        <w:rPr>
          <w:rFonts w:ascii="Arial" w:hAnsi="Arial" w:cs="Arial"/>
          <w:color w:val="000000" w:themeColor="text1"/>
        </w:rPr>
        <w:t>ponibilidad del recurso hídrico</w:t>
      </w:r>
      <w:r w:rsidRPr="000E0F90">
        <w:rPr>
          <w:rFonts w:ascii="Arial" w:hAnsi="Arial" w:cs="Arial"/>
          <w:color w:val="000000" w:themeColor="text1"/>
        </w:rPr>
        <w:t>.</w:t>
      </w:r>
      <w:r w:rsidR="00DB3E2A" w:rsidRPr="000E0F90">
        <w:rPr>
          <w:rFonts w:ascii="Arial" w:hAnsi="Arial" w:cs="Arial"/>
          <w:color w:val="000000" w:themeColor="text1"/>
        </w:rPr>
        <w:t xml:space="preserve"> </w:t>
      </w:r>
      <w:r w:rsidR="00774970" w:rsidRPr="000E0F90">
        <w:rPr>
          <w:rFonts w:ascii="Arial" w:hAnsi="Arial" w:cs="Arial"/>
          <w:color w:val="000000" w:themeColor="text1"/>
        </w:rPr>
        <w:t xml:space="preserve">Bajo este mismo punto, la importación de recursos de otros </w:t>
      </w:r>
      <w:r w:rsidR="00572F4B" w:rsidRPr="000E0F90">
        <w:rPr>
          <w:rFonts w:ascii="Arial" w:hAnsi="Arial" w:cs="Arial"/>
          <w:color w:val="000000" w:themeColor="text1"/>
        </w:rPr>
        <w:t>territorios</w:t>
      </w:r>
      <w:r w:rsidR="00774970" w:rsidRPr="000E0F90">
        <w:rPr>
          <w:rFonts w:ascii="Arial" w:hAnsi="Arial" w:cs="Arial"/>
          <w:color w:val="000000" w:themeColor="text1"/>
        </w:rPr>
        <w:t>, puede generar condiciones de insostenibilidad en los territorios fuente</w:t>
      </w:r>
      <w:r w:rsidR="00572F4B" w:rsidRPr="000E0F90">
        <w:rPr>
          <w:rFonts w:ascii="Arial" w:hAnsi="Arial" w:cs="Arial"/>
          <w:color w:val="000000" w:themeColor="text1"/>
        </w:rPr>
        <w:t xml:space="preserve">, los cuales también deben ser analizados. </w:t>
      </w:r>
    </w:p>
    <w:p w:rsidR="00905D8C" w:rsidRPr="000E0F90" w:rsidRDefault="002A2E5B" w:rsidP="00702D9A">
      <w:pPr>
        <w:spacing w:line="360" w:lineRule="auto"/>
        <w:rPr>
          <w:rFonts w:ascii="Arial" w:hAnsi="Arial" w:cs="Arial"/>
          <w:color w:val="000000" w:themeColor="text1"/>
        </w:rPr>
      </w:pPr>
      <w:r w:rsidRPr="000E0F90">
        <w:rPr>
          <w:rFonts w:ascii="Arial" w:hAnsi="Arial" w:cs="Arial"/>
          <w:color w:val="000000" w:themeColor="text1"/>
        </w:rPr>
        <w:lastRenderedPageBreak/>
        <w:t xml:space="preserve">Respecto a la </w:t>
      </w:r>
      <w:r w:rsidRPr="002B546D">
        <w:rPr>
          <w:rFonts w:ascii="Arial" w:hAnsi="Arial" w:cs="Arial"/>
          <w:color w:val="000000" w:themeColor="text1"/>
        </w:rPr>
        <w:t>autosuficiencia territorial</w:t>
      </w:r>
      <w:r w:rsidRPr="000E0F90">
        <w:rPr>
          <w:rFonts w:ascii="Arial" w:hAnsi="Arial" w:cs="Arial"/>
          <w:color w:val="000000" w:themeColor="text1"/>
        </w:rPr>
        <w:t xml:space="preserve">, </w:t>
      </w:r>
      <w:r w:rsidR="00774970" w:rsidRPr="000E0F90">
        <w:rPr>
          <w:rFonts w:ascii="Arial" w:hAnsi="Arial" w:cs="Arial"/>
          <w:color w:val="000000" w:themeColor="text1"/>
        </w:rPr>
        <w:t xml:space="preserve">existen diversas situaciones que </w:t>
      </w:r>
      <w:r w:rsidR="006C0AD6" w:rsidRPr="000E0F90">
        <w:rPr>
          <w:rFonts w:ascii="Arial" w:hAnsi="Arial" w:cs="Arial"/>
          <w:color w:val="000000" w:themeColor="text1"/>
        </w:rPr>
        <w:t xml:space="preserve">evidencian la escasa </w:t>
      </w:r>
      <w:r w:rsidR="00774970" w:rsidRPr="000E0F90">
        <w:rPr>
          <w:rFonts w:ascii="Arial" w:hAnsi="Arial" w:cs="Arial"/>
          <w:color w:val="000000" w:themeColor="text1"/>
        </w:rPr>
        <w:t>auto</w:t>
      </w:r>
      <w:r w:rsidR="006C0AD6" w:rsidRPr="000E0F90">
        <w:rPr>
          <w:rFonts w:ascii="Arial" w:hAnsi="Arial" w:cs="Arial"/>
          <w:color w:val="000000" w:themeColor="text1"/>
        </w:rPr>
        <w:t>nomía</w:t>
      </w:r>
      <w:r w:rsidR="00774970" w:rsidRPr="000E0F90">
        <w:rPr>
          <w:rFonts w:ascii="Arial" w:hAnsi="Arial" w:cs="Arial"/>
          <w:color w:val="000000" w:themeColor="text1"/>
        </w:rPr>
        <w:t xml:space="preserve"> territorial, </w:t>
      </w:r>
      <w:r w:rsidR="005A0CA4" w:rsidRPr="000E0F90">
        <w:rPr>
          <w:rFonts w:ascii="Arial" w:hAnsi="Arial" w:cs="Arial"/>
          <w:color w:val="000000" w:themeColor="text1"/>
        </w:rPr>
        <w:t>como es el caso de</w:t>
      </w:r>
      <w:r w:rsidR="006C0AD6" w:rsidRPr="000E0F90">
        <w:rPr>
          <w:rFonts w:ascii="Arial" w:hAnsi="Arial" w:cs="Arial"/>
          <w:color w:val="000000" w:themeColor="text1"/>
        </w:rPr>
        <w:t xml:space="preserve"> la limitada provisión de servicios públicos y comerciales, obligando el desplazamientos a centros comunales o regionales; la escasa contratación de mano de obra local por parte de la minera, que conlleva al desplazamiento de trabajadores desde otras y comunas o regiones.</w:t>
      </w:r>
      <w:r w:rsidR="005A0CA4" w:rsidRPr="000E0F90">
        <w:rPr>
          <w:rFonts w:ascii="Arial" w:hAnsi="Arial" w:cs="Arial"/>
          <w:color w:val="000000" w:themeColor="text1"/>
        </w:rPr>
        <w:t xml:space="preserve"> Al igual que</w:t>
      </w:r>
      <w:r w:rsidR="006C0AD6" w:rsidRPr="000E0F90">
        <w:rPr>
          <w:rFonts w:ascii="Arial" w:hAnsi="Arial" w:cs="Arial"/>
          <w:color w:val="000000" w:themeColor="text1"/>
        </w:rPr>
        <w:t xml:space="preserve"> </w:t>
      </w:r>
      <w:r w:rsidR="005A0CA4" w:rsidRPr="000E0F90">
        <w:rPr>
          <w:rFonts w:ascii="Arial" w:hAnsi="Arial" w:cs="Arial"/>
          <w:color w:val="000000" w:themeColor="text1"/>
        </w:rPr>
        <w:t>la limitada existencia de cadenas de suministros agrícolas y ganaderos locales</w:t>
      </w:r>
      <w:r w:rsidR="004B43E8">
        <w:rPr>
          <w:rFonts w:ascii="Arial" w:hAnsi="Arial" w:cs="Arial"/>
          <w:color w:val="000000" w:themeColor="text1"/>
        </w:rPr>
        <w:t>, así como la reducida conectividad que presentan los territorios</w:t>
      </w:r>
      <w:r w:rsidR="005A0CA4" w:rsidRPr="000E0F90">
        <w:rPr>
          <w:rFonts w:ascii="Arial" w:hAnsi="Arial" w:cs="Arial"/>
          <w:color w:val="000000" w:themeColor="text1"/>
        </w:rPr>
        <w:t>.</w:t>
      </w:r>
    </w:p>
    <w:p w:rsidR="009B13FF" w:rsidRPr="000E0F90" w:rsidRDefault="004B43E8" w:rsidP="00702D9A">
      <w:pPr>
        <w:spacing w:line="360" w:lineRule="auto"/>
        <w:rPr>
          <w:rFonts w:ascii="Arial" w:hAnsi="Arial" w:cs="Arial"/>
          <w:color w:val="000000" w:themeColor="text1"/>
        </w:rPr>
      </w:pPr>
      <w:r>
        <w:rPr>
          <w:rFonts w:ascii="Arial" w:hAnsi="Arial" w:cs="Arial"/>
          <w:color w:val="000000" w:themeColor="text1"/>
        </w:rPr>
        <w:t>N</w:t>
      </w:r>
      <w:r w:rsidR="00717317" w:rsidRPr="000E0F90">
        <w:rPr>
          <w:rFonts w:ascii="Arial" w:hAnsi="Arial" w:cs="Arial"/>
          <w:color w:val="000000" w:themeColor="text1"/>
        </w:rPr>
        <w:t>o se identifican acciones tendientes a abordar la depleción que presentará el recurso mineral en el futuro. A pesar de eventos de agotamiento de recursos naturales evidenciados en el pasado, como el caso del recurso forestal y recurso minero</w:t>
      </w:r>
      <w:r w:rsidR="000718BA" w:rsidRPr="000E0F90">
        <w:rPr>
          <w:rFonts w:ascii="Arial" w:hAnsi="Arial" w:cs="Arial"/>
          <w:color w:val="000000" w:themeColor="text1"/>
        </w:rPr>
        <w:t xml:space="preserve"> </w:t>
      </w:r>
      <w:r w:rsidR="005A0CA4" w:rsidRPr="000E0F90">
        <w:rPr>
          <w:rFonts w:ascii="Arial" w:hAnsi="Arial" w:cs="Arial"/>
          <w:color w:val="000000" w:themeColor="text1"/>
        </w:rPr>
        <w:fldChar w:fldCharType="begin" w:fldLock="1"/>
      </w:r>
      <w:r w:rsidR="00946B04" w:rsidRPr="000E0F90">
        <w:rPr>
          <w:rFonts w:ascii="Arial" w:hAnsi="Arial" w:cs="Arial"/>
          <w:color w:val="000000" w:themeColor="text1"/>
        </w:rPr>
        <w:instrText>ADDIN CSL_CITATION { "citationItems" : [ { "id" : "ITEM-1", "itemData" : { "author" : [ { "dropping-particle" : "", "family" : "Camus", "given" : "Pablo", "non-dropping-particle" : "", "parse-names" : false, "suffix" : "" } ], "container-title" : "Historia", "id" : "ITEM-1", "issued" : { "date-parts" : [ [ "2004" ] ] }, "page" : "289-310", "title" : "Los bosques y la miner\u00eda del norte chico, s.XIX. Un mito en la representaci\u00f3n del paisaje chileno", "type" : "article-journal", "volume" : "II" }, "uris" : [ "http://www.mendeley.com/documents/?uuid=a34b4973-8851-49b7-bf96-2520be144cc4" ] } ], "mendeley" : { "formattedCitation" : "(Camus, 2004)", "plainTextFormattedCitation" : "(Camus, 2004)", "previouslyFormattedCitation" : "(Camus, 2004)" }, "properties" : { "noteIndex" : 0 }, "schema" : "https://github.com/citation-style-language/schema/raw/master/csl-citation.json" }</w:instrText>
      </w:r>
      <w:r w:rsidR="005A0CA4" w:rsidRPr="000E0F90">
        <w:rPr>
          <w:rFonts w:ascii="Arial" w:hAnsi="Arial" w:cs="Arial"/>
          <w:color w:val="000000" w:themeColor="text1"/>
        </w:rPr>
        <w:fldChar w:fldCharType="separate"/>
      </w:r>
      <w:r w:rsidR="005A0CA4" w:rsidRPr="000E0F90">
        <w:rPr>
          <w:rFonts w:ascii="Arial" w:hAnsi="Arial" w:cs="Arial"/>
          <w:noProof/>
          <w:color w:val="000000" w:themeColor="text1"/>
        </w:rPr>
        <w:t>(Camus, 2004)</w:t>
      </w:r>
      <w:r w:rsidR="005A0CA4" w:rsidRPr="000E0F90">
        <w:rPr>
          <w:rFonts w:ascii="Arial" w:hAnsi="Arial" w:cs="Arial"/>
          <w:color w:val="000000" w:themeColor="text1"/>
        </w:rPr>
        <w:fldChar w:fldCharType="end"/>
      </w:r>
      <w:sdt>
        <w:sdtPr>
          <w:rPr>
            <w:rFonts w:ascii="Arial" w:hAnsi="Arial" w:cs="Arial"/>
            <w:color w:val="000000" w:themeColor="text1"/>
          </w:rPr>
          <w:id w:val="306367352"/>
          <w:citation/>
        </w:sdtPr>
        <w:sdtEndPr/>
        <w:sdtContent>
          <w:r w:rsidR="005A0CA4" w:rsidRPr="000E0F90">
            <w:rPr>
              <w:rFonts w:ascii="Arial" w:hAnsi="Arial" w:cs="Arial"/>
              <w:color w:val="000000" w:themeColor="text1"/>
            </w:rPr>
            <w:fldChar w:fldCharType="begin"/>
          </w:r>
          <w:r w:rsidR="005A0CA4" w:rsidRPr="000E0F90">
            <w:rPr>
              <w:rFonts w:ascii="Arial" w:hAnsi="Arial" w:cs="Arial"/>
              <w:color w:val="000000" w:themeColor="text1"/>
            </w:rPr>
            <w:instrText xml:space="preserve"> CITATION Ort09 \l 13322 </w:instrText>
          </w:r>
          <w:r w:rsidR="005A0CA4" w:rsidRPr="000E0F90">
            <w:rPr>
              <w:rFonts w:ascii="Arial" w:hAnsi="Arial" w:cs="Arial"/>
              <w:color w:val="000000" w:themeColor="text1"/>
            </w:rPr>
            <w:fldChar w:fldCharType="separate"/>
          </w:r>
          <w:r w:rsidR="008D0261" w:rsidRPr="000E0F90">
            <w:rPr>
              <w:rFonts w:ascii="Arial" w:hAnsi="Arial" w:cs="Arial"/>
              <w:noProof/>
              <w:color w:val="000000" w:themeColor="text1"/>
            </w:rPr>
            <w:t xml:space="preserve"> (Ortega, 2009)</w:t>
          </w:r>
          <w:r w:rsidR="005A0CA4" w:rsidRPr="000E0F90">
            <w:rPr>
              <w:rFonts w:ascii="Arial" w:hAnsi="Arial" w:cs="Arial"/>
              <w:color w:val="000000" w:themeColor="text1"/>
            </w:rPr>
            <w:fldChar w:fldCharType="end"/>
          </w:r>
        </w:sdtContent>
      </w:sdt>
      <w:r w:rsidR="005A0CA4" w:rsidRPr="000E0F90">
        <w:rPr>
          <w:rFonts w:ascii="Arial" w:hAnsi="Arial" w:cs="Arial"/>
          <w:color w:val="000000" w:themeColor="text1"/>
        </w:rPr>
        <w:t>;</w:t>
      </w:r>
      <w:r w:rsidR="00717317" w:rsidRPr="000E0F90">
        <w:rPr>
          <w:rFonts w:ascii="Arial" w:hAnsi="Arial" w:cs="Arial"/>
          <w:color w:val="000000" w:themeColor="text1"/>
        </w:rPr>
        <w:t xml:space="preserve"> no existe aún una postura más conservativa respecto a disponibilidad futura de dichos recursos. </w:t>
      </w:r>
      <w:r w:rsidR="005A0CA4" w:rsidRPr="000E0F90">
        <w:rPr>
          <w:rFonts w:ascii="Arial" w:hAnsi="Arial" w:cs="Arial"/>
          <w:color w:val="000000" w:themeColor="text1"/>
        </w:rPr>
        <w:t>Por consiguiente, no</w:t>
      </w:r>
      <w:r w:rsidR="00717317" w:rsidRPr="000E0F90">
        <w:rPr>
          <w:rFonts w:ascii="Arial" w:hAnsi="Arial" w:cs="Arial"/>
          <w:color w:val="000000" w:themeColor="text1"/>
        </w:rPr>
        <w:t xml:space="preserve"> se identifican propuestas</w:t>
      </w:r>
      <w:r w:rsidR="002B546D">
        <w:rPr>
          <w:rFonts w:ascii="Arial" w:hAnsi="Arial" w:cs="Arial"/>
          <w:color w:val="000000" w:themeColor="text1"/>
        </w:rPr>
        <w:t xml:space="preserve"> concretas</w:t>
      </w:r>
      <w:r w:rsidR="00717317" w:rsidRPr="000E0F90">
        <w:rPr>
          <w:rFonts w:ascii="Arial" w:hAnsi="Arial" w:cs="Arial"/>
          <w:color w:val="000000" w:themeColor="text1"/>
        </w:rPr>
        <w:t xml:space="preserve"> de reinversión del capital generado por la extracción de recursos minerales en capital natural local. </w:t>
      </w:r>
      <w:r w:rsidR="002B546D">
        <w:rPr>
          <w:rFonts w:ascii="Arial" w:hAnsi="Arial" w:cs="Arial"/>
          <w:color w:val="000000" w:themeColor="text1"/>
        </w:rPr>
        <w:t>En cuanto a una</w:t>
      </w:r>
      <w:r w:rsidR="00345651" w:rsidRPr="000E0F90">
        <w:rPr>
          <w:rFonts w:ascii="Arial" w:hAnsi="Arial" w:cs="Arial"/>
          <w:color w:val="000000" w:themeColor="text1"/>
        </w:rPr>
        <w:t xml:space="preserve"> retribución</w:t>
      </w:r>
      <w:r w:rsidR="002B546D">
        <w:rPr>
          <w:rFonts w:ascii="Arial" w:hAnsi="Arial" w:cs="Arial"/>
          <w:color w:val="000000" w:themeColor="text1"/>
        </w:rPr>
        <w:t xml:space="preserve"> por</w:t>
      </w:r>
      <w:r w:rsidR="00345651" w:rsidRPr="000E0F90">
        <w:rPr>
          <w:rFonts w:ascii="Arial" w:hAnsi="Arial" w:cs="Arial"/>
          <w:color w:val="000000" w:themeColor="text1"/>
        </w:rPr>
        <w:t xml:space="preserve"> </w:t>
      </w:r>
      <w:r w:rsidR="00572F4B" w:rsidRPr="000E0F90">
        <w:rPr>
          <w:rFonts w:ascii="Arial" w:hAnsi="Arial" w:cs="Arial"/>
          <w:color w:val="000000" w:themeColor="text1"/>
        </w:rPr>
        <w:t>los encadenamientos productivos</w:t>
      </w:r>
      <w:r w:rsidR="009B13FF" w:rsidRPr="000E0F90">
        <w:rPr>
          <w:rFonts w:ascii="Arial" w:hAnsi="Arial" w:cs="Arial"/>
          <w:color w:val="000000" w:themeColor="text1"/>
        </w:rPr>
        <w:t xml:space="preserve">, mano de obra </w:t>
      </w:r>
      <w:r w:rsidR="002B546D">
        <w:rPr>
          <w:rFonts w:ascii="Arial" w:hAnsi="Arial" w:cs="Arial"/>
          <w:color w:val="000000" w:themeColor="text1"/>
        </w:rPr>
        <w:t>e</w:t>
      </w:r>
      <w:r w:rsidR="009B13FF" w:rsidRPr="000E0F90">
        <w:rPr>
          <w:rFonts w:ascii="Arial" w:hAnsi="Arial" w:cs="Arial"/>
          <w:color w:val="000000" w:themeColor="text1"/>
        </w:rPr>
        <w:t xml:space="preserve"> impuestos, que pudiesen asociarse a los territorios</w:t>
      </w:r>
      <w:r w:rsidR="002B546D">
        <w:rPr>
          <w:rFonts w:ascii="Arial" w:hAnsi="Arial" w:cs="Arial"/>
          <w:color w:val="000000" w:themeColor="text1"/>
        </w:rPr>
        <w:t>; no son identificadas</w:t>
      </w:r>
      <w:r w:rsidR="009B13FF" w:rsidRPr="000E0F90">
        <w:rPr>
          <w:rFonts w:ascii="Arial" w:hAnsi="Arial" w:cs="Arial"/>
          <w:color w:val="000000" w:themeColor="text1"/>
        </w:rPr>
        <w:t xml:space="preserve">. </w:t>
      </w:r>
      <w:r w:rsidR="009B13FF" w:rsidRPr="000E0F90">
        <w:rPr>
          <w:rFonts w:ascii="Arial" w:hAnsi="Arial" w:cs="Arial"/>
          <w:color w:val="000000" w:themeColor="text1"/>
        </w:rPr>
        <w:fldChar w:fldCharType="begin" w:fldLock="1"/>
      </w:r>
      <w:r w:rsidR="00C14CD2" w:rsidRPr="000E0F90">
        <w:rPr>
          <w:rFonts w:ascii="Arial" w:hAnsi="Arial" w:cs="Arial"/>
          <w:color w:val="000000" w:themeColor="text1"/>
        </w:rPr>
        <w:instrText>ADDIN CSL_CITATION { "citationItems" : [ { "id" : "ITEM-1", "itemData" : { "DOI" : "10.1016/S0301-4207(01)00013-7", "ISBN" : "03014207 (ISSN)", "ISSN" : "03014207", "abstract" : "The main objective of this paper is to measure the impact of the mining sector on the Chilean II region and evaluate the conditions that affect the magnitude of this impact. Using an Input Output matrix for the II region, we calculate the impact on output, income and employment. Later, we compare the impact on the labor market between private and state owned firms, showing that there is a significant difference in the management system of each firm that results in different costs and benefits for regional development. There also are important differences in impacts associated with fly-in fly-out workers from other regions that are partially measured by the multipliers. The analysis shows that the mining sector is not important in terms of the backward and forward linkages within the region, but is very important in terms of its volume of production. The main linkages of the mining sector are with the three sectors with the highest backward and forward linkages; when these linkages are considered along with mining's level of production, mining is by far the most important sector of the Chilean II region. Finally, we survey other impacts on the quality of life of the regional population, describing the actions that have been taken by private and state owned firms, as well as the role of the government in promoting development in the II region.", "author" : [ { "dropping-particle" : "", "family" : "Aroca", "given" : "Patricio", "non-dropping-particle" : "", "parse-names" : false, "suffix" : "" } ], "container-title" : "Resources Policy", "id" : "ITEM-1", "issued" : { "date-parts" : [ [ "2001" ] ] }, "page" : "119-134", "title" : "Impacts and development in local economies based on mining:", "type" : "article-journal", "volume" : "27" }, "uris" : [ "http://www.mendeley.com/documents/?uuid=9ceff543-fbcd-4d41-a507-01d56ea87341" ] }, { "id" : "ITEM-2", "itemData" : { "DOI" : "10.4067/S0250-71612014000300012", "ISSN" : "07176236", "abstract" : "An important share of Chilean copper production is located in two regions: Antofagasta and Atacama. In recent years there has been a rise in the price of copper, and the incomes of the inhabitants of these regions have varied differently as a response to the variations in the price of copper. This article analyzes these differences between the evolution of regional income based on the size or scale of production in the mining sector. Using an input-output model disaggregated by the scale of production (large versus small and medium-sized scales) of the mining sector for each region, linkages and multipliers have been calculated and a sensitivity analysis carried out in order to test the strength of the estimations. This strategy allowed for identifying and calculating the impact of each scale on local income and production, showing the heterogeneous impact of the mining sector on local economies, which is very relevant for evaluating the current Chilean mining policy.", "author" : [ { "dropping-particle" : "", "family" : "Rivera", "given" : "Nathaly", "non-dropping-particle" : "", "parse-names" : false, "suffix" : "" }, { "dropping-particle" : "", "family" : "Aroca", "given" : "Patricio", "non-dropping-particle" : "", "parse-names" : false, "suffix" : "" } ], "container-title" : "Eure", "id" : "ITEM-2", "issued" : { "date-parts" : [ [ "2014" ] ] }, "page" : "145-155", "title" : "Escalas de producci\u00f3n en econom\u00edas mineras. El caso de Chile en su dimensi\u00f3n regional", "type" : "article-journal", "volume" : "40" }, "uris" : [ "http://www.mendeley.com/documents/?uuid=b3b5e564-933e-42ed-a47a-7e4269bcc413" ] }, { "id" : "ITEM-3", "itemData" : { "DOI" : "10.1093/jeg/lbt007", "ISBN" : "1468-2702", "ISSN" : "14682702", "abstract" : "Various regions have recently proposed the creation of clusters around large-scale mining. However, until the 1980s, mining regions were predominantly considered productive enclaves. This article analyzes the case of the Antofagasta Region, the main mining region in Chile. A descriptive analysis is put forward that addresses the ideal types of the mining cluster and enclave, establishing as criteria of comparison the mechanisms proposed by Marshall as sources of agglomeration economies. Despite strong growth, the Antofagasta Region approximates more a mining enclave than a cluster. This implies the need to revise and adapt the concept of enclave to the current reality. [PUBLICATION ABSTRACT]", "author" : [ { "dropping-particle" : "", "family" : "Arias", "given" : "Mart\u00edn", "non-dropping-particle" : "", "parse-names" : false, "suffix" : "" }, { "dropping-particle" : "", "family" : "Atienza", "given" : "Miguel", "non-dropping-particle" : "", "parse-names" : false, "suffix" : "" }, { "dropping-particle" : "", "family" : "Cademartori", "given" : "Jan", "non-dropping-particle" : "", "parse-names" : false, "suffix" : "" } ], "container-title" : "Journal of Economic Geography", "id" : "ITEM-3", "issue" : "May 2013", "issued" : { "date-parts" : [ [ "2014" ] ] }, "page" : "73-95", "title" : "Large mining enterprises and regional development in Chile: Between the enclave and cluster", "type" : "article-journal", "volume" : "14" }, "uris" : [ "http://www.mendeley.com/documents/?uuid=62be2dcb-9e8a-46de-8e66-caba499396fb" ] } ], "mendeley" : { "formattedCitation" : "(Arias et al., 2014; Aroca, 2001; Rivera &amp; Aroca, 2014)", "plainTextFormattedCitation" : "(Arias et al., 2014; Aroca, 2001; Rivera &amp; Aroca, 2014)", "previouslyFormattedCitation" : "(Arias et al., 2014; Aroca, 2001; Rivera &amp; Aroca, 2014)" }, "properties" : { "noteIndex" : 0 }, "schema" : "https://github.com/citation-style-language/schema/raw/master/csl-citation.json" }</w:instrText>
      </w:r>
      <w:r w:rsidR="009B13FF" w:rsidRPr="000E0F90">
        <w:rPr>
          <w:rFonts w:ascii="Arial" w:hAnsi="Arial" w:cs="Arial"/>
          <w:color w:val="000000" w:themeColor="text1"/>
        </w:rPr>
        <w:fldChar w:fldCharType="separate"/>
      </w:r>
      <w:r w:rsidR="009B13FF" w:rsidRPr="000E0F90">
        <w:rPr>
          <w:rFonts w:ascii="Arial" w:hAnsi="Arial" w:cs="Arial"/>
          <w:noProof/>
          <w:color w:val="000000" w:themeColor="text1"/>
        </w:rPr>
        <w:t>(Arias et al., 2014; Aroca, 2001; Rivera &amp; Aroca, 2014)</w:t>
      </w:r>
      <w:r w:rsidR="009B13FF" w:rsidRPr="000E0F90">
        <w:rPr>
          <w:rFonts w:ascii="Arial" w:hAnsi="Arial" w:cs="Arial"/>
          <w:color w:val="000000" w:themeColor="text1"/>
        </w:rPr>
        <w:fldChar w:fldCharType="end"/>
      </w:r>
      <w:r w:rsidR="002B546D">
        <w:rPr>
          <w:rFonts w:ascii="Arial" w:hAnsi="Arial" w:cs="Arial"/>
          <w:color w:val="000000" w:themeColor="text1"/>
        </w:rPr>
        <w:t>.</w:t>
      </w:r>
      <w:r w:rsidR="002B546D" w:rsidRPr="002B546D">
        <w:rPr>
          <w:rFonts w:ascii="Arial" w:hAnsi="Arial" w:cs="Arial"/>
          <w:color w:val="000000" w:themeColor="text1"/>
        </w:rPr>
        <w:t xml:space="preserve"> </w:t>
      </w:r>
      <w:r w:rsidR="002B546D">
        <w:rPr>
          <w:rFonts w:ascii="Arial" w:hAnsi="Arial" w:cs="Arial"/>
          <w:color w:val="000000" w:themeColor="text1"/>
        </w:rPr>
        <w:t>Salvo, el aporte al fomento productivo agrícola que se realiza desde la minería al sector agrícola en Salamanca.</w:t>
      </w:r>
    </w:p>
    <w:p w:rsidR="00E200A3" w:rsidRPr="000E0F90" w:rsidRDefault="00E200A3" w:rsidP="00702D9A">
      <w:pPr>
        <w:pStyle w:val="Ttulo3"/>
        <w:spacing w:before="360" w:after="0" w:line="360" w:lineRule="auto"/>
        <w:rPr>
          <w:rFonts w:ascii="Arial" w:hAnsi="Arial" w:cs="Arial"/>
        </w:rPr>
      </w:pPr>
      <w:r w:rsidRPr="000E0F90">
        <w:rPr>
          <w:rFonts w:ascii="Arial" w:hAnsi="Arial" w:cs="Arial"/>
        </w:rPr>
        <w:t>5. Gobernanza y civilidad</w:t>
      </w:r>
    </w:p>
    <w:p w:rsidR="00ED76F7" w:rsidRPr="000E0F90" w:rsidRDefault="008831F2" w:rsidP="00702D9A">
      <w:pPr>
        <w:spacing w:line="360" w:lineRule="auto"/>
        <w:rPr>
          <w:rFonts w:ascii="Arial" w:hAnsi="Arial" w:cs="Arial"/>
          <w:color w:val="000000" w:themeColor="text1"/>
        </w:rPr>
      </w:pPr>
      <w:r>
        <w:rPr>
          <w:rFonts w:ascii="Arial" w:hAnsi="Arial" w:cs="Arial"/>
          <w:color w:val="000000" w:themeColor="text1"/>
        </w:rPr>
        <w:t>En la totalidad de los</w:t>
      </w:r>
      <w:r w:rsidR="00ED76F7" w:rsidRPr="000E0F90">
        <w:rPr>
          <w:rFonts w:ascii="Arial" w:hAnsi="Arial" w:cs="Arial"/>
          <w:color w:val="000000" w:themeColor="text1"/>
        </w:rPr>
        <w:t xml:space="preserve"> territorios mineros bajo estudio</w:t>
      </w:r>
      <w:r w:rsidR="005877CF" w:rsidRPr="000E0F90">
        <w:rPr>
          <w:rFonts w:ascii="Arial" w:hAnsi="Arial" w:cs="Arial"/>
          <w:color w:val="000000" w:themeColor="text1"/>
        </w:rPr>
        <w:t xml:space="preserve"> </w:t>
      </w:r>
      <w:r>
        <w:rPr>
          <w:rFonts w:ascii="Arial" w:hAnsi="Arial" w:cs="Arial"/>
          <w:color w:val="000000" w:themeColor="text1"/>
        </w:rPr>
        <w:t>existen situaciones</w:t>
      </w:r>
      <w:r w:rsidR="002B546D" w:rsidRPr="000E0F90">
        <w:rPr>
          <w:rFonts w:ascii="Arial" w:hAnsi="Arial" w:cs="Arial"/>
          <w:color w:val="000000" w:themeColor="text1"/>
        </w:rPr>
        <w:t xml:space="preserve"> que han fortalecido la gobernanza y civilidad, como es la creciente preocupación social y ecológica de los actores locales y el desarrollo de procesos participativo de proyectos de gran envergadura. </w:t>
      </w:r>
      <w:r w:rsidR="002B546D">
        <w:rPr>
          <w:rFonts w:ascii="Arial" w:hAnsi="Arial" w:cs="Arial"/>
          <w:color w:val="000000" w:themeColor="text1"/>
        </w:rPr>
        <w:t xml:space="preserve">Sin embargo, </w:t>
      </w:r>
      <w:r w:rsidR="005877CF" w:rsidRPr="000E0F90">
        <w:rPr>
          <w:rFonts w:ascii="Arial" w:hAnsi="Arial" w:cs="Arial"/>
          <w:color w:val="000000" w:themeColor="text1"/>
        </w:rPr>
        <w:t xml:space="preserve">se evidencian </w:t>
      </w:r>
      <w:r w:rsidR="00ED76F7" w:rsidRPr="000E0F90">
        <w:rPr>
          <w:rFonts w:ascii="Arial" w:hAnsi="Arial" w:cs="Arial"/>
          <w:color w:val="000000" w:themeColor="text1"/>
        </w:rPr>
        <w:t xml:space="preserve">situaciones que dificultan alcanzar la </w:t>
      </w:r>
      <w:r w:rsidR="005877CF" w:rsidRPr="000E0F90">
        <w:rPr>
          <w:rFonts w:ascii="Arial" w:hAnsi="Arial" w:cs="Arial"/>
          <w:color w:val="000000" w:themeColor="text1"/>
        </w:rPr>
        <w:t xml:space="preserve">gobernanza </w:t>
      </w:r>
      <w:r w:rsidR="00ED76F7" w:rsidRPr="000E0F90">
        <w:rPr>
          <w:rFonts w:ascii="Arial" w:hAnsi="Arial" w:cs="Arial"/>
          <w:color w:val="000000" w:themeColor="text1"/>
        </w:rPr>
        <w:t xml:space="preserve">y civilidad, dado por la falta igualdad de las condiciones de los participantes; la escasa vinculación territorial de los actores; en el débil rol de los participantes; en las escasas atribuciones de las autoridades locales y en la </w:t>
      </w:r>
      <w:r w:rsidR="009F167E" w:rsidRPr="000E0F90">
        <w:rPr>
          <w:rFonts w:ascii="Arial" w:hAnsi="Arial" w:cs="Arial"/>
          <w:color w:val="000000" w:themeColor="text1"/>
        </w:rPr>
        <w:t xml:space="preserve">falta </w:t>
      </w:r>
      <w:r w:rsidR="00ED76F7" w:rsidRPr="000E0F90">
        <w:rPr>
          <w:rFonts w:ascii="Arial" w:hAnsi="Arial" w:cs="Arial"/>
          <w:color w:val="000000" w:themeColor="text1"/>
        </w:rPr>
        <w:t>de políticas de desarrollo originadas desde los territorios.</w:t>
      </w:r>
      <w:r w:rsidR="009F167E" w:rsidRPr="000E0F90">
        <w:rPr>
          <w:rFonts w:ascii="Arial" w:hAnsi="Arial" w:cs="Arial"/>
          <w:color w:val="000000" w:themeColor="text1"/>
        </w:rPr>
        <w:t xml:space="preserve"> </w:t>
      </w:r>
    </w:p>
    <w:p w:rsidR="00DA7EC7" w:rsidRPr="000E0F90" w:rsidRDefault="00DA7EC7" w:rsidP="00702D9A">
      <w:pPr>
        <w:spacing w:line="360" w:lineRule="auto"/>
        <w:rPr>
          <w:rFonts w:ascii="Arial" w:hAnsi="Arial" w:cs="Arial"/>
          <w:color w:val="000000" w:themeColor="text1"/>
        </w:rPr>
      </w:pPr>
      <w:r w:rsidRPr="000E0F90">
        <w:rPr>
          <w:rFonts w:ascii="Arial" w:hAnsi="Arial" w:cs="Arial"/>
          <w:color w:val="000000" w:themeColor="text1"/>
        </w:rPr>
        <w:t>Si bien los procesos de participación ciudadana</w:t>
      </w:r>
      <w:r w:rsidR="00AE39A0" w:rsidRPr="000E0F90">
        <w:rPr>
          <w:rFonts w:ascii="Arial" w:hAnsi="Arial" w:cs="Arial"/>
          <w:color w:val="000000" w:themeColor="text1"/>
        </w:rPr>
        <w:t>,</w:t>
      </w:r>
      <w:r w:rsidRPr="000E0F90">
        <w:rPr>
          <w:rFonts w:ascii="Arial" w:hAnsi="Arial" w:cs="Arial"/>
          <w:color w:val="000000" w:themeColor="text1"/>
        </w:rPr>
        <w:t xml:space="preserve"> impulsados por el Sistema de Evaluación de Impacto Ambiental, han contribuido a la</w:t>
      </w:r>
      <w:r w:rsidR="00AE39A0" w:rsidRPr="000E0F90">
        <w:rPr>
          <w:rFonts w:ascii="Arial" w:hAnsi="Arial" w:cs="Arial"/>
          <w:color w:val="000000" w:themeColor="text1"/>
        </w:rPr>
        <w:t xml:space="preserve"> </w:t>
      </w:r>
      <w:r w:rsidRPr="000E0F90">
        <w:rPr>
          <w:rFonts w:ascii="Arial" w:hAnsi="Arial" w:cs="Arial"/>
          <w:color w:val="000000" w:themeColor="text1"/>
        </w:rPr>
        <w:t>gobernanza, al establecer procesos de toma de decisión abiertos y participativos, aún se evidencian falencias en estos procesos lo cual conlleva a la disconformidad en las comunidades,</w:t>
      </w:r>
      <w:r w:rsidR="006D0B3D" w:rsidRPr="000E0F90">
        <w:rPr>
          <w:rFonts w:ascii="Arial" w:hAnsi="Arial" w:cs="Arial"/>
          <w:color w:val="000000" w:themeColor="text1"/>
        </w:rPr>
        <w:t xml:space="preserve"> d</w:t>
      </w:r>
      <w:r w:rsidR="003B5613" w:rsidRPr="000E0F90">
        <w:rPr>
          <w:rFonts w:ascii="Arial" w:hAnsi="Arial" w:cs="Arial"/>
          <w:color w:val="000000" w:themeColor="text1"/>
        </w:rPr>
        <w:t>ado</w:t>
      </w:r>
      <w:r w:rsidR="007C780A" w:rsidRPr="000E0F90">
        <w:rPr>
          <w:rFonts w:ascii="Arial" w:hAnsi="Arial" w:cs="Arial"/>
          <w:color w:val="000000" w:themeColor="text1"/>
        </w:rPr>
        <w:t xml:space="preserve"> la </w:t>
      </w:r>
      <w:r w:rsidR="007C780A" w:rsidRPr="000E0F90">
        <w:rPr>
          <w:rFonts w:ascii="Arial" w:hAnsi="Arial" w:cs="Arial"/>
          <w:color w:val="000000" w:themeColor="text1"/>
        </w:rPr>
        <w:lastRenderedPageBreak/>
        <w:t>dificultad para acceder a información relevante</w:t>
      </w:r>
      <w:r w:rsidR="006D0B3D" w:rsidRPr="000E0F90">
        <w:rPr>
          <w:rFonts w:ascii="Arial" w:hAnsi="Arial" w:cs="Arial"/>
          <w:color w:val="000000" w:themeColor="text1"/>
        </w:rPr>
        <w:t xml:space="preserve">, la </w:t>
      </w:r>
      <w:r w:rsidR="003B5613" w:rsidRPr="000E0F90">
        <w:rPr>
          <w:rFonts w:ascii="Arial" w:hAnsi="Arial" w:cs="Arial"/>
          <w:color w:val="000000" w:themeColor="text1"/>
        </w:rPr>
        <w:t xml:space="preserve">falta de </w:t>
      </w:r>
      <w:r w:rsidR="006D0B3D" w:rsidRPr="000E0F90">
        <w:rPr>
          <w:rFonts w:ascii="Arial" w:hAnsi="Arial" w:cs="Arial"/>
          <w:color w:val="000000" w:themeColor="text1"/>
        </w:rPr>
        <w:t>inclusión</w:t>
      </w:r>
      <w:r w:rsidR="007C780A" w:rsidRPr="000E0F90">
        <w:rPr>
          <w:rFonts w:ascii="Arial" w:hAnsi="Arial" w:cs="Arial"/>
          <w:color w:val="000000" w:themeColor="text1"/>
        </w:rPr>
        <w:t xml:space="preserve"> y el carácter </w:t>
      </w:r>
      <w:r w:rsidR="003B5613" w:rsidRPr="000E0F90">
        <w:rPr>
          <w:rFonts w:ascii="Arial" w:hAnsi="Arial" w:cs="Arial"/>
          <w:color w:val="000000" w:themeColor="text1"/>
        </w:rPr>
        <w:t xml:space="preserve">no </w:t>
      </w:r>
      <w:r w:rsidR="007C780A" w:rsidRPr="000E0F90">
        <w:rPr>
          <w:rFonts w:ascii="Arial" w:hAnsi="Arial" w:cs="Arial"/>
          <w:color w:val="000000" w:themeColor="text1"/>
        </w:rPr>
        <w:t>vinculante de dichos procesos</w:t>
      </w:r>
      <w:r w:rsidR="006D0B3D" w:rsidRPr="000E0F90">
        <w:rPr>
          <w:rFonts w:ascii="Arial" w:hAnsi="Arial" w:cs="Arial"/>
          <w:color w:val="000000" w:themeColor="text1"/>
        </w:rPr>
        <w:t>, se señalan como las mayores falencias</w:t>
      </w:r>
      <w:r w:rsidR="005F066A" w:rsidRPr="000E0F90">
        <w:rPr>
          <w:rFonts w:ascii="Arial" w:hAnsi="Arial" w:cs="Arial"/>
          <w:color w:val="000000" w:themeColor="text1"/>
        </w:rPr>
        <w:t xml:space="preserve">. </w:t>
      </w:r>
      <w:r w:rsidR="007C780A" w:rsidRPr="000E0F90">
        <w:rPr>
          <w:rFonts w:ascii="Arial" w:hAnsi="Arial" w:cs="Arial"/>
          <w:color w:val="000000" w:themeColor="text1"/>
        </w:rPr>
        <w:t xml:space="preserve">Esta </w:t>
      </w:r>
      <w:r w:rsidR="006D0B3D" w:rsidRPr="000E0F90">
        <w:rPr>
          <w:rFonts w:ascii="Arial" w:hAnsi="Arial" w:cs="Arial"/>
          <w:color w:val="000000" w:themeColor="text1"/>
        </w:rPr>
        <w:t>falta de una gobernanza integral,</w:t>
      </w:r>
      <w:r w:rsidRPr="000E0F90">
        <w:rPr>
          <w:rFonts w:ascii="Arial" w:hAnsi="Arial" w:cs="Arial"/>
          <w:color w:val="000000" w:themeColor="text1"/>
        </w:rPr>
        <w:t xml:space="preserve"> desencadena en manifestaciones y judicialización de proyectos, lo cual es una clara señal de la falta de gobernanza territorial. </w:t>
      </w:r>
    </w:p>
    <w:p w:rsidR="009F167E" w:rsidRPr="000E0F90" w:rsidRDefault="009F167E" w:rsidP="00702D9A">
      <w:pPr>
        <w:spacing w:line="360" w:lineRule="auto"/>
        <w:rPr>
          <w:rFonts w:ascii="Arial" w:hAnsi="Arial" w:cs="Arial"/>
          <w:color w:val="000000" w:themeColor="text1"/>
        </w:rPr>
      </w:pPr>
      <w:r w:rsidRPr="000E0F90">
        <w:rPr>
          <w:rFonts w:ascii="Arial" w:hAnsi="Arial" w:cs="Arial"/>
          <w:color w:val="000000" w:themeColor="text1"/>
        </w:rPr>
        <w:t>De acuerdo a lo expuesto por los entrevistados, se percibe que dichos procesos, se continúa con el modelo de “decidir, anunciar y defender”, sin una estructura que sustente en forma permanente el desarrollo de gobernanza a nivel local, o bien, un proceso de toma de decisión</w:t>
      </w:r>
      <w:r w:rsidR="008831F2">
        <w:rPr>
          <w:rFonts w:ascii="Arial" w:hAnsi="Arial" w:cs="Arial"/>
          <w:color w:val="000000" w:themeColor="text1"/>
        </w:rPr>
        <w:t>,</w:t>
      </w:r>
      <w:r w:rsidRPr="000E0F90">
        <w:rPr>
          <w:rFonts w:ascii="Arial" w:hAnsi="Arial" w:cs="Arial"/>
          <w:color w:val="000000" w:themeColor="text1"/>
        </w:rPr>
        <w:t xml:space="preserve"> vinculante y comprometido con las comunidades y actores relevantes. Situación que es también evidenciada en los procesos de toma de decisión del Sistema de Evaluación Ambiental en Chile, requiriendo un proceso anticipado, cercano a las comunidades locales, que revierta el centralismo y que involucre a todos los actores relevantes </w:t>
      </w:r>
      <w:r w:rsidRPr="000E0F90">
        <w:rPr>
          <w:rFonts w:ascii="Arial" w:hAnsi="Arial" w:cs="Arial"/>
          <w:color w:val="000000" w:themeColor="text1"/>
        </w:rPr>
        <w:fldChar w:fldCharType="begin" w:fldLock="1"/>
      </w:r>
      <w:r w:rsidRPr="000E0F90">
        <w:rPr>
          <w:rFonts w:ascii="Arial" w:hAnsi="Arial" w:cs="Arial"/>
          <w:color w:val="000000" w:themeColor="text1"/>
        </w:rPr>
        <w:instrText>ADDIN CSL_CITATION { "citationItems" : [ { "id" : "ITEM-1", "itemData" : { "DOI" : "10.1016/j.jenvman.2011.05.008", "ISBN" : "0301-4797", "ISSN" : "03014797", "PMID" : "21641109", "abstract" : "The main objective of this paper is to present a critical analysis of the stakeholder participation process within the Environmental Impact Assessment System in Chile, after ca. 14 years of being enforced. This analysis is sustained by the description and analysis of the stakeholder participation possibilities in a representative rural area of North-Central Chile. The Environmental Basis Act 19300, enacted in 1994, considers the participation of the local community in the environmental impact assessment of new projects. However, this possibility is very limited and difficult to exert, often resulting in frustration for the participants. This is due to a number of reasons, such as the imbalance of resources and knowledge among the majority of participating communities and project proponents, the complexity and administrative and legal constraints to participation, and the dominant interest of the Central Government in approving investments, specifically in energy and natural resources related projects, which generate wealth and jobs. Also, the State's rush to develop Internet-based communication and management systems has built a barrier for poor, traditional communities. This factor is clearly reflected in the case study considered. Results show that there is generally a significant lack of knowledge about institutions and participation tools. From this base, we intend to raise concern on these selected aspects that could be addressed to improve the effectiveness of the existing framework, both in Chile and in other developing countries, where immature environmental impact assessment and public management systems face similar pressures in relation to the sustainable use of their natural resources. Finally, some basic steps are proposed in order to make the community participation an effective tool for sustainable development. ?? 2011 Elsevier Ltd.", "author" : [ { "dropping-particle" : "", "family" : "Lostarnau", "given" : "Carla", "non-dropping-particle" : "", "parse-names" : false, "suffix" : "" }, { "dropping-particle" : "", "family" : "Oyarz\u00fan", "given" : "Jorge", "non-dropping-particle" : "", "parse-names" : false, "suffix" : "" }, { "dropping-particle" : "", "family" : "Maturana", "given" : "Hugo", "non-dropping-particle" : "", "parse-names" : false, "suffix" : "" }, { "dropping-particle" : "", "family" : "Soto", "given" : "Guido", "non-dropping-particle" : "", "parse-names" : false, "suffix" : "" }, { "dropping-particle" : "", "family" : "Se\u00f1oret", "given" : "Michelle", "non-dropping-particle" : "", "parse-names" : false, "suffix" : "" }, { "dropping-particle" : "", "family" : "Soto", "given" : "Manuel", "non-dropping-particle" : "", "parse-names" : false, "suffix" : "" }, { "dropping-particle" : "", "family" : "R\u00f6tting", "given" : "Tobias S.", "non-dropping-particle" : "", "parse-names" : false, "suffix" : "" }, { "dropping-particle" : "", "family" : "Amezaga", "given" : "Jaime M.", "non-dropping-particle" : "", "parse-names" : false, "suffix" : "" }, { "dropping-particle" : "", "family" : "Oyarz\u00fan", "given" : "Ricardo", "non-dropping-particle" : "", "parse-names" : false, "suffix" : "" } ], "container-title" : "Journal of Environmental Management", "id" : "ITEM-1", "issue" : "10", "issued" : { "date-parts" : [ [ "2011" ] ] }, "page" : "2470-2478", "publisher" : "Elsevier Ltd", "title" : "Stakeholder participation within the public environmental system in Chile: Major gaps between theory and practice", "type" : "article-journal", "volume" : "92" }, "uris" : [ "http://www.mendeley.com/documents/?uuid=9e462189-3202-4589-988f-598505affede" ] } ], "mendeley" : { "formattedCitation" : "(Lostarnau et al., 2011)", "plainTextFormattedCitation" : "(Lostarnau et al., 2011)", "previouslyFormattedCitation" : "(Lostarnau et al., 2011)"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(Lostarnau et al., 2011)</w:t>
      </w:r>
      <w:r w:rsidRPr="000E0F90">
        <w:rPr>
          <w:rFonts w:ascii="Arial" w:hAnsi="Arial" w:cs="Arial"/>
          <w:color w:val="000000" w:themeColor="text1"/>
        </w:rPr>
        <w:fldChar w:fldCharType="end"/>
      </w:r>
      <w:r w:rsidRPr="000E0F90">
        <w:rPr>
          <w:rFonts w:ascii="Arial" w:hAnsi="Arial" w:cs="Arial"/>
          <w:color w:val="000000" w:themeColor="text1"/>
        </w:rPr>
        <w:t>.</w:t>
      </w:r>
    </w:p>
    <w:p w:rsidR="00C14CD2" w:rsidRPr="000E0F90" w:rsidRDefault="00C14CD2" w:rsidP="00702D9A">
      <w:pPr>
        <w:spacing w:line="360" w:lineRule="auto"/>
        <w:rPr>
          <w:rFonts w:ascii="Arial" w:hAnsi="Arial" w:cs="Arial"/>
          <w:color w:val="000000" w:themeColor="text1"/>
        </w:rPr>
      </w:pPr>
      <w:r w:rsidRPr="000E0F90">
        <w:rPr>
          <w:rFonts w:ascii="Arial" w:hAnsi="Arial" w:cs="Arial"/>
          <w:color w:val="000000" w:themeColor="text1"/>
        </w:rPr>
        <w:t xml:space="preserve">Sobre las capacidades de los actores que participan de los procesos de toma de decisión, existe una marcada desigualdad entre los actores, lo que impide que los procesos de toma de decisión se desarrollen en forma igualitaria, </w:t>
      </w:r>
      <w:r w:rsidR="00ED76F7" w:rsidRPr="000E0F90">
        <w:rPr>
          <w:rFonts w:ascii="Arial" w:hAnsi="Arial" w:cs="Arial"/>
          <w:color w:val="000000" w:themeColor="text1"/>
        </w:rPr>
        <w:t>lo cual</w:t>
      </w:r>
      <w:r w:rsidRPr="000E0F90">
        <w:rPr>
          <w:rFonts w:ascii="Arial" w:hAnsi="Arial" w:cs="Arial"/>
          <w:color w:val="000000" w:themeColor="text1"/>
        </w:rPr>
        <w:t xml:space="preserve"> es una dificultad inminente de los proyectos más complejos y desconocidos, como son los proyectos mineros. </w:t>
      </w:r>
      <w:r w:rsidR="00ED76F7" w:rsidRPr="000E0F90">
        <w:rPr>
          <w:rFonts w:ascii="Arial" w:hAnsi="Arial" w:cs="Arial"/>
          <w:color w:val="000000" w:themeColor="text1"/>
        </w:rPr>
        <w:t>Esta situación ha sido evidenciada</w:t>
      </w:r>
      <w:r w:rsidRPr="000E0F90">
        <w:rPr>
          <w:rFonts w:ascii="Arial" w:hAnsi="Arial" w:cs="Arial"/>
          <w:color w:val="000000" w:themeColor="text1"/>
        </w:rPr>
        <w:t xml:space="preserve"> en los sistemas de participación pública del sistema medioambiental</w:t>
      </w:r>
      <w:r w:rsidR="00ED76F7" w:rsidRPr="000E0F90">
        <w:rPr>
          <w:rFonts w:ascii="Arial" w:hAnsi="Arial" w:cs="Arial"/>
          <w:color w:val="000000" w:themeColor="text1"/>
        </w:rPr>
        <w:t xml:space="preserve"> locales</w:t>
      </w:r>
      <w:r w:rsidR="00374138" w:rsidRPr="000E0F90">
        <w:rPr>
          <w:rFonts w:ascii="Arial" w:hAnsi="Arial" w:cs="Arial"/>
          <w:color w:val="000000" w:themeColor="text1"/>
        </w:rPr>
        <w:t>, destacando la necesidad de mejor</w:t>
      </w:r>
      <w:r w:rsidR="002B2BE3" w:rsidRPr="000E0F90">
        <w:rPr>
          <w:rFonts w:ascii="Arial" w:hAnsi="Arial" w:cs="Arial"/>
          <w:color w:val="000000" w:themeColor="text1"/>
        </w:rPr>
        <w:t xml:space="preserve">ar la capacidad técnica local, </w:t>
      </w:r>
      <w:r w:rsidR="00374138" w:rsidRPr="000E0F90">
        <w:rPr>
          <w:rFonts w:ascii="Arial" w:hAnsi="Arial" w:cs="Arial"/>
          <w:color w:val="000000" w:themeColor="text1"/>
        </w:rPr>
        <w:t xml:space="preserve">de divulgar la información relevante en forma total en los territorio, y asesoría técnica </w:t>
      </w:r>
      <w:r w:rsidR="00844C00" w:rsidRPr="000E0F90">
        <w:rPr>
          <w:rFonts w:ascii="Arial" w:hAnsi="Arial" w:cs="Arial"/>
          <w:color w:val="000000" w:themeColor="text1"/>
        </w:rPr>
        <w:t>complementaria</w:t>
      </w:r>
      <w:r w:rsidR="00374138" w:rsidRPr="000E0F90">
        <w:rPr>
          <w:rFonts w:ascii="Arial" w:hAnsi="Arial" w:cs="Arial"/>
          <w:color w:val="000000" w:themeColor="text1"/>
        </w:rPr>
        <w:t xml:space="preserve"> en los procesos de Evaluación de Impacto Ambiental </w:t>
      </w:r>
      <w:r w:rsidRPr="000E0F90">
        <w:rPr>
          <w:rFonts w:ascii="Arial" w:hAnsi="Arial" w:cs="Arial"/>
          <w:color w:val="000000" w:themeColor="text1"/>
        </w:rPr>
        <w:t>(</w:t>
      </w:r>
      <w:r w:rsidRPr="000E0F90">
        <w:rPr>
          <w:rFonts w:ascii="Arial" w:hAnsi="Arial" w:cs="Arial"/>
          <w:color w:val="000000" w:themeColor="text1"/>
          <w:shd w:val="clear" w:color="auto" w:fill="FFFFFF"/>
        </w:rPr>
        <w:t>Lostarnau et al., 2011</w:t>
      </w:r>
      <w:r w:rsidRPr="000E0F90">
        <w:rPr>
          <w:rFonts w:ascii="Arial" w:hAnsi="Arial" w:cs="Arial"/>
          <w:color w:val="000000" w:themeColor="text1"/>
        </w:rPr>
        <w:t>)</w:t>
      </w:r>
      <w:r w:rsidR="002B2BE3" w:rsidRPr="000E0F90">
        <w:rPr>
          <w:rFonts w:ascii="Arial" w:hAnsi="Arial" w:cs="Arial"/>
          <w:color w:val="000000" w:themeColor="text1"/>
        </w:rPr>
        <w:t>.</w:t>
      </w:r>
    </w:p>
    <w:p w:rsidR="003B5613" w:rsidRPr="000E0F90" w:rsidRDefault="0076352B" w:rsidP="00702D9A">
      <w:pPr>
        <w:spacing w:line="360" w:lineRule="auto"/>
        <w:rPr>
          <w:rFonts w:ascii="Arial" w:hAnsi="Arial" w:cs="Arial"/>
          <w:color w:val="000000" w:themeColor="text1"/>
          <w:sz w:val="20"/>
          <w:szCs w:val="20"/>
        </w:rPr>
      </w:pPr>
      <w:r w:rsidRPr="000E0F90">
        <w:rPr>
          <w:rFonts w:ascii="Arial" w:hAnsi="Arial" w:cs="Arial"/>
          <w:color w:val="000000" w:themeColor="text1"/>
        </w:rPr>
        <w:t xml:space="preserve">La vinculación </w:t>
      </w:r>
      <w:r w:rsidR="00BC5183" w:rsidRPr="000E0F90">
        <w:rPr>
          <w:rFonts w:ascii="Arial" w:hAnsi="Arial" w:cs="Arial"/>
          <w:color w:val="000000" w:themeColor="text1"/>
        </w:rPr>
        <w:t>de las actividades productivas a los territorios</w:t>
      </w:r>
      <w:r w:rsidRPr="000E0F90">
        <w:rPr>
          <w:rFonts w:ascii="Arial" w:hAnsi="Arial" w:cs="Arial"/>
          <w:b/>
          <w:color w:val="000000" w:themeColor="text1"/>
        </w:rPr>
        <w:t>,</w:t>
      </w:r>
      <w:r w:rsidRPr="000E0F90">
        <w:rPr>
          <w:rFonts w:ascii="Arial" w:hAnsi="Arial" w:cs="Arial"/>
          <w:color w:val="000000" w:themeColor="text1"/>
        </w:rPr>
        <w:t xml:space="preserve"> entendida como el establecimiento de relaciones </w:t>
      </w:r>
      <w:r w:rsidR="00E61754" w:rsidRPr="000E0F90">
        <w:rPr>
          <w:rFonts w:ascii="Arial" w:hAnsi="Arial" w:cs="Arial"/>
          <w:color w:val="000000" w:themeColor="text1"/>
        </w:rPr>
        <w:t xml:space="preserve">con actores locales a través de encadenamientos productivos, contratación de mano de obra, transferencia tecnológica, participación en organizaciones sociales, </w:t>
      </w:r>
      <w:r w:rsidRPr="000E0F90">
        <w:rPr>
          <w:rFonts w:ascii="Arial" w:hAnsi="Arial" w:cs="Arial"/>
          <w:color w:val="000000" w:themeColor="text1"/>
        </w:rPr>
        <w:t>e</w:t>
      </w:r>
      <w:r w:rsidR="00E61754" w:rsidRPr="000E0F90">
        <w:rPr>
          <w:rFonts w:ascii="Arial" w:hAnsi="Arial" w:cs="Arial"/>
          <w:color w:val="000000" w:themeColor="text1"/>
        </w:rPr>
        <w:t>ntre otros aspectos, no se</w:t>
      </w:r>
      <w:r w:rsidR="00BC5183" w:rsidRPr="000E0F90">
        <w:rPr>
          <w:rFonts w:ascii="Arial" w:hAnsi="Arial" w:cs="Arial"/>
          <w:color w:val="000000" w:themeColor="text1"/>
        </w:rPr>
        <w:t xml:space="preserve"> ha evidenciado en </w:t>
      </w:r>
      <w:r w:rsidR="008831F2">
        <w:rPr>
          <w:rFonts w:ascii="Arial" w:hAnsi="Arial" w:cs="Arial"/>
          <w:color w:val="000000" w:themeColor="text1"/>
        </w:rPr>
        <w:t>Tierra Amarilla, y sólo de forma parcial en Salamanca</w:t>
      </w:r>
      <w:r w:rsidR="00663DCF" w:rsidRPr="000E0F90">
        <w:rPr>
          <w:rFonts w:ascii="Arial" w:hAnsi="Arial" w:cs="Arial"/>
          <w:color w:val="000000" w:themeColor="text1"/>
        </w:rPr>
        <w:t>.</w:t>
      </w:r>
      <w:r w:rsidR="00A22CA3" w:rsidRPr="000E0F90">
        <w:rPr>
          <w:rFonts w:ascii="Arial" w:hAnsi="Arial" w:cs="Arial"/>
          <w:color w:val="000000" w:themeColor="text1"/>
        </w:rPr>
        <w:t xml:space="preserve"> </w:t>
      </w:r>
      <w:r w:rsidR="00BC5183" w:rsidRPr="000E0F90">
        <w:rPr>
          <w:rFonts w:ascii="Arial" w:hAnsi="Arial" w:cs="Arial"/>
          <w:color w:val="000000" w:themeColor="text1"/>
        </w:rPr>
        <w:t>Existiendo únicamente vinculación de las actividades agrícolas</w:t>
      </w:r>
      <w:r w:rsidR="008831F2">
        <w:rPr>
          <w:rFonts w:ascii="Arial" w:hAnsi="Arial" w:cs="Arial"/>
          <w:color w:val="000000" w:themeColor="text1"/>
        </w:rPr>
        <w:t xml:space="preserve"> en la totalidad de los territorios.</w:t>
      </w:r>
      <w:r w:rsidR="00BC5183" w:rsidRPr="000E0F90">
        <w:rPr>
          <w:rFonts w:ascii="Arial" w:hAnsi="Arial" w:cs="Arial"/>
          <w:color w:val="000000" w:themeColor="text1"/>
        </w:rPr>
        <w:t xml:space="preserve"> </w:t>
      </w:r>
      <w:r w:rsidR="00A22CA3" w:rsidRPr="000E0F90">
        <w:rPr>
          <w:rFonts w:ascii="Arial" w:hAnsi="Arial" w:cs="Arial"/>
          <w:color w:val="000000" w:themeColor="text1"/>
        </w:rPr>
        <w:t>Situaci</w:t>
      </w:r>
      <w:r w:rsidR="00BC5183" w:rsidRPr="000E0F90">
        <w:rPr>
          <w:rFonts w:ascii="Arial" w:hAnsi="Arial" w:cs="Arial"/>
          <w:color w:val="000000" w:themeColor="text1"/>
        </w:rPr>
        <w:t xml:space="preserve">ón que se observa en otros territorios mineros nacionales como la región de Antofagasta </w:t>
      </w:r>
      <w:r w:rsidR="00BC5183" w:rsidRPr="000E0F90">
        <w:rPr>
          <w:rFonts w:ascii="Arial" w:hAnsi="Arial" w:cs="Arial"/>
          <w:color w:val="000000" w:themeColor="text1"/>
        </w:rPr>
        <w:fldChar w:fldCharType="begin" w:fldLock="1"/>
      </w:r>
      <w:r w:rsidR="00EC4715" w:rsidRPr="000E0F90">
        <w:rPr>
          <w:rFonts w:ascii="Arial" w:hAnsi="Arial" w:cs="Arial"/>
          <w:color w:val="000000" w:themeColor="text1"/>
        </w:rPr>
        <w:instrText>ADDIN CSL_CITATION { "citationItems" : [ { "id" : "ITEM-1", "itemData" : { "DOI" : "10.1093/jeg/lbt007", "ISBN" : "1468-2702", "ISSN" : "14682702", "abstract" : "Various regions have recently proposed the creation of clusters around large-scale mining. However, until the 1980s, mining regions were predominantly considered productive enclaves. This article analyzes the case of the Antofagasta Region, the main mining region in Chile. A descriptive analysis is put forward that addresses the ideal types of the mining cluster and enclave, establishing as criteria of comparison the mechanisms proposed by Marshall as sources of agglomeration economies. Despite strong growth, the Antofagasta Region approximates more a mining enclave than a cluster. This implies the need to revise and adapt the concept of enclave to the current reality. [PUBLICATION ABSTRACT]", "author" : [ { "dropping-particle" : "", "family" : "Arias", "given" : "Mart\u00edn", "non-dropping-particle" : "", "parse-names" : false, "suffix" : "" }, { "dropping-particle" : "", "family" : "Atienza", "given" : "Miguel", "non-dropping-particle" : "", "parse-names" : false, "suffix" : "" }, { "dropping-particle" : "", "family" : "Cademartori", "given" : "Jan", "non-dropping-particle" : "", "parse-names" : false, "suffix" : "" } ], "container-title" : "Journal of Economic Geography", "id" : "ITEM-1", "issue" : "May 2013", "issued" : { "date-parts" : [ [ "2014" ] ] }, "page" : "73-95", "title" : "Large mining enterprises and regional development in Chile: Between the enclave and cluster", "type" : "article-journal", "volume" : "14" }, "uris" : [ "http://www.mendeley.com/documents/?uuid=62be2dcb-9e8a-46de-8e66-caba499396fb" ] } ], "mendeley" : { "formattedCitation" : "(Arias et al., 2014)", "plainTextFormattedCitation" : "(Arias et al., 2014)", "previouslyFormattedCitation" : "(Arias et al., 2014)" }, "properties" : { "noteIndex" : 0 }, "schema" : "https://github.com/citation-style-language/schema/raw/master/csl-citation.json" }</w:instrText>
      </w:r>
      <w:r w:rsidR="00BC5183" w:rsidRPr="000E0F90">
        <w:rPr>
          <w:rFonts w:ascii="Arial" w:hAnsi="Arial" w:cs="Arial"/>
          <w:color w:val="000000" w:themeColor="text1"/>
        </w:rPr>
        <w:fldChar w:fldCharType="separate"/>
      </w:r>
      <w:r w:rsidR="00BC5183" w:rsidRPr="000E0F90">
        <w:rPr>
          <w:rFonts w:ascii="Arial" w:hAnsi="Arial" w:cs="Arial"/>
          <w:noProof/>
          <w:color w:val="000000" w:themeColor="text1"/>
        </w:rPr>
        <w:t>(Arias et al., 2014)</w:t>
      </w:r>
      <w:r w:rsidR="00BC5183" w:rsidRPr="000E0F90">
        <w:rPr>
          <w:rFonts w:ascii="Arial" w:hAnsi="Arial" w:cs="Arial"/>
          <w:color w:val="000000" w:themeColor="text1"/>
        </w:rPr>
        <w:fldChar w:fldCharType="end"/>
      </w:r>
      <w:r w:rsidR="00663DCF" w:rsidRPr="000E0F90">
        <w:rPr>
          <w:rFonts w:ascii="Arial" w:hAnsi="Arial" w:cs="Arial"/>
          <w:color w:val="000000" w:themeColor="text1"/>
        </w:rPr>
        <w:t xml:space="preserve"> </w:t>
      </w:r>
      <w:r w:rsidR="00BC5183" w:rsidRPr="000E0F90">
        <w:rPr>
          <w:rFonts w:ascii="Arial" w:hAnsi="Arial" w:cs="Arial"/>
          <w:color w:val="000000" w:themeColor="text1"/>
        </w:rPr>
        <w:t>lo que se traduce que menores beneficios de la minería se perciban en los territorios.</w:t>
      </w:r>
    </w:p>
    <w:p w:rsidR="00663DCF" w:rsidRPr="000E0F90" w:rsidRDefault="0076352B" w:rsidP="00702D9A">
      <w:pPr>
        <w:spacing w:line="360" w:lineRule="auto"/>
        <w:rPr>
          <w:rFonts w:ascii="Arial" w:hAnsi="Arial" w:cs="Arial"/>
          <w:color w:val="000000" w:themeColor="text1"/>
          <w:szCs w:val="20"/>
        </w:rPr>
      </w:pPr>
      <w:r w:rsidRPr="000E0F90">
        <w:rPr>
          <w:rFonts w:ascii="Arial" w:hAnsi="Arial" w:cs="Arial"/>
          <w:color w:val="000000" w:themeColor="text1"/>
          <w:szCs w:val="20"/>
        </w:rPr>
        <w:t xml:space="preserve">Respecto al fortalecimiento del rol de los actores sociales, se evidencia en forma transversal la debilidad del rol del estado en la provisión de servicios públicos básicos, </w:t>
      </w:r>
      <w:r w:rsidRPr="000E0F90">
        <w:rPr>
          <w:rFonts w:ascii="Arial" w:hAnsi="Arial" w:cs="Arial"/>
          <w:color w:val="000000" w:themeColor="text1"/>
          <w:szCs w:val="20"/>
        </w:rPr>
        <w:lastRenderedPageBreak/>
        <w:t>en la aplicación y levantamiento de normativas medioambientales, en asegurar la efectividad de los instrumentos de capitalización minera local (i.e. royalty), la administración equitativa y sostenible de los recursos hídricos</w:t>
      </w:r>
      <w:r w:rsidR="00400262" w:rsidRPr="000E0F90">
        <w:rPr>
          <w:rFonts w:ascii="Arial" w:hAnsi="Arial" w:cs="Arial"/>
          <w:color w:val="000000" w:themeColor="text1"/>
          <w:szCs w:val="20"/>
        </w:rPr>
        <w:t>, en el desarrollo de políticas de desarrollo local y en regular las relaciones que se establecen entre los actores sociales</w:t>
      </w:r>
      <w:r w:rsidR="00374138" w:rsidRPr="000E0F90">
        <w:rPr>
          <w:rFonts w:ascii="Arial" w:hAnsi="Arial" w:cs="Arial"/>
          <w:color w:val="000000" w:themeColor="text1"/>
          <w:szCs w:val="20"/>
        </w:rPr>
        <w:t xml:space="preserve">. </w:t>
      </w:r>
      <w:r w:rsidR="00AB0F2F" w:rsidRPr="000E0F90">
        <w:rPr>
          <w:rFonts w:ascii="Arial" w:hAnsi="Arial" w:cs="Arial"/>
          <w:color w:val="000000" w:themeColor="text1"/>
          <w:szCs w:val="20"/>
        </w:rPr>
        <w:t xml:space="preserve">Situación que se puede atribuir al incremento de la demanda por marcos institucionales que gatilla la llegada de grandes proyectos mineros lo que repercute en dificultades en la regulación de las operaciones mineras </w:t>
      </w:r>
      <w:r w:rsidR="00AB0F2F" w:rsidRPr="000E0F90">
        <w:rPr>
          <w:rFonts w:ascii="Arial" w:hAnsi="Arial" w:cs="Arial"/>
          <w:color w:val="000000" w:themeColor="text1"/>
          <w:szCs w:val="20"/>
        </w:rPr>
        <w:fldChar w:fldCharType="begin" w:fldLock="1"/>
      </w:r>
      <w:r w:rsidR="00BC5183" w:rsidRPr="000E0F90">
        <w:rPr>
          <w:rFonts w:ascii="Arial" w:hAnsi="Arial" w:cs="Arial"/>
          <w:color w:val="000000" w:themeColor="text1"/>
          <w:szCs w:val="20"/>
        </w:rPr>
        <w:instrText>ADDIN CSL_CITATION { "citationItems" : [ { "id" : "ITEM-1", "itemData" : { "DOI" : "10.1016/j.resourpol.2016.06.009", "ISBN" : "0301-4207", "ISSN" : "03014207", "abstract" : "In 2009, Greenland received greater autonomy from Denmark and the right to elect government and parliament, the former gaining sovereignty and administration over a number of areas including mineral resources. Since then, the development of mining industry has been forcefully promoted by Greenland's self-government. The political discourse of decision-makers has stressed the importance of sustainability in developing the mining industry, and in particular the social component of sustainability. This article analyses the social sustainability approach of national mining policy and the rapidly evolving governance for mining in Greenland. Findings suggest that Greenland has been proactive in establishing an internationally ambitious governance framework for social sustainability in mining. Mining is perceived to be a contributor to social sustainability through increased economic growth, employment and skills development. Government mining policy and governance framework have not always received the support of local communities and in response the legal framework has been further developed to better promote local participation in mining governance. However, the analysis proposes that despite the discourse around social sustainability, mining policy and governance prioritize economic aspects, giving environmental and social considerations a lower priority.", "author" : [ { "dropping-particle" : "", "family" : "Tiainen", "given" : "Heidi", "non-dropping-particle" : "", "parse-names" : false, "suffix" : "" } ], "container-title" : "Resources Policy", "id" : "ITEM-1", "issued" : { "date-parts" : [ [ "2016" ] ] }, "page" : "282-289", "publisher" : "Elsevier", "title" : "Contemplating governance for social sustainability in mining in Greenland", "type" : "article-journal", "volume" : "49" }, "uris" : [ "http://www.mendeley.com/documents/?uuid=79201f51-560e-4872-8826-3ae076543a5d" ] } ], "mendeley" : { "formattedCitation" : "(Tiainen, 2016)", "plainTextFormattedCitation" : "(Tiainen, 2016)", "previouslyFormattedCitation" : "(Tiainen, 2016)" }, "properties" : { "noteIndex" : 0 }, "schema" : "https://github.com/citation-style-language/schema/raw/master/csl-citation.json" }</w:instrText>
      </w:r>
      <w:r w:rsidR="00AB0F2F" w:rsidRPr="000E0F90">
        <w:rPr>
          <w:rFonts w:ascii="Arial" w:hAnsi="Arial" w:cs="Arial"/>
          <w:color w:val="000000" w:themeColor="text1"/>
          <w:szCs w:val="20"/>
        </w:rPr>
        <w:fldChar w:fldCharType="separate"/>
      </w:r>
      <w:r w:rsidR="00AB0F2F" w:rsidRPr="000E0F90">
        <w:rPr>
          <w:rFonts w:ascii="Arial" w:hAnsi="Arial" w:cs="Arial"/>
          <w:noProof/>
          <w:color w:val="000000" w:themeColor="text1"/>
          <w:szCs w:val="20"/>
        </w:rPr>
        <w:t>(Tiainen, 2016)</w:t>
      </w:r>
      <w:r w:rsidR="00AB0F2F" w:rsidRPr="000E0F90">
        <w:rPr>
          <w:rFonts w:ascii="Arial" w:hAnsi="Arial" w:cs="Arial"/>
          <w:color w:val="000000" w:themeColor="text1"/>
          <w:szCs w:val="20"/>
        </w:rPr>
        <w:fldChar w:fldCharType="end"/>
      </w:r>
      <w:r w:rsidR="00AB0F2F" w:rsidRPr="000E0F90">
        <w:rPr>
          <w:rFonts w:ascii="Arial" w:hAnsi="Arial" w:cs="Arial"/>
          <w:color w:val="000000" w:themeColor="text1"/>
          <w:szCs w:val="20"/>
        </w:rPr>
        <w:t xml:space="preserve">. </w:t>
      </w:r>
    </w:p>
    <w:p w:rsidR="00820725" w:rsidRPr="000E0F90" w:rsidRDefault="00820725" w:rsidP="00702D9A">
      <w:pPr>
        <w:spacing w:line="360" w:lineRule="auto"/>
        <w:rPr>
          <w:rFonts w:ascii="Arial" w:hAnsi="Arial" w:cs="Arial"/>
          <w:color w:val="000000" w:themeColor="text1"/>
          <w:szCs w:val="20"/>
        </w:rPr>
      </w:pPr>
      <w:r w:rsidRPr="000E0F90">
        <w:rPr>
          <w:rFonts w:ascii="Arial" w:hAnsi="Arial" w:cs="Arial"/>
          <w:color w:val="000000" w:themeColor="text1"/>
          <w:szCs w:val="20"/>
        </w:rPr>
        <w:t>Por otra parte, el rol de las comunidades locales, no es considerado como un actor con igual nivel de importancia por las compañías mineras, así como por las instituciones vigentes. Lo cual se podría relacionar con la falta de claridad respecto a su</w:t>
      </w:r>
      <w:r w:rsidR="006E0ED8" w:rsidRPr="000E0F90">
        <w:rPr>
          <w:rFonts w:ascii="Arial" w:hAnsi="Arial" w:cs="Arial"/>
          <w:color w:val="000000" w:themeColor="text1"/>
          <w:szCs w:val="20"/>
        </w:rPr>
        <w:t xml:space="preserve"> rol  y poder dentro de la gobernanza local (Cheney</w:t>
      </w:r>
      <w:r w:rsidR="008831F2">
        <w:rPr>
          <w:rFonts w:ascii="Arial" w:hAnsi="Arial" w:cs="Arial"/>
          <w:color w:val="000000" w:themeColor="text1"/>
          <w:szCs w:val="20"/>
        </w:rPr>
        <w:t xml:space="preserve"> </w:t>
      </w:r>
      <w:r w:rsidR="006E0ED8" w:rsidRPr="000E0F90">
        <w:rPr>
          <w:rFonts w:ascii="Arial" w:hAnsi="Arial" w:cs="Arial"/>
          <w:color w:val="000000" w:themeColor="text1"/>
          <w:szCs w:val="20"/>
        </w:rPr>
        <w:t>et</w:t>
      </w:r>
      <w:r w:rsidR="008831F2">
        <w:rPr>
          <w:rFonts w:ascii="Arial" w:hAnsi="Arial" w:cs="Arial"/>
          <w:color w:val="000000" w:themeColor="text1"/>
          <w:szCs w:val="20"/>
        </w:rPr>
        <w:t xml:space="preserve"> </w:t>
      </w:r>
      <w:r w:rsidR="006E0ED8" w:rsidRPr="000E0F90">
        <w:rPr>
          <w:rFonts w:ascii="Arial" w:hAnsi="Arial" w:cs="Arial"/>
          <w:color w:val="000000" w:themeColor="text1"/>
          <w:szCs w:val="20"/>
        </w:rPr>
        <w:t xml:space="preserve">al., 2002), lo que se relaciona con la progresiva emergencia de estándares de derechos de las comunidades, en el marco de los derechos humanos así como con la “licencia social para operar” </w:t>
      </w:r>
      <w:sdt>
        <w:sdtPr>
          <w:rPr>
            <w:rFonts w:ascii="Arial" w:hAnsi="Arial" w:cs="Arial"/>
            <w:color w:val="000000" w:themeColor="text1"/>
            <w:szCs w:val="20"/>
          </w:rPr>
          <w:id w:val="312231295"/>
          <w:citation/>
        </w:sdtPr>
        <w:sdtEndPr/>
        <w:sdtContent>
          <w:r w:rsidR="006E0ED8" w:rsidRPr="000E0F90">
            <w:rPr>
              <w:rFonts w:ascii="Arial" w:hAnsi="Arial" w:cs="Arial"/>
              <w:color w:val="000000" w:themeColor="text1"/>
              <w:szCs w:val="20"/>
            </w:rPr>
            <w:fldChar w:fldCharType="begin"/>
          </w:r>
          <w:r w:rsidR="006E0ED8" w:rsidRPr="000E0F90">
            <w:rPr>
              <w:rFonts w:ascii="Arial" w:hAnsi="Arial" w:cs="Arial"/>
              <w:color w:val="000000" w:themeColor="text1"/>
              <w:szCs w:val="20"/>
            </w:rPr>
            <w:instrText xml:space="preserve"> CITATION Gas16 \l 13322 </w:instrText>
          </w:r>
          <w:r w:rsidR="006E0ED8" w:rsidRPr="000E0F90">
            <w:rPr>
              <w:rFonts w:ascii="Arial" w:hAnsi="Arial" w:cs="Arial"/>
              <w:color w:val="000000" w:themeColor="text1"/>
              <w:szCs w:val="20"/>
            </w:rPr>
            <w:fldChar w:fldCharType="separate"/>
          </w:r>
          <w:r w:rsidR="008D0261" w:rsidRPr="000E0F90">
            <w:rPr>
              <w:rFonts w:ascii="Arial" w:hAnsi="Arial" w:cs="Arial"/>
              <w:noProof/>
              <w:color w:val="000000" w:themeColor="text1"/>
              <w:szCs w:val="20"/>
            </w:rPr>
            <w:t>(Gastó, Gálvez, Subercauseaux, &amp; Fuentes, 2015)</w:t>
          </w:r>
          <w:r w:rsidR="006E0ED8" w:rsidRPr="000E0F90">
            <w:rPr>
              <w:rFonts w:ascii="Arial" w:hAnsi="Arial" w:cs="Arial"/>
              <w:color w:val="000000" w:themeColor="text1"/>
              <w:szCs w:val="20"/>
            </w:rPr>
            <w:fldChar w:fldCharType="end"/>
          </w:r>
        </w:sdtContent>
      </w:sdt>
      <w:r w:rsidR="006E0ED8" w:rsidRPr="000E0F90">
        <w:rPr>
          <w:rFonts w:ascii="Arial" w:hAnsi="Arial" w:cs="Arial"/>
          <w:color w:val="000000" w:themeColor="text1"/>
          <w:szCs w:val="20"/>
        </w:rPr>
        <w:t>.</w:t>
      </w:r>
      <w:r w:rsidRPr="000E0F90">
        <w:rPr>
          <w:rFonts w:ascii="Arial" w:hAnsi="Arial" w:cs="Arial"/>
          <w:color w:val="000000" w:themeColor="text1"/>
          <w:szCs w:val="20"/>
        </w:rPr>
        <w:t xml:space="preserve"> </w:t>
      </w:r>
    </w:p>
    <w:p w:rsidR="0076352B" w:rsidRPr="000E0F90" w:rsidRDefault="0076352B" w:rsidP="00702D9A">
      <w:pPr>
        <w:spacing w:line="360" w:lineRule="auto"/>
        <w:rPr>
          <w:rFonts w:ascii="Arial" w:hAnsi="Arial" w:cs="Arial"/>
          <w:color w:val="000000" w:themeColor="text1"/>
          <w:szCs w:val="20"/>
        </w:rPr>
      </w:pPr>
      <w:r w:rsidRPr="000E0F90">
        <w:rPr>
          <w:rFonts w:ascii="Arial" w:hAnsi="Arial" w:cs="Arial"/>
          <w:color w:val="000000" w:themeColor="text1"/>
          <w:szCs w:val="20"/>
        </w:rPr>
        <w:t>En cuanto a las compañ</w:t>
      </w:r>
      <w:r w:rsidR="00400262" w:rsidRPr="000E0F90">
        <w:rPr>
          <w:rFonts w:ascii="Arial" w:hAnsi="Arial" w:cs="Arial"/>
          <w:color w:val="000000" w:themeColor="text1"/>
          <w:szCs w:val="20"/>
        </w:rPr>
        <w:t>ías mineras, dado la debilidad del rol del estado en la provisión de servicios básicos y en desarrollar infraestructura local para el mejoramiento de la calidad de vida. Éstas han suplido dicho rol, a través de la entrega de beneficios económicos, sociales y de fomento producto.</w:t>
      </w:r>
      <w:r w:rsidR="00374138" w:rsidRPr="000E0F90">
        <w:rPr>
          <w:rFonts w:ascii="Arial" w:hAnsi="Arial" w:cs="Arial"/>
          <w:color w:val="000000" w:themeColor="text1"/>
          <w:szCs w:val="20"/>
        </w:rPr>
        <w:t xml:space="preserve"> </w:t>
      </w:r>
    </w:p>
    <w:p w:rsidR="008831F2" w:rsidRDefault="0076352B" w:rsidP="008831F2">
      <w:pPr>
        <w:pStyle w:val="NormalWeb"/>
        <w:spacing w:before="0" w:beforeAutospacing="0" w:after="0" w:afterAutospacing="0" w:line="360" w:lineRule="auto"/>
        <w:textAlignment w:val="center"/>
        <w:rPr>
          <w:rFonts w:ascii="Arial" w:hAnsi="Arial" w:cs="Arial"/>
          <w:color w:val="000000" w:themeColor="text1"/>
          <w:kern w:val="24"/>
          <w:sz w:val="22"/>
        </w:rPr>
      </w:pPr>
      <w:r w:rsidRPr="000E0F90">
        <w:rPr>
          <w:rFonts w:ascii="Arial" w:hAnsi="Arial" w:cs="Arial"/>
          <w:color w:val="000000" w:themeColor="text1"/>
          <w:kern w:val="24"/>
          <w:sz w:val="22"/>
        </w:rPr>
        <w:t xml:space="preserve">Respecto a las políticas de desarrollo territorial, </w:t>
      </w:r>
      <w:r w:rsidR="00400262" w:rsidRPr="000E0F90">
        <w:rPr>
          <w:rFonts w:ascii="Arial" w:hAnsi="Arial" w:cs="Arial"/>
          <w:color w:val="000000" w:themeColor="text1"/>
          <w:kern w:val="24"/>
          <w:sz w:val="22"/>
        </w:rPr>
        <w:t xml:space="preserve">éstas son impulsadas desde el gobierno central, desarrollándose iniciativas </w:t>
      </w:r>
      <w:r w:rsidR="003C077E" w:rsidRPr="000E0F90">
        <w:rPr>
          <w:rFonts w:ascii="Arial" w:hAnsi="Arial" w:cs="Arial"/>
          <w:color w:val="000000" w:themeColor="text1"/>
          <w:kern w:val="24"/>
          <w:sz w:val="22"/>
        </w:rPr>
        <w:t>de fomento</w:t>
      </w:r>
      <w:r w:rsidR="00400262" w:rsidRPr="000E0F90">
        <w:rPr>
          <w:rFonts w:ascii="Arial" w:hAnsi="Arial" w:cs="Arial"/>
          <w:color w:val="000000" w:themeColor="text1"/>
          <w:kern w:val="24"/>
          <w:sz w:val="22"/>
        </w:rPr>
        <w:t xml:space="preserve"> en relación a actividades</w:t>
      </w:r>
      <w:r w:rsidR="003C077E" w:rsidRPr="000E0F90">
        <w:rPr>
          <w:rFonts w:ascii="Arial" w:hAnsi="Arial" w:cs="Arial"/>
          <w:color w:val="000000" w:themeColor="text1"/>
          <w:kern w:val="24"/>
          <w:sz w:val="22"/>
        </w:rPr>
        <w:t xml:space="preserve"> agrícolas locales. </w:t>
      </w:r>
      <w:r w:rsidR="00844C00" w:rsidRPr="000E0F90">
        <w:rPr>
          <w:rFonts w:ascii="Arial" w:hAnsi="Arial" w:cs="Arial"/>
          <w:color w:val="000000" w:themeColor="text1"/>
          <w:kern w:val="24"/>
          <w:sz w:val="22"/>
        </w:rPr>
        <w:t xml:space="preserve">Esta situación ha sido evidenciada por </w:t>
      </w:r>
      <w:r w:rsidR="00844C00" w:rsidRPr="000E0F90">
        <w:rPr>
          <w:rFonts w:ascii="Arial" w:hAnsi="Arial" w:cs="Arial"/>
          <w:color w:val="000000" w:themeColor="text1"/>
          <w:kern w:val="24"/>
          <w:sz w:val="22"/>
        </w:rPr>
        <w:fldChar w:fldCharType="begin" w:fldLock="1"/>
      </w:r>
      <w:r w:rsidR="002B2BE3" w:rsidRPr="000E0F90">
        <w:rPr>
          <w:rFonts w:ascii="Arial" w:hAnsi="Arial" w:cs="Arial"/>
          <w:color w:val="000000" w:themeColor="text1"/>
          <w:kern w:val="24"/>
          <w:sz w:val="22"/>
        </w:rPr>
        <w:instrText>ADDIN CSL_CITATION { "citationItems" : [ { "id" : "ITEM-1", "itemData" : { "DOI" : "10.1080/17480930.2015.1128799", "ISSN" : "1748-0930", "abstract" : "Chile is the principal producer of copper with a total of 5.8\u00a0million tonnes fine copper production in 2013. Chilean mining industry currently faces a projected increase in waste production, depleting water resources in the arid mining regions of the north and a lack of fossil fuel energy sources. In this study, a review of the historical background of environmental practices in Chile is presented, focused between 1970 and 2010. A review of the current state of sustainable development, comprising energy, water, stakeholder participation, environmental impacts and institutional decentralisation in the mining industry is presented.", "author" : [ { "dropping-particle" : "", "family" : "Ghorbani", "given" : "Yousef", "non-dropping-particle" : "", "parse-names" : false, "suffix" : "" }, { "dropping-particle" : "", "family" : "Kuan", "given" : "Seng How", "non-dropping-particle" : "", "parse-names" : false, "suffix" : "" } ], "container-title" : "International Journal of Mining, Reclamation and Environment", "id" : "ITEM-1", "issue" : "February", "issued" : { "date-parts" : [ [ "2016" ] ] }, "note" : "NULL", "page" : "1-29", "publisher" : "Taylor &amp; Francis", "title" : "A review of sustainable development in the Chilean mining sector: past, present and future", "type" : "article-journal", "volume" : "0930" }, "uris" : [ "http://www.mendeley.com/documents/?uuid=ba6630bb-3cdb-4443-b119-f6b6f68bafa7" ] } ], "mendeley" : { "formattedCitation" : "(Ghorbani &amp; Kuan, 2016)", "plainTextFormattedCitation" : "(Ghorbani &amp; Kuan, 2016)", "previouslyFormattedCitation" : "(Ghorbani &amp; Kuan, 2016)" }, "properties" : { "noteIndex" : 0 }, "schema" : "https://github.com/citation-style-language/schema/raw/master/csl-citation.json" }</w:instrText>
      </w:r>
      <w:r w:rsidR="00844C00" w:rsidRPr="000E0F90">
        <w:rPr>
          <w:rFonts w:ascii="Arial" w:hAnsi="Arial" w:cs="Arial"/>
          <w:color w:val="000000" w:themeColor="text1"/>
          <w:kern w:val="24"/>
          <w:sz w:val="22"/>
        </w:rPr>
        <w:fldChar w:fldCharType="separate"/>
      </w:r>
      <w:r w:rsidR="00844C00" w:rsidRPr="000E0F90">
        <w:rPr>
          <w:rFonts w:ascii="Arial" w:hAnsi="Arial" w:cs="Arial"/>
          <w:noProof/>
          <w:color w:val="000000" w:themeColor="text1"/>
          <w:kern w:val="24"/>
          <w:sz w:val="22"/>
        </w:rPr>
        <w:t>(Ghorbani &amp; Kuan, 2016)</w:t>
      </w:r>
      <w:r w:rsidR="00844C00" w:rsidRPr="000E0F90">
        <w:rPr>
          <w:rFonts w:ascii="Arial" w:hAnsi="Arial" w:cs="Arial"/>
          <w:color w:val="000000" w:themeColor="text1"/>
          <w:kern w:val="24"/>
          <w:sz w:val="22"/>
        </w:rPr>
        <w:fldChar w:fldCharType="end"/>
      </w:r>
      <w:r w:rsidR="008831F2" w:rsidRPr="008831F2">
        <w:rPr>
          <w:rFonts w:ascii="Arial" w:hAnsi="Arial" w:cs="Arial"/>
          <w:color w:val="000000" w:themeColor="text1"/>
          <w:kern w:val="24"/>
          <w:sz w:val="22"/>
        </w:rPr>
        <w:t xml:space="preserve"> </w:t>
      </w:r>
      <w:r w:rsidR="008831F2" w:rsidRPr="000E0F90">
        <w:rPr>
          <w:rFonts w:ascii="Arial" w:hAnsi="Arial" w:cs="Arial"/>
          <w:color w:val="000000" w:themeColor="text1"/>
          <w:kern w:val="24"/>
          <w:sz w:val="22"/>
        </w:rPr>
        <w:fldChar w:fldCharType="begin" w:fldLock="1"/>
      </w:r>
      <w:r w:rsidR="008831F2" w:rsidRPr="000E0F90">
        <w:rPr>
          <w:rFonts w:ascii="Arial" w:hAnsi="Arial" w:cs="Arial"/>
          <w:color w:val="000000" w:themeColor="text1"/>
          <w:kern w:val="24"/>
          <w:sz w:val="22"/>
        </w:rPr>
        <w:instrText>ADDIN CSL_CITATION { "citationItems" : [ { "id" : "ITEM-1", "itemData" : { "DOI" : "10.1016/j.jenvman.2011.05.008", "ISBN" : "0301-4797", "ISSN" : "03014797", "PMID" : "21641109", "abstract" : "The main objective of this paper is to present a critical analysis of the stakeholder participation process within the Environmental Impact Assessment System in Chile, after ca. 14 years of being enforced. This analysis is sustained by the description and analysis of the stakeholder participation possibilities in a representative rural area of North-Central Chile. The Environmental Basis Act 19300, enacted in 1994, considers the participation of the local community in the environmental impact assessment of new projects. However, this possibility is very limited and difficult to exert, often resulting in frustration for the participants. This is due to a number of reasons, such as the imbalance of resources and knowledge among the majority of participating communities and project proponents, the complexity and administrative and legal constraints to participation, and the dominant interest of the Central Government in approving investments, specifically in energy and natural resources related projects, which generate wealth and jobs. Also, the State's rush to develop Internet-based communication and management systems has built a barrier for poor, traditional communities. This factor is clearly reflected in the case study considered. Results show that there is generally a significant lack of knowledge about institutions and participation tools. From this base, we intend to raise concern on these selected aspects that could be addressed to improve the effectiveness of the existing framework, both in Chile and in other developing countries, where immature environmental impact assessment and public management systems face similar pressures in relation to the sustainable use of their natural resources. Finally, some basic steps are proposed in order to make the community participation an effective tool for sustainable development. ?? 2011 Elsevier Ltd.", "author" : [ { "dropping-particle" : "", "family" : "Lostarnau", "given" : "Carla", "non-dropping-particle" : "", "parse-names" : false, "suffix" : "" }, { "dropping-particle" : "", "family" : "Oyarz\u00fan", "given" : "Jorge", "non-dropping-particle" : "", "parse-names" : false, "suffix" : "" }, { "dropping-particle" : "", "family" : "Maturana", "given" : "Hugo", "non-dropping-particle" : "", "parse-names" : false, "suffix" : "" }, { "dropping-particle" : "", "family" : "Soto", "given" : "Guido", "non-dropping-particle" : "", "parse-names" : false, "suffix" : "" }, { "dropping-particle" : "", "family" : "Se\u00f1oret", "given" : "Michelle", "non-dropping-particle" : "", "parse-names" : false, "suffix" : "" }, { "dropping-particle" : "", "family" : "Soto", "given" : "Manuel", "non-dropping-particle" : "", "parse-names" : false, "suffix" : "" }, { "dropping-particle" : "", "family" : "R\u00f6tting", "given" : "Tobias S.", "non-dropping-particle" : "", "parse-names" : false, "suffix" : "" }, { "dropping-particle" : "", "family" : "Amezaga", "given" : "Jaime M.", "non-dropping-particle" : "", "parse-names" : false, "suffix" : "" }, { "dropping-particle" : "", "family" : "Oyarz\u00fan", "given" : "Ricardo", "non-dropping-particle" : "", "parse-names" : false, "suffix" : "" } ], "container-title" : "Journal of Environmental Management", "id" : "ITEM-1", "issue" : "10", "issued" : { "date-parts" : [ [ "2011" ] ] }, "page" : "2470-2478", "publisher" : "Elsevier Ltd", "title" : "Stakeholder participation within the public environmental system in Chile: Major gaps between theory and practice", "type" : "article-journal", "volume" : "92" }, "uris" : [ "http://www.mendeley.com/documents/?uuid=9e462189-3202-4589-988f-598505affede" ] } ], "mendeley" : { "formattedCitation" : "(Lostarnau et al., 2011)", "plainTextFormattedCitation" : "(Lostarnau et al., 2011)", "previouslyFormattedCitation" : "(Lostarnau et al., 2011)" }, "properties" : { "noteIndex" : 0 }, "schema" : "https://github.com/citation-style-language/schema/raw/master/csl-citation.json" }</w:instrText>
      </w:r>
      <w:r w:rsidR="008831F2" w:rsidRPr="000E0F90">
        <w:rPr>
          <w:rFonts w:ascii="Arial" w:hAnsi="Arial" w:cs="Arial"/>
          <w:color w:val="000000" w:themeColor="text1"/>
          <w:kern w:val="24"/>
          <w:sz w:val="22"/>
        </w:rPr>
        <w:fldChar w:fldCharType="separate"/>
      </w:r>
      <w:r w:rsidR="008831F2" w:rsidRPr="000E0F90">
        <w:rPr>
          <w:rFonts w:ascii="Arial" w:hAnsi="Arial" w:cs="Arial"/>
          <w:noProof/>
          <w:color w:val="000000" w:themeColor="text1"/>
          <w:kern w:val="24"/>
          <w:sz w:val="22"/>
        </w:rPr>
        <w:t>(Lostarnau et al., 2011)</w:t>
      </w:r>
      <w:r w:rsidR="008831F2" w:rsidRPr="000E0F90">
        <w:rPr>
          <w:rFonts w:ascii="Arial" w:hAnsi="Arial" w:cs="Arial"/>
          <w:color w:val="000000" w:themeColor="text1"/>
          <w:kern w:val="24"/>
          <w:sz w:val="22"/>
        </w:rPr>
        <w:fldChar w:fldCharType="end"/>
      </w:r>
      <w:r w:rsidR="008831F2" w:rsidRPr="000E0F90">
        <w:rPr>
          <w:rFonts w:ascii="Arial" w:hAnsi="Arial" w:cs="Arial"/>
          <w:color w:val="000000" w:themeColor="text1"/>
          <w:kern w:val="24"/>
          <w:sz w:val="22"/>
        </w:rPr>
        <w:t>,</w:t>
      </w:r>
      <w:r w:rsidR="00844C00" w:rsidRPr="000E0F90">
        <w:rPr>
          <w:rFonts w:ascii="Arial" w:hAnsi="Arial" w:cs="Arial"/>
          <w:color w:val="000000" w:themeColor="text1"/>
          <w:kern w:val="24"/>
          <w:sz w:val="22"/>
        </w:rPr>
        <w:t xml:space="preserve"> señalado la necesidad de descentralizar el país en la arena política, institucional y económica, </w:t>
      </w:r>
      <w:r w:rsidR="008831F2">
        <w:rPr>
          <w:rFonts w:ascii="Arial" w:hAnsi="Arial" w:cs="Arial"/>
          <w:color w:val="000000" w:themeColor="text1"/>
          <w:kern w:val="24"/>
          <w:sz w:val="22"/>
        </w:rPr>
        <w:t xml:space="preserve">y particularmente en </w:t>
      </w:r>
      <w:r w:rsidR="008831F2" w:rsidRPr="000E0F90">
        <w:rPr>
          <w:rFonts w:ascii="Arial" w:hAnsi="Arial" w:cs="Arial"/>
          <w:color w:val="000000" w:themeColor="text1"/>
          <w:kern w:val="24"/>
          <w:sz w:val="22"/>
        </w:rPr>
        <w:t>los procesos de toma de decisión locales</w:t>
      </w:r>
      <w:r w:rsidR="008831F2">
        <w:rPr>
          <w:rFonts w:ascii="Arial" w:hAnsi="Arial" w:cs="Arial"/>
          <w:color w:val="000000" w:themeColor="text1"/>
          <w:kern w:val="24"/>
          <w:sz w:val="22"/>
        </w:rPr>
        <w:t>, p</w:t>
      </w:r>
      <w:r w:rsidR="00844C00" w:rsidRPr="000E0F90">
        <w:rPr>
          <w:rFonts w:ascii="Arial" w:hAnsi="Arial" w:cs="Arial"/>
          <w:color w:val="000000" w:themeColor="text1"/>
          <w:kern w:val="24"/>
          <w:sz w:val="22"/>
        </w:rPr>
        <w:t>uesto que no necesariamente coinciden las políticas centrales con los objetivos locales.</w:t>
      </w:r>
      <w:r w:rsidR="00155BA6" w:rsidRPr="000E0F90">
        <w:rPr>
          <w:rFonts w:ascii="Arial" w:hAnsi="Arial" w:cs="Arial"/>
          <w:color w:val="000000" w:themeColor="text1"/>
          <w:kern w:val="24"/>
          <w:sz w:val="22"/>
        </w:rPr>
        <w:t xml:space="preserve"> </w:t>
      </w:r>
    </w:p>
    <w:p w:rsidR="008831F2" w:rsidRDefault="007C780A" w:rsidP="008831F2">
      <w:pPr>
        <w:pStyle w:val="NormalWeb"/>
        <w:spacing w:before="240" w:beforeAutospacing="0" w:after="0" w:afterAutospacing="0" w:line="360" w:lineRule="auto"/>
        <w:textAlignment w:val="center"/>
        <w:rPr>
          <w:rFonts w:ascii="Arial" w:hAnsi="Arial" w:cs="Arial"/>
          <w:color w:val="000000" w:themeColor="text1"/>
          <w:sz w:val="22"/>
        </w:rPr>
      </w:pPr>
      <w:r w:rsidRPr="000E0F90">
        <w:rPr>
          <w:rFonts w:ascii="Arial" w:hAnsi="Arial" w:cs="Arial"/>
          <w:color w:val="000000" w:themeColor="text1"/>
          <w:sz w:val="22"/>
        </w:rPr>
        <w:t xml:space="preserve">Respecto a las atribuciones de las autoridades locales, </w:t>
      </w:r>
      <w:r w:rsidR="009414AF" w:rsidRPr="000E0F90">
        <w:rPr>
          <w:rFonts w:ascii="Arial" w:hAnsi="Arial" w:cs="Arial"/>
          <w:color w:val="000000" w:themeColor="text1"/>
          <w:sz w:val="22"/>
        </w:rPr>
        <w:t xml:space="preserve">como parte de una gobernanza local, es importante que se incorpore en los procesos de toma de decisión a los alcaldes, dado que son la autoridad  </w:t>
      </w:r>
      <w:r w:rsidRPr="000E0F90">
        <w:rPr>
          <w:rFonts w:ascii="Arial" w:hAnsi="Arial" w:cs="Arial"/>
          <w:color w:val="000000" w:themeColor="text1"/>
          <w:sz w:val="22"/>
        </w:rPr>
        <w:t xml:space="preserve">no son consideradas determinantes en la aprobación o rechazo de proyectos, lo cual dificulta la autonomía de los territorios mineros. </w:t>
      </w:r>
      <w:r w:rsidR="000E2A26" w:rsidRPr="000E0F90">
        <w:rPr>
          <w:rFonts w:ascii="Arial" w:hAnsi="Arial" w:cs="Arial"/>
          <w:color w:val="000000" w:themeColor="text1"/>
          <w:sz w:val="22"/>
        </w:rPr>
        <w:t>Al respecto,</w:t>
      </w:r>
      <w:r w:rsidRPr="000E0F90">
        <w:rPr>
          <w:rFonts w:ascii="Arial" w:hAnsi="Arial" w:cs="Arial"/>
          <w:color w:val="000000" w:themeColor="text1"/>
          <w:sz w:val="22"/>
        </w:rPr>
        <w:t xml:space="preserve"> la elección de intendentes y gobernadores, se vislumbra como una posibilidad de </w:t>
      </w:r>
      <w:r w:rsidR="00194D4B" w:rsidRPr="000E0F90">
        <w:rPr>
          <w:rFonts w:ascii="Arial" w:hAnsi="Arial" w:cs="Arial"/>
          <w:color w:val="000000" w:themeColor="text1"/>
          <w:sz w:val="22"/>
        </w:rPr>
        <w:t xml:space="preserve">que las opiniones locales puedan tener más incidencia en los </w:t>
      </w:r>
      <w:r w:rsidR="00194D4B" w:rsidRPr="000E0F90">
        <w:rPr>
          <w:rFonts w:ascii="Arial" w:hAnsi="Arial" w:cs="Arial"/>
          <w:color w:val="000000" w:themeColor="text1"/>
          <w:sz w:val="22"/>
        </w:rPr>
        <w:lastRenderedPageBreak/>
        <w:t xml:space="preserve">procesos de toma de decisión. </w:t>
      </w:r>
      <w:r w:rsidR="000E2A26" w:rsidRPr="000E0F90">
        <w:rPr>
          <w:rFonts w:ascii="Arial" w:hAnsi="Arial" w:cs="Arial"/>
          <w:color w:val="000000" w:themeColor="text1"/>
          <w:sz w:val="22"/>
        </w:rPr>
        <w:t>P</w:t>
      </w:r>
      <w:r w:rsidR="00194D4B" w:rsidRPr="000E0F90">
        <w:rPr>
          <w:rFonts w:ascii="Arial" w:hAnsi="Arial" w:cs="Arial"/>
          <w:color w:val="000000" w:themeColor="text1"/>
          <w:sz w:val="22"/>
        </w:rPr>
        <w:t>romulg</w:t>
      </w:r>
      <w:r w:rsidR="000E2A26" w:rsidRPr="000E0F90">
        <w:rPr>
          <w:rFonts w:ascii="Arial" w:hAnsi="Arial" w:cs="Arial"/>
          <w:color w:val="000000" w:themeColor="text1"/>
          <w:sz w:val="22"/>
        </w:rPr>
        <w:t>ándose</w:t>
      </w:r>
      <w:r w:rsidR="00194D4B" w:rsidRPr="000E0F90">
        <w:rPr>
          <w:rFonts w:ascii="Arial" w:hAnsi="Arial" w:cs="Arial"/>
          <w:color w:val="000000" w:themeColor="text1"/>
          <w:sz w:val="22"/>
        </w:rPr>
        <w:t xml:space="preserve"> </w:t>
      </w:r>
      <w:r w:rsidR="009B13FF" w:rsidRPr="000E0F90">
        <w:rPr>
          <w:rFonts w:ascii="Arial" w:hAnsi="Arial" w:cs="Arial"/>
          <w:color w:val="000000" w:themeColor="text1"/>
          <w:sz w:val="22"/>
        </w:rPr>
        <w:t xml:space="preserve">el “Proyecto de Reforma Constitucional que Establece Elección de Intendentes por sufragio Universal” </w:t>
      </w:r>
      <w:r w:rsidR="00194D4B" w:rsidRPr="000E0F90">
        <w:rPr>
          <w:rFonts w:ascii="Arial" w:hAnsi="Arial" w:cs="Arial"/>
          <w:color w:val="000000" w:themeColor="text1"/>
          <w:sz w:val="22"/>
        </w:rPr>
        <w:t xml:space="preserve">la ley que permite que los </w:t>
      </w:r>
      <w:r w:rsidR="009B13FF" w:rsidRPr="000E0F90">
        <w:rPr>
          <w:rFonts w:ascii="Arial" w:hAnsi="Arial" w:cs="Arial"/>
          <w:color w:val="000000" w:themeColor="text1"/>
          <w:sz w:val="22"/>
        </w:rPr>
        <w:t>intendentes</w:t>
      </w:r>
      <w:r w:rsidR="00194D4B" w:rsidRPr="000E0F90">
        <w:rPr>
          <w:rFonts w:ascii="Arial" w:hAnsi="Arial" w:cs="Arial"/>
          <w:color w:val="000000" w:themeColor="text1"/>
          <w:sz w:val="22"/>
        </w:rPr>
        <w:t xml:space="preserve"> regionales </w:t>
      </w:r>
      <w:r w:rsidR="009414AF" w:rsidRPr="000E0F90">
        <w:rPr>
          <w:rFonts w:ascii="Arial" w:hAnsi="Arial" w:cs="Arial"/>
          <w:color w:val="000000" w:themeColor="text1"/>
          <w:sz w:val="22"/>
        </w:rPr>
        <w:t>p</w:t>
      </w:r>
      <w:r w:rsidR="00194D4B" w:rsidRPr="000E0F90">
        <w:rPr>
          <w:rFonts w:ascii="Arial" w:hAnsi="Arial" w:cs="Arial"/>
          <w:color w:val="000000" w:themeColor="text1"/>
          <w:sz w:val="22"/>
        </w:rPr>
        <w:t>uedan ser electos localmente, lo cual ir</w:t>
      </w:r>
      <w:r w:rsidR="00CB59B9" w:rsidRPr="000E0F90">
        <w:rPr>
          <w:rFonts w:ascii="Arial" w:hAnsi="Arial" w:cs="Arial"/>
          <w:color w:val="000000" w:themeColor="text1"/>
          <w:sz w:val="22"/>
        </w:rPr>
        <w:t>á</w:t>
      </w:r>
      <w:r w:rsidR="00194D4B" w:rsidRPr="000E0F90">
        <w:rPr>
          <w:rFonts w:ascii="Arial" w:hAnsi="Arial" w:cs="Arial"/>
          <w:color w:val="000000" w:themeColor="text1"/>
          <w:sz w:val="22"/>
        </w:rPr>
        <w:t xml:space="preserve"> en reemplazo de los actuales intendentes</w:t>
      </w:r>
      <w:r w:rsidR="00C14CD2" w:rsidRPr="000E0F90">
        <w:rPr>
          <w:rFonts w:ascii="Arial" w:hAnsi="Arial" w:cs="Arial"/>
          <w:color w:val="000000" w:themeColor="text1"/>
          <w:sz w:val="22"/>
        </w:rPr>
        <w:t xml:space="preserve"> designados</w:t>
      </w:r>
      <w:r w:rsidR="00194D4B" w:rsidRPr="000E0F90">
        <w:rPr>
          <w:rFonts w:ascii="Arial" w:hAnsi="Arial" w:cs="Arial"/>
          <w:color w:val="000000" w:themeColor="text1"/>
          <w:sz w:val="22"/>
        </w:rPr>
        <w:t>.</w:t>
      </w:r>
    </w:p>
    <w:p w:rsidR="00C14CD2" w:rsidRPr="008831F2" w:rsidRDefault="00E61754" w:rsidP="008831F2">
      <w:pPr>
        <w:pStyle w:val="NormalWeb"/>
        <w:spacing w:before="240" w:beforeAutospacing="0" w:after="0" w:afterAutospacing="0" w:line="360" w:lineRule="auto"/>
        <w:textAlignment w:val="center"/>
        <w:rPr>
          <w:rFonts w:ascii="Arial" w:hAnsi="Arial" w:cs="Arial"/>
          <w:color w:val="000000" w:themeColor="text1"/>
          <w:sz w:val="22"/>
        </w:rPr>
      </w:pPr>
      <w:r w:rsidRPr="000E0F90">
        <w:rPr>
          <w:rFonts w:ascii="Arial" w:hAnsi="Arial" w:cs="Arial"/>
          <w:color w:val="000000" w:themeColor="text1"/>
          <w:kern w:val="24"/>
          <w:sz w:val="22"/>
        </w:rPr>
        <w:t xml:space="preserve">Cabe señalar que con el desarrollo de las Evaluaciones de Impacto ambiental, se evidencia  preocupación por los aspectos ecológicos y sociales de los territorios, </w:t>
      </w:r>
      <w:r w:rsidR="00696EBE" w:rsidRPr="000E0F90">
        <w:rPr>
          <w:rFonts w:ascii="Arial" w:hAnsi="Arial" w:cs="Arial"/>
          <w:color w:val="000000" w:themeColor="text1"/>
          <w:kern w:val="24"/>
          <w:sz w:val="22"/>
        </w:rPr>
        <w:t xml:space="preserve">por parte de las comunidades </w:t>
      </w:r>
      <w:r w:rsidR="00663DCF" w:rsidRPr="000E0F90">
        <w:rPr>
          <w:rFonts w:ascii="Arial" w:hAnsi="Arial" w:cs="Arial"/>
          <w:color w:val="000000" w:themeColor="text1"/>
          <w:kern w:val="24"/>
          <w:sz w:val="22"/>
        </w:rPr>
        <w:t>puesto que son temáticas que son abordadas en los procesos de participación pública de los proyectos mineros</w:t>
      </w:r>
      <w:r w:rsidR="00696EBE" w:rsidRPr="000E0F90">
        <w:rPr>
          <w:rFonts w:ascii="Arial" w:hAnsi="Arial" w:cs="Arial"/>
          <w:color w:val="000000" w:themeColor="text1"/>
          <w:kern w:val="24"/>
          <w:sz w:val="22"/>
        </w:rPr>
        <w:t xml:space="preserve"> de sus territorios</w:t>
      </w:r>
      <w:r w:rsidR="00663DCF" w:rsidRPr="000E0F90">
        <w:rPr>
          <w:rFonts w:ascii="Arial" w:hAnsi="Arial" w:cs="Arial"/>
          <w:color w:val="000000" w:themeColor="text1"/>
          <w:kern w:val="24"/>
          <w:sz w:val="22"/>
        </w:rPr>
        <w:t xml:space="preserve">. </w:t>
      </w:r>
      <w:r w:rsidR="00696EBE" w:rsidRPr="000E0F90">
        <w:rPr>
          <w:rFonts w:ascii="Arial" w:hAnsi="Arial" w:cs="Arial"/>
          <w:color w:val="000000" w:themeColor="text1"/>
          <w:kern w:val="24"/>
          <w:sz w:val="22"/>
        </w:rPr>
        <w:t xml:space="preserve">Del mismo modo, las empresas mineras han incrementado su interés en temáticas medioambientales y sociales, como parte de Responsabilidad Social Corporativa. </w:t>
      </w:r>
    </w:p>
    <w:p w:rsidR="00E200A3" w:rsidRPr="000E0F90" w:rsidRDefault="00E200A3" w:rsidP="00702D9A">
      <w:pPr>
        <w:pStyle w:val="Ttulo3"/>
        <w:spacing w:before="360" w:after="0" w:line="360" w:lineRule="auto"/>
        <w:rPr>
          <w:rFonts w:ascii="Arial" w:hAnsi="Arial" w:cs="Arial"/>
        </w:rPr>
      </w:pPr>
      <w:r w:rsidRPr="000E0F90">
        <w:rPr>
          <w:rFonts w:ascii="Arial" w:hAnsi="Arial" w:cs="Arial"/>
        </w:rPr>
        <w:t xml:space="preserve">6. </w:t>
      </w:r>
      <w:r w:rsidR="00A82722" w:rsidRPr="000E0F90">
        <w:rPr>
          <w:rFonts w:ascii="Arial" w:hAnsi="Arial" w:cs="Arial"/>
        </w:rPr>
        <w:t>Precaución</w:t>
      </w:r>
      <w:r w:rsidRPr="000E0F90">
        <w:rPr>
          <w:rFonts w:ascii="Arial" w:hAnsi="Arial" w:cs="Arial"/>
        </w:rPr>
        <w:t xml:space="preserve"> y Adaptación</w:t>
      </w:r>
    </w:p>
    <w:p w:rsidR="000B0BD3" w:rsidRPr="000E0F90" w:rsidRDefault="002B546D" w:rsidP="00702D9A">
      <w:pPr>
        <w:spacing w:line="360" w:lineRule="auto"/>
        <w:rPr>
          <w:rFonts w:ascii="Arial" w:hAnsi="Arial" w:cs="Arial"/>
          <w:color w:val="000000" w:themeColor="text1"/>
        </w:rPr>
      </w:pPr>
      <w:r w:rsidRPr="000E0F90">
        <w:rPr>
          <w:rFonts w:ascii="Arial" w:hAnsi="Arial" w:cs="Arial"/>
          <w:color w:val="000000" w:themeColor="text1"/>
        </w:rPr>
        <w:t>En relación acciones precautorias y adaptativas, de acuerdo a la información recolectada se evidencia</w:t>
      </w:r>
      <w:r w:rsidR="00840F82">
        <w:rPr>
          <w:rFonts w:ascii="Arial" w:hAnsi="Arial" w:cs="Arial"/>
          <w:color w:val="000000" w:themeColor="text1"/>
        </w:rPr>
        <w:t xml:space="preserve"> una escasa consideración en relación a </w:t>
      </w:r>
      <w:r w:rsidRPr="000E0F90">
        <w:rPr>
          <w:rFonts w:ascii="Arial" w:hAnsi="Arial" w:cs="Arial"/>
          <w:color w:val="000000" w:themeColor="text1"/>
        </w:rPr>
        <w:t>acciones serias, irreversibles y acumulativas en los territorios</w:t>
      </w:r>
      <w:r w:rsidR="00FA7E30">
        <w:rPr>
          <w:rFonts w:ascii="Arial" w:hAnsi="Arial" w:cs="Arial"/>
          <w:color w:val="000000" w:themeColor="text1"/>
        </w:rPr>
        <w:t xml:space="preserve">. </w:t>
      </w:r>
      <w:r w:rsidR="00FD4413" w:rsidRPr="000E0F90">
        <w:rPr>
          <w:rFonts w:ascii="Arial" w:hAnsi="Arial" w:cs="Arial"/>
          <w:color w:val="000000" w:themeColor="text1"/>
        </w:rPr>
        <w:t>El enfoque actual de desarrollo territorial</w:t>
      </w:r>
      <w:r w:rsidR="0057402B" w:rsidRPr="000E0F90">
        <w:rPr>
          <w:rFonts w:ascii="Arial" w:hAnsi="Arial" w:cs="Arial"/>
          <w:color w:val="000000" w:themeColor="text1"/>
        </w:rPr>
        <w:t xml:space="preserve"> minero</w:t>
      </w:r>
      <w:r w:rsidR="00FD4413" w:rsidRPr="000E0F90">
        <w:rPr>
          <w:rFonts w:ascii="Arial" w:hAnsi="Arial" w:cs="Arial"/>
          <w:color w:val="000000" w:themeColor="text1"/>
        </w:rPr>
        <w:t xml:space="preserve">, prioriza el crecimiento </w:t>
      </w:r>
      <w:r w:rsidR="000B0BD3" w:rsidRPr="000E0F90">
        <w:rPr>
          <w:rFonts w:ascii="Arial" w:hAnsi="Arial" w:cs="Arial"/>
          <w:color w:val="000000" w:themeColor="text1"/>
        </w:rPr>
        <w:t xml:space="preserve">económico </w:t>
      </w:r>
      <w:r w:rsidR="00FD4413" w:rsidRPr="000E0F90">
        <w:rPr>
          <w:rFonts w:ascii="Arial" w:hAnsi="Arial" w:cs="Arial"/>
          <w:color w:val="000000" w:themeColor="text1"/>
        </w:rPr>
        <w:t>por sobre la cautela, en ámbitos que pudiesen generar daños serios o irreversibles en el territorio</w:t>
      </w:r>
      <w:r w:rsidR="00227901" w:rsidRPr="000E0F90">
        <w:rPr>
          <w:rFonts w:ascii="Arial" w:hAnsi="Arial" w:cs="Arial"/>
          <w:color w:val="000000" w:themeColor="text1"/>
        </w:rPr>
        <w:t xml:space="preserve">. </w:t>
      </w:r>
    </w:p>
    <w:p w:rsidR="00696EBE" w:rsidRPr="00FA7E30" w:rsidRDefault="00696EBE" w:rsidP="00702D9A">
      <w:pPr>
        <w:spacing w:line="360" w:lineRule="auto"/>
        <w:rPr>
          <w:rFonts w:ascii="Arial" w:hAnsi="Arial" w:cs="Arial"/>
          <w:color w:val="000000" w:themeColor="text1"/>
        </w:rPr>
      </w:pPr>
      <w:r w:rsidRPr="000E0F90">
        <w:rPr>
          <w:rFonts w:ascii="Arial" w:hAnsi="Arial" w:cs="Arial"/>
          <w:color w:val="000000" w:themeColor="text1"/>
        </w:rPr>
        <w:t xml:space="preserve">Respecto a </w:t>
      </w:r>
      <w:r w:rsidRPr="00FA7E30">
        <w:rPr>
          <w:rFonts w:ascii="Arial" w:hAnsi="Arial" w:cs="Arial"/>
          <w:color w:val="000000" w:themeColor="text1"/>
        </w:rPr>
        <w:t>la preservaci</w:t>
      </w:r>
      <w:r w:rsidR="00227901" w:rsidRPr="00FA7E30">
        <w:rPr>
          <w:rFonts w:ascii="Arial" w:hAnsi="Arial" w:cs="Arial"/>
          <w:color w:val="000000" w:themeColor="text1"/>
        </w:rPr>
        <w:t>ón de elementos fundacionales</w:t>
      </w:r>
      <w:r w:rsidRPr="00FA7E30">
        <w:rPr>
          <w:rFonts w:ascii="Arial" w:hAnsi="Arial" w:cs="Arial"/>
          <w:color w:val="000000" w:themeColor="text1"/>
        </w:rPr>
        <w:t xml:space="preserve"> </w:t>
      </w:r>
      <w:r w:rsidRPr="000E0F90">
        <w:rPr>
          <w:rFonts w:ascii="Arial" w:hAnsi="Arial" w:cs="Arial"/>
          <w:color w:val="000000" w:themeColor="text1"/>
        </w:rPr>
        <w:t>en los territorios mineros</w:t>
      </w:r>
      <w:r w:rsidR="00227901" w:rsidRPr="000E0F90">
        <w:rPr>
          <w:rFonts w:ascii="Arial" w:hAnsi="Arial" w:cs="Arial"/>
          <w:color w:val="000000" w:themeColor="text1"/>
        </w:rPr>
        <w:t>, se percibe se ha afectado el estado de los ecosistemas locales por los efectos de las actividades productivas</w:t>
      </w:r>
      <w:r w:rsidR="000D612F" w:rsidRPr="000E0F90">
        <w:rPr>
          <w:rFonts w:ascii="Arial" w:hAnsi="Arial" w:cs="Arial"/>
          <w:color w:val="000000" w:themeColor="text1"/>
        </w:rPr>
        <w:t>,</w:t>
      </w:r>
      <w:r w:rsidR="00021EBF" w:rsidRPr="000E0F90">
        <w:rPr>
          <w:rFonts w:ascii="Arial" w:hAnsi="Arial" w:cs="Arial"/>
          <w:color w:val="000000" w:themeColor="text1"/>
        </w:rPr>
        <w:t xml:space="preserve"> </w:t>
      </w:r>
      <w:r w:rsidR="00227901" w:rsidRPr="000E0F90">
        <w:rPr>
          <w:rFonts w:ascii="Arial" w:hAnsi="Arial" w:cs="Arial"/>
          <w:color w:val="000000" w:themeColor="text1"/>
        </w:rPr>
        <w:t>exist</w:t>
      </w:r>
      <w:r w:rsidR="00021EBF" w:rsidRPr="000E0F90">
        <w:rPr>
          <w:rFonts w:ascii="Arial" w:hAnsi="Arial" w:cs="Arial"/>
          <w:color w:val="000000" w:themeColor="text1"/>
        </w:rPr>
        <w:t>iendo</w:t>
      </w:r>
      <w:r w:rsidR="00227901" w:rsidRPr="000E0F90">
        <w:rPr>
          <w:rFonts w:ascii="Arial" w:hAnsi="Arial" w:cs="Arial"/>
          <w:color w:val="000000" w:themeColor="text1"/>
        </w:rPr>
        <w:t xml:space="preserve"> riesgo a la sobrevida humana por efectos en la salud</w:t>
      </w:r>
      <w:r w:rsidR="000D612F" w:rsidRPr="000E0F90">
        <w:rPr>
          <w:rFonts w:ascii="Arial" w:hAnsi="Arial" w:cs="Arial"/>
          <w:color w:val="000000" w:themeColor="text1"/>
        </w:rPr>
        <w:t xml:space="preserve"> y</w:t>
      </w:r>
      <w:r w:rsidR="00227901" w:rsidRPr="000E0F90">
        <w:rPr>
          <w:rFonts w:ascii="Arial" w:hAnsi="Arial" w:cs="Arial"/>
          <w:color w:val="000000" w:themeColor="text1"/>
        </w:rPr>
        <w:t xml:space="preserve"> en la disponibilidad de recursos esenciales, </w:t>
      </w:r>
      <w:r w:rsidR="000D612F" w:rsidRPr="000E0F90">
        <w:rPr>
          <w:rFonts w:ascii="Arial" w:hAnsi="Arial" w:cs="Arial"/>
          <w:color w:val="000000" w:themeColor="text1"/>
        </w:rPr>
        <w:t xml:space="preserve">principalmente. </w:t>
      </w:r>
      <w:r w:rsidR="004105D9" w:rsidRPr="000E0F90">
        <w:rPr>
          <w:rFonts w:ascii="Arial" w:hAnsi="Arial" w:cs="Arial"/>
          <w:color w:val="000000" w:themeColor="text1"/>
        </w:rPr>
        <w:t>Cabe señalar el déficit hidrológico histórico que presentan las regiones asociadas a los territorios bajo estudio, dado por el aumento sostenido de la demanda hídrica por la agricultura y minería, así como también los cambios por factores naturales</w:t>
      </w:r>
      <w:r w:rsidR="00F219F3" w:rsidRPr="000E0F90">
        <w:rPr>
          <w:rFonts w:ascii="Arial" w:hAnsi="Arial" w:cs="Arial"/>
          <w:color w:val="000000" w:themeColor="text1"/>
        </w:rPr>
        <w:t xml:space="preserve">, </w:t>
      </w:r>
      <w:r w:rsidR="002366C1" w:rsidRPr="000E0F90">
        <w:rPr>
          <w:rFonts w:ascii="Arial" w:hAnsi="Arial" w:cs="Arial"/>
          <w:color w:val="000000" w:themeColor="text1"/>
        </w:rPr>
        <w:t>afectando seriamente</w:t>
      </w:r>
      <w:r w:rsidR="00F219F3" w:rsidRPr="000E0F90">
        <w:rPr>
          <w:rFonts w:ascii="Arial" w:hAnsi="Arial" w:cs="Arial"/>
          <w:color w:val="000000" w:themeColor="text1"/>
        </w:rPr>
        <w:t xml:space="preserve"> el caudal ecológico </w:t>
      </w:r>
      <w:r w:rsidR="004105D9" w:rsidRPr="00FA7E30">
        <w:rPr>
          <w:rFonts w:ascii="Arial" w:hAnsi="Arial" w:cs="Arial"/>
          <w:color w:val="000000" w:themeColor="text1"/>
        </w:rPr>
        <w:fldChar w:fldCharType="begin" w:fldLock="1"/>
      </w:r>
      <w:r w:rsidR="00541964" w:rsidRPr="00FA7E30">
        <w:rPr>
          <w:rFonts w:ascii="Arial" w:hAnsi="Arial" w:cs="Arial"/>
          <w:color w:val="000000" w:themeColor="text1"/>
        </w:rPr>
        <w:instrText>ADDIN CSL_CITATION { "citationItems" : [ { "id" : "ITEM-1", "itemData" : { "DOI" : "10.3390/su8020128", "ISSN" : "20711050", "abstract" : "\u00a9 2016 by the authors. Chile contains some of the driest areas in the world, yet human activities in these areas require large volumes of water, the result is regions experiencing high water scarcity leading to environmental degradation, conflicts and reduced industrial productivity. The aim of this paper was to quantify the water scarcity in the central and northern regions by calculating the water scarcity index-the ratio of annual water demand to availability. A focus of the paper was to determine the impact of the main industries in each region and investigate the benefit of implementing water reduction strategies within these industries. The water resources of each investigated region were found to be greatly overexploited and particularly so in the region of Antofagasta. The mining industry was found to be the greatest water consuming sector in this region and further analysis demonstrated that the degree of water scarcity could be greatly reduced by the implementation of water reduction strategies. The agricultural sector dominated water demand in all other regions and it was found that upgrading irrigation efficiency alongside reducing consumption in mining improved the situation in all regions. Nevertheless, given the scale of water scarcity, further investigation is necessary to obtain more recent and accurate data and analyze alternative strategies.", "author" : [ { "dropping-particle" : "", "family" : "Aitken", "given" : "Douglas", "non-dropping-particle" : "", "parse-names" : false, "suffix" : "" }, { "dropping-particle" : "", "family" : "Rivera", "given" : "Diego", "non-dropping-particle" : "", "parse-names" : false, "suffix" : "" }, { "dropping-particle" : "", "family" : "Godoy-Fa\u00fandez", "given" : "Alex", "non-dropping-particle" : "", "parse-names" : false, "suffix" : "" }, { "dropping-particle" : "", "family" : "Holzapfel", "given" : "Eduardo", "non-dropping-particle" : "", "parse-names" : false, "suffix" : "" } ], "container-title" : "Sustainability (Switzerland)", "id" : "ITEM-1", "issued" : { "date-parts" : [ [ "2016" ] ] }, "title" : "Water scarcity and the impact of the mining and agricultural sectors in Chile", "type" : "article-journal", "volume" : "8" }, "uris" : [ "http://www.mendeley.com/documents/?uuid=fe10f7bc-78c7-4bc3-ac08-542a99e5361e" ] } ], "mendeley" : { "formattedCitation" : "(Aitken et al., 2016)", "plainTextFormattedCitation" : "(Aitken et al., 2016)", "previouslyFormattedCitation" : "(Aitken et al., 2016)" }, "properties" : { "noteIndex" : 0 }, "schema" : "https://github.com/citation-style-language/schema/raw/master/csl-citation.json" }</w:instrText>
      </w:r>
      <w:r w:rsidR="004105D9" w:rsidRPr="00FA7E30">
        <w:rPr>
          <w:rFonts w:ascii="Arial" w:hAnsi="Arial" w:cs="Arial"/>
          <w:color w:val="000000" w:themeColor="text1"/>
        </w:rPr>
        <w:fldChar w:fldCharType="separate"/>
      </w:r>
      <w:r w:rsidR="004105D9" w:rsidRPr="00FA7E30">
        <w:rPr>
          <w:rFonts w:ascii="Arial" w:hAnsi="Arial" w:cs="Arial"/>
          <w:noProof/>
          <w:color w:val="000000" w:themeColor="text1"/>
        </w:rPr>
        <w:t>(Aitken et al., 2016)</w:t>
      </w:r>
      <w:r w:rsidR="004105D9" w:rsidRPr="00FA7E30">
        <w:rPr>
          <w:rFonts w:ascii="Arial" w:hAnsi="Arial" w:cs="Arial"/>
          <w:color w:val="000000" w:themeColor="text1"/>
        </w:rPr>
        <w:fldChar w:fldCharType="end"/>
      </w:r>
      <w:r w:rsidR="004105D9" w:rsidRPr="00FA7E30">
        <w:rPr>
          <w:rFonts w:ascii="Arial" w:hAnsi="Arial" w:cs="Arial"/>
          <w:color w:val="000000" w:themeColor="text1"/>
        </w:rPr>
        <w:t xml:space="preserve">. </w:t>
      </w:r>
    </w:p>
    <w:p w:rsidR="000D612F" w:rsidRPr="00FA7E30" w:rsidRDefault="000D612F" w:rsidP="00702D9A">
      <w:pPr>
        <w:spacing w:line="360" w:lineRule="auto"/>
        <w:rPr>
          <w:rFonts w:ascii="Arial" w:hAnsi="Arial" w:cs="Arial"/>
          <w:color w:val="000000" w:themeColor="text1"/>
          <w:kern w:val="24"/>
          <w:szCs w:val="20"/>
        </w:rPr>
      </w:pPr>
      <w:r w:rsidRPr="00FA7E30">
        <w:rPr>
          <w:rFonts w:ascii="Arial" w:hAnsi="Arial" w:cs="Arial"/>
          <w:color w:val="000000" w:themeColor="text1"/>
          <w:kern w:val="24"/>
          <w:szCs w:val="20"/>
        </w:rPr>
        <w:t>Por otra parte, existe fomento sólo a algunas dimensiones territoriales, como la económica, productiva y cultural, existiendo margen para incrementar la capacidad adaptativa de los territorios, lo que debe ser abordado en el futuro próximo</w:t>
      </w:r>
      <w:r w:rsidR="004B4B23" w:rsidRPr="00FA7E30">
        <w:rPr>
          <w:rFonts w:ascii="Arial" w:hAnsi="Arial" w:cs="Arial"/>
          <w:color w:val="000000" w:themeColor="text1"/>
          <w:kern w:val="24"/>
          <w:szCs w:val="20"/>
        </w:rPr>
        <w:t xml:space="preserve">, como es la dimensión estética, histórica, social, y ecológicas entre otras. Lo cual coincide con lo evidenciado en </w:t>
      </w:r>
      <w:r w:rsidR="005E0233" w:rsidRPr="00FA7E30">
        <w:rPr>
          <w:rFonts w:ascii="Arial" w:hAnsi="Arial" w:cs="Arial"/>
          <w:color w:val="000000" w:themeColor="text1"/>
          <w:kern w:val="24"/>
          <w:szCs w:val="20"/>
        </w:rPr>
        <w:t xml:space="preserve">otras regiones mineras, como </w:t>
      </w:r>
      <w:r w:rsidR="004B4B23" w:rsidRPr="00FA7E30">
        <w:rPr>
          <w:rFonts w:ascii="Arial" w:hAnsi="Arial" w:cs="Arial"/>
          <w:color w:val="000000" w:themeColor="text1"/>
          <w:kern w:val="24"/>
          <w:szCs w:val="20"/>
        </w:rPr>
        <w:t xml:space="preserve">la región de Antofagasta, </w:t>
      </w:r>
      <w:r w:rsidR="005E0233" w:rsidRPr="00FA7E30">
        <w:rPr>
          <w:rFonts w:ascii="Arial" w:hAnsi="Arial" w:cs="Arial"/>
          <w:color w:val="000000" w:themeColor="text1"/>
          <w:kern w:val="24"/>
          <w:szCs w:val="20"/>
        </w:rPr>
        <w:t xml:space="preserve">donde no se reconoce un </w:t>
      </w:r>
      <w:r w:rsidR="005E0233" w:rsidRPr="00FA7E30">
        <w:rPr>
          <w:rFonts w:ascii="Arial" w:hAnsi="Arial" w:cs="Arial"/>
          <w:i/>
          <w:color w:val="000000" w:themeColor="text1"/>
          <w:kern w:val="24"/>
          <w:szCs w:val="20"/>
        </w:rPr>
        <w:t>cluster</w:t>
      </w:r>
      <w:r w:rsidR="005E0233" w:rsidRPr="00FA7E30">
        <w:rPr>
          <w:rFonts w:ascii="Arial" w:hAnsi="Arial" w:cs="Arial"/>
          <w:color w:val="000000" w:themeColor="text1"/>
          <w:kern w:val="24"/>
          <w:szCs w:val="20"/>
        </w:rPr>
        <w:t xml:space="preserve"> social en dicha región, por el contrario se presentan las mayores brechas de desigualdad </w:t>
      </w:r>
      <w:r w:rsidR="005E0233" w:rsidRPr="00FA7E30">
        <w:rPr>
          <w:rFonts w:ascii="Arial" w:hAnsi="Arial" w:cs="Arial"/>
          <w:color w:val="000000" w:themeColor="text1"/>
          <w:kern w:val="24"/>
          <w:szCs w:val="20"/>
        </w:rPr>
        <w:fldChar w:fldCharType="begin" w:fldLock="1"/>
      </w:r>
      <w:r w:rsidR="00994F4B" w:rsidRPr="00FA7E30">
        <w:rPr>
          <w:rFonts w:ascii="Arial" w:hAnsi="Arial" w:cs="Arial"/>
          <w:color w:val="000000" w:themeColor="text1"/>
          <w:kern w:val="24"/>
          <w:szCs w:val="20"/>
        </w:rPr>
        <w:instrText>ADDIN CSL_CITATION { "citationItems" : [ { "id" : "ITEM-1", "itemData" : { "author" : [ { "dropping-particle" : "", "family" : "Daher", "given" : "Antonio", "non-dropping-particle" : "", "parse-names" : false, "suffix" : "" } ], "id" : "ITEM-1", "issued" : { "date-parts" : [ [ "2015" ] ] }, "page" : "25-35", "title" : "Cluster Minero", "type" : "article-journal" }, "uris" : [ "http://www.mendeley.com/documents/?uuid=92fe12be-02f5-4f98-94e1-6b68cd5297f0" ] } ], "mendeley" : { "formattedCitation" : "(Daher, 2015)", "plainTextFormattedCitation" : "(Daher, 2015)", "previouslyFormattedCitation" : "(Daher, 2015)" }, "properties" : { "noteIndex" : 0 }, "schema" : "https://github.com/citation-style-language/schema/raw/master/csl-citation.json" }</w:instrText>
      </w:r>
      <w:r w:rsidR="005E0233" w:rsidRPr="00FA7E30">
        <w:rPr>
          <w:rFonts w:ascii="Arial" w:hAnsi="Arial" w:cs="Arial"/>
          <w:color w:val="000000" w:themeColor="text1"/>
          <w:kern w:val="24"/>
          <w:szCs w:val="20"/>
        </w:rPr>
        <w:fldChar w:fldCharType="separate"/>
      </w:r>
      <w:r w:rsidR="005E0233" w:rsidRPr="00FA7E30">
        <w:rPr>
          <w:rFonts w:ascii="Arial" w:hAnsi="Arial" w:cs="Arial"/>
          <w:noProof/>
          <w:color w:val="000000" w:themeColor="text1"/>
          <w:kern w:val="24"/>
          <w:szCs w:val="20"/>
        </w:rPr>
        <w:t>(Daher, 2015)</w:t>
      </w:r>
      <w:r w:rsidR="005E0233" w:rsidRPr="00FA7E30">
        <w:rPr>
          <w:rFonts w:ascii="Arial" w:hAnsi="Arial" w:cs="Arial"/>
          <w:color w:val="000000" w:themeColor="text1"/>
          <w:kern w:val="24"/>
          <w:szCs w:val="20"/>
        </w:rPr>
        <w:fldChar w:fldCharType="end"/>
      </w:r>
    </w:p>
    <w:p w:rsidR="003A2FAF" w:rsidRPr="000E0F90" w:rsidRDefault="004018A7" w:rsidP="00702D9A">
      <w:pPr>
        <w:spacing w:line="360" w:lineRule="auto"/>
        <w:rPr>
          <w:rFonts w:ascii="Arial" w:hAnsi="Arial" w:cs="Arial"/>
          <w:color w:val="000000" w:themeColor="text1"/>
        </w:rPr>
      </w:pPr>
      <w:r w:rsidRPr="00FA7E30">
        <w:rPr>
          <w:rFonts w:ascii="Arial" w:hAnsi="Arial" w:cs="Arial"/>
          <w:color w:val="000000" w:themeColor="text1"/>
        </w:rPr>
        <w:lastRenderedPageBreak/>
        <w:t>Respecto al fomento</w:t>
      </w:r>
      <w:r w:rsidR="000D612F" w:rsidRPr="00FA7E30">
        <w:rPr>
          <w:rFonts w:ascii="Arial" w:hAnsi="Arial" w:cs="Arial"/>
          <w:color w:val="000000" w:themeColor="text1"/>
        </w:rPr>
        <w:t xml:space="preserve"> de una base de capital múltiple para asegurar</w:t>
      </w:r>
      <w:r w:rsidR="000D612F" w:rsidRPr="000E0F90">
        <w:rPr>
          <w:rFonts w:ascii="Arial" w:hAnsi="Arial" w:cs="Arial"/>
          <w:color w:val="000000" w:themeColor="text1"/>
        </w:rPr>
        <w:t xml:space="preserve"> fuentes de desarrollo local en el futuro, la matriz de capital natural</w:t>
      </w:r>
      <w:r w:rsidR="00A21008" w:rsidRPr="000E0F90">
        <w:rPr>
          <w:rFonts w:ascii="Arial" w:hAnsi="Arial" w:cs="Arial"/>
          <w:color w:val="000000" w:themeColor="text1"/>
        </w:rPr>
        <w:t xml:space="preserve"> local</w:t>
      </w:r>
      <w:r w:rsidR="000D612F" w:rsidRPr="000E0F90">
        <w:rPr>
          <w:rFonts w:ascii="Arial" w:hAnsi="Arial" w:cs="Arial"/>
          <w:color w:val="000000" w:themeColor="text1"/>
        </w:rPr>
        <w:t xml:space="preserve"> no ha experimentado una diversificación significativa, y tampoco se identifican estrategias para ello</w:t>
      </w:r>
      <w:r w:rsidR="00840F82">
        <w:rPr>
          <w:rFonts w:ascii="Arial" w:hAnsi="Arial" w:cs="Arial"/>
          <w:color w:val="000000" w:themeColor="text1"/>
        </w:rPr>
        <w:t>.</w:t>
      </w:r>
      <w:r w:rsidR="003A2FAF" w:rsidRPr="000E0F90">
        <w:rPr>
          <w:rFonts w:ascii="Arial" w:hAnsi="Arial" w:cs="Arial"/>
          <w:color w:val="000000" w:themeColor="text1"/>
        </w:rPr>
        <w:t xml:space="preserve"> </w:t>
      </w:r>
      <w:r w:rsidR="004B4B23" w:rsidRPr="000E0F90">
        <w:rPr>
          <w:rFonts w:ascii="Arial" w:hAnsi="Arial" w:cs="Arial"/>
          <w:color w:val="000000" w:themeColor="text1"/>
          <w:kern w:val="24"/>
          <w:szCs w:val="20"/>
        </w:rPr>
        <w:t>Sólo se evidencian acciones enfocadas en el desarrollo agrícola local, existiendo oportunidades de diversificación territorial inexploradas.</w:t>
      </w:r>
      <w:r w:rsidR="00FA7E30">
        <w:rPr>
          <w:rFonts w:ascii="Arial" w:hAnsi="Arial" w:cs="Arial"/>
          <w:color w:val="000000" w:themeColor="text1"/>
          <w:kern w:val="24"/>
          <w:szCs w:val="20"/>
        </w:rPr>
        <w:t xml:space="preserve"> </w:t>
      </w:r>
      <w:r w:rsidR="00A21008" w:rsidRPr="000E0F90">
        <w:rPr>
          <w:rFonts w:ascii="Arial" w:hAnsi="Arial" w:cs="Arial"/>
          <w:color w:val="000000" w:themeColor="text1"/>
        </w:rPr>
        <w:t xml:space="preserve">Situación que se condice con la </w:t>
      </w:r>
      <w:r w:rsidR="003A2FAF" w:rsidRPr="000E0F90">
        <w:rPr>
          <w:rFonts w:ascii="Arial" w:hAnsi="Arial" w:cs="Arial"/>
          <w:color w:val="000000" w:themeColor="text1"/>
        </w:rPr>
        <w:t>realidad</w:t>
      </w:r>
      <w:r w:rsidR="00392DAC" w:rsidRPr="000E0F90">
        <w:rPr>
          <w:rFonts w:ascii="Arial" w:hAnsi="Arial" w:cs="Arial"/>
          <w:color w:val="000000" w:themeColor="text1"/>
        </w:rPr>
        <w:t xml:space="preserve"> </w:t>
      </w:r>
      <w:r w:rsidR="003A2FAF" w:rsidRPr="000E0F90">
        <w:rPr>
          <w:rFonts w:ascii="Arial" w:hAnsi="Arial" w:cs="Arial"/>
          <w:color w:val="000000" w:themeColor="text1"/>
        </w:rPr>
        <w:t>e</w:t>
      </w:r>
      <w:r w:rsidR="00392DAC" w:rsidRPr="000E0F90">
        <w:rPr>
          <w:rFonts w:ascii="Arial" w:hAnsi="Arial" w:cs="Arial"/>
          <w:color w:val="000000" w:themeColor="text1"/>
        </w:rPr>
        <w:t xml:space="preserve">videnciada en </w:t>
      </w:r>
      <w:r w:rsidR="003A2FAF" w:rsidRPr="000E0F90">
        <w:rPr>
          <w:rFonts w:ascii="Arial" w:hAnsi="Arial" w:cs="Arial"/>
          <w:color w:val="000000" w:themeColor="text1"/>
        </w:rPr>
        <w:t xml:space="preserve">regiones especializadas en la </w:t>
      </w:r>
      <w:r w:rsidR="00392DAC" w:rsidRPr="000E0F90">
        <w:rPr>
          <w:rFonts w:ascii="Arial" w:hAnsi="Arial" w:cs="Arial"/>
          <w:color w:val="000000" w:themeColor="text1"/>
        </w:rPr>
        <w:t xml:space="preserve">extracción </w:t>
      </w:r>
      <w:r w:rsidR="003A2FAF" w:rsidRPr="000E0F90">
        <w:rPr>
          <w:rFonts w:ascii="Arial" w:hAnsi="Arial" w:cs="Arial"/>
          <w:color w:val="000000" w:themeColor="text1"/>
        </w:rPr>
        <w:t xml:space="preserve">de minerales </w:t>
      </w:r>
      <w:r w:rsidR="00392DAC" w:rsidRPr="000E0F90">
        <w:rPr>
          <w:rFonts w:ascii="Arial" w:hAnsi="Arial" w:cs="Arial"/>
          <w:color w:val="000000" w:themeColor="text1"/>
        </w:rPr>
        <w:t>del</w:t>
      </w:r>
      <w:r w:rsidR="003A2FAF" w:rsidRPr="000E0F90">
        <w:rPr>
          <w:rFonts w:ascii="Arial" w:hAnsi="Arial" w:cs="Arial"/>
          <w:color w:val="000000" w:themeColor="text1"/>
        </w:rPr>
        <w:t xml:space="preserve"> país, donde existe una limitada diversificación de la economía</w:t>
      </w:r>
      <w:r w:rsidR="00392DAC" w:rsidRPr="000E0F90">
        <w:rPr>
          <w:rFonts w:ascii="Arial" w:hAnsi="Arial" w:cs="Arial"/>
          <w:color w:val="000000" w:themeColor="text1"/>
        </w:rPr>
        <w:t xml:space="preserve"> local producto de un reducido encadenamiento de la industria minera con otros sectores de la economía</w:t>
      </w:r>
      <w:r w:rsidR="003A2FAF" w:rsidRPr="000E0F90">
        <w:rPr>
          <w:rFonts w:ascii="Arial" w:hAnsi="Arial" w:cs="Arial"/>
          <w:color w:val="000000" w:themeColor="text1"/>
        </w:rPr>
        <w:t xml:space="preserve">, producciones con bajo valor agregado y alta </w:t>
      </w:r>
      <w:r w:rsidR="00392DAC" w:rsidRPr="000E0F90">
        <w:rPr>
          <w:rFonts w:ascii="Arial" w:hAnsi="Arial" w:cs="Arial"/>
          <w:color w:val="000000" w:themeColor="text1"/>
        </w:rPr>
        <w:t>volatilidad</w:t>
      </w:r>
      <w:r w:rsidR="003A2FAF" w:rsidRPr="000E0F90">
        <w:rPr>
          <w:rFonts w:ascii="Arial" w:hAnsi="Arial" w:cs="Arial"/>
          <w:color w:val="000000" w:themeColor="text1"/>
        </w:rPr>
        <w:t xml:space="preserve"> a los </w:t>
      </w:r>
      <w:r w:rsidR="00392DAC" w:rsidRPr="000E0F90">
        <w:rPr>
          <w:rFonts w:ascii="Arial" w:hAnsi="Arial" w:cs="Arial"/>
          <w:color w:val="000000" w:themeColor="text1"/>
        </w:rPr>
        <w:t>cambios</w:t>
      </w:r>
      <w:r w:rsidR="003A2FAF" w:rsidRPr="000E0F90">
        <w:rPr>
          <w:rFonts w:ascii="Arial" w:hAnsi="Arial" w:cs="Arial"/>
          <w:color w:val="000000" w:themeColor="text1"/>
        </w:rPr>
        <w:t xml:space="preserve"> externos</w:t>
      </w:r>
      <w:r w:rsidR="000D4431" w:rsidRPr="000E0F90">
        <w:rPr>
          <w:rFonts w:ascii="Arial" w:hAnsi="Arial" w:cs="Arial"/>
          <w:color w:val="000000" w:themeColor="text1"/>
        </w:rPr>
        <w:t xml:space="preserve"> de sectores exportadores agrícolas locales</w:t>
      </w:r>
      <w:r w:rsidR="003A2FAF" w:rsidRPr="000E0F90">
        <w:rPr>
          <w:rFonts w:ascii="Arial" w:hAnsi="Arial" w:cs="Arial"/>
          <w:color w:val="000000" w:themeColor="text1"/>
        </w:rPr>
        <w:t xml:space="preserve">, lo que afecta fuertemente la </w:t>
      </w:r>
      <w:r w:rsidR="00392DAC" w:rsidRPr="000E0F90">
        <w:rPr>
          <w:rFonts w:ascii="Arial" w:hAnsi="Arial" w:cs="Arial"/>
          <w:color w:val="000000" w:themeColor="text1"/>
        </w:rPr>
        <w:t>capacidad adaptativa de los territorios</w:t>
      </w:r>
      <w:r w:rsidR="000D4431" w:rsidRPr="000E0F90">
        <w:rPr>
          <w:rFonts w:ascii="Arial" w:hAnsi="Arial" w:cs="Arial"/>
          <w:color w:val="000000" w:themeColor="text1"/>
        </w:rPr>
        <w:t xml:space="preserve"> </w:t>
      </w:r>
      <w:r w:rsidR="000D4431" w:rsidRPr="000E0F90">
        <w:rPr>
          <w:rFonts w:ascii="Arial" w:hAnsi="Arial" w:cs="Arial"/>
          <w:color w:val="000000" w:themeColor="text1"/>
        </w:rPr>
        <w:fldChar w:fldCharType="begin" w:fldLock="1"/>
      </w:r>
      <w:r w:rsidR="004105D9" w:rsidRPr="000E0F90">
        <w:rPr>
          <w:rFonts w:ascii="Arial" w:hAnsi="Arial" w:cs="Arial"/>
          <w:color w:val="000000" w:themeColor="text1"/>
        </w:rPr>
        <w:instrText>ADDIN CSL_CITATION { "citationItems" : [ { "id" : "ITEM-1", "itemData" : { "DOI" : "10.1016/j.geoforum.2014.06.007", "ISSN" : "00167185", "abstract" : "In the resource-based, export-driven and steadily growing economy of Chile, neither the revenues nor the negative effects of exports are distributed evenly in space. Accordingly, export specialization patterns in Chile must be analyzed on a regional scale to understand the relationships between export diversification, economic growth and dependency. We analyze how the degree of export specialization among Chile's regions is linked to regional GDP growth and to regional export growth. Moreover, by taking a long-term perspective, we can evaluate these relationships during a phase of strong national currency and in the context of an external \"shock\". Our analysis applies the theoretical frameworks of the 'resource curse' and 'Dutch disease' on a regional geographical scale.We identify a tendency towards increased export specialization that is linked in part to high volatility of both GDP growth and export growth. There is also evidence of a growing dependence of Chilean regional economies on export trade. The 1991-2010 period covered by the analysis provides evidence of how external factors, such as high commodity prices and low US dollar exchange rates, foster specialization and weaken non-mineral exports in relative terms, especially in the highly specialized mineral-based regions of Chile. This result is consistent with the application of the Dutch disease thesis on a regional scale. Our analysis also shows the negative short-term effect of an external demand crisis on the mineral export sector and on highly specialized regions. The article concludes by emphasizing the need for a regional perspective on exports and on the effects of external factors within the country. ?? 2014.", "author" : [ { "dropping-particle" : "", "family" : "Rehner", "given" : "Johannes", "non-dropping-particle" : "", "parse-names" : false, "suffix" : "" }, { "dropping-particle" : "", "family" : "Baeza", "given" : "Sebasti\u00e1n a.", "non-dropping-particle" : "", "parse-names" : false, "suffix" : "" }, { "dropping-particle" : "", "family" : "Barton", "given" : "Jonathan R.", "non-dropping-particle" : "", "parse-names" : false, "suffix" : "" } ], "container-title" : "Geoforum", "id" : "ITEM-1", "issued" : { "date-parts" : [ [ "2014" ] ] }, "page" : "35-45", "publisher" : "Elsevier Ltd", "title" : "Chile's resource-based export boom and its outcomes: Regional specialization, export stability and economic growth", "type" : "article-journal", "volume" : "56" }, "uris" : [ "http://www.mendeley.com/documents/?uuid=e386a035-0d75-4c85-a6fe-8341e8316180" ] } ], "mendeley" : { "formattedCitation" : "(Rehner et al., 2014)", "plainTextFormattedCitation" : "(Rehner et al., 2014)", "previouslyFormattedCitation" : "(Rehner et al., 2014)" }, "properties" : { "noteIndex" : 0 }, "schema" : "https://github.com/citation-style-language/schema/raw/master/csl-citation.json" }</w:instrText>
      </w:r>
      <w:r w:rsidR="000D4431" w:rsidRPr="000E0F90">
        <w:rPr>
          <w:rFonts w:ascii="Arial" w:hAnsi="Arial" w:cs="Arial"/>
          <w:color w:val="000000" w:themeColor="text1"/>
        </w:rPr>
        <w:fldChar w:fldCharType="separate"/>
      </w:r>
      <w:r w:rsidR="000D4431" w:rsidRPr="000E0F90">
        <w:rPr>
          <w:rFonts w:ascii="Arial" w:hAnsi="Arial" w:cs="Arial"/>
          <w:noProof/>
          <w:color w:val="000000" w:themeColor="text1"/>
        </w:rPr>
        <w:t>(Rehner et al., 2014)</w:t>
      </w:r>
      <w:r w:rsidR="000D4431" w:rsidRPr="000E0F90">
        <w:rPr>
          <w:rFonts w:ascii="Arial" w:hAnsi="Arial" w:cs="Arial"/>
          <w:color w:val="000000" w:themeColor="text1"/>
        </w:rPr>
        <w:fldChar w:fldCharType="end"/>
      </w:r>
      <w:r w:rsidR="000D4431" w:rsidRPr="000E0F90">
        <w:rPr>
          <w:rFonts w:ascii="Arial" w:hAnsi="Arial" w:cs="Arial"/>
          <w:color w:val="000000" w:themeColor="text1"/>
        </w:rPr>
        <w:t>.</w:t>
      </w:r>
      <w:r w:rsidR="00392DAC" w:rsidRPr="000E0F90">
        <w:rPr>
          <w:rFonts w:ascii="Arial" w:hAnsi="Arial" w:cs="Arial"/>
          <w:color w:val="000000" w:themeColor="text1"/>
        </w:rPr>
        <w:t xml:space="preserve"> </w:t>
      </w:r>
    </w:p>
    <w:p w:rsidR="000D612F" w:rsidRPr="000E0F90" w:rsidRDefault="000D612F" w:rsidP="00702D9A">
      <w:pPr>
        <w:spacing w:line="360" w:lineRule="auto"/>
        <w:rPr>
          <w:rFonts w:ascii="Arial" w:hAnsi="Arial" w:cs="Arial"/>
          <w:color w:val="000000" w:themeColor="text1"/>
        </w:rPr>
      </w:pPr>
      <w:r w:rsidRPr="000E0F90">
        <w:rPr>
          <w:rFonts w:ascii="Arial" w:hAnsi="Arial" w:cs="Arial"/>
          <w:color w:val="000000" w:themeColor="text1"/>
        </w:rPr>
        <w:t xml:space="preserve">Respecto a la </w:t>
      </w:r>
      <w:r w:rsidRPr="00FA7E30">
        <w:rPr>
          <w:rFonts w:ascii="Arial" w:hAnsi="Arial" w:cs="Arial"/>
          <w:color w:val="000000" w:themeColor="text1"/>
        </w:rPr>
        <w:t xml:space="preserve">adaptación a los </w:t>
      </w:r>
      <w:r w:rsidR="0057402B" w:rsidRPr="00FA7E30">
        <w:rPr>
          <w:rFonts w:ascii="Arial" w:hAnsi="Arial" w:cs="Arial"/>
          <w:color w:val="000000" w:themeColor="text1"/>
        </w:rPr>
        <w:t>cambios potenciales futuros</w:t>
      </w:r>
      <w:r w:rsidRPr="000E0F90">
        <w:rPr>
          <w:rFonts w:ascii="Arial" w:hAnsi="Arial" w:cs="Arial"/>
          <w:color w:val="000000" w:themeColor="text1"/>
        </w:rPr>
        <w:t xml:space="preserve">, se reconoce el cambio climático como un evento que requiere adaptación, específicamente en términos de asegurar la disponibilidad del recurso </w:t>
      </w:r>
      <w:r w:rsidR="002C037B">
        <w:rPr>
          <w:rFonts w:ascii="Arial" w:hAnsi="Arial" w:cs="Arial"/>
          <w:color w:val="000000" w:themeColor="text1"/>
        </w:rPr>
        <w:t xml:space="preserve">hídrico </w:t>
      </w:r>
      <w:r w:rsidRPr="000E0F90">
        <w:rPr>
          <w:rFonts w:ascii="Arial" w:hAnsi="Arial" w:cs="Arial"/>
          <w:color w:val="000000" w:themeColor="text1"/>
        </w:rPr>
        <w:t>en el futuro</w:t>
      </w:r>
      <w:r w:rsidR="000D4431" w:rsidRPr="000E0F90">
        <w:rPr>
          <w:rFonts w:ascii="Arial" w:hAnsi="Arial" w:cs="Arial"/>
          <w:color w:val="000000" w:themeColor="text1"/>
        </w:rPr>
        <w:t>,</w:t>
      </w:r>
      <w:r w:rsidR="00F219F3" w:rsidRPr="000E0F90">
        <w:rPr>
          <w:rFonts w:ascii="Arial" w:hAnsi="Arial" w:cs="Arial"/>
          <w:color w:val="000000" w:themeColor="text1"/>
        </w:rPr>
        <w:t xml:space="preserve"> s</w:t>
      </w:r>
      <w:r w:rsidRPr="000E0F90">
        <w:rPr>
          <w:rFonts w:ascii="Arial" w:hAnsi="Arial" w:cs="Arial"/>
          <w:color w:val="000000" w:themeColor="text1"/>
        </w:rPr>
        <w:t>in embargo</w:t>
      </w:r>
      <w:r w:rsidR="004105D9" w:rsidRPr="000E0F90">
        <w:rPr>
          <w:rFonts w:ascii="Arial" w:hAnsi="Arial" w:cs="Arial"/>
          <w:color w:val="000000" w:themeColor="text1"/>
        </w:rPr>
        <w:t>,</w:t>
      </w:r>
      <w:r w:rsidRPr="000E0F90">
        <w:rPr>
          <w:rFonts w:ascii="Arial" w:hAnsi="Arial" w:cs="Arial"/>
          <w:color w:val="000000" w:themeColor="text1"/>
        </w:rPr>
        <w:t xml:space="preserve"> los actores sociales no han identificado acciones tendientes a </w:t>
      </w:r>
      <w:r w:rsidR="00B95958" w:rsidRPr="000E0F90">
        <w:rPr>
          <w:rFonts w:ascii="Arial" w:hAnsi="Arial" w:cs="Arial"/>
          <w:color w:val="000000" w:themeColor="text1"/>
        </w:rPr>
        <w:t xml:space="preserve">enfrentar esta situación. No obstante, la industria minera ha implementado estrategias que reducen las emisiones de gases con efecto invernadero, como es la reducción de las emisiones de fundiciones y la demanda energética de la actividad, al igual que estrategias que reducen la utilización del recurso hídrico </w:t>
      </w:r>
      <w:r w:rsidR="00B95958" w:rsidRPr="000E0F90">
        <w:rPr>
          <w:rFonts w:ascii="Arial" w:hAnsi="Arial" w:cs="Arial"/>
          <w:color w:val="000000" w:themeColor="text1"/>
        </w:rPr>
        <w:fldChar w:fldCharType="begin" w:fldLock="1"/>
      </w:r>
      <w:r w:rsidR="00B95958" w:rsidRPr="000E0F90">
        <w:rPr>
          <w:rFonts w:ascii="Arial" w:hAnsi="Arial" w:cs="Arial"/>
          <w:color w:val="000000" w:themeColor="text1"/>
        </w:rPr>
        <w:instrText>ADDIN CSL_CITATION { "citationItems" : [ { "id" : "ITEM-1", "itemData" : { "DOI" : "10.1080/17480930.2015.1128799", "ISSN" : "1748-0930", "abstract" : "Chile is the principal producer of copper with a total of 5.8\u00a0million tonnes fine copper production in 2013. Chilean mining industry currently faces a projected increase in waste production, depleting water resources in the arid mining regions of the north and a lack of fossil fuel energy sources. In this study, a review of the historical background of environmental practices in Chile is presented, focused between 1970 and 2010. A review of the current state of sustainable development, comprising energy, water, stakeholder participation, environmental impacts and institutional decentralisation in the mining industry is presented.", "author" : [ { "dropping-particle" : "", "family" : "Ghorbani", "given" : "Yousef", "non-dropping-particle" : "", "parse-names" : false, "suffix" : "" }, { "dropping-particle" : "", "family" : "Kuan", "given" : "Seng How", "non-dropping-particle" : "", "parse-names" : false, "suffix" : "" } ], "container-title" : "International Journal of Mining, Reclamation and Environment", "id" : "ITEM-1", "issue" : "February", "issued" : { "date-parts" : [ [ "2016" ] ] }, "note" : "NULL", "page" : "1-29", "publisher" : "Taylor &amp; Francis", "title" : "A review of sustainable development in the Chilean mining sector: past, present and future", "type" : "article-journal", "volume" : "0930" }, "uris" : [ "http://www.mendeley.com/documents/?uuid=ba6630bb-3cdb-4443-b119-f6b6f68bafa7" ] } ], "mendeley" : { "formattedCitation" : "(Ghorbani &amp; Kuan, 2016)", "plainTextFormattedCitation" : "(Ghorbani &amp; Kuan, 2016)", "previouslyFormattedCitation" : "(Ghorbani &amp; Kuan, 2016)" }, "properties" : { "noteIndex" : 0 }, "schema" : "https://github.com/citation-style-language/schema/raw/master/csl-citation.json" }</w:instrText>
      </w:r>
      <w:r w:rsidR="00B95958" w:rsidRPr="000E0F90">
        <w:rPr>
          <w:rFonts w:ascii="Arial" w:hAnsi="Arial" w:cs="Arial"/>
          <w:color w:val="000000" w:themeColor="text1"/>
        </w:rPr>
        <w:fldChar w:fldCharType="separate"/>
      </w:r>
      <w:r w:rsidR="00B95958" w:rsidRPr="000E0F90">
        <w:rPr>
          <w:rFonts w:ascii="Arial" w:hAnsi="Arial" w:cs="Arial"/>
          <w:noProof/>
          <w:color w:val="000000" w:themeColor="text1"/>
        </w:rPr>
        <w:t>(Ghorbani &amp; Kuan, 2016)</w:t>
      </w:r>
      <w:r w:rsidR="00B95958" w:rsidRPr="000E0F90">
        <w:rPr>
          <w:rFonts w:ascii="Arial" w:hAnsi="Arial" w:cs="Arial"/>
          <w:color w:val="000000" w:themeColor="text1"/>
        </w:rPr>
        <w:fldChar w:fldCharType="end"/>
      </w:r>
      <w:r w:rsidR="00B95958" w:rsidRPr="000E0F90">
        <w:rPr>
          <w:rFonts w:ascii="Arial" w:hAnsi="Arial" w:cs="Arial"/>
          <w:color w:val="000000" w:themeColor="text1"/>
        </w:rPr>
        <w:t xml:space="preserve">. Cabe señalar que dado la inminente expansión de operaciones y la ejecución de nuevos proyectos, así como explotación de minerales de baja ley, se espera continúe demandando el recurso hídrico y energético en forma intensa y progresiva, y se generen mayores emisiones  necesarias para mantener la viabilidad de la industria </w:t>
      </w:r>
      <w:r w:rsidR="00B95958" w:rsidRPr="000E0F90">
        <w:rPr>
          <w:rFonts w:ascii="Arial" w:hAnsi="Arial" w:cs="Arial"/>
          <w:color w:val="000000" w:themeColor="text1"/>
        </w:rPr>
        <w:fldChar w:fldCharType="begin" w:fldLock="1"/>
      </w:r>
      <w:r w:rsidR="00B95958" w:rsidRPr="000E0F90">
        <w:rPr>
          <w:rFonts w:ascii="Arial" w:hAnsi="Arial" w:cs="Arial"/>
          <w:color w:val="000000" w:themeColor="text1"/>
        </w:rPr>
        <w:instrText>ADDIN CSL_CITATION { "citationItems" : [ { "id" : "ITEM-1", "itemData" : { "author" : [ { "dropping-particle" : "", "family" : "Oyarz\u00fan", "given" : "J", "non-dropping-particle" : "", "parse-names" : false, "suffix" : "" }, { "dropping-particle" : "", "family" : "Oyarz\u00fan", "given" : "R", "non-dropping-particle" : "", "parse-names" : false, "suffix" : "" } ], "container-title" : "Sustainable Development", "id" : "ITEM-1", "issue" : "December 2009", "issued" : { "date-parts" : [ [ "2011" ] ] }, "page" : "263-274", "title" : "Sustainable Development Threats, Inter-Sector Confl icts and Environmental Policy Requirements in the Arid, Mining Rich, Northern Chile Territory", "type" : "article-journal", "volume" : "19" }, "uris" : [ "http://www.mendeley.com/documents/?uuid=928eabd5-0755-4c69-a4cc-894aa1284178" ] } ], "mendeley" : { "formattedCitation" : "(Oyarz\u00fan &amp; Oyarz\u00fan, 2011)", "plainTextFormattedCitation" : "(Oyarz\u00fan &amp; Oyarz\u00fan, 2011)", "previouslyFormattedCitation" : "(Oyarz\u00fan &amp; Oyarz\u00fan, 2011)" }, "properties" : { "noteIndex" : 0 }, "schema" : "https://github.com/citation-style-language/schema/raw/master/csl-citation.json" }</w:instrText>
      </w:r>
      <w:r w:rsidR="00B95958" w:rsidRPr="000E0F90">
        <w:rPr>
          <w:rFonts w:ascii="Arial" w:hAnsi="Arial" w:cs="Arial"/>
          <w:color w:val="000000" w:themeColor="text1"/>
        </w:rPr>
        <w:fldChar w:fldCharType="separate"/>
      </w:r>
      <w:r w:rsidR="00B95958" w:rsidRPr="000E0F90">
        <w:rPr>
          <w:rFonts w:ascii="Arial" w:hAnsi="Arial" w:cs="Arial"/>
          <w:noProof/>
          <w:color w:val="000000" w:themeColor="text1"/>
        </w:rPr>
        <w:t>(Oyarzún &amp; Oyarzún, 2011)</w:t>
      </w:r>
      <w:r w:rsidR="00B95958" w:rsidRPr="000E0F90">
        <w:rPr>
          <w:rFonts w:ascii="Arial" w:hAnsi="Arial" w:cs="Arial"/>
          <w:color w:val="000000" w:themeColor="text1"/>
        </w:rPr>
        <w:fldChar w:fldCharType="end"/>
      </w:r>
      <w:r w:rsidR="00B95958" w:rsidRPr="000E0F90">
        <w:rPr>
          <w:rFonts w:ascii="Arial" w:hAnsi="Arial" w:cs="Arial"/>
          <w:color w:val="000000" w:themeColor="text1"/>
        </w:rPr>
        <w:t>.</w:t>
      </w:r>
    </w:p>
    <w:p w:rsidR="00702D9A" w:rsidRDefault="000D4431" w:rsidP="00A830E3">
      <w:pPr>
        <w:spacing w:line="360" w:lineRule="auto"/>
        <w:rPr>
          <w:rFonts w:ascii="Arial" w:eastAsiaTheme="majorEastAsia" w:hAnsi="Arial" w:cs="Arial"/>
          <w:b/>
          <w:bCs/>
          <w:color w:val="000000" w:themeColor="text1"/>
          <w:sz w:val="28"/>
          <w:szCs w:val="28"/>
        </w:rPr>
      </w:pPr>
      <w:r w:rsidRPr="000E0F90">
        <w:rPr>
          <w:rFonts w:ascii="Arial" w:hAnsi="Arial" w:cs="Arial"/>
          <w:color w:val="000000" w:themeColor="text1"/>
        </w:rPr>
        <w:t>Por otra parte, como se mencionaba anteriormente, no existe una estrategia que busque adaptación frente a cambios externos en economías altamente especializadas en la exportación</w:t>
      </w:r>
      <w:r w:rsidR="006F14BF" w:rsidRPr="000E0F90">
        <w:rPr>
          <w:rFonts w:ascii="Arial" w:hAnsi="Arial" w:cs="Arial"/>
          <w:color w:val="000000" w:themeColor="text1"/>
        </w:rPr>
        <w:t xml:space="preserve"> creciente</w:t>
      </w:r>
      <w:r w:rsidRPr="000E0F90">
        <w:rPr>
          <w:rFonts w:ascii="Arial" w:hAnsi="Arial" w:cs="Arial"/>
          <w:color w:val="000000" w:themeColor="text1"/>
        </w:rPr>
        <w:t xml:space="preserve"> de </w:t>
      </w:r>
      <w:r w:rsidRPr="000E0F90">
        <w:rPr>
          <w:rFonts w:ascii="Arial" w:hAnsi="Arial" w:cs="Arial"/>
          <w:i/>
          <w:color w:val="000000" w:themeColor="text1"/>
        </w:rPr>
        <w:t>commodities</w:t>
      </w:r>
      <w:r w:rsidRPr="000E0F90">
        <w:rPr>
          <w:rFonts w:ascii="Arial" w:hAnsi="Arial" w:cs="Arial"/>
          <w:color w:val="000000" w:themeColor="text1"/>
        </w:rPr>
        <w:t xml:space="preserve"> (i.e. minería y agricultura), como es la región de Atacama y Coquimbo </w:t>
      </w:r>
      <w:r w:rsidRPr="000E0F90">
        <w:rPr>
          <w:rFonts w:ascii="Arial" w:hAnsi="Arial" w:cs="Arial"/>
          <w:color w:val="000000" w:themeColor="text1"/>
        </w:rPr>
        <w:fldChar w:fldCharType="begin" w:fldLock="1"/>
      </w:r>
      <w:r w:rsidR="004105D9" w:rsidRPr="000E0F90">
        <w:rPr>
          <w:rFonts w:ascii="Arial" w:hAnsi="Arial" w:cs="Arial"/>
          <w:color w:val="000000" w:themeColor="text1"/>
        </w:rPr>
        <w:instrText>ADDIN CSL_CITATION { "citationItems" : [ { "id" : "ITEM-1", "itemData" : { "DOI" : "10.1016/j.geoforum.2014.06.007", "ISSN" : "00167185", "abstract" : "In the resource-based, export-driven and steadily growing economy of Chile, neither the revenues nor the negative effects of exports are distributed evenly in space. Accordingly, export specialization patterns in Chile must be analyzed on a regional scale to understand the relationships between export diversification, economic growth and dependency. We analyze how the degree of export specialization among Chile's regions is linked to regional GDP growth and to regional export growth. Moreover, by taking a long-term perspective, we can evaluate these relationships during a phase of strong national currency and in the context of an external \"shock\". Our analysis applies the theoretical frameworks of the 'resource curse' and 'Dutch disease' on a regional geographical scale.We identify a tendency towards increased export specialization that is linked in part to high volatility of both GDP growth and export growth. There is also evidence of a growing dependence of Chilean regional economies on export trade. The 1991-2010 period covered by the analysis provides evidence of how external factors, such as high commodity prices and low US dollar exchange rates, foster specialization and weaken non-mineral exports in relative terms, especially in the highly specialized mineral-based regions of Chile. This result is consistent with the application of the Dutch disease thesis on a regional scale. Our analysis also shows the negative short-term effect of an external demand crisis on the mineral export sector and on highly specialized regions. The article concludes by emphasizing the need for a regional perspective on exports and on the effects of external factors within the country. ?? 2014.", "author" : [ { "dropping-particle" : "", "family" : "Rehner", "given" : "Johannes", "non-dropping-particle" : "", "parse-names" : false, "suffix" : "" }, { "dropping-particle" : "", "family" : "Baeza", "given" : "Sebasti\u00e1n a.", "non-dropping-particle" : "", "parse-names" : false, "suffix" : "" }, { "dropping-particle" : "", "family" : "Barton", "given" : "Jonathan R.", "non-dropping-particle" : "", "parse-names" : false, "suffix" : "" } ], "container-title" : "Geoforum", "id" : "ITEM-1", "issued" : { "date-parts" : [ [ "2014" ] ] }, "page" : "35-45", "publisher" : "Elsevier Ltd", "title" : "Chile's resource-based export boom and its outcomes: Regional specialization, export stability and economic growth", "type" : "article-journal", "volume" : "56" }, "uris" : [ "http://www.mendeley.com/documents/?uuid=e386a035-0d75-4c85-a6fe-8341e8316180" ] } ], "mendeley" : { "formattedCitation" : "(Rehner et al., 2014)", "plainTextFormattedCitation" : "(Rehner et al., 2014)", "previouslyFormattedCitation" : "(Rehner et al., 2014)" }, "properties" : { "noteIndex" : 0 }, "schema" : "https://github.com/citation-style-language/schema/raw/master/csl-citation.json" }</w:instrText>
      </w:r>
      <w:r w:rsidRPr="000E0F90">
        <w:rPr>
          <w:rFonts w:ascii="Arial" w:hAnsi="Arial" w:cs="Arial"/>
          <w:color w:val="000000" w:themeColor="text1"/>
        </w:rPr>
        <w:fldChar w:fldCharType="separate"/>
      </w:r>
      <w:r w:rsidRPr="000E0F90">
        <w:rPr>
          <w:rFonts w:ascii="Arial" w:hAnsi="Arial" w:cs="Arial"/>
          <w:noProof/>
          <w:color w:val="000000" w:themeColor="text1"/>
        </w:rPr>
        <w:t>(Rehner et al., 2014)</w:t>
      </w:r>
      <w:r w:rsidRPr="000E0F90">
        <w:rPr>
          <w:rFonts w:ascii="Arial" w:hAnsi="Arial" w:cs="Arial"/>
          <w:color w:val="000000" w:themeColor="text1"/>
        </w:rPr>
        <w:fldChar w:fldCharType="end"/>
      </w:r>
      <w:r w:rsidRPr="000E0F90">
        <w:rPr>
          <w:rFonts w:ascii="Arial" w:hAnsi="Arial" w:cs="Arial"/>
          <w:color w:val="000000" w:themeColor="text1"/>
        </w:rPr>
        <w:t xml:space="preserve">. Así como tampoco </w:t>
      </w:r>
      <w:r w:rsidR="006F14BF" w:rsidRPr="000E0F90">
        <w:rPr>
          <w:rFonts w:ascii="Arial" w:hAnsi="Arial" w:cs="Arial"/>
          <w:color w:val="000000" w:themeColor="text1"/>
        </w:rPr>
        <w:t xml:space="preserve">se identifican estrategias orientadas </w:t>
      </w:r>
      <w:r w:rsidRPr="000E0F90">
        <w:rPr>
          <w:rFonts w:ascii="Arial" w:hAnsi="Arial" w:cs="Arial"/>
          <w:color w:val="000000" w:themeColor="text1"/>
        </w:rPr>
        <w:t>al agotamiento de las reservas de mineral territorial.</w:t>
      </w:r>
      <w:bookmarkStart w:id="33" w:name="_Toc488774922"/>
      <w:r w:rsidR="00702D9A">
        <w:rPr>
          <w:rFonts w:cs="Arial"/>
          <w:color w:val="000000" w:themeColor="text1"/>
        </w:rPr>
        <w:br w:type="page"/>
      </w:r>
    </w:p>
    <w:p w:rsidR="0030432D" w:rsidRPr="000E0F90" w:rsidRDefault="0030432D" w:rsidP="00702D9A">
      <w:pPr>
        <w:pStyle w:val="Ttulo1"/>
        <w:spacing w:line="360" w:lineRule="auto"/>
        <w:rPr>
          <w:rFonts w:cs="Arial"/>
          <w:color w:val="000000" w:themeColor="text1"/>
        </w:rPr>
      </w:pPr>
      <w:r w:rsidRPr="000E0F90">
        <w:rPr>
          <w:rFonts w:cs="Arial"/>
          <w:color w:val="000000" w:themeColor="text1"/>
        </w:rPr>
        <w:lastRenderedPageBreak/>
        <w:t>CONCLUSIONES</w:t>
      </w:r>
      <w:bookmarkEnd w:id="33"/>
    </w:p>
    <w:p w:rsidR="00D8173E" w:rsidRPr="000E0F90" w:rsidRDefault="00D8173E" w:rsidP="00702D9A">
      <w:pPr>
        <w:spacing w:before="240" w:line="360" w:lineRule="auto"/>
        <w:rPr>
          <w:rFonts w:ascii="Arial" w:hAnsi="Arial" w:cs="Arial"/>
          <w:color w:val="000000" w:themeColor="text1"/>
        </w:rPr>
      </w:pPr>
      <w:r w:rsidRPr="000E0F90">
        <w:rPr>
          <w:rFonts w:ascii="Arial" w:hAnsi="Arial" w:cs="Arial"/>
          <w:color w:val="000000" w:themeColor="text1"/>
        </w:rPr>
        <w:t>En base a los resultados de este trabajo de investigación se puede concluir que para guiar la construcción de los territorios mineros del Norte Chico se requieren principios de naturaleza integrativa, que incorporen aspectos fundacionales, temporales y opera</w:t>
      </w:r>
      <w:r w:rsidR="00CA250B" w:rsidRPr="000E0F90">
        <w:rPr>
          <w:rFonts w:ascii="Arial" w:hAnsi="Arial" w:cs="Arial"/>
          <w:color w:val="000000" w:themeColor="text1"/>
        </w:rPr>
        <w:t>cionales</w:t>
      </w:r>
      <w:r w:rsidRPr="000E0F90">
        <w:rPr>
          <w:rFonts w:ascii="Arial" w:hAnsi="Arial" w:cs="Arial"/>
          <w:color w:val="000000" w:themeColor="text1"/>
        </w:rPr>
        <w:t xml:space="preserve"> de la sostenibilidad, de forma que se genere un avance conjunto de todas sus dimensiones.</w:t>
      </w:r>
    </w:p>
    <w:p w:rsidR="00394574" w:rsidRPr="000E0F90" w:rsidRDefault="00855307" w:rsidP="00702D9A">
      <w:pPr>
        <w:spacing w:before="240" w:line="360" w:lineRule="auto"/>
        <w:rPr>
          <w:rFonts w:ascii="Arial" w:hAnsi="Arial" w:cs="Arial"/>
          <w:color w:val="000000" w:themeColor="text1"/>
        </w:rPr>
      </w:pPr>
      <w:r w:rsidRPr="000E0F90">
        <w:rPr>
          <w:rFonts w:ascii="Arial" w:hAnsi="Arial" w:cs="Arial"/>
          <w:color w:val="000000" w:themeColor="text1"/>
        </w:rPr>
        <w:t xml:space="preserve">La estructuración y adaptación de los principios de sostenibilidad a las condiciones particulares de los territorios mineros, es fundamental para alcanzar la operatividad y aplicabilidad de los principios en la práctica. La estructuración de los principios de sostenibilidad facilita la comprensión y entendimiento del concepto de sostenibilidad en el ámbito territorial, pudiendo aproximar la brecha existente entre el mundo científico y sociedad. </w:t>
      </w:r>
      <w:r w:rsidR="00CA250B" w:rsidRPr="000E0F90">
        <w:rPr>
          <w:rFonts w:ascii="Arial" w:hAnsi="Arial" w:cs="Arial"/>
          <w:color w:val="000000" w:themeColor="text1"/>
        </w:rPr>
        <w:t xml:space="preserve">La adaptación de la propuesta a las características particulares de los territorios mineros, </w:t>
      </w:r>
      <w:r w:rsidRPr="000E0F90">
        <w:rPr>
          <w:rFonts w:ascii="Arial" w:hAnsi="Arial" w:cs="Arial"/>
          <w:color w:val="000000" w:themeColor="text1"/>
        </w:rPr>
        <w:t xml:space="preserve">permite </w:t>
      </w:r>
      <w:r w:rsidR="00394574" w:rsidRPr="000E0F90">
        <w:rPr>
          <w:rFonts w:ascii="Arial" w:hAnsi="Arial" w:cs="Arial"/>
          <w:color w:val="000000" w:themeColor="text1"/>
        </w:rPr>
        <w:t>incorporar elementos territoriales específicos que requieren mayor significancia en las propuestas de principios</w:t>
      </w:r>
      <w:r w:rsidR="00D33063" w:rsidRPr="000E0F90">
        <w:rPr>
          <w:rFonts w:ascii="Arial" w:hAnsi="Arial" w:cs="Arial"/>
          <w:color w:val="000000" w:themeColor="text1"/>
        </w:rPr>
        <w:t xml:space="preserve"> y que a otras escalas de análisis no son evidenciados.</w:t>
      </w:r>
      <w:r w:rsidR="00394574" w:rsidRPr="000E0F90">
        <w:rPr>
          <w:rFonts w:ascii="Arial" w:hAnsi="Arial" w:cs="Arial"/>
          <w:color w:val="000000" w:themeColor="text1"/>
        </w:rPr>
        <w:t xml:space="preserve"> </w:t>
      </w:r>
    </w:p>
    <w:p w:rsidR="00855307" w:rsidRPr="000E0F90" w:rsidRDefault="006540EA" w:rsidP="00702D9A">
      <w:pPr>
        <w:spacing w:line="360" w:lineRule="auto"/>
        <w:rPr>
          <w:rFonts w:ascii="Arial" w:hAnsi="Arial" w:cs="Arial"/>
          <w:color w:val="000000" w:themeColor="text1"/>
        </w:rPr>
      </w:pPr>
      <w:r w:rsidRPr="000E0F90">
        <w:rPr>
          <w:rFonts w:ascii="Arial" w:hAnsi="Arial" w:cs="Arial"/>
          <w:color w:val="000000" w:themeColor="text1"/>
        </w:rPr>
        <w:t xml:space="preserve">El desarrollo de esta propuesta revela la necesidad de abordar la sostenibilidad de los territorios mineros desde la perspectiva territorial, dado que </w:t>
      </w:r>
      <w:r w:rsidR="00855307" w:rsidRPr="000E0F90">
        <w:rPr>
          <w:rFonts w:ascii="Arial" w:hAnsi="Arial" w:cs="Arial"/>
          <w:color w:val="000000" w:themeColor="text1"/>
        </w:rPr>
        <w:t xml:space="preserve">evidencia elementos trascendentales de los territorios que a otras escalas de análisis no son identificadas, y </w:t>
      </w:r>
      <w:r w:rsidRPr="000E0F90">
        <w:rPr>
          <w:rFonts w:ascii="Arial" w:hAnsi="Arial" w:cs="Arial"/>
          <w:color w:val="000000" w:themeColor="text1"/>
        </w:rPr>
        <w:t>establece como idea de centro la calidad de vida de los actores territoriales locales a través del tiempo, por sobre la rentabilidad económica sectorial, y el beneficio de actores nacionales y globales. Subordinando el enfoque sectorial al enfoque territorial.</w:t>
      </w:r>
      <w:r w:rsidR="00855307" w:rsidRPr="000E0F90">
        <w:rPr>
          <w:rFonts w:ascii="Arial" w:hAnsi="Arial" w:cs="Arial"/>
          <w:color w:val="000000" w:themeColor="text1"/>
        </w:rPr>
        <w:t xml:space="preserve"> </w:t>
      </w:r>
    </w:p>
    <w:p w:rsidR="0043203F" w:rsidRPr="000E0F90" w:rsidRDefault="00ED5AB4" w:rsidP="00702D9A">
      <w:pPr>
        <w:spacing w:line="360" w:lineRule="auto"/>
        <w:rPr>
          <w:rFonts w:ascii="Arial" w:hAnsi="Arial" w:cs="Arial"/>
          <w:color w:val="000000" w:themeColor="text1"/>
        </w:rPr>
      </w:pPr>
      <w:r w:rsidRPr="000E0F90">
        <w:rPr>
          <w:rFonts w:ascii="Arial" w:hAnsi="Arial" w:cs="Arial"/>
          <w:color w:val="000000" w:themeColor="text1"/>
        </w:rPr>
        <w:t>Se requiere mayor investigación para incorporar</w:t>
      </w:r>
      <w:r w:rsidR="0043203F" w:rsidRPr="000E0F90">
        <w:rPr>
          <w:rFonts w:ascii="Arial" w:hAnsi="Arial" w:cs="Arial"/>
          <w:color w:val="000000" w:themeColor="text1"/>
        </w:rPr>
        <w:t xml:space="preserve"> aspectos relevantes</w:t>
      </w:r>
      <w:r w:rsidR="00C8125F" w:rsidRPr="000E0F90">
        <w:rPr>
          <w:rFonts w:ascii="Arial" w:hAnsi="Arial" w:cs="Arial"/>
          <w:color w:val="000000" w:themeColor="text1"/>
        </w:rPr>
        <w:t xml:space="preserve"> de estos territorios</w:t>
      </w:r>
      <w:r w:rsidR="0043203F" w:rsidRPr="000E0F90">
        <w:rPr>
          <w:rFonts w:ascii="Arial" w:hAnsi="Arial" w:cs="Arial"/>
          <w:color w:val="000000" w:themeColor="text1"/>
        </w:rPr>
        <w:t xml:space="preserve"> que no fueron</w:t>
      </w:r>
      <w:r w:rsidRPr="000E0F90">
        <w:rPr>
          <w:rFonts w:ascii="Arial" w:hAnsi="Arial" w:cs="Arial"/>
          <w:color w:val="000000" w:themeColor="text1"/>
        </w:rPr>
        <w:t xml:space="preserve"> identificados en la construcción</w:t>
      </w:r>
      <w:r w:rsidR="0043203F" w:rsidRPr="000E0F90">
        <w:rPr>
          <w:rFonts w:ascii="Arial" w:hAnsi="Arial" w:cs="Arial"/>
          <w:color w:val="000000" w:themeColor="text1"/>
        </w:rPr>
        <w:t xml:space="preserve"> de </w:t>
      </w:r>
      <w:r w:rsidR="00414C7F" w:rsidRPr="000E0F90">
        <w:rPr>
          <w:rFonts w:ascii="Arial" w:hAnsi="Arial" w:cs="Arial"/>
          <w:color w:val="000000" w:themeColor="text1"/>
        </w:rPr>
        <w:t>esta</w:t>
      </w:r>
      <w:r w:rsidRPr="000E0F90">
        <w:rPr>
          <w:rFonts w:ascii="Arial" w:hAnsi="Arial" w:cs="Arial"/>
          <w:color w:val="000000" w:themeColor="text1"/>
        </w:rPr>
        <w:t xml:space="preserve"> propuesta. </w:t>
      </w:r>
      <w:r w:rsidR="00447DDE" w:rsidRPr="000E0F90">
        <w:rPr>
          <w:rFonts w:ascii="Arial" w:hAnsi="Arial" w:cs="Arial"/>
          <w:color w:val="000000" w:themeColor="text1"/>
        </w:rPr>
        <w:t>Como es el caso de la pequeña y mediana minería, la cual debe ser indagada con mayor énfasis, puesto que bajo el trabajo de investigación, no logr</w:t>
      </w:r>
      <w:r w:rsidR="00842B25" w:rsidRPr="000E0F90">
        <w:rPr>
          <w:rFonts w:ascii="Arial" w:hAnsi="Arial" w:cs="Arial"/>
          <w:color w:val="000000" w:themeColor="text1"/>
        </w:rPr>
        <w:t>ó</w:t>
      </w:r>
      <w:r w:rsidR="00447DDE" w:rsidRPr="000E0F90">
        <w:rPr>
          <w:rFonts w:ascii="Arial" w:hAnsi="Arial" w:cs="Arial"/>
          <w:color w:val="000000" w:themeColor="text1"/>
        </w:rPr>
        <w:t xml:space="preserve"> ser percibida su interacción en el territorio</w:t>
      </w:r>
      <w:r w:rsidR="00693A72" w:rsidRPr="000E0F90">
        <w:rPr>
          <w:rFonts w:ascii="Arial" w:hAnsi="Arial" w:cs="Arial"/>
          <w:color w:val="000000" w:themeColor="text1"/>
        </w:rPr>
        <w:t xml:space="preserve"> en el marco de la sostenibilidad. Lo cual podría afectar la </w:t>
      </w:r>
      <w:r w:rsidR="00F51B0E" w:rsidRPr="000E0F90">
        <w:rPr>
          <w:rFonts w:ascii="Arial" w:hAnsi="Arial" w:cs="Arial"/>
          <w:color w:val="000000" w:themeColor="text1"/>
        </w:rPr>
        <w:t>aplicación local</w:t>
      </w:r>
      <w:r w:rsidR="00693A72" w:rsidRPr="000E0F90">
        <w:rPr>
          <w:rFonts w:ascii="Arial" w:hAnsi="Arial" w:cs="Arial"/>
          <w:color w:val="000000" w:themeColor="text1"/>
        </w:rPr>
        <w:t xml:space="preserve"> de la propuesta, dada la gran prevalencia de pequeña y gran minería en el Norte Chico.</w:t>
      </w:r>
      <w:r w:rsidR="009C7E68" w:rsidRPr="000E0F90">
        <w:rPr>
          <w:rFonts w:ascii="Arial" w:hAnsi="Arial" w:cs="Arial"/>
          <w:color w:val="000000" w:themeColor="text1"/>
        </w:rPr>
        <w:t xml:space="preserve"> </w:t>
      </w:r>
      <w:r w:rsidR="00855307" w:rsidRPr="000E0F90">
        <w:rPr>
          <w:rFonts w:ascii="Arial" w:hAnsi="Arial" w:cs="Arial"/>
          <w:color w:val="000000" w:themeColor="text1"/>
        </w:rPr>
        <w:t>Situación que</w:t>
      </w:r>
      <w:r w:rsidR="0043203F" w:rsidRPr="000E0F90">
        <w:rPr>
          <w:rFonts w:ascii="Arial" w:hAnsi="Arial" w:cs="Arial"/>
          <w:color w:val="000000" w:themeColor="text1"/>
        </w:rPr>
        <w:t xml:space="preserve"> debe ir fortaleciéndose con futuras investigaciones</w:t>
      </w:r>
      <w:r w:rsidR="00855307" w:rsidRPr="000E0F90">
        <w:rPr>
          <w:rFonts w:ascii="Arial" w:hAnsi="Arial" w:cs="Arial"/>
          <w:color w:val="000000" w:themeColor="text1"/>
        </w:rPr>
        <w:t>.</w:t>
      </w:r>
    </w:p>
    <w:p w:rsidR="00855307" w:rsidRPr="000E0F90" w:rsidRDefault="00B16C68" w:rsidP="00702D9A">
      <w:pPr>
        <w:spacing w:line="360" w:lineRule="auto"/>
        <w:rPr>
          <w:rFonts w:ascii="Arial" w:hAnsi="Arial" w:cs="Arial"/>
          <w:color w:val="000000" w:themeColor="text1"/>
        </w:rPr>
      </w:pPr>
      <w:r w:rsidRPr="000E0F90">
        <w:rPr>
          <w:rFonts w:ascii="Arial" w:hAnsi="Arial" w:cs="Arial"/>
          <w:color w:val="000000" w:themeColor="text1"/>
        </w:rPr>
        <w:t>Se requiere incorporar mayor variabilidad territorial en estudios posteriores, para ampliar el rango de aplicación de la propuesta</w:t>
      </w:r>
      <w:r w:rsidRPr="000E0F90">
        <w:rPr>
          <w:rFonts w:ascii="Arial" w:hAnsi="Arial" w:cs="Arial"/>
          <w:b/>
          <w:color w:val="000000" w:themeColor="text1"/>
        </w:rPr>
        <w:t>.</w:t>
      </w:r>
      <w:r w:rsidRPr="000E0F90">
        <w:rPr>
          <w:rFonts w:ascii="Arial" w:hAnsi="Arial" w:cs="Arial"/>
          <w:color w:val="000000" w:themeColor="text1"/>
        </w:rPr>
        <w:t xml:space="preserve"> Dado que la contextualización de la </w:t>
      </w:r>
      <w:r w:rsidRPr="000E0F90">
        <w:rPr>
          <w:rFonts w:ascii="Arial" w:hAnsi="Arial" w:cs="Arial"/>
          <w:color w:val="000000" w:themeColor="text1"/>
        </w:rPr>
        <w:lastRenderedPageBreak/>
        <w:t>propuesta consideró las condiciones biofísicas y sociales particulares de la zona de estudio, limitando la aplicación de la propuesta actual a otros territorios mineros, como es el caso del Norte Grande o la Zona Austral del país, donde se realiza la extracción de otros minerales, la disponibilidad de agua es particular, y e</w:t>
      </w:r>
      <w:r w:rsidR="0023291D" w:rsidRPr="000E0F90">
        <w:rPr>
          <w:rFonts w:ascii="Arial" w:hAnsi="Arial" w:cs="Arial"/>
          <w:color w:val="000000" w:themeColor="text1"/>
        </w:rPr>
        <w:t xml:space="preserve">xiste otro </w:t>
      </w:r>
      <w:r w:rsidRPr="000E0F90">
        <w:rPr>
          <w:rFonts w:ascii="Arial" w:hAnsi="Arial" w:cs="Arial"/>
          <w:color w:val="000000" w:themeColor="text1"/>
        </w:rPr>
        <w:t>componente social, por nombrar otros factores.</w:t>
      </w:r>
      <w:r w:rsidR="00855307" w:rsidRPr="000E0F90">
        <w:rPr>
          <w:rFonts w:ascii="Arial" w:hAnsi="Arial" w:cs="Arial"/>
          <w:color w:val="000000" w:themeColor="text1"/>
        </w:rPr>
        <w:t xml:space="preserve"> Por otra parte, se</w:t>
      </w:r>
      <w:r w:rsidR="00C8125F" w:rsidRPr="000E0F90">
        <w:rPr>
          <w:rFonts w:ascii="Arial" w:hAnsi="Arial" w:cs="Arial"/>
          <w:color w:val="000000" w:themeColor="text1"/>
        </w:rPr>
        <w:t xml:space="preserve"> debiese incorporar una mayor diversidad de actores sociales</w:t>
      </w:r>
      <w:r w:rsidR="002228DC" w:rsidRPr="000E0F90">
        <w:rPr>
          <w:rFonts w:ascii="Arial" w:hAnsi="Arial" w:cs="Arial"/>
          <w:color w:val="000000" w:themeColor="text1"/>
        </w:rPr>
        <w:t>, con su diversidad de cultura, valores y expectativas,</w:t>
      </w:r>
      <w:r w:rsidR="00C8125F" w:rsidRPr="000E0F90">
        <w:rPr>
          <w:rFonts w:ascii="Arial" w:hAnsi="Arial" w:cs="Arial"/>
          <w:color w:val="000000" w:themeColor="text1"/>
        </w:rPr>
        <w:t xml:space="preserve"> y </w:t>
      </w:r>
      <w:r w:rsidR="002228DC" w:rsidRPr="000E0F90">
        <w:rPr>
          <w:rFonts w:ascii="Arial" w:hAnsi="Arial" w:cs="Arial"/>
          <w:color w:val="000000" w:themeColor="text1"/>
        </w:rPr>
        <w:t xml:space="preserve">de </w:t>
      </w:r>
      <w:r w:rsidR="00C8125F" w:rsidRPr="000E0F90">
        <w:rPr>
          <w:rFonts w:ascii="Arial" w:hAnsi="Arial" w:cs="Arial"/>
          <w:color w:val="000000" w:themeColor="text1"/>
        </w:rPr>
        <w:t>fuentes de  información científica</w:t>
      </w:r>
      <w:r w:rsidR="002228DC" w:rsidRPr="000E0F90">
        <w:rPr>
          <w:rFonts w:ascii="Arial" w:hAnsi="Arial" w:cs="Arial"/>
          <w:color w:val="000000" w:themeColor="text1"/>
        </w:rPr>
        <w:t>, como la participación de investigadores y expertos de otras áreas</w:t>
      </w:r>
      <w:r w:rsidR="00F51B0E" w:rsidRPr="000E0F90">
        <w:rPr>
          <w:rFonts w:ascii="Arial" w:hAnsi="Arial" w:cs="Arial"/>
          <w:color w:val="000000" w:themeColor="text1"/>
        </w:rPr>
        <w:t xml:space="preserve">. </w:t>
      </w:r>
    </w:p>
    <w:p w:rsidR="00C8125F" w:rsidRPr="000E0F90" w:rsidRDefault="00F51B0E" w:rsidP="00702D9A">
      <w:pPr>
        <w:spacing w:line="360" w:lineRule="auto"/>
        <w:rPr>
          <w:rFonts w:ascii="Arial" w:hAnsi="Arial" w:cs="Arial"/>
          <w:color w:val="000000" w:themeColor="text1"/>
        </w:rPr>
      </w:pPr>
      <w:r w:rsidRPr="000E0F90">
        <w:rPr>
          <w:rFonts w:ascii="Arial" w:hAnsi="Arial" w:cs="Arial"/>
          <w:color w:val="000000" w:themeColor="text1"/>
        </w:rPr>
        <w:t xml:space="preserve">El </w:t>
      </w:r>
      <w:r w:rsidR="00C8125F" w:rsidRPr="000E0F90">
        <w:rPr>
          <w:rFonts w:ascii="Arial" w:hAnsi="Arial" w:cs="Arial"/>
          <w:color w:val="000000" w:themeColor="text1"/>
        </w:rPr>
        <w:t xml:space="preserve">desarrollo de </w:t>
      </w:r>
      <w:r w:rsidRPr="000E0F90">
        <w:rPr>
          <w:rFonts w:ascii="Arial" w:hAnsi="Arial" w:cs="Arial"/>
          <w:color w:val="000000" w:themeColor="text1"/>
        </w:rPr>
        <w:t>un</w:t>
      </w:r>
      <w:r w:rsidR="00C8125F" w:rsidRPr="000E0F90">
        <w:rPr>
          <w:rFonts w:ascii="Arial" w:hAnsi="Arial" w:cs="Arial"/>
          <w:color w:val="000000" w:themeColor="text1"/>
        </w:rPr>
        <w:t xml:space="preserve">a propuesta de sostenibilidad para territorios mineros, </w:t>
      </w:r>
      <w:r w:rsidRPr="000E0F90">
        <w:rPr>
          <w:rFonts w:ascii="Arial" w:hAnsi="Arial" w:cs="Arial"/>
          <w:color w:val="000000" w:themeColor="text1"/>
        </w:rPr>
        <w:t xml:space="preserve">debe desarrollarse </w:t>
      </w:r>
      <w:r w:rsidR="00C8125F" w:rsidRPr="000E0F90">
        <w:rPr>
          <w:rFonts w:ascii="Arial" w:hAnsi="Arial" w:cs="Arial"/>
          <w:color w:val="000000" w:themeColor="text1"/>
        </w:rPr>
        <w:t xml:space="preserve">bajo un enfoque interdisciplinario y transdisciplinario, que contribuya a enriquecer la propuesta y se </w:t>
      </w:r>
      <w:r w:rsidR="002228DC" w:rsidRPr="000E0F90">
        <w:rPr>
          <w:rFonts w:ascii="Arial" w:hAnsi="Arial" w:cs="Arial"/>
          <w:color w:val="000000" w:themeColor="text1"/>
        </w:rPr>
        <w:t>transforme en una guía esencial,</w:t>
      </w:r>
      <w:r w:rsidR="00C8125F" w:rsidRPr="000E0F90">
        <w:rPr>
          <w:rFonts w:ascii="Arial" w:hAnsi="Arial" w:cs="Arial"/>
          <w:color w:val="000000" w:themeColor="text1"/>
        </w:rPr>
        <w:t xml:space="preserve"> exhaustiva</w:t>
      </w:r>
      <w:r w:rsidR="002228DC" w:rsidRPr="000E0F90">
        <w:rPr>
          <w:rFonts w:ascii="Arial" w:hAnsi="Arial" w:cs="Arial"/>
          <w:color w:val="000000" w:themeColor="text1"/>
        </w:rPr>
        <w:t xml:space="preserve"> </w:t>
      </w:r>
      <w:r w:rsidR="00D33063" w:rsidRPr="000E0F90">
        <w:rPr>
          <w:rFonts w:ascii="Arial" w:hAnsi="Arial" w:cs="Arial"/>
          <w:color w:val="000000" w:themeColor="text1"/>
        </w:rPr>
        <w:t xml:space="preserve">integrativa,  adaptada </w:t>
      </w:r>
      <w:r w:rsidR="002228DC" w:rsidRPr="000E0F90">
        <w:rPr>
          <w:rFonts w:ascii="Arial" w:hAnsi="Arial" w:cs="Arial"/>
          <w:color w:val="000000" w:themeColor="text1"/>
        </w:rPr>
        <w:t>y legitimada</w:t>
      </w:r>
      <w:r w:rsidR="00C8125F" w:rsidRPr="000E0F90">
        <w:rPr>
          <w:rFonts w:ascii="Arial" w:hAnsi="Arial" w:cs="Arial"/>
          <w:color w:val="000000" w:themeColor="text1"/>
        </w:rPr>
        <w:t xml:space="preserve"> para el desarrollo de territorios mineros sostenibles.  </w:t>
      </w:r>
    </w:p>
    <w:p w:rsidR="00BC0AE2" w:rsidRPr="000E0F90" w:rsidRDefault="0053636D" w:rsidP="00702D9A">
      <w:pPr>
        <w:spacing w:line="360" w:lineRule="auto"/>
        <w:rPr>
          <w:rFonts w:ascii="Arial" w:hAnsi="Arial" w:cs="Arial"/>
          <w:color w:val="000000" w:themeColor="text1"/>
        </w:rPr>
      </w:pPr>
      <w:r w:rsidRPr="000E0F90">
        <w:rPr>
          <w:rFonts w:ascii="Arial" w:hAnsi="Arial" w:cs="Arial"/>
          <w:color w:val="000000" w:themeColor="text1"/>
        </w:rPr>
        <w:t>De acuerdo a lo evidenciado por los actores locales, se concluye que los territorios mineros bajo e</w:t>
      </w:r>
      <w:r w:rsidR="00D33063" w:rsidRPr="000E0F90">
        <w:rPr>
          <w:rFonts w:ascii="Arial" w:hAnsi="Arial" w:cs="Arial"/>
          <w:color w:val="000000" w:themeColor="text1"/>
        </w:rPr>
        <w:t>studio presentan situaciones de s</w:t>
      </w:r>
      <w:r w:rsidRPr="000E0F90">
        <w:rPr>
          <w:rFonts w:ascii="Arial" w:hAnsi="Arial" w:cs="Arial"/>
          <w:color w:val="000000" w:themeColor="text1"/>
        </w:rPr>
        <w:t>ostenibilidad</w:t>
      </w:r>
      <w:r w:rsidR="00D33063" w:rsidRPr="000E0F90">
        <w:rPr>
          <w:rFonts w:ascii="Arial" w:hAnsi="Arial" w:cs="Arial"/>
          <w:color w:val="000000" w:themeColor="text1"/>
        </w:rPr>
        <w:t xml:space="preserve"> limitada</w:t>
      </w:r>
      <w:r w:rsidRPr="000E0F90">
        <w:rPr>
          <w:rFonts w:ascii="Arial" w:hAnsi="Arial" w:cs="Arial"/>
          <w:color w:val="000000" w:themeColor="text1"/>
        </w:rPr>
        <w:t xml:space="preserve">, dado el incumplimiento transversal que presentan los elementos fundacionales propuestos. </w:t>
      </w:r>
      <w:r w:rsidR="00BC0AE2" w:rsidRPr="000E0F90">
        <w:rPr>
          <w:rFonts w:ascii="Arial" w:hAnsi="Arial" w:cs="Arial"/>
          <w:color w:val="000000" w:themeColor="text1"/>
        </w:rPr>
        <w:t>Es</w:t>
      </w:r>
      <w:r w:rsidRPr="000E0F90">
        <w:rPr>
          <w:rFonts w:ascii="Arial" w:hAnsi="Arial" w:cs="Arial"/>
          <w:color w:val="000000" w:themeColor="text1"/>
        </w:rPr>
        <w:t>to se atribuye a la extensa e incontenible capacidad perturbadora de la gran minera en los ecosistemas locales; la mínima vinculación socioeconómica de la mega minería en los territorios donde opera</w:t>
      </w:r>
      <w:r w:rsidR="004409DD" w:rsidRPr="000E0F90">
        <w:rPr>
          <w:rFonts w:ascii="Arial" w:hAnsi="Arial" w:cs="Arial"/>
          <w:color w:val="000000" w:themeColor="text1"/>
        </w:rPr>
        <w:t xml:space="preserve"> y </w:t>
      </w:r>
      <w:r w:rsidRPr="000E0F90">
        <w:rPr>
          <w:rFonts w:ascii="Arial" w:hAnsi="Arial" w:cs="Arial"/>
          <w:color w:val="000000" w:themeColor="text1"/>
        </w:rPr>
        <w:t>el escaso rol del estado en la provisión de servicios básicos</w:t>
      </w:r>
      <w:r w:rsidR="00945155" w:rsidRPr="000E0F90">
        <w:rPr>
          <w:rFonts w:ascii="Arial" w:hAnsi="Arial" w:cs="Arial"/>
          <w:color w:val="000000" w:themeColor="text1"/>
        </w:rPr>
        <w:t xml:space="preserve"> y en la fiscalización de actividades territoriales</w:t>
      </w:r>
      <w:r w:rsidR="004409DD" w:rsidRPr="000E0F90">
        <w:rPr>
          <w:rFonts w:ascii="Arial" w:hAnsi="Arial" w:cs="Arial"/>
          <w:color w:val="000000" w:themeColor="text1"/>
        </w:rPr>
        <w:t xml:space="preserve">; la ausencia de una visión </w:t>
      </w:r>
      <w:r w:rsidR="00945155" w:rsidRPr="000E0F90">
        <w:rPr>
          <w:rFonts w:ascii="Arial" w:hAnsi="Arial" w:cs="Arial"/>
          <w:color w:val="000000" w:themeColor="text1"/>
        </w:rPr>
        <w:t>que</w:t>
      </w:r>
      <w:r w:rsidR="004409DD" w:rsidRPr="000E0F90">
        <w:rPr>
          <w:rFonts w:ascii="Arial" w:hAnsi="Arial" w:cs="Arial"/>
          <w:color w:val="000000" w:themeColor="text1"/>
        </w:rPr>
        <w:t xml:space="preserve"> asegur</w:t>
      </w:r>
      <w:r w:rsidR="00945155" w:rsidRPr="000E0F90">
        <w:rPr>
          <w:rFonts w:ascii="Arial" w:hAnsi="Arial" w:cs="Arial"/>
          <w:color w:val="000000" w:themeColor="text1"/>
        </w:rPr>
        <w:t>e</w:t>
      </w:r>
      <w:r w:rsidR="004409DD" w:rsidRPr="000E0F90">
        <w:rPr>
          <w:rFonts w:ascii="Arial" w:hAnsi="Arial" w:cs="Arial"/>
          <w:color w:val="000000" w:themeColor="text1"/>
        </w:rPr>
        <w:t xml:space="preserve"> el desarrollo territorial futuro</w:t>
      </w:r>
      <w:r w:rsidR="00945155" w:rsidRPr="000E0F90">
        <w:rPr>
          <w:rFonts w:ascii="Arial" w:hAnsi="Arial" w:cs="Arial"/>
          <w:color w:val="000000" w:themeColor="text1"/>
        </w:rPr>
        <w:t xml:space="preserve">; la utilización de recursos minerales en forma progresiva sin capitalización local; </w:t>
      </w:r>
      <w:r w:rsidRPr="000E0F90">
        <w:rPr>
          <w:rFonts w:ascii="Arial" w:hAnsi="Arial" w:cs="Arial"/>
          <w:color w:val="000000" w:themeColor="text1"/>
        </w:rPr>
        <w:t>la existencia de estructuras de gobernanza cerradas, rígidas y centralizadas</w:t>
      </w:r>
      <w:r w:rsidR="00945155" w:rsidRPr="000E0F90">
        <w:rPr>
          <w:rFonts w:ascii="Arial" w:hAnsi="Arial" w:cs="Arial"/>
          <w:color w:val="000000" w:themeColor="text1"/>
        </w:rPr>
        <w:t>; y la nula postura frente cambios esperados o inesperados en las políticas de desarrollo local</w:t>
      </w:r>
      <w:r w:rsidRPr="000E0F90">
        <w:rPr>
          <w:rFonts w:ascii="Arial" w:hAnsi="Arial" w:cs="Arial"/>
          <w:color w:val="000000" w:themeColor="text1"/>
        </w:rPr>
        <w:t>, que permita adaptarse y asegurar un valor duradero para las generaciones futuras.</w:t>
      </w:r>
      <w:r w:rsidR="00BC0AE2" w:rsidRPr="000E0F90">
        <w:rPr>
          <w:rFonts w:ascii="Arial" w:hAnsi="Arial" w:cs="Arial"/>
          <w:color w:val="000000" w:themeColor="text1"/>
        </w:rPr>
        <w:t xml:space="preserve"> </w:t>
      </w:r>
    </w:p>
    <w:p w:rsidR="00A23704" w:rsidRPr="000E0F90" w:rsidRDefault="00A23704" w:rsidP="00702D9A">
      <w:pPr>
        <w:spacing w:line="360" w:lineRule="auto"/>
        <w:rPr>
          <w:rFonts w:ascii="Arial" w:hAnsi="Arial" w:cs="Arial"/>
          <w:color w:val="000000" w:themeColor="text1"/>
        </w:rPr>
      </w:pPr>
      <w:r w:rsidRPr="000E0F90">
        <w:rPr>
          <w:rFonts w:ascii="Arial" w:hAnsi="Arial" w:cs="Arial"/>
          <w:color w:val="000000" w:themeColor="text1"/>
        </w:rPr>
        <w:t>S</w:t>
      </w:r>
      <w:r w:rsidR="00BC0AE2" w:rsidRPr="000E0F90">
        <w:rPr>
          <w:rFonts w:ascii="Arial" w:hAnsi="Arial" w:cs="Arial"/>
          <w:color w:val="000000" w:themeColor="text1"/>
        </w:rPr>
        <w:t xml:space="preserve">e revela la necesidad de abordar el desarrollo de los territorios </w:t>
      </w:r>
      <w:r w:rsidR="004409DD" w:rsidRPr="000E0F90">
        <w:rPr>
          <w:rFonts w:ascii="Arial" w:hAnsi="Arial" w:cs="Arial"/>
          <w:color w:val="000000" w:themeColor="text1"/>
        </w:rPr>
        <w:t>mineros en el ámbito p</w:t>
      </w:r>
      <w:r w:rsidR="00BC0AE2" w:rsidRPr="000E0F90">
        <w:rPr>
          <w:rFonts w:ascii="Arial" w:hAnsi="Arial" w:cs="Arial"/>
          <w:color w:val="000000" w:themeColor="text1"/>
        </w:rPr>
        <w:t>referentemente local, antes que regional o nacional.</w:t>
      </w:r>
      <w:r w:rsidR="00945155" w:rsidRPr="000E0F90">
        <w:rPr>
          <w:rFonts w:ascii="Arial" w:hAnsi="Arial" w:cs="Arial"/>
          <w:color w:val="000000" w:themeColor="text1"/>
        </w:rPr>
        <w:t xml:space="preserve"> </w:t>
      </w:r>
      <w:r w:rsidR="004409DD" w:rsidRPr="000E0F90">
        <w:rPr>
          <w:rFonts w:ascii="Arial" w:hAnsi="Arial" w:cs="Arial"/>
          <w:color w:val="000000" w:themeColor="text1"/>
        </w:rPr>
        <w:t>Desarrollando procesos de toma de decisión locales</w:t>
      </w:r>
      <w:r w:rsidR="00945155" w:rsidRPr="000E0F90">
        <w:rPr>
          <w:rFonts w:ascii="Arial" w:hAnsi="Arial" w:cs="Arial"/>
          <w:color w:val="000000" w:themeColor="text1"/>
        </w:rPr>
        <w:t xml:space="preserve">, que involucren a todos los actores sociales y sus </w:t>
      </w:r>
      <w:r w:rsidR="004409DD" w:rsidRPr="000E0F90">
        <w:rPr>
          <w:rFonts w:ascii="Arial" w:hAnsi="Arial" w:cs="Arial"/>
          <w:color w:val="000000" w:themeColor="text1"/>
        </w:rPr>
        <w:t xml:space="preserve">necesidades, aspiraciones, deseos y objetivos.  </w:t>
      </w:r>
      <w:r w:rsidRPr="000E0F90">
        <w:rPr>
          <w:rFonts w:ascii="Arial" w:hAnsi="Arial" w:cs="Arial"/>
          <w:color w:val="000000" w:themeColor="text1"/>
        </w:rPr>
        <w:t xml:space="preserve"> </w:t>
      </w:r>
    </w:p>
    <w:p w:rsidR="00D33063" w:rsidRPr="000E0F90" w:rsidRDefault="00394574" w:rsidP="00702D9A">
      <w:pPr>
        <w:spacing w:line="360" w:lineRule="auto"/>
        <w:rPr>
          <w:rFonts w:ascii="Arial" w:hAnsi="Arial" w:cs="Arial"/>
          <w:color w:val="000000" w:themeColor="text1"/>
        </w:rPr>
      </w:pPr>
      <w:r w:rsidRPr="000E0F90">
        <w:rPr>
          <w:rFonts w:ascii="Arial" w:hAnsi="Arial" w:cs="Arial"/>
          <w:color w:val="000000" w:themeColor="text1"/>
        </w:rPr>
        <w:t xml:space="preserve">Un aspecto interesante que se recoge de este estudio son las condiciones habilitantes para que el desarrollo del territorio minero se enmarque hacia la sostenibilidad. </w:t>
      </w:r>
      <w:r w:rsidR="00D33063" w:rsidRPr="000E0F90">
        <w:rPr>
          <w:rFonts w:ascii="Arial" w:hAnsi="Arial" w:cs="Arial"/>
          <w:color w:val="000000" w:themeColor="text1"/>
        </w:rPr>
        <w:lastRenderedPageBreak/>
        <w:t xml:space="preserve">Identificándose las relaciones de las empresas mineras con las comunidades y la institucionalidad vigente como elementos que influyen la sostenibilidad territorial. </w:t>
      </w:r>
    </w:p>
    <w:p w:rsidR="00394574" w:rsidRPr="000E0F90" w:rsidRDefault="00D33063" w:rsidP="00702D9A">
      <w:pPr>
        <w:spacing w:line="360" w:lineRule="auto"/>
        <w:rPr>
          <w:rFonts w:ascii="Arial" w:hAnsi="Arial" w:cs="Arial"/>
          <w:color w:val="000000" w:themeColor="text1"/>
        </w:rPr>
      </w:pPr>
      <w:r w:rsidRPr="000E0F90">
        <w:rPr>
          <w:rFonts w:ascii="Arial" w:hAnsi="Arial" w:cs="Arial"/>
          <w:color w:val="000000" w:themeColor="text1"/>
        </w:rPr>
        <w:t>Al respecto, e</w:t>
      </w:r>
      <w:r w:rsidR="00394574" w:rsidRPr="000E0F90">
        <w:rPr>
          <w:rFonts w:ascii="Arial" w:hAnsi="Arial" w:cs="Arial"/>
          <w:color w:val="000000" w:themeColor="text1"/>
        </w:rPr>
        <w:t xml:space="preserve">l </w:t>
      </w:r>
      <w:r w:rsidRPr="000E0F90">
        <w:rPr>
          <w:rFonts w:ascii="Arial" w:hAnsi="Arial" w:cs="Arial"/>
          <w:color w:val="000000" w:themeColor="text1"/>
        </w:rPr>
        <w:t>E</w:t>
      </w:r>
      <w:r w:rsidR="00394574" w:rsidRPr="000E0F90">
        <w:rPr>
          <w:rFonts w:ascii="Arial" w:hAnsi="Arial" w:cs="Arial"/>
          <w:color w:val="000000" w:themeColor="text1"/>
        </w:rPr>
        <w:t xml:space="preserve">stado que debe fortalecer sus funciones en los territorios mineros. Puesto que gran parte de las brechas identificadas se generan por la carencia de políticas públicas, siendo en algunos casos estas deficiencias asumidas por actores locales y en otros casos profundizando las condiciones críticas identificadas. </w:t>
      </w:r>
    </w:p>
    <w:p w:rsidR="00BE4D28" w:rsidRPr="000E0F90" w:rsidRDefault="00BC0AE2" w:rsidP="00702D9A">
      <w:pPr>
        <w:spacing w:line="360" w:lineRule="auto"/>
        <w:rPr>
          <w:rFonts w:ascii="Arial" w:hAnsi="Arial" w:cs="Arial"/>
          <w:color w:val="000000" w:themeColor="text1"/>
        </w:rPr>
      </w:pPr>
      <w:r w:rsidRPr="000E0F90">
        <w:rPr>
          <w:rFonts w:ascii="Arial" w:hAnsi="Arial" w:cs="Arial"/>
          <w:color w:val="000000" w:themeColor="text1"/>
        </w:rPr>
        <w:t xml:space="preserve">Los resultados de esta evaluación </w:t>
      </w:r>
      <w:r w:rsidR="003C540E" w:rsidRPr="000E0F90">
        <w:rPr>
          <w:rFonts w:ascii="Arial" w:hAnsi="Arial" w:cs="Arial"/>
          <w:color w:val="000000" w:themeColor="text1"/>
        </w:rPr>
        <w:t>corresponde</w:t>
      </w:r>
      <w:r w:rsidRPr="000E0F90">
        <w:rPr>
          <w:rFonts w:ascii="Arial" w:hAnsi="Arial" w:cs="Arial"/>
          <w:color w:val="000000" w:themeColor="text1"/>
        </w:rPr>
        <w:t>n</w:t>
      </w:r>
      <w:r w:rsidR="003C540E" w:rsidRPr="000E0F90">
        <w:rPr>
          <w:rFonts w:ascii="Arial" w:hAnsi="Arial" w:cs="Arial"/>
          <w:color w:val="000000" w:themeColor="text1"/>
        </w:rPr>
        <w:t xml:space="preserve"> a la percepción de los actores locales y son ellos los receptores directos</w:t>
      </w:r>
      <w:r w:rsidRPr="000E0F90">
        <w:rPr>
          <w:rFonts w:ascii="Arial" w:hAnsi="Arial" w:cs="Arial"/>
          <w:color w:val="000000" w:themeColor="text1"/>
        </w:rPr>
        <w:t xml:space="preserve"> del estado de los territorios.</w:t>
      </w:r>
      <w:r w:rsidR="00BE4D28" w:rsidRPr="000E0F90">
        <w:rPr>
          <w:rFonts w:ascii="Arial" w:hAnsi="Arial" w:cs="Arial"/>
          <w:color w:val="000000" w:themeColor="text1"/>
        </w:rPr>
        <w:t xml:space="preserve"> </w:t>
      </w:r>
      <w:r w:rsidRPr="000E0F90">
        <w:rPr>
          <w:rFonts w:ascii="Arial" w:hAnsi="Arial" w:cs="Arial"/>
          <w:color w:val="000000" w:themeColor="text1"/>
        </w:rPr>
        <w:t>Pud</w:t>
      </w:r>
      <w:r w:rsidR="009538F7" w:rsidRPr="000E0F90">
        <w:rPr>
          <w:rFonts w:ascii="Arial" w:hAnsi="Arial" w:cs="Arial"/>
          <w:color w:val="000000" w:themeColor="text1"/>
        </w:rPr>
        <w:t>iendo</w:t>
      </w:r>
      <w:r w:rsidRPr="000E0F90">
        <w:rPr>
          <w:rFonts w:ascii="Arial" w:hAnsi="Arial" w:cs="Arial"/>
          <w:color w:val="000000" w:themeColor="text1"/>
        </w:rPr>
        <w:t xml:space="preserve"> ser </w:t>
      </w:r>
      <w:r w:rsidR="00A23704" w:rsidRPr="000E0F90">
        <w:rPr>
          <w:rFonts w:ascii="Arial" w:hAnsi="Arial" w:cs="Arial"/>
          <w:color w:val="000000" w:themeColor="text1"/>
        </w:rPr>
        <w:t>considerado</w:t>
      </w:r>
      <w:r w:rsidR="00BE4D28" w:rsidRPr="000E0F90">
        <w:rPr>
          <w:rFonts w:ascii="Arial" w:hAnsi="Arial" w:cs="Arial"/>
          <w:color w:val="000000" w:themeColor="text1"/>
        </w:rPr>
        <w:t xml:space="preserve"> un resultado parcial </w:t>
      </w:r>
      <w:r w:rsidRPr="000E0F90">
        <w:rPr>
          <w:rFonts w:ascii="Arial" w:hAnsi="Arial" w:cs="Arial"/>
          <w:color w:val="000000" w:themeColor="text1"/>
        </w:rPr>
        <w:t xml:space="preserve">a esta escala de análisis, </w:t>
      </w:r>
      <w:r w:rsidR="00BE4D28" w:rsidRPr="000E0F90">
        <w:rPr>
          <w:rFonts w:ascii="Arial" w:hAnsi="Arial" w:cs="Arial"/>
          <w:color w:val="000000" w:themeColor="text1"/>
        </w:rPr>
        <w:t xml:space="preserve">que debe incorporar mayor información, proveniente de </w:t>
      </w:r>
      <w:r w:rsidRPr="000E0F90">
        <w:rPr>
          <w:rFonts w:ascii="Arial" w:hAnsi="Arial" w:cs="Arial"/>
          <w:color w:val="000000" w:themeColor="text1"/>
        </w:rPr>
        <w:t>mayor diversidad de</w:t>
      </w:r>
      <w:r w:rsidR="00BE4D28" w:rsidRPr="000E0F90">
        <w:rPr>
          <w:rFonts w:ascii="Arial" w:hAnsi="Arial" w:cs="Arial"/>
          <w:color w:val="000000" w:themeColor="text1"/>
        </w:rPr>
        <w:t xml:space="preserve"> actores locales y otras fuentes de información. No obstante, es una primera aproximación que debe ser considerada en el desarrollo de estudios futuros.</w:t>
      </w:r>
    </w:p>
    <w:p w:rsidR="00400262" w:rsidRPr="000E0F90" w:rsidRDefault="002671CD" w:rsidP="00702D9A">
      <w:pPr>
        <w:spacing w:line="360" w:lineRule="auto"/>
        <w:rPr>
          <w:rFonts w:ascii="Arial" w:hAnsi="Arial" w:cs="Arial"/>
          <w:color w:val="000000" w:themeColor="text1"/>
        </w:rPr>
      </w:pPr>
      <w:r w:rsidRPr="000E0F90">
        <w:rPr>
          <w:rFonts w:ascii="Arial" w:hAnsi="Arial" w:cs="Arial"/>
          <w:color w:val="000000" w:themeColor="text1"/>
        </w:rPr>
        <w:t xml:space="preserve">La evaluación de la propuesta </w:t>
      </w:r>
      <w:r w:rsidR="00F51B0E" w:rsidRPr="000E0F90">
        <w:rPr>
          <w:rFonts w:ascii="Arial" w:hAnsi="Arial" w:cs="Arial"/>
          <w:color w:val="000000" w:themeColor="text1"/>
        </w:rPr>
        <w:t>permitió</w:t>
      </w:r>
      <w:r w:rsidRPr="000E0F90">
        <w:rPr>
          <w:rFonts w:ascii="Arial" w:hAnsi="Arial" w:cs="Arial"/>
          <w:color w:val="000000" w:themeColor="text1"/>
        </w:rPr>
        <w:t xml:space="preserve"> establecer la pertinencia de la propuesta en el ámbito territorial y de los actores sociales</w:t>
      </w:r>
      <w:r w:rsidR="00F51B0E" w:rsidRPr="000E0F90">
        <w:rPr>
          <w:rFonts w:ascii="Arial" w:hAnsi="Arial" w:cs="Arial"/>
          <w:color w:val="000000" w:themeColor="text1"/>
        </w:rPr>
        <w:t xml:space="preserve">, existiendo algunos aspectos que no pudieron ser recogidos, dado que probablemente </w:t>
      </w:r>
      <w:r w:rsidR="00D33063" w:rsidRPr="000E0F90">
        <w:rPr>
          <w:rFonts w:ascii="Arial" w:hAnsi="Arial" w:cs="Arial"/>
          <w:color w:val="000000" w:themeColor="text1"/>
        </w:rPr>
        <w:t>pertenecía</w:t>
      </w:r>
      <w:r w:rsidR="00F51B0E" w:rsidRPr="000E0F90">
        <w:rPr>
          <w:rFonts w:ascii="Arial" w:hAnsi="Arial" w:cs="Arial"/>
          <w:color w:val="000000" w:themeColor="text1"/>
        </w:rPr>
        <w:t xml:space="preserve"> a otra escala de análisis, o </w:t>
      </w:r>
      <w:r w:rsidR="00394574" w:rsidRPr="000E0F90">
        <w:rPr>
          <w:rFonts w:ascii="Arial" w:hAnsi="Arial" w:cs="Arial"/>
          <w:color w:val="000000" w:themeColor="text1"/>
        </w:rPr>
        <w:t>requiriéndose</w:t>
      </w:r>
      <w:r w:rsidR="00F51B0E" w:rsidRPr="000E0F90">
        <w:rPr>
          <w:rFonts w:ascii="Arial" w:hAnsi="Arial" w:cs="Arial"/>
          <w:color w:val="000000" w:themeColor="text1"/>
        </w:rPr>
        <w:t xml:space="preserve"> mayor variabilidad en los informantes.</w:t>
      </w:r>
      <w:r w:rsidR="00D33063" w:rsidRPr="000E0F90">
        <w:rPr>
          <w:rFonts w:ascii="Arial" w:hAnsi="Arial" w:cs="Arial"/>
          <w:color w:val="000000" w:themeColor="text1"/>
        </w:rPr>
        <w:t xml:space="preserve"> Lo que debe ser analizado en investigaciones futuras.</w:t>
      </w:r>
    </w:p>
    <w:p w:rsidR="00702D9A" w:rsidRDefault="00702D9A">
      <w:pPr>
        <w:jc w:val="left"/>
        <w:rPr>
          <w:rFonts w:ascii="Arial" w:eastAsiaTheme="majorEastAsia" w:hAnsi="Arial" w:cs="Arial"/>
          <w:b/>
          <w:bCs/>
          <w:color w:val="000000" w:themeColor="text1"/>
          <w:sz w:val="28"/>
          <w:szCs w:val="28"/>
        </w:rPr>
      </w:pPr>
      <w:bookmarkStart w:id="34" w:name="_Toc488774923"/>
      <w:r>
        <w:rPr>
          <w:rFonts w:cs="Arial"/>
          <w:color w:val="000000" w:themeColor="text1"/>
        </w:rPr>
        <w:br w:type="page"/>
      </w:r>
    </w:p>
    <w:p w:rsidR="008B3492" w:rsidRPr="000E0F90" w:rsidRDefault="007B13CE" w:rsidP="00702D9A">
      <w:pPr>
        <w:pStyle w:val="Ttulo1"/>
        <w:spacing w:line="360" w:lineRule="auto"/>
        <w:rPr>
          <w:rFonts w:cs="Arial"/>
          <w:color w:val="000000" w:themeColor="text1"/>
        </w:rPr>
      </w:pPr>
      <w:r w:rsidRPr="000E0F90">
        <w:rPr>
          <w:rFonts w:cs="Arial"/>
          <w:color w:val="000000" w:themeColor="text1"/>
        </w:rPr>
        <w:lastRenderedPageBreak/>
        <w:t>REFLEXIONES FINALES</w:t>
      </w:r>
      <w:bookmarkEnd w:id="34"/>
      <w:r w:rsidRPr="000E0F90">
        <w:rPr>
          <w:rFonts w:cs="Arial"/>
          <w:color w:val="000000" w:themeColor="text1"/>
        </w:rPr>
        <w:t xml:space="preserve"> </w:t>
      </w:r>
    </w:p>
    <w:p w:rsidR="007B13CE" w:rsidRPr="000E0F90" w:rsidRDefault="007B13CE" w:rsidP="00702D9A">
      <w:pPr>
        <w:spacing w:before="240" w:line="360" w:lineRule="auto"/>
        <w:rPr>
          <w:rFonts w:ascii="Arial" w:hAnsi="Arial" w:cs="Arial"/>
          <w:color w:val="000000" w:themeColor="text1"/>
        </w:rPr>
      </w:pPr>
      <w:r w:rsidRPr="000E0F90">
        <w:rPr>
          <w:rFonts w:ascii="Arial" w:hAnsi="Arial" w:cs="Arial"/>
          <w:color w:val="000000" w:themeColor="text1"/>
        </w:rPr>
        <w:t xml:space="preserve">Considerando el análisis que se realizó en este trabajo, es posible identificar </w:t>
      </w:r>
      <w:r w:rsidR="00E1187D" w:rsidRPr="000E0F90">
        <w:rPr>
          <w:rFonts w:ascii="Arial" w:hAnsi="Arial" w:cs="Arial"/>
          <w:color w:val="000000" w:themeColor="text1"/>
        </w:rPr>
        <w:t>princip</w:t>
      </w:r>
      <w:r w:rsidR="001002AE" w:rsidRPr="000E0F90">
        <w:rPr>
          <w:rFonts w:ascii="Arial" w:hAnsi="Arial" w:cs="Arial"/>
          <w:color w:val="000000" w:themeColor="text1"/>
        </w:rPr>
        <w:t>io</w:t>
      </w:r>
      <w:r w:rsidR="00E1187D" w:rsidRPr="000E0F90">
        <w:rPr>
          <w:rFonts w:ascii="Arial" w:hAnsi="Arial" w:cs="Arial"/>
          <w:color w:val="000000" w:themeColor="text1"/>
        </w:rPr>
        <w:t>s</w:t>
      </w:r>
      <w:r w:rsidRPr="000E0F90">
        <w:rPr>
          <w:rFonts w:ascii="Arial" w:hAnsi="Arial" w:cs="Arial"/>
          <w:color w:val="000000" w:themeColor="text1"/>
        </w:rPr>
        <w:t xml:space="preserve"> fundacionales de los territorios mineros, los cuales pudiesen trascender a los territorios</w:t>
      </w:r>
      <w:r w:rsidR="0019209C" w:rsidRPr="000E0F90">
        <w:rPr>
          <w:rFonts w:ascii="Arial" w:hAnsi="Arial" w:cs="Arial"/>
          <w:color w:val="000000" w:themeColor="text1"/>
        </w:rPr>
        <w:t xml:space="preserve"> mineros</w:t>
      </w:r>
      <w:r w:rsidRPr="000E0F90">
        <w:rPr>
          <w:rFonts w:ascii="Arial" w:hAnsi="Arial" w:cs="Arial"/>
          <w:color w:val="000000" w:themeColor="text1"/>
        </w:rPr>
        <w:t xml:space="preserve"> bajo estudio y ser considerados a escala superior de análisis</w:t>
      </w:r>
      <w:r w:rsidR="00A15EE2" w:rsidRPr="000E0F90">
        <w:rPr>
          <w:rFonts w:ascii="Arial" w:hAnsi="Arial" w:cs="Arial"/>
          <w:color w:val="000000" w:themeColor="text1"/>
        </w:rPr>
        <w:t>.</w:t>
      </w:r>
    </w:p>
    <w:p w:rsidR="00A15EE2" w:rsidRPr="000E0F90" w:rsidRDefault="00A15EE2" w:rsidP="00702D9A">
      <w:pPr>
        <w:spacing w:line="360" w:lineRule="auto"/>
        <w:rPr>
          <w:rFonts w:ascii="Arial" w:hAnsi="Arial" w:cs="Arial"/>
          <w:color w:val="000000" w:themeColor="text1"/>
        </w:rPr>
      </w:pPr>
      <w:r w:rsidRPr="000E0F90">
        <w:rPr>
          <w:rFonts w:ascii="Arial" w:hAnsi="Arial" w:cs="Arial"/>
          <w:color w:val="000000" w:themeColor="text1"/>
        </w:rPr>
        <w:t xml:space="preserve">Los territorios mineros en Chile, se insertan en el modelo de desarrollo económico basado en el </w:t>
      </w:r>
      <w:r w:rsidR="00591E67" w:rsidRPr="000E0F90">
        <w:rPr>
          <w:rFonts w:ascii="Arial" w:hAnsi="Arial" w:cs="Arial"/>
          <w:color w:val="000000" w:themeColor="text1"/>
        </w:rPr>
        <w:t>extractivismo</w:t>
      </w:r>
      <w:r w:rsidR="00D1417A" w:rsidRPr="000E0F90">
        <w:rPr>
          <w:rFonts w:ascii="Arial" w:hAnsi="Arial" w:cs="Arial"/>
          <w:color w:val="000000" w:themeColor="text1"/>
        </w:rPr>
        <w:t xml:space="preserve"> irrestricto de los minerales</w:t>
      </w:r>
      <w:r w:rsidR="00591E67" w:rsidRPr="000E0F90">
        <w:rPr>
          <w:rFonts w:ascii="Arial" w:hAnsi="Arial" w:cs="Arial"/>
          <w:color w:val="000000" w:themeColor="text1"/>
        </w:rPr>
        <w:t xml:space="preserve">, </w:t>
      </w:r>
      <w:r w:rsidRPr="000E0F90">
        <w:rPr>
          <w:rFonts w:ascii="Arial" w:hAnsi="Arial" w:cs="Arial"/>
          <w:color w:val="000000" w:themeColor="text1"/>
        </w:rPr>
        <w:t xml:space="preserve">es decir, </w:t>
      </w:r>
      <w:r w:rsidR="00591E67" w:rsidRPr="000E0F90">
        <w:rPr>
          <w:rFonts w:ascii="Arial" w:hAnsi="Arial" w:cs="Arial"/>
          <w:color w:val="000000" w:themeColor="text1"/>
        </w:rPr>
        <w:t>extra</w:t>
      </w:r>
      <w:r w:rsidR="00D645DB" w:rsidRPr="000E0F90">
        <w:rPr>
          <w:rFonts w:ascii="Arial" w:hAnsi="Arial" w:cs="Arial"/>
          <w:color w:val="000000" w:themeColor="text1"/>
        </w:rPr>
        <w:t>yendo</w:t>
      </w:r>
      <w:r w:rsidR="00591E67" w:rsidRPr="000E0F90">
        <w:rPr>
          <w:rFonts w:ascii="Arial" w:hAnsi="Arial" w:cs="Arial"/>
          <w:color w:val="000000" w:themeColor="text1"/>
        </w:rPr>
        <w:t xml:space="preserve"> la mayor cantidad de minerales con un mínimo procesamiento,</w:t>
      </w:r>
      <w:r w:rsidR="00D645DB" w:rsidRPr="000E0F90">
        <w:rPr>
          <w:rFonts w:ascii="Arial" w:hAnsi="Arial" w:cs="Arial"/>
          <w:color w:val="000000" w:themeColor="text1"/>
        </w:rPr>
        <w:t xml:space="preserve"> </w:t>
      </w:r>
      <w:r w:rsidR="00591E67" w:rsidRPr="000E0F90">
        <w:rPr>
          <w:rFonts w:ascii="Arial" w:hAnsi="Arial" w:cs="Arial"/>
          <w:color w:val="000000" w:themeColor="text1"/>
        </w:rPr>
        <w:t>obteniendo la mayor rentabilid</w:t>
      </w:r>
      <w:r w:rsidR="003B47A5" w:rsidRPr="000E0F90">
        <w:rPr>
          <w:rFonts w:ascii="Arial" w:hAnsi="Arial" w:cs="Arial"/>
          <w:color w:val="000000" w:themeColor="text1"/>
        </w:rPr>
        <w:t xml:space="preserve">ad, en el menor tiempo posible. </w:t>
      </w:r>
      <w:r w:rsidR="00D1417A" w:rsidRPr="000E0F90">
        <w:rPr>
          <w:rFonts w:ascii="Arial" w:hAnsi="Arial" w:cs="Arial"/>
          <w:color w:val="000000" w:themeColor="text1"/>
        </w:rPr>
        <w:t xml:space="preserve">Con una importante participación en la producción de los </w:t>
      </w:r>
      <w:r w:rsidR="00D1417A" w:rsidRPr="000E0F90">
        <w:rPr>
          <w:rFonts w:ascii="Arial" w:hAnsi="Arial" w:cs="Arial"/>
          <w:i/>
          <w:color w:val="000000" w:themeColor="text1"/>
        </w:rPr>
        <w:t>commodities</w:t>
      </w:r>
      <w:r w:rsidR="00D1417A" w:rsidRPr="000E0F90">
        <w:rPr>
          <w:rFonts w:ascii="Arial" w:hAnsi="Arial" w:cs="Arial"/>
          <w:color w:val="000000" w:themeColor="text1"/>
        </w:rPr>
        <w:t xml:space="preserve"> mineros en el mercado internacional, llevando a la potenciación continúa de la matriz exportadora nacional. </w:t>
      </w:r>
      <w:r w:rsidR="003B47A5" w:rsidRPr="000E0F90">
        <w:rPr>
          <w:rFonts w:ascii="Arial" w:hAnsi="Arial" w:cs="Arial"/>
          <w:color w:val="000000" w:themeColor="text1"/>
        </w:rPr>
        <w:t xml:space="preserve">Actividad desarrollada a gran escala, </w:t>
      </w:r>
      <w:r w:rsidR="00D1417A" w:rsidRPr="000E0F90">
        <w:rPr>
          <w:rFonts w:ascii="Arial" w:hAnsi="Arial" w:cs="Arial"/>
          <w:color w:val="000000" w:themeColor="text1"/>
        </w:rPr>
        <w:t xml:space="preserve">cuyas utilidades son </w:t>
      </w:r>
      <w:r w:rsidR="00591E67" w:rsidRPr="000E0F90">
        <w:rPr>
          <w:rFonts w:ascii="Arial" w:hAnsi="Arial" w:cs="Arial"/>
          <w:color w:val="000000" w:themeColor="text1"/>
        </w:rPr>
        <w:t>administrada por conglomerados foráneos y la tributación aplicada, por gobiernos centrales.</w:t>
      </w:r>
      <w:r w:rsidRPr="000E0F90">
        <w:rPr>
          <w:rFonts w:ascii="Arial" w:hAnsi="Arial" w:cs="Arial"/>
          <w:color w:val="000000" w:themeColor="text1"/>
        </w:rPr>
        <w:t xml:space="preserve"> </w:t>
      </w:r>
    </w:p>
    <w:p w:rsidR="00D2722E" w:rsidRPr="000E0F90" w:rsidRDefault="00591E67" w:rsidP="00702D9A">
      <w:pPr>
        <w:spacing w:line="360" w:lineRule="auto"/>
        <w:rPr>
          <w:rFonts w:ascii="Arial" w:hAnsi="Arial" w:cs="Arial"/>
          <w:color w:val="000000" w:themeColor="text1"/>
        </w:rPr>
      </w:pPr>
      <w:r w:rsidRPr="000E0F90">
        <w:rPr>
          <w:rFonts w:ascii="Arial" w:hAnsi="Arial" w:cs="Arial"/>
          <w:color w:val="000000" w:themeColor="text1"/>
        </w:rPr>
        <w:t>Modelo de desarrollo</w:t>
      </w:r>
      <w:r w:rsidR="00A15EE2" w:rsidRPr="000E0F90">
        <w:rPr>
          <w:rFonts w:ascii="Arial" w:hAnsi="Arial" w:cs="Arial"/>
          <w:color w:val="000000" w:themeColor="text1"/>
        </w:rPr>
        <w:t xml:space="preserve">, </w:t>
      </w:r>
      <w:r w:rsidRPr="000E0F90">
        <w:rPr>
          <w:rFonts w:ascii="Arial" w:hAnsi="Arial" w:cs="Arial"/>
          <w:color w:val="000000" w:themeColor="text1"/>
        </w:rPr>
        <w:t>incompatible con la sostenibilidad</w:t>
      </w:r>
      <w:r w:rsidR="00D2722E" w:rsidRPr="000E0F90">
        <w:rPr>
          <w:rFonts w:ascii="Arial" w:hAnsi="Arial" w:cs="Arial"/>
          <w:color w:val="000000" w:themeColor="text1"/>
        </w:rPr>
        <w:t xml:space="preserve"> territorial</w:t>
      </w:r>
      <w:r w:rsidRPr="000E0F90">
        <w:rPr>
          <w:rFonts w:ascii="Arial" w:hAnsi="Arial" w:cs="Arial"/>
          <w:color w:val="000000" w:themeColor="text1"/>
        </w:rPr>
        <w:t xml:space="preserve">, dado que en términos absolutos se reduce en forma progresiva la </w:t>
      </w:r>
      <w:r w:rsidR="008A7101" w:rsidRPr="000E0F90">
        <w:rPr>
          <w:rFonts w:ascii="Arial" w:hAnsi="Arial" w:cs="Arial"/>
          <w:color w:val="000000" w:themeColor="text1"/>
        </w:rPr>
        <w:t xml:space="preserve">riqueza nacional, dado por la menor </w:t>
      </w:r>
      <w:r w:rsidRPr="000E0F90">
        <w:rPr>
          <w:rFonts w:ascii="Arial" w:hAnsi="Arial" w:cs="Arial"/>
          <w:color w:val="000000" w:themeColor="text1"/>
        </w:rPr>
        <w:t xml:space="preserve">dotación de recursos naturales y </w:t>
      </w:r>
      <w:r w:rsidR="008A7101" w:rsidRPr="000E0F90">
        <w:rPr>
          <w:rFonts w:ascii="Arial" w:hAnsi="Arial" w:cs="Arial"/>
          <w:color w:val="000000" w:themeColor="text1"/>
        </w:rPr>
        <w:t>el deterioro de</w:t>
      </w:r>
      <w:r w:rsidRPr="000E0F90">
        <w:rPr>
          <w:rFonts w:ascii="Arial" w:hAnsi="Arial" w:cs="Arial"/>
          <w:color w:val="000000" w:themeColor="text1"/>
        </w:rPr>
        <w:t xml:space="preserve"> las condiciones de los sistemas ecológicos y humanos. Impactos que al no ser subsanados, se traducen en un </w:t>
      </w:r>
      <w:r w:rsidR="00D1417A" w:rsidRPr="000E0F90">
        <w:rPr>
          <w:rFonts w:ascii="Arial" w:hAnsi="Arial" w:cs="Arial"/>
          <w:color w:val="000000" w:themeColor="text1"/>
        </w:rPr>
        <w:t>menoscabo</w:t>
      </w:r>
      <w:r w:rsidRPr="000E0F90">
        <w:rPr>
          <w:rFonts w:ascii="Arial" w:hAnsi="Arial" w:cs="Arial"/>
          <w:color w:val="000000" w:themeColor="text1"/>
        </w:rPr>
        <w:t xml:space="preserve"> de la calidad de vida y bienestar de los actores locales en el presente y futuro. Quedando los territorios mineros en una condición deteriorada en relación a la condición pre minera.</w:t>
      </w:r>
      <w:r w:rsidR="00D1417A" w:rsidRPr="000E0F90">
        <w:rPr>
          <w:rFonts w:ascii="Arial" w:hAnsi="Arial" w:cs="Arial"/>
          <w:color w:val="000000" w:themeColor="text1"/>
        </w:rPr>
        <w:t xml:space="preserve"> </w:t>
      </w:r>
    </w:p>
    <w:p w:rsidR="00D2722E" w:rsidRPr="000E0F90" w:rsidRDefault="008A7101" w:rsidP="00702D9A">
      <w:pPr>
        <w:spacing w:line="360" w:lineRule="auto"/>
        <w:rPr>
          <w:rFonts w:ascii="Arial" w:hAnsi="Arial" w:cs="Arial"/>
          <w:color w:val="000000" w:themeColor="text1"/>
        </w:rPr>
      </w:pPr>
      <w:r w:rsidRPr="000E0F90">
        <w:rPr>
          <w:rFonts w:ascii="Arial" w:hAnsi="Arial" w:cs="Arial"/>
          <w:color w:val="000000" w:themeColor="text1"/>
        </w:rPr>
        <w:t>Por otra parte, además de la exportación de minerales, el país exporta su propia sostenibilidad, al permanecer las externalidades medioambientales y sociales de la actividad, sin ser abordadas en el modelo económico actual, dado que no se incorporan en el precio del mineral comercializado.</w:t>
      </w:r>
    </w:p>
    <w:p w:rsidR="00E012AD" w:rsidRPr="000E0F90" w:rsidRDefault="00E012AD" w:rsidP="00702D9A">
      <w:pPr>
        <w:spacing w:before="240" w:after="120" w:line="360" w:lineRule="auto"/>
        <w:rPr>
          <w:rFonts w:ascii="Arial" w:hAnsi="Arial" w:cs="Arial"/>
          <w:b/>
          <w:color w:val="000000" w:themeColor="text1"/>
        </w:rPr>
      </w:pPr>
      <w:r w:rsidRPr="000E0F90">
        <w:rPr>
          <w:rFonts w:ascii="Arial" w:hAnsi="Arial" w:cs="Arial"/>
          <w:b/>
          <w:color w:val="000000" w:themeColor="text1"/>
        </w:rPr>
        <w:t>Los territorios mineros pueden alcanzar un estado sostenible, si las actividades mineras se desarrollan en forma sustentable.</w:t>
      </w:r>
    </w:p>
    <w:p w:rsidR="00E6545C" w:rsidRPr="000E0F90" w:rsidRDefault="0019209C" w:rsidP="00702D9A">
      <w:pPr>
        <w:spacing w:line="360" w:lineRule="auto"/>
        <w:rPr>
          <w:rFonts w:ascii="Arial" w:hAnsi="Arial" w:cs="Arial"/>
          <w:color w:val="000000" w:themeColor="text1"/>
        </w:rPr>
      </w:pPr>
      <w:r w:rsidRPr="000E0F90">
        <w:rPr>
          <w:rFonts w:ascii="Arial" w:hAnsi="Arial" w:cs="Arial"/>
          <w:color w:val="000000" w:themeColor="text1"/>
        </w:rPr>
        <w:t xml:space="preserve">La sustentabilidad implica incorporar recursos al sistema en forma permanente para mantener la viabilidad del sistema, la sostenibilidad en tanto, significa mantener un sistema en el tiempo sin adición o merma de los recursos existentes. A partir de lo anterior y en relación a los territorios mineros se deben establecer algunos </w:t>
      </w:r>
      <w:r w:rsidR="00072502" w:rsidRPr="000E0F90">
        <w:rPr>
          <w:rFonts w:ascii="Arial" w:hAnsi="Arial" w:cs="Arial"/>
          <w:color w:val="000000" w:themeColor="text1"/>
        </w:rPr>
        <w:t>lineamientos para aspirar a la sostenibilidad</w:t>
      </w:r>
      <w:r w:rsidRPr="000E0F90">
        <w:rPr>
          <w:rFonts w:ascii="Arial" w:hAnsi="Arial" w:cs="Arial"/>
          <w:color w:val="000000" w:themeColor="text1"/>
        </w:rPr>
        <w:t xml:space="preserve">. </w:t>
      </w:r>
    </w:p>
    <w:p w:rsidR="0019209C" w:rsidRPr="000E0F90" w:rsidRDefault="0019209C" w:rsidP="00702D9A">
      <w:pPr>
        <w:spacing w:line="360" w:lineRule="auto"/>
        <w:rPr>
          <w:rFonts w:ascii="Arial" w:hAnsi="Arial" w:cs="Arial"/>
          <w:color w:val="000000" w:themeColor="text1"/>
        </w:rPr>
      </w:pPr>
      <w:r w:rsidRPr="000E0F90">
        <w:rPr>
          <w:rFonts w:ascii="Arial" w:hAnsi="Arial" w:cs="Arial"/>
          <w:color w:val="000000" w:themeColor="text1"/>
        </w:rPr>
        <w:lastRenderedPageBreak/>
        <w:t>La minería es una actividad inherentemente insostenible, dado que extrae recursos finitos del sistema territorial a una tasa que sobrepasa la reincorporación natural de dichos elementos al sistema. Por tanto, es una actividad que</w:t>
      </w:r>
      <w:r w:rsidR="00072502" w:rsidRPr="000E0F90">
        <w:rPr>
          <w:rFonts w:ascii="Arial" w:hAnsi="Arial" w:cs="Arial"/>
          <w:color w:val="000000" w:themeColor="text1"/>
        </w:rPr>
        <w:t xml:space="preserve"> sólo</w:t>
      </w:r>
      <w:r w:rsidRPr="000E0F90">
        <w:rPr>
          <w:rFonts w:ascii="Arial" w:hAnsi="Arial" w:cs="Arial"/>
          <w:color w:val="000000" w:themeColor="text1"/>
        </w:rPr>
        <w:t xml:space="preserve"> puede ser considerada sustentable, dado que se mantiene mediante la incorporación de elementos al sistema</w:t>
      </w:r>
      <w:r w:rsidR="00E012AD" w:rsidRPr="000E0F90">
        <w:rPr>
          <w:rFonts w:ascii="Arial" w:hAnsi="Arial" w:cs="Arial"/>
          <w:color w:val="000000" w:themeColor="text1"/>
        </w:rPr>
        <w:t xml:space="preserve"> minero,</w:t>
      </w:r>
      <w:r w:rsidRPr="000E0F90">
        <w:rPr>
          <w:rFonts w:ascii="Arial" w:hAnsi="Arial" w:cs="Arial"/>
          <w:color w:val="000000" w:themeColor="text1"/>
        </w:rPr>
        <w:t xml:space="preserve"> como recursos hídricos, energét</w:t>
      </w:r>
      <w:r w:rsidR="00B733BF" w:rsidRPr="000E0F90">
        <w:rPr>
          <w:rFonts w:ascii="Arial" w:hAnsi="Arial" w:cs="Arial"/>
          <w:color w:val="000000" w:themeColor="text1"/>
        </w:rPr>
        <w:t>icos, sociales</w:t>
      </w:r>
      <w:r w:rsidR="00C264E3" w:rsidRPr="000E0F90">
        <w:rPr>
          <w:rFonts w:ascii="Arial" w:hAnsi="Arial" w:cs="Arial"/>
          <w:color w:val="000000" w:themeColor="text1"/>
        </w:rPr>
        <w:t xml:space="preserve">; y se desarrolla </w:t>
      </w:r>
      <w:r w:rsidR="00B733BF" w:rsidRPr="000E0F90">
        <w:rPr>
          <w:rFonts w:ascii="Arial" w:hAnsi="Arial" w:cs="Arial"/>
          <w:color w:val="000000" w:themeColor="text1"/>
        </w:rPr>
        <w:t>en base a</w:t>
      </w:r>
      <w:r w:rsidR="00154856" w:rsidRPr="000E0F90">
        <w:rPr>
          <w:rFonts w:ascii="Arial" w:hAnsi="Arial" w:cs="Arial"/>
          <w:color w:val="000000" w:themeColor="text1"/>
        </w:rPr>
        <w:t>l funcionamiento del ecosistema de soporte</w:t>
      </w:r>
      <w:r w:rsidR="00072502" w:rsidRPr="000E0F90">
        <w:rPr>
          <w:rFonts w:ascii="Arial" w:hAnsi="Arial" w:cs="Arial"/>
          <w:color w:val="000000" w:themeColor="text1"/>
        </w:rPr>
        <w:t xml:space="preserve">. Sin embargo, aunque la minería solo puede aspirar a la sustentabilidad, puede formar parte de un sistema mayor sostenible, contribuyendo a alcanzar la sostenibilidad, de en este caso, del territorio. </w:t>
      </w:r>
    </w:p>
    <w:p w:rsidR="00072502" w:rsidRPr="000E0F90" w:rsidRDefault="00072502" w:rsidP="00702D9A">
      <w:pPr>
        <w:spacing w:after="120" w:line="360" w:lineRule="auto"/>
        <w:rPr>
          <w:rFonts w:ascii="Arial" w:hAnsi="Arial" w:cs="Arial"/>
          <w:color w:val="000000" w:themeColor="text1"/>
        </w:rPr>
      </w:pPr>
      <w:r w:rsidRPr="000E0F90">
        <w:rPr>
          <w:rFonts w:ascii="Arial" w:hAnsi="Arial" w:cs="Arial"/>
          <w:color w:val="000000" w:themeColor="text1"/>
        </w:rPr>
        <w:t>Para ello</w:t>
      </w:r>
      <w:r w:rsidR="00075B16" w:rsidRPr="000E0F90">
        <w:rPr>
          <w:rFonts w:ascii="Arial" w:hAnsi="Arial" w:cs="Arial"/>
          <w:color w:val="000000" w:themeColor="text1"/>
        </w:rPr>
        <w:t xml:space="preserve">, </w:t>
      </w:r>
      <w:r w:rsidRPr="000E0F90">
        <w:rPr>
          <w:rFonts w:ascii="Arial" w:hAnsi="Arial" w:cs="Arial"/>
          <w:color w:val="000000" w:themeColor="text1"/>
        </w:rPr>
        <w:t xml:space="preserve">la actividad minera debe asegurar la amortización de los recursos minerales extraídos, </w:t>
      </w:r>
      <w:r w:rsidR="009F2B97" w:rsidRPr="000E0F90">
        <w:rPr>
          <w:rFonts w:ascii="Arial" w:hAnsi="Arial" w:cs="Arial"/>
          <w:color w:val="000000" w:themeColor="text1"/>
        </w:rPr>
        <w:t>utilizar los recursos renovables dentro de la tasa de regeneración</w:t>
      </w:r>
      <w:r w:rsidRPr="000E0F90">
        <w:rPr>
          <w:rFonts w:ascii="Arial" w:hAnsi="Arial" w:cs="Arial"/>
          <w:color w:val="000000" w:themeColor="text1"/>
        </w:rPr>
        <w:t xml:space="preserve"> </w:t>
      </w:r>
      <w:r w:rsidR="009F2B97" w:rsidRPr="000E0F90">
        <w:rPr>
          <w:rFonts w:ascii="Arial" w:hAnsi="Arial" w:cs="Arial"/>
          <w:color w:val="000000" w:themeColor="text1"/>
        </w:rPr>
        <w:t xml:space="preserve">y operar dentro de los límites naturales que impone el sistema ecológico. De forma que no se traduzca en una pérdida irreparable de los sistemas que soportan la sobrevida humana y el desarrollo territorial, </w:t>
      </w:r>
      <w:r w:rsidR="00075B16" w:rsidRPr="000E0F90">
        <w:rPr>
          <w:rFonts w:ascii="Arial" w:hAnsi="Arial" w:cs="Arial"/>
          <w:color w:val="000000" w:themeColor="text1"/>
        </w:rPr>
        <w:t>así como también impida su propia viabilidad</w:t>
      </w:r>
      <w:r w:rsidRPr="000E0F90">
        <w:rPr>
          <w:rFonts w:ascii="Arial" w:hAnsi="Arial" w:cs="Arial"/>
          <w:color w:val="000000" w:themeColor="text1"/>
        </w:rPr>
        <w:t xml:space="preserve">. </w:t>
      </w:r>
    </w:p>
    <w:p w:rsidR="00C264E3" w:rsidRPr="000E0F90" w:rsidRDefault="00C264E3" w:rsidP="00702D9A">
      <w:pPr>
        <w:spacing w:before="360" w:after="0" w:line="360" w:lineRule="auto"/>
        <w:rPr>
          <w:rFonts w:ascii="Arial" w:hAnsi="Arial" w:cs="Arial"/>
          <w:b/>
          <w:color w:val="000000" w:themeColor="text1"/>
        </w:rPr>
      </w:pPr>
      <w:r w:rsidRPr="000E0F90">
        <w:rPr>
          <w:rFonts w:ascii="Arial" w:hAnsi="Arial" w:cs="Arial"/>
          <w:b/>
          <w:color w:val="000000" w:themeColor="text1"/>
        </w:rPr>
        <w:t xml:space="preserve">Los territorios mineros deben capitalizar la pérdida de recursos minerales </w:t>
      </w:r>
      <w:r w:rsidR="00440B6E" w:rsidRPr="000E0F90">
        <w:rPr>
          <w:rFonts w:ascii="Arial" w:hAnsi="Arial" w:cs="Arial"/>
          <w:b/>
          <w:color w:val="000000" w:themeColor="text1"/>
        </w:rPr>
        <w:t>extraídos</w:t>
      </w:r>
      <w:r w:rsidR="00F30779" w:rsidRPr="000E0F90">
        <w:rPr>
          <w:rFonts w:ascii="Arial" w:hAnsi="Arial" w:cs="Arial"/>
          <w:b/>
          <w:color w:val="000000" w:themeColor="text1"/>
        </w:rPr>
        <w:t>.</w:t>
      </w:r>
    </w:p>
    <w:p w:rsidR="00374F0F" w:rsidRPr="000E0F90" w:rsidRDefault="00B733BF" w:rsidP="00702D9A">
      <w:pPr>
        <w:spacing w:after="120" w:line="360" w:lineRule="auto"/>
        <w:rPr>
          <w:rFonts w:ascii="Arial" w:hAnsi="Arial" w:cs="Arial"/>
          <w:color w:val="000000" w:themeColor="text1"/>
        </w:rPr>
      </w:pPr>
      <w:r w:rsidRPr="000E0F90">
        <w:rPr>
          <w:rFonts w:ascii="Arial" w:hAnsi="Arial" w:cs="Arial"/>
          <w:color w:val="000000" w:themeColor="text1"/>
        </w:rPr>
        <w:t>Los territorios se construyen sobre la base de riqueza natural existente, la cu</w:t>
      </w:r>
      <w:r w:rsidR="000F7336" w:rsidRPr="000E0F90">
        <w:rPr>
          <w:rFonts w:ascii="Arial" w:hAnsi="Arial" w:cs="Arial"/>
          <w:color w:val="000000" w:themeColor="text1"/>
        </w:rPr>
        <w:t>al mediante su aprovechamiento</w:t>
      </w:r>
      <w:r w:rsidRPr="000E0F90">
        <w:rPr>
          <w:rFonts w:ascii="Arial" w:hAnsi="Arial" w:cs="Arial"/>
          <w:color w:val="000000" w:themeColor="text1"/>
        </w:rPr>
        <w:t xml:space="preserve"> propicia el desarrollo local. </w:t>
      </w:r>
      <w:r w:rsidR="000F7336" w:rsidRPr="000E0F90">
        <w:rPr>
          <w:rFonts w:ascii="Arial" w:hAnsi="Arial" w:cs="Arial"/>
          <w:color w:val="000000" w:themeColor="text1"/>
        </w:rPr>
        <w:t>Las reservas de</w:t>
      </w:r>
      <w:r w:rsidR="0024428E" w:rsidRPr="000E0F90">
        <w:rPr>
          <w:rFonts w:ascii="Arial" w:hAnsi="Arial" w:cs="Arial"/>
          <w:color w:val="000000" w:themeColor="text1"/>
        </w:rPr>
        <w:t xml:space="preserve"> mineral, representa</w:t>
      </w:r>
      <w:r w:rsidR="000F7336" w:rsidRPr="000E0F90">
        <w:rPr>
          <w:rFonts w:ascii="Arial" w:hAnsi="Arial" w:cs="Arial"/>
          <w:color w:val="000000" w:themeColor="text1"/>
        </w:rPr>
        <w:t>n</w:t>
      </w:r>
      <w:r w:rsidR="0024428E" w:rsidRPr="000E0F90">
        <w:rPr>
          <w:rFonts w:ascii="Arial" w:hAnsi="Arial" w:cs="Arial"/>
          <w:color w:val="000000" w:themeColor="text1"/>
        </w:rPr>
        <w:t xml:space="preserve"> una riqueza</w:t>
      </w:r>
      <w:r w:rsidR="000F7336" w:rsidRPr="000E0F90">
        <w:rPr>
          <w:rFonts w:ascii="Arial" w:hAnsi="Arial" w:cs="Arial"/>
          <w:color w:val="000000" w:themeColor="text1"/>
        </w:rPr>
        <w:t xml:space="preserve"> </w:t>
      </w:r>
      <w:r w:rsidR="00360C60" w:rsidRPr="000E0F90">
        <w:rPr>
          <w:rFonts w:ascii="Arial" w:hAnsi="Arial" w:cs="Arial"/>
          <w:color w:val="000000" w:themeColor="text1"/>
        </w:rPr>
        <w:t xml:space="preserve">concreta, pero </w:t>
      </w:r>
      <w:r w:rsidR="000F7336" w:rsidRPr="000E0F90">
        <w:rPr>
          <w:rFonts w:ascii="Arial" w:hAnsi="Arial" w:cs="Arial"/>
          <w:color w:val="000000" w:themeColor="text1"/>
        </w:rPr>
        <w:t>transitoria</w:t>
      </w:r>
      <w:r w:rsidR="00360C60" w:rsidRPr="000E0F90">
        <w:rPr>
          <w:rFonts w:ascii="Arial" w:hAnsi="Arial" w:cs="Arial"/>
          <w:color w:val="000000" w:themeColor="text1"/>
        </w:rPr>
        <w:t xml:space="preserve"> en los territorios, dado que su extracción resulta en </w:t>
      </w:r>
      <w:r w:rsidR="00374F0F" w:rsidRPr="000E0F90">
        <w:rPr>
          <w:rFonts w:ascii="Arial" w:hAnsi="Arial" w:cs="Arial"/>
          <w:color w:val="000000" w:themeColor="text1"/>
        </w:rPr>
        <w:t xml:space="preserve">una disminución progresiva de éstas, mermando las posibilidades futuras de desarrollo territorial.   </w:t>
      </w:r>
    </w:p>
    <w:p w:rsidR="00440B6E" w:rsidRPr="000E0F90" w:rsidRDefault="000F7336" w:rsidP="00702D9A">
      <w:pPr>
        <w:spacing w:line="360" w:lineRule="auto"/>
        <w:rPr>
          <w:rFonts w:ascii="Arial" w:hAnsi="Arial" w:cs="Arial"/>
          <w:color w:val="000000" w:themeColor="text1"/>
        </w:rPr>
      </w:pPr>
      <w:r w:rsidRPr="000E0F90">
        <w:rPr>
          <w:rFonts w:ascii="Arial" w:hAnsi="Arial" w:cs="Arial"/>
          <w:color w:val="000000" w:themeColor="text1"/>
        </w:rPr>
        <w:t xml:space="preserve">Para alcanzar la sostenibilidad de los territorios mineros, se espera que la riqueza </w:t>
      </w:r>
      <w:r w:rsidR="00E6545C" w:rsidRPr="000E0F90">
        <w:rPr>
          <w:rFonts w:ascii="Arial" w:hAnsi="Arial" w:cs="Arial"/>
          <w:color w:val="000000" w:themeColor="text1"/>
        </w:rPr>
        <w:t xml:space="preserve">mineral </w:t>
      </w:r>
      <w:r w:rsidRPr="000E0F90">
        <w:rPr>
          <w:rFonts w:ascii="Arial" w:hAnsi="Arial" w:cs="Arial"/>
          <w:color w:val="000000" w:themeColor="text1"/>
        </w:rPr>
        <w:t xml:space="preserve">sea explotada, </w:t>
      </w:r>
      <w:r w:rsidR="00374F0F" w:rsidRPr="000E0F90">
        <w:rPr>
          <w:rFonts w:ascii="Arial" w:hAnsi="Arial" w:cs="Arial"/>
          <w:color w:val="000000" w:themeColor="text1"/>
        </w:rPr>
        <w:t>en la medida que</w:t>
      </w:r>
      <w:r w:rsidRPr="000E0F90">
        <w:rPr>
          <w:rFonts w:ascii="Arial" w:hAnsi="Arial" w:cs="Arial"/>
          <w:color w:val="000000" w:themeColor="text1"/>
        </w:rPr>
        <w:t xml:space="preserve"> se reincorporen los recursos extraídos, a través de la capitalización local.</w:t>
      </w:r>
      <w:r w:rsidR="00E6545C" w:rsidRPr="000E0F90">
        <w:rPr>
          <w:rFonts w:ascii="Arial" w:hAnsi="Arial" w:cs="Arial"/>
          <w:color w:val="000000" w:themeColor="text1"/>
        </w:rPr>
        <w:t xml:space="preserve"> La cual </w:t>
      </w:r>
      <w:r w:rsidR="00B733BF" w:rsidRPr="000E0F90">
        <w:rPr>
          <w:rFonts w:ascii="Arial" w:hAnsi="Arial" w:cs="Arial"/>
          <w:color w:val="000000" w:themeColor="text1"/>
        </w:rPr>
        <w:t xml:space="preserve">debe estar guiada por la receptividad de los territorios, </w:t>
      </w:r>
      <w:r w:rsidR="00C17A53" w:rsidRPr="000E0F90">
        <w:rPr>
          <w:rFonts w:ascii="Arial" w:hAnsi="Arial" w:cs="Arial"/>
          <w:color w:val="000000" w:themeColor="text1"/>
        </w:rPr>
        <w:t xml:space="preserve">la cual puede ser </w:t>
      </w:r>
      <w:r w:rsidR="00B733BF" w:rsidRPr="000E0F90">
        <w:rPr>
          <w:rFonts w:ascii="Arial" w:hAnsi="Arial" w:cs="Arial"/>
          <w:color w:val="000000" w:themeColor="text1"/>
        </w:rPr>
        <w:t>de tipo ecológica, social, cultural, política</w:t>
      </w:r>
      <w:r w:rsidR="00C17A53" w:rsidRPr="000E0F90">
        <w:rPr>
          <w:rFonts w:ascii="Arial" w:hAnsi="Arial" w:cs="Arial"/>
          <w:color w:val="000000" w:themeColor="text1"/>
        </w:rPr>
        <w:t>,</w:t>
      </w:r>
      <w:r w:rsidR="00B733BF" w:rsidRPr="000E0F90">
        <w:rPr>
          <w:rFonts w:ascii="Arial" w:hAnsi="Arial" w:cs="Arial"/>
          <w:color w:val="000000" w:themeColor="text1"/>
        </w:rPr>
        <w:t xml:space="preserve"> tecnológica y económica. Asegurando </w:t>
      </w:r>
      <w:r w:rsidR="00533EE5" w:rsidRPr="000E0F90">
        <w:rPr>
          <w:rFonts w:ascii="Arial" w:hAnsi="Arial" w:cs="Arial"/>
          <w:color w:val="000000" w:themeColor="text1"/>
        </w:rPr>
        <w:t>que</w:t>
      </w:r>
      <w:r w:rsidR="00C17A53" w:rsidRPr="000E0F90">
        <w:rPr>
          <w:rFonts w:ascii="Arial" w:hAnsi="Arial" w:cs="Arial"/>
          <w:color w:val="000000" w:themeColor="text1"/>
        </w:rPr>
        <w:t xml:space="preserve"> </w:t>
      </w:r>
      <w:r w:rsidR="00E1318A" w:rsidRPr="000E0F90">
        <w:rPr>
          <w:rFonts w:ascii="Arial" w:hAnsi="Arial" w:cs="Arial"/>
          <w:color w:val="000000" w:themeColor="text1"/>
        </w:rPr>
        <w:t xml:space="preserve">se obtenga el mayor beneficio </w:t>
      </w:r>
      <w:r w:rsidR="00C17A53" w:rsidRPr="000E0F90">
        <w:rPr>
          <w:rFonts w:ascii="Arial" w:hAnsi="Arial" w:cs="Arial"/>
          <w:color w:val="000000" w:themeColor="text1"/>
        </w:rPr>
        <w:t>de</w:t>
      </w:r>
      <w:r w:rsidR="00533EE5" w:rsidRPr="000E0F90">
        <w:rPr>
          <w:rFonts w:ascii="Arial" w:hAnsi="Arial" w:cs="Arial"/>
          <w:color w:val="000000" w:themeColor="text1"/>
        </w:rPr>
        <w:t xml:space="preserve"> </w:t>
      </w:r>
      <w:r w:rsidR="00915A05" w:rsidRPr="000E0F90">
        <w:rPr>
          <w:rFonts w:ascii="Arial" w:hAnsi="Arial" w:cs="Arial"/>
          <w:color w:val="000000" w:themeColor="text1"/>
        </w:rPr>
        <w:t>los recursos inyectados a los territorios</w:t>
      </w:r>
      <w:r w:rsidR="00C17A53" w:rsidRPr="000E0F90">
        <w:rPr>
          <w:rFonts w:ascii="Arial" w:hAnsi="Arial" w:cs="Arial"/>
          <w:color w:val="000000" w:themeColor="text1"/>
        </w:rPr>
        <w:t xml:space="preserve">, </w:t>
      </w:r>
      <w:r w:rsidR="00C5506A" w:rsidRPr="000E0F90">
        <w:rPr>
          <w:rFonts w:ascii="Arial" w:hAnsi="Arial" w:cs="Arial"/>
          <w:color w:val="000000" w:themeColor="text1"/>
        </w:rPr>
        <w:t>se preserven y</w:t>
      </w:r>
      <w:r w:rsidR="00915A05" w:rsidRPr="000E0F90">
        <w:rPr>
          <w:rFonts w:ascii="Arial" w:hAnsi="Arial" w:cs="Arial"/>
          <w:color w:val="000000" w:themeColor="text1"/>
        </w:rPr>
        <w:t xml:space="preserve"> multipliquen en el tiempo. </w:t>
      </w:r>
      <w:r w:rsidR="003A2FAF" w:rsidRPr="000E0F90">
        <w:rPr>
          <w:rFonts w:ascii="Arial" w:hAnsi="Arial" w:cs="Arial"/>
          <w:color w:val="000000" w:themeColor="text1"/>
        </w:rPr>
        <w:t>Pudiendo enfocar esta capitalización a otras regiones dada la escasa receptividad local.</w:t>
      </w:r>
    </w:p>
    <w:p w:rsidR="00F30779" w:rsidRPr="000E0F90" w:rsidRDefault="0024428E" w:rsidP="00702D9A">
      <w:pPr>
        <w:spacing w:before="240" w:after="0" w:line="360" w:lineRule="auto"/>
        <w:rPr>
          <w:rFonts w:ascii="Arial" w:hAnsi="Arial" w:cs="Arial"/>
          <w:b/>
          <w:color w:val="000000" w:themeColor="text1"/>
        </w:rPr>
      </w:pPr>
      <w:r w:rsidRPr="000E0F90">
        <w:rPr>
          <w:rFonts w:ascii="Arial" w:hAnsi="Arial" w:cs="Arial"/>
          <w:b/>
          <w:color w:val="000000" w:themeColor="text1"/>
        </w:rPr>
        <w:t>Los terri</w:t>
      </w:r>
      <w:r w:rsidR="00C17A53" w:rsidRPr="000E0F90">
        <w:rPr>
          <w:rFonts w:ascii="Arial" w:hAnsi="Arial" w:cs="Arial"/>
          <w:b/>
          <w:color w:val="000000" w:themeColor="text1"/>
        </w:rPr>
        <w:t>torios mineros deben promover</w:t>
      </w:r>
      <w:r w:rsidRPr="000E0F90">
        <w:rPr>
          <w:rFonts w:ascii="Arial" w:hAnsi="Arial" w:cs="Arial"/>
          <w:b/>
          <w:color w:val="000000" w:themeColor="text1"/>
        </w:rPr>
        <w:t xml:space="preserve"> </w:t>
      </w:r>
      <w:r w:rsidR="00A07C35" w:rsidRPr="000E0F90">
        <w:rPr>
          <w:rFonts w:ascii="Arial" w:hAnsi="Arial" w:cs="Arial"/>
          <w:b/>
          <w:color w:val="000000" w:themeColor="text1"/>
        </w:rPr>
        <w:t xml:space="preserve">fuentes de </w:t>
      </w:r>
      <w:r w:rsidRPr="000E0F90">
        <w:rPr>
          <w:rFonts w:ascii="Arial" w:hAnsi="Arial" w:cs="Arial"/>
          <w:b/>
          <w:color w:val="000000" w:themeColor="text1"/>
        </w:rPr>
        <w:t>desarrollo territorial sostenibles</w:t>
      </w:r>
      <w:r w:rsidR="00E33AA1" w:rsidRPr="000E0F90">
        <w:rPr>
          <w:rFonts w:ascii="Arial" w:hAnsi="Arial" w:cs="Arial"/>
          <w:b/>
          <w:color w:val="000000" w:themeColor="text1"/>
        </w:rPr>
        <w:t xml:space="preserve"> locales</w:t>
      </w:r>
      <w:r w:rsidR="00C17A53" w:rsidRPr="000E0F90">
        <w:rPr>
          <w:rFonts w:ascii="Arial" w:hAnsi="Arial" w:cs="Arial"/>
          <w:b/>
          <w:color w:val="000000" w:themeColor="text1"/>
        </w:rPr>
        <w:t>, autónomas y</w:t>
      </w:r>
      <w:r w:rsidR="00A07C35" w:rsidRPr="000E0F90">
        <w:rPr>
          <w:rFonts w:ascii="Arial" w:hAnsi="Arial" w:cs="Arial"/>
          <w:b/>
          <w:color w:val="000000" w:themeColor="text1"/>
        </w:rPr>
        <w:t xml:space="preserve"> diversificadas que generen mayor valor agregado</w:t>
      </w:r>
      <w:r w:rsidR="0080164B" w:rsidRPr="000E0F90">
        <w:rPr>
          <w:rFonts w:ascii="Arial" w:hAnsi="Arial" w:cs="Arial"/>
          <w:b/>
          <w:color w:val="000000" w:themeColor="text1"/>
        </w:rPr>
        <w:t xml:space="preserve">. </w:t>
      </w:r>
    </w:p>
    <w:p w:rsidR="0080164B" w:rsidRPr="000E0F90" w:rsidRDefault="0024428E" w:rsidP="00702D9A">
      <w:pPr>
        <w:spacing w:after="0" w:line="360" w:lineRule="auto"/>
        <w:rPr>
          <w:rFonts w:ascii="Arial" w:hAnsi="Arial" w:cs="Arial"/>
          <w:color w:val="000000" w:themeColor="text1"/>
        </w:rPr>
      </w:pPr>
      <w:r w:rsidRPr="000E0F90">
        <w:rPr>
          <w:rFonts w:ascii="Arial" w:hAnsi="Arial" w:cs="Arial"/>
          <w:color w:val="000000" w:themeColor="text1"/>
        </w:rPr>
        <w:lastRenderedPageBreak/>
        <w:t xml:space="preserve">Los territorios mineros deben promover el desarrollo de actividades territoriales sostenibles, que </w:t>
      </w:r>
      <w:r w:rsidR="004A6A65" w:rsidRPr="000E0F90">
        <w:rPr>
          <w:rFonts w:ascii="Arial" w:hAnsi="Arial" w:cs="Arial"/>
          <w:color w:val="000000" w:themeColor="text1"/>
        </w:rPr>
        <w:t xml:space="preserve">operen dentro límites medioambientales y </w:t>
      </w:r>
      <w:r w:rsidRPr="000E0F90">
        <w:rPr>
          <w:rFonts w:ascii="Arial" w:hAnsi="Arial" w:cs="Arial"/>
          <w:color w:val="000000" w:themeColor="text1"/>
        </w:rPr>
        <w:t>no mermen la base de recursos naturales locales</w:t>
      </w:r>
      <w:r w:rsidR="00C17A53" w:rsidRPr="000E0F90">
        <w:rPr>
          <w:rFonts w:ascii="Arial" w:hAnsi="Arial" w:cs="Arial"/>
          <w:color w:val="000000" w:themeColor="text1"/>
        </w:rPr>
        <w:t>, utilizando eficiente y sosteniblemente los recursos (i.</w:t>
      </w:r>
      <w:r w:rsidR="004A6A65" w:rsidRPr="000E0F90">
        <w:rPr>
          <w:rFonts w:ascii="Arial" w:hAnsi="Arial" w:cs="Arial"/>
          <w:color w:val="000000" w:themeColor="text1"/>
        </w:rPr>
        <w:t>e. hídrico, energético y suelo)</w:t>
      </w:r>
      <w:r w:rsidRPr="000E0F90">
        <w:rPr>
          <w:rFonts w:ascii="Arial" w:hAnsi="Arial" w:cs="Arial"/>
          <w:color w:val="000000" w:themeColor="text1"/>
        </w:rPr>
        <w:t>.</w:t>
      </w:r>
      <w:r w:rsidR="00C5506A" w:rsidRPr="000E0F90">
        <w:rPr>
          <w:rFonts w:ascii="Arial" w:hAnsi="Arial" w:cs="Arial"/>
          <w:color w:val="000000" w:themeColor="text1"/>
        </w:rPr>
        <w:t xml:space="preserve"> </w:t>
      </w:r>
    </w:p>
    <w:p w:rsidR="0080164B" w:rsidRPr="000E0F90" w:rsidRDefault="0080164B" w:rsidP="00702D9A">
      <w:pPr>
        <w:spacing w:before="240" w:after="0" w:line="360" w:lineRule="auto"/>
        <w:rPr>
          <w:rFonts w:ascii="Arial" w:hAnsi="Arial" w:cs="Arial"/>
          <w:color w:val="000000" w:themeColor="text1"/>
        </w:rPr>
      </w:pPr>
      <w:r w:rsidRPr="000E0F90">
        <w:rPr>
          <w:rFonts w:ascii="Arial" w:hAnsi="Arial" w:cs="Arial"/>
          <w:color w:val="000000" w:themeColor="text1"/>
        </w:rPr>
        <w:t xml:space="preserve">Se deben favorecer las fuentes de desarrollo duraderas, que se mantengan en el tiempo, y sostengan la calidad de vida y bienestar humano. </w:t>
      </w:r>
      <w:r w:rsidR="007D767E" w:rsidRPr="000E0F90">
        <w:rPr>
          <w:rFonts w:ascii="Arial" w:hAnsi="Arial" w:cs="Arial"/>
          <w:color w:val="000000" w:themeColor="text1"/>
        </w:rPr>
        <w:t>Vinculadas localmente</w:t>
      </w:r>
      <w:r w:rsidR="00C17A53" w:rsidRPr="000E0F90">
        <w:rPr>
          <w:rFonts w:ascii="Arial" w:hAnsi="Arial" w:cs="Arial"/>
          <w:color w:val="000000" w:themeColor="text1"/>
        </w:rPr>
        <w:t xml:space="preserve">, es decir, que consideren la </w:t>
      </w:r>
      <w:r w:rsidR="004B62EA" w:rsidRPr="000E0F90">
        <w:rPr>
          <w:rFonts w:ascii="Arial" w:hAnsi="Arial" w:cs="Arial"/>
          <w:color w:val="000000" w:themeColor="text1"/>
        </w:rPr>
        <w:t>provisión de empleos locales, desarrollo socioeconómico, cultural, tecnológico, entre otros</w:t>
      </w:r>
      <w:r w:rsidR="00C17A53" w:rsidRPr="000E0F90">
        <w:rPr>
          <w:rFonts w:ascii="Arial" w:hAnsi="Arial" w:cs="Arial"/>
          <w:color w:val="000000" w:themeColor="text1"/>
        </w:rPr>
        <w:t xml:space="preserve">. </w:t>
      </w:r>
      <w:r w:rsidRPr="000E0F90">
        <w:rPr>
          <w:rFonts w:ascii="Arial" w:hAnsi="Arial" w:cs="Arial"/>
          <w:color w:val="000000" w:themeColor="text1"/>
        </w:rPr>
        <w:t xml:space="preserve">Generando beneficios mutuos y recíprocos, entre los actores locales.  </w:t>
      </w:r>
    </w:p>
    <w:p w:rsidR="0080164B" w:rsidRPr="000E0F90" w:rsidRDefault="00C5506A" w:rsidP="00702D9A">
      <w:pPr>
        <w:spacing w:before="240" w:after="0" w:line="360" w:lineRule="auto"/>
        <w:rPr>
          <w:rFonts w:ascii="Arial" w:hAnsi="Arial" w:cs="Arial"/>
          <w:color w:val="000000" w:themeColor="text1"/>
        </w:rPr>
      </w:pPr>
      <w:r w:rsidRPr="000E0F90">
        <w:rPr>
          <w:rFonts w:ascii="Arial" w:hAnsi="Arial" w:cs="Arial"/>
          <w:color w:val="000000" w:themeColor="text1"/>
        </w:rPr>
        <w:t xml:space="preserve">El desarrollo local debe aspirar a la diversificación de las actividades territoriales, así como a la provisión de diferentes servicios que contribuyen al bienestar económico y social. </w:t>
      </w:r>
      <w:r w:rsidR="0080164B" w:rsidRPr="000E0F90">
        <w:rPr>
          <w:rFonts w:ascii="Arial" w:hAnsi="Arial" w:cs="Arial"/>
          <w:color w:val="000000" w:themeColor="text1"/>
        </w:rPr>
        <w:t xml:space="preserve">Obteniendo el mayor beneficio local por unidad de </w:t>
      </w:r>
      <w:r w:rsidR="00B577DE" w:rsidRPr="000E0F90">
        <w:rPr>
          <w:rFonts w:ascii="Arial" w:hAnsi="Arial" w:cs="Arial"/>
          <w:color w:val="000000" w:themeColor="text1"/>
        </w:rPr>
        <w:t>recurso</w:t>
      </w:r>
      <w:r w:rsidR="0080164B" w:rsidRPr="000E0F90">
        <w:rPr>
          <w:rFonts w:ascii="Arial" w:hAnsi="Arial" w:cs="Arial"/>
          <w:color w:val="000000" w:themeColor="text1"/>
        </w:rPr>
        <w:t>, favoreciendo aquellas actividades que generen mayor valor agregado, entendiéndose este de tipo social, cultural, económico, etc.</w:t>
      </w:r>
    </w:p>
    <w:p w:rsidR="00C5506A" w:rsidRPr="000E0F90" w:rsidRDefault="0080164B" w:rsidP="00702D9A">
      <w:pPr>
        <w:spacing w:before="240" w:after="0" w:line="360" w:lineRule="auto"/>
        <w:rPr>
          <w:rFonts w:ascii="Arial" w:hAnsi="Arial" w:cs="Arial"/>
          <w:color w:val="000000" w:themeColor="text1"/>
        </w:rPr>
      </w:pPr>
      <w:r w:rsidRPr="000E0F90">
        <w:rPr>
          <w:rFonts w:ascii="Arial" w:hAnsi="Arial" w:cs="Arial"/>
          <w:color w:val="000000" w:themeColor="text1"/>
        </w:rPr>
        <w:t>S</w:t>
      </w:r>
      <w:r w:rsidR="00C5506A" w:rsidRPr="000E0F90">
        <w:rPr>
          <w:rFonts w:ascii="Arial" w:hAnsi="Arial" w:cs="Arial"/>
          <w:color w:val="000000" w:themeColor="text1"/>
        </w:rPr>
        <w:t>e requiere que las fuentes de desarrollo se relacionen entre sí, generando intercambios, que permita que continúen fomentándose (orientadas a la autonomía territorial).</w:t>
      </w:r>
      <w:r w:rsidRPr="000E0F90">
        <w:rPr>
          <w:rFonts w:ascii="Arial" w:hAnsi="Arial" w:cs="Arial"/>
          <w:color w:val="000000" w:themeColor="text1"/>
        </w:rPr>
        <w:t xml:space="preserve"> Que propicien el desarrollo de nuevas fuentes de desarrollo local, dado por el incremento de recursos así como las aptitudes para recibir otros recursos (i.e. transferencia tecnológica, encadenamientos productivos, entre otros).</w:t>
      </w:r>
    </w:p>
    <w:p w:rsidR="0024428E" w:rsidRPr="000E0F90" w:rsidRDefault="0024428E" w:rsidP="00702D9A">
      <w:pPr>
        <w:spacing w:before="360" w:after="0" w:line="360" w:lineRule="auto"/>
        <w:rPr>
          <w:rFonts w:ascii="Arial" w:hAnsi="Arial" w:cs="Arial"/>
          <w:b/>
          <w:color w:val="000000" w:themeColor="text1"/>
        </w:rPr>
      </w:pPr>
      <w:r w:rsidRPr="000E0F90">
        <w:rPr>
          <w:rFonts w:ascii="Arial" w:hAnsi="Arial" w:cs="Arial"/>
          <w:b/>
          <w:color w:val="000000" w:themeColor="text1"/>
        </w:rPr>
        <w:t>Las actividades m</w:t>
      </w:r>
      <w:r w:rsidR="006A2BE7" w:rsidRPr="000E0F90">
        <w:rPr>
          <w:rFonts w:ascii="Arial" w:hAnsi="Arial" w:cs="Arial"/>
          <w:b/>
          <w:color w:val="000000" w:themeColor="text1"/>
        </w:rPr>
        <w:t>ineras deben considerar</w:t>
      </w:r>
      <w:r w:rsidRPr="000E0F90">
        <w:rPr>
          <w:rFonts w:ascii="Arial" w:hAnsi="Arial" w:cs="Arial"/>
          <w:b/>
          <w:color w:val="000000" w:themeColor="text1"/>
        </w:rPr>
        <w:t xml:space="preserve"> en sus costos, las externalidades negativas medioambientales y sociales, así como la pérdida y futura capitalización de los recursos minerales extraídos en los territorios donde operan.</w:t>
      </w:r>
    </w:p>
    <w:p w:rsidR="00E1318A" w:rsidRPr="000E0F90" w:rsidRDefault="0024428E" w:rsidP="00702D9A">
      <w:pPr>
        <w:spacing w:line="360" w:lineRule="auto"/>
        <w:rPr>
          <w:rFonts w:ascii="Arial" w:hAnsi="Arial" w:cs="Arial"/>
          <w:color w:val="000000" w:themeColor="text1"/>
        </w:rPr>
      </w:pPr>
      <w:r w:rsidRPr="000E0F90">
        <w:rPr>
          <w:rFonts w:ascii="Arial" w:hAnsi="Arial" w:cs="Arial"/>
          <w:color w:val="000000" w:themeColor="text1"/>
        </w:rPr>
        <w:t>La actividad minera debe asegurar a la generación de liquidez necesaria que permita restablecer la pérdida de patrimonio natural en los territorios mineros. Para ello, la minería debe considerar dentro de los costos de la actividad, el restablecimiento del capital natural extraído, los impactos medioambientales durante y posterior a la actividad,</w:t>
      </w:r>
      <w:r w:rsidR="004B62EA" w:rsidRPr="000E0F90">
        <w:rPr>
          <w:rFonts w:ascii="Arial" w:hAnsi="Arial" w:cs="Arial"/>
          <w:color w:val="000000" w:themeColor="text1"/>
        </w:rPr>
        <w:t xml:space="preserve"> como</w:t>
      </w:r>
      <w:r w:rsidRPr="000E0F90">
        <w:rPr>
          <w:rFonts w:ascii="Arial" w:hAnsi="Arial" w:cs="Arial"/>
          <w:color w:val="000000" w:themeColor="text1"/>
        </w:rPr>
        <w:t xml:space="preserve"> el cierre de faenas mineras y la rehabilitación de los ambientes perturbados. Incorporar las externalidades negativas medioambientales que se generan durante la actividad, </w:t>
      </w:r>
      <w:r w:rsidR="00E1318A" w:rsidRPr="000E0F90">
        <w:rPr>
          <w:rFonts w:ascii="Arial" w:hAnsi="Arial" w:cs="Arial"/>
          <w:color w:val="000000" w:themeColor="text1"/>
        </w:rPr>
        <w:t>se relaciona</w:t>
      </w:r>
      <w:r w:rsidRPr="000E0F90">
        <w:rPr>
          <w:rFonts w:ascii="Arial" w:hAnsi="Arial" w:cs="Arial"/>
          <w:color w:val="000000" w:themeColor="text1"/>
        </w:rPr>
        <w:t xml:space="preserve"> con asegurar </w:t>
      </w:r>
      <w:r w:rsidR="00E1318A" w:rsidRPr="000E0F90">
        <w:rPr>
          <w:rFonts w:ascii="Arial" w:hAnsi="Arial" w:cs="Arial"/>
          <w:color w:val="000000" w:themeColor="text1"/>
        </w:rPr>
        <w:t>la viabilidad futura de los territorios</w:t>
      </w:r>
      <w:r w:rsidR="006A2BE7" w:rsidRPr="000E0F90">
        <w:rPr>
          <w:rFonts w:ascii="Arial" w:hAnsi="Arial" w:cs="Arial"/>
          <w:color w:val="000000" w:themeColor="text1"/>
        </w:rPr>
        <w:t>.</w:t>
      </w:r>
      <w:r w:rsidR="00E1318A" w:rsidRPr="000E0F90">
        <w:rPr>
          <w:rFonts w:ascii="Arial" w:hAnsi="Arial" w:cs="Arial"/>
          <w:color w:val="000000" w:themeColor="text1"/>
        </w:rPr>
        <w:t xml:space="preserve"> </w:t>
      </w:r>
    </w:p>
    <w:p w:rsidR="00E33AA1" w:rsidRPr="000E0F90" w:rsidRDefault="0024428E" w:rsidP="00702D9A">
      <w:pPr>
        <w:spacing w:line="360" w:lineRule="auto"/>
        <w:rPr>
          <w:rFonts w:ascii="Arial" w:hAnsi="Arial" w:cs="Arial"/>
          <w:color w:val="000000" w:themeColor="text1"/>
        </w:rPr>
      </w:pPr>
      <w:r w:rsidRPr="000E0F90">
        <w:rPr>
          <w:rFonts w:ascii="Arial" w:hAnsi="Arial" w:cs="Arial"/>
          <w:color w:val="000000" w:themeColor="text1"/>
        </w:rPr>
        <w:lastRenderedPageBreak/>
        <w:t xml:space="preserve">Del mismo modo se debe considerar el costo de los recursos que utiliza que no se encuentran valorizados y considerados en el análisis de costo de la actividad. Como es el costo por la utilización del agua y por la </w:t>
      </w:r>
      <w:r w:rsidR="00E1318A" w:rsidRPr="000E0F90">
        <w:rPr>
          <w:rFonts w:ascii="Arial" w:hAnsi="Arial" w:cs="Arial"/>
          <w:color w:val="000000" w:themeColor="text1"/>
        </w:rPr>
        <w:t xml:space="preserve">reducción de la calidad de ésta. </w:t>
      </w:r>
      <w:r w:rsidRPr="000E0F90">
        <w:rPr>
          <w:rFonts w:ascii="Arial" w:hAnsi="Arial" w:cs="Arial"/>
          <w:color w:val="000000" w:themeColor="text1"/>
        </w:rPr>
        <w:t xml:space="preserve">El costo por la utilización de agua, corresponde a la huella del agua de la actividad, la cual </w:t>
      </w:r>
      <w:r w:rsidR="00E1318A" w:rsidRPr="000E0F90">
        <w:rPr>
          <w:rFonts w:ascii="Arial" w:hAnsi="Arial" w:cs="Arial"/>
          <w:color w:val="000000" w:themeColor="text1"/>
        </w:rPr>
        <w:t>equivale a la cantidad de agua requerida para producir una unidad de mineral (i.e. cobre, oro, hierro)</w:t>
      </w:r>
      <w:r w:rsidR="006A2BE7" w:rsidRPr="000E0F90">
        <w:rPr>
          <w:rFonts w:ascii="Arial" w:hAnsi="Arial" w:cs="Arial"/>
          <w:color w:val="000000" w:themeColor="text1"/>
        </w:rPr>
        <w:t xml:space="preserve">. </w:t>
      </w:r>
      <w:r w:rsidR="00440B6E" w:rsidRPr="000E0F90">
        <w:rPr>
          <w:rFonts w:ascii="Arial" w:hAnsi="Arial" w:cs="Arial"/>
          <w:color w:val="000000" w:themeColor="text1"/>
        </w:rPr>
        <w:t>De igual forma debe valorizarse el costo de la</w:t>
      </w:r>
      <w:r w:rsidRPr="000E0F90">
        <w:rPr>
          <w:rFonts w:ascii="Arial" w:hAnsi="Arial" w:cs="Arial"/>
          <w:color w:val="000000" w:themeColor="text1"/>
        </w:rPr>
        <w:t xml:space="preserve"> energía debe adicionarse en el precio</w:t>
      </w:r>
      <w:r w:rsidR="00E33AA1" w:rsidRPr="000E0F90">
        <w:rPr>
          <w:rFonts w:ascii="Arial" w:hAnsi="Arial" w:cs="Arial"/>
          <w:color w:val="000000" w:themeColor="text1"/>
        </w:rPr>
        <w:t xml:space="preserve">, considerando la huella energética de la minería, es decir, a la cantidad de energía requerida para producir una unidad de mineral (i.e. cobre, oro, hierro). Así como también incorporar en los costos las externalidades negativas de esta actividad en los territorios que proveen y transportan la energía. </w:t>
      </w:r>
    </w:p>
    <w:p w:rsidR="006A2BE7" w:rsidRPr="000E0F90" w:rsidRDefault="001002AE" w:rsidP="00702D9A">
      <w:pPr>
        <w:spacing w:before="360" w:after="0" w:line="360" w:lineRule="auto"/>
        <w:rPr>
          <w:rFonts w:ascii="Arial" w:hAnsi="Arial" w:cs="Arial"/>
          <w:b/>
          <w:color w:val="000000" w:themeColor="text1"/>
        </w:rPr>
      </w:pPr>
      <w:r w:rsidRPr="000E0F90">
        <w:rPr>
          <w:rFonts w:ascii="Arial" w:hAnsi="Arial" w:cs="Arial"/>
          <w:b/>
          <w:color w:val="000000" w:themeColor="text1"/>
        </w:rPr>
        <w:t>Los territorios mineros deben operar dentro de los límites naturales, los cuales están dados por la integridad de los ecosistemas, la sobrevida</w:t>
      </w:r>
      <w:r w:rsidR="00B92184" w:rsidRPr="000E0F90">
        <w:rPr>
          <w:rFonts w:ascii="Arial" w:hAnsi="Arial" w:cs="Arial"/>
          <w:b/>
          <w:color w:val="000000" w:themeColor="text1"/>
        </w:rPr>
        <w:t xml:space="preserve"> y bienestar</w:t>
      </w:r>
      <w:r w:rsidRPr="000E0F90">
        <w:rPr>
          <w:rFonts w:ascii="Arial" w:hAnsi="Arial" w:cs="Arial"/>
          <w:b/>
          <w:color w:val="000000" w:themeColor="text1"/>
        </w:rPr>
        <w:t xml:space="preserve"> hu</w:t>
      </w:r>
      <w:r w:rsidR="00B92184" w:rsidRPr="000E0F90">
        <w:rPr>
          <w:rFonts w:ascii="Arial" w:hAnsi="Arial" w:cs="Arial"/>
          <w:b/>
          <w:color w:val="000000" w:themeColor="text1"/>
        </w:rPr>
        <w:t>mano</w:t>
      </w:r>
      <w:r w:rsidR="004C7D5C" w:rsidRPr="000E0F90">
        <w:rPr>
          <w:rFonts w:ascii="Arial" w:hAnsi="Arial" w:cs="Arial"/>
          <w:b/>
          <w:color w:val="000000" w:themeColor="text1"/>
        </w:rPr>
        <w:t xml:space="preserve"> y las </w:t>
      </w:r>
      <w:r w:rsidRPr="000E0F90">
        <w:rPr>
          <w:rFonts w:ascii="Arial" w:hAnsi="Arial" w:cs="Arial"/>
          <w:b/>
          <w:color w:val="000000" w:themeColor="text1"/>
        </w:rPr>
        <w:t>posibilidad</w:t>
      </w:r>
      <w:r w:rsidR="004C7D5C" w:rsidRPr="000E0F90">
        <w:rPr>
          <w:rFonts w:ascii="Arial" w:hAnsi="Arial" w:cs="Arial"/>
          <w:b/>
          <w:color w:val="000000" w:themeColor="text1"/>
        </w:rPr>
        <w:t xml:space="preserve">es del desarrollo </w:t>
      </w:r>
      <w:r w:rsidR="00B92184" w:rsidRPr="000E0F90">
        <w:rPr>
          <w:rFonts w:ascii="Arial" w:hAnsi="Arial" w:cs="Arial"/>
          <w:b/>
          <w:color w:val="000000" w:themeColor="text1"/>
        </w:rPr>
        <w:t>actual y futuro de</w:t>
      </w:r>
      <w:r w:rsidRPr="000E0F90">
        <w:rPr>
          <w:rFonts w:ascii="Arial" w:hAnsi="Arial" w:cs="Arial"/>
          <w:b/>
          <w:color w:val="000000" w:themeColor="text1"/>
        </w:rPr>
        <w:t xml:space="preserve"> los territorios</w:t>
      </w:r>
      <w:r w:rsidR="00271577" w:rsidRPr="000E0F90">
        <w:rPr>
          <w:rFonts w:ascii="Arial" w:hAnsi="Arial" w:cs="Arial"/>
          <w:b/>
          <w:color w:val="000000" w:themeColor="text1"/>
        </w:rPr>
        <w:t>.</w:t>
      </w:r>
      <w:r w:rsidR="00786DE3" w:rsidRPr="000E0F90">
        <w:rPr>
          <w:rFonts w:ascii="Arial" w:hAnsi="Arial" w:cs="Arial"/>
          <w:b/>
          <w:color w:val="000000" w:themeColor="text1"/>
        </w:rPr>
        <w:t xml:space="preserve"> </w:t>
      </w:r>
      <w:r w:rsidR="00E1318A" w:rsidRPr="000E0F90">
        <w:rPr>
          <w:rFonts w:ascii="Arial" w:hAnsi="Arial" w:cs="Arial"/>
          <w:b/>
          <w:color w:val="000000" w:themeColor="text1"/>
        </w:rPr>
        <w:t>Armonía.</w:t>
      </w:r>
    </w:p>
    <w:p w:rsidR="00440B6E" w:rsidRPr="000E0F90" w:rsidRDefault="00B92184" w:rsidP="00702D9A">
      <w:pPr>
        <w:spacing w:line="360" w:lineRule="auto"/>
        <w:rPr>
          <w:rFonts w:ascii="Arial" w:hAnsi="Arial" w:cs="Arial"/>
          <w:color w:val="000000" w:themeColor="text1"/>
        </w:rPr>
      </w:pPr>
      <w:r w:rsidRPr="000E0F90">
        <w:rPr>
          <w:rFonts w:ascii="Arial" w:hAnsi="Arial" w:cs="Arial"/>
          <w:color w:val="000000" w:themeColor="text1"/>
        </w:rPr>
        <w:t xml:space="preserve">Los recursos naturales esenciales para </w:t>
      </w:r>
      <w:r w:rsidR="0090661C" w:rsidRPr="000E0F90">
        <w:rPr>
          <w:rFonts w:ascii="Arial" w:hAnsi="Arial" w:cs="Arial"/>
          <w:color w:val="000000" w:themeColor="text1"/>
        </w:rPr>
        <w:t>la</w:t>
      </w:r>
      <w:r w:rsidRPr="000E0F90">
        <w:rPr>
          <w:rFonts w:ascii="Arial" w:hAnsi="Arial" w:cs="Arial"/>
          <w:color w:val="000000" w:themeColor="text1"/>
        </w:rPr>
        <w:t xml:space="preserve"> función ecosistémica, la sobrevida humana y desarrollo local, deben ser considerados como elementos normativos en las propuestas de desarrollo territorial minero. Esto quiere decir que las actividades territoriales deben adaptarse a los límites naturales, fomentando el desarrollo de actividades que operen dentro de estos límites</w:t>
      </w:r>
      <w:r w:rsidR="00C264E3" w:rsidRPr="000E0F90">
        <w:rPr>
          <w:rFonts w:ascii="Arial" w:hAnsi="Arial" w:cs="Arial"/>
          <w:color w:val="000000" w:themeColor="text1"/>
        </w:rPr>
        <w:t>, a</w:t>
      </w:r>
      <w:r w:rsidRPr="000E0F90">
        <w:rPr>
          <w:rFonts w:ascii="Arial" w:hAnsi="Arial" w:cs="Arial"/>
          <w:color w:val="000000" w:themeColor="text1"/>
        </w:rPr>
        <w:t>segurando el desarrollo actual y futuro.</w:t>
      </w:r>
      <w:r w:rsidR="0090661C" w:rsidRPr="000E0F90">
        <w:rPr>
          <w:rFonts w:ascii="Arial" w:hAnsi="Arial" w:cs="Arial"/>
          <w:color w:val="000000" w:themeColor="text1"/>
        </w:rPr>
        <w:t xml:space="preserve"> </w:t>
      </w:r>
      <w:r w:rsidR="00440B6E" w:rsidRPr="000E0F90">
        <w:rPr>
          <w:rFonts w:ascii="Arial" w:hAnsi="Arial" w:cs="Arial"/>
          <w:color w:val="000000" w:themeColor="text1"/>
        </w:rPr>
        <w:t>Por tanto el uso de los recursos en el territorio debe basarse en la armonía entre los diversos usos territoriales</w:t>
      </w:r>
      <w:r w:rsidR="00E1318A" w:rsidRPr="000E0F90">
        <w:rPr>
          <w:rFonts w:ascii="Arial" w:hAnsi="Arial" w:cs="Arial"/>
          <w:color w:val="000000" w:themeColor="text1"/>
        </w:rPr>
        <w:t xml:space="preserve"> a los sistemas ecológicos, para</w:t>
      </w:r>
      <w:r w:rsidR="00440B6E" w:rsidRPr="000E0F90">
        <w:rPr>
          <w:rFonts w:ascii="Arial" w:hAnsi="Arial" w:cs="Arial"/>
          <w:color w:val="000000" w:themeColor="text1"/>
        </w:rPr>
        <w:t xml:space="preserve"> asegurar el uso múltiple de los territorios en el presente y futuro.</w:t>
      </w:r>
      <w:r w:rsidR="0080164B" w:rsidRPr="000E0F90">
        <w:rPr>
          <w:rFonts w:ascii="Arial" w:hAnsi="Arial" w:cs="Arial"/>
          <w:color w:val="000000" w:themeColor="text1"/>
        </w:rPr>
        <w:t xml:space="preserve"> </w:t>
      </w:r>
    </w:p>
    <w:p w:rsidR="00B92184" w:rsidRPr="000E0F90" w:rsidRDefault="00B92184" w:rsidP="00702D9A">
      <w:pPr>
        <w:spacing w:line="360" w:lineRule="auto"/>
        <w:rPr>
          <w:rFonts w:ascii="Arial" w:hAnsi="Arial" w:cs="Arial"/>
          <w:color w:val="000000" w:themeColor="text1"/>
        </w:rPr>
      </w:pPr>
      <w:r w:rsidRPr="000E0F90">
        <w:rPr>
          <w:rFonts w:ascii="Arial" w:hAnsi="Arial" w:cs="Arial"/>
          <w:color w:val="000000" w:themeColor="text1"/>
        </w:rPr>
        <w:t xml:space="preserve">Bajo este principio se debe considerar elementos </w:t>
      </w:r>
      <w:r w:rsidR="0090661C" w:rsidRPr="000E0F90">
        <w:rPr>
          <w:rFonts w:ascii="Arial" w:hAnsi="Arial" w:cs="Arial"/>
          <w:color w:val="000000" w:themeColor="text1"/>
        </w:rPr>
        <w:t>que traspasan las fronteras territoriales y</w:t>
      </w:r>
      <w:r w:rsidRPr="000E0F90">
        <w:rPr>
          <w:rFonts w:ascii="Arial" w:hAnsi="Arial" w:cs="Arial"/>
          <w:color w:val="000000" w:themeColor="text1"/>
        </w:rPr>
        <w:t xml:space="preserve"> son utilizados por territorios adyacentes, como es el caso del recurso hídrico, y por tanto sus limitaciones deben considerar una escala mayor de análisis y </w:t>
      </w:r>
      <w:r w:rsidR="0090661C" w:rsidRPr="000E0F90">
        <w:rPr>
          <w:rFonts w:ascii="Arial" w:hAnsi="Arial" w:cs="Arial"/>
          <w:color w:val="000000" w:themeColor="text1"/>
        </w:rPr>
        <w:t xml:space="preserve">a la vez </w:t>
      </w:r>
      <w:r w:rsidRPr="000E0F90">
        <w:rPr>
          <w:rFonts w:ascii="Arial" w:hAnsi="Arial" w:cs="Arial"/>
          <w:color w:val="000000" w:themeColor="text1"/>
        </w:rPr>
        <w:t>unificadora, como es el enfoque de cuenca.</w:t>
      </w:r>
      <w:r w:rsidR="00C264E3" w:rsidRPr="000E0F90">
        <w:rPr>
          <w:rFonts w:ascii="Arial" w:hAnsi="Arial" w:cs="Arial"/>
          <w:color w:val="000000" w:themeColor="text1"/>
        </w:rPr>
        <w:t xml:space="preserve"> Situación similar se evidencia con la utilización de energía en las operaciones mineras, </w:t>
      </w:r>
      <w:r w:rsidR="0090661C" w:rsidRPr="000E0F90">
        <w:rPr>
          <w:rFonts w:ascii="Arial" w:hAnsi="Arial" w:cs="Arial"/>
          <w:color w:val="000000" w:themeColor="text1"/>
        </w:rPr>
        <w:t xml:space="preserve">la cual debe considerar los territorios que producen y transportan el recurso, evitando </w:t>
      </w:r>
      <w:r w:rsidR="00C264E3" w:rsidRPr="000E0F90">
        <w:rPr>
          <w:rFonts w:ascii="Arial" w:hAnsi="Arial" w:cs="Arial"/>
          <w:color w:val="000000" w:themeColor="text1"/>
        </w:rPr>
        <w:t xml:space="preserve">provocar condiciones de insostenibilidad en </w:t>
      </w:r>
      <w:r w:rsidR="0090661C" w:rsidRPr="000E0F90">
        <w:rPr>
          <w:rFonts w:ascii="Arial" w:hAnsi="Arial" w:cs="Arial"/>
          <w:color w:val="000000" w:themeColor="text1"/>
        </w:rPr>
        <w:t>dichos</w:t>
      </w:r>
      <w:r w:rsidR="00C264E3" w:rsidRPr="000E0F90">
        <w:rPr>
          <w:rFonts w:ascii="Arial" w:hAnsi="Arial" w:cs="Arial"/>
          <w:color w:val="000000" w:themeColor="text1"/>
        </w:rPr>
        <w:t xml:space="preserve"> territorios</w:t>
      </w:r>
      <w:r w:rsidR="0090661C" w:rsidRPr="000E0F90">
        <w:rPr>
          <w:rFonts w:ascii="Arial" w:hAnsi="Arial" w:cs="Arial"/>
          <w:color w:val="000000" w:themeColor="text1"/>
        </w:rPr>
        <w:t>.</w:t>
      </w:r>
      <w:r w:rsidR="00C264E3" w:rsidRPr="000E0F90">
        <w:rPr>
          <w:rFonts w:ascii="Arial" w:hAnsi="Arial" w:cs="Arial"/>
          <w:color w:val="000000" w:themeColor="text1"/>
        </w:rPr>
        <w:t xml:space="preserve"> </w:t>
      </w:r>
    </w:p>
    <w:p w:rsidR="008069F6" w:rsidRPr="000E0F90" w:rsidRDefault="00C264E3" w:rsidP="00702D9A">
      <w:pPr>
        <w:spacing w:line="360" w:lineRule="auto"/>
        <w:rPr>
          <w:rFonts w:ascii="Arial" w:hAnsi="Arial" w:cs="Arial"/>
          <w:color w:val="000000" w:themeColor="text1"/>
        </w:rPr>
      </w:pPr>
      <w:r w:rsidRPr="000E0F90">
        <w:rPr>
          <w:rFonts w:ascii="Arial" w:hAnsi="Arial" w:cs="Arial"/>
          <w:color w:val="000000" w:themeColor="text1"/>
        </w:rPr>
        <w:t xml:space="preserve">Los territorios mineros deben reconocer su relación con otros territorios, dado por su continuidad física, por la proyección propia de la actividad minera (i.e. embarque, </w:t>
      </w:r>
      <w:r w:rsidRPr="000E0F90">
        <w:rPr>
          <w:rFonts w:ascii="Arial" w:hAnsi="Arial" w:cs="Arial"/>
          <w:color w:val="000000" w:themeColor="text1"/>
        </w:rPr>
        <w:lastRenderedPageBreak/>
        <w:t>relaves), por el intercambio/trasferencia de recursos, y por elementos biofísicos unificadores propios (i.e. cuenca). Por tanto, la utilización de recursos debe asegurar que en los diversos sistemas territoriales se alcance la sostenibilidad. No se puede importar las sostenibilidad de</w:t>
      </w:r>
      <w:r w:rsidR="00E1318A" w:rsidRPr="000E0F90">
        <w:rPr>
          <w:rFonts w:ascii="Arial" w:hAnsi="Arial" w:cs="Arial"/>
          <w:color w:val="000000" w:themeColor="text1"/>
        </w:rPr>
        <w:t xml:space="preserve"> otros </w:t>
      </w:r>
      <w:r w:rsidRPr="000E0F90">
        <w:rPr>
          <w:rFonts w:ascii="Arial" w:hAnsi="Arial" w:cs="Arial"/>
          <w:color w:val="000000" w:themeColor="text1"/>
        </w:rPr>
        <w:t xml:space="preserve">territorios </w:t>
      </w:r>
      <w:r w:rsidR="00E1318A" w:rsidRPr="000E0F90">
        <w:rPr>
          <w:rFonts w:ascii="Arial" w:hAnsi="Arial" w:cs="Arial"/>
          <w:color w:val="000000" w:themeColor="text1"/>
        </w:rPr>
        <w:t>para alcanzar</w:t>
      </w:r>
      <w:r w:rsidRPr="000E0F90">
        <w:rPr>
          <w:rFonts w:ascii="Arial" w:hAnsi="Arial" w:cs="Arial"/>
          <w:color w:val="000000" w:themeColor="text1"/>
        </w:rPr>
        <w:t xml:space="preserve"> la sostenibilidad local. </w:t>
      </w:r>
      <w:r w:rsidR="00440B6E" w:rsidRPr="000E0F90">
        <w:rPr>
          <w:rFonts w:ascii="Arial" w:hAnsi="Arial" w:cs="Arial"/>
          <w:color w:val="000000" w:themeColor="text1"/>
        </w:rPr>
        <w:t>Los territorios sostenibles deben extender su área de influencia, por los impactos directos e indirectos en los territorios.</w:t>
      </w:r>
    </w:p>
    <w:p w:rsidR="008069F6" w:rsidRPr="000E0F90" w:rsidRDefault="00C264E3" w:rsidP="00702D9A">
      <w:pPr>
        <w:spacing w:line="360" w:lineRule="auto"/>
        <w:rPr>
          <w:rFonts w:ascii="Arial" w:hAnsi="Arial" w:cs="Arial"/>
          <w:color w:val="000000" w:themeColor="text1"/>
        </w:rPr>
      </w:pPr>
      <w:r w:rsidRPr="000E0F90">
        <w:rPr>
          <w:rFonts w:ascii="Arial" w:hAnsi="Arial" w:cs="Arial"/>
          <w:color w:val="000000" w:themeColor="text1"/>
        </w:rPr>
        <w:t>C</w:t>
      </w:r>
      <w:r w:rsidR="008069F6" w:rsidRPr="000E0F90">
        <w:rPr>
          <w:rFonts w:ascii="Arial" w:hAnsi="Arial" w:cs="Arial"/>
          <w:color w:val="000000" w:themeColor="text1"/>
        </w:rPr>
        <w:t xml:space="preserve">ualquier actividad que se desarrolle en un territorio, en el marco de la sostenibilidad, debe </w:t>
      </w:r>
      <w:r w:rsidR="0090661C" w:rsidRPr="000E0F90">
        <w:rPr>
          <w:rFonts w:ascii="Arial" w:hAnsi="Arial" w:cs="Arial"/>
          <w:color w:val="000000" w:themeColor="text1"/>
        </w:rPr>
        <w:t xml:space="preserve">desarrollarse en forma armónica con las actividades que desarrollan dentro de los territorios y entre territorios, </w:t>
      </w:r>
      <w:r w:rsidR="008069F6" w:rsidRPr="000E0F90">
        <w:rPr>
          <w:rFonts w:ascii="Arial" w:hAnsi="Arial" w:cs="Arial"/>
          <w:color w:val="000000" w:themeColor="text1"/>
        </w:rPr>
        <w:t>considera</w:t>
      </w:r>
      <w:r w:rsidR="0090661C" w:rsidRPr="000E0F90">
        <w:rPr>
          <w:rFonts w:ascii="Arial" w:hAnsi="Arial" w:cs="Arial"/>
          <w:color w:val="000000" w:themeColor="text1"/>
        </w:rPr>
        <w:t>ndo</w:t>
      </w:r>
      <w:r w:rsidR="008069F6" w:rsidRPr="000E0F90">
        <w:rPr>
          <w:rFonts w:ascii="Arial" w:hAnsi="Arial" w:cs="Arial"/>
          <w:color w:val="000000" w:themeColor="text1"/>
        </w:rPr>
        <w:t xml:space="preserve"> las consecuencias o impactos que se desarrollen más allá de los </w:t>
      </w:r>
      <w:r w:rsidRPr="000E0F90">
        <w:rPr>
          <w:rFonts w:ascii="Arial" w:hAnsi="Arial" w:cs="Arial"/>
          <w:color w:val="000000" w:themeColor="text1"/>
        </w:rPr>
        <w:t xml:space="preserve">límites </w:t>
      </w:r>
      <w:r w:rsidR="008069F6" w:rsidRPr="000E0F90">
        <w:rPr>
          <w:rFonts w:ascii="Arial" w:hAnsi="Arial" w:cs="Arial"/>
          <w:color w:val="000000" w:themeColor="text1"/>
        </w:rPr>
        <w:t xml:space="preserve">temporales y espaciales. Dado que </w:t>
      </w:r>
      <w:r w:rsidRPr="000E0F90">
        <w:rPr>
          <w:rFonts w:ascii="Arial" w:hAnsi="Arial" w:cs="Arial"/>
          <w:color w:val="000000" w:themeColor="text1"/>
        </w:rPr>
        <w:t xml:space="preserve">los territorios </w:t>
      </w:r>
      <w:r w:rsidR="008069F6" w:rsidRPr="000E0F90">
        <w:rPr>
          <w:rFonts w:ascii="Arial" w:hAnsi="Arial" w:cs="Arial"/>
          <w:color w:val="000000" w:themeColor="text1"/>
        </w:rPr>
        <w:t xml:space="preserve">albergan </w:t>
      </w:r>
      <w:r w:rsidRPr="000E0F90">
        <w:rPr>
          <w:rFonts w:ascii="Arial" w:hAnsi="Arial" w:cs="Arial"/>
          <w:color w:val="000000" w:themeColor="text1"/>
        </w:rPr>
        <w:t>los impactos d</w:t>
      </w:r>
      <w:r w:rsidR="008069F6" w:rsidRPr="000E0F90">
        <w:rPr>
          <w:rFonts w:ascii="Arial" w:hAnsi="Arial" w:cs="Arial"/>
          <w:color w:val="000000" w:themeColor="text1"/>
        </w:rPr>
        <w:t xml:space="preserve">el pasado y </w:t>
      </w:r>
      <w:r w:rsidR="0090661C" w:rsidRPr="000E0F90">
        <w:rPr>
          <w:rFonts w:ascii="Arial" w:hAnsi="Arial" w:cs="Arial"/>
          <w:color w:val="000000" w:themeColor="text1"/>
        </w:rPr>
        <w:t>propician</w:t>
      </w:r>
      <w:r w:rsidR="008069F6" w:rsidRPr="000E0F90">
        <w:rPr>
          <w:rFonts w:ascii="Arial" w:hAnsi="Arial" w:cs="Arial"/>
          <w:color w:val="000000" w:themeColor="text1"/>
        </w:rPr>
        <w:t xml:space="preserve"> las condiciones para el fu</w:t>
      </w:r>
      <w:r w:rsidRPr="000E0F90">
        <w:rPr>
          <w:rFonts w:ascii="Arial" w:hAnsi="Arial" w:cs="Arial"/>
          <w:color w:val="000000" w:themeColor="text1"/>
        </w:rPr>
        <w:t xml:space="preserve">turo. </w:t>
      </w:r>
    </w:p>
    <w:p w:rsidR="007B13CE" w:rsidRPr="000E0F90" w:rsidRDefault="007B13CE" w:rsidP="00702D9A">
      <w:pPr>
        <w:spacing w:before="360" w:after="0" w:line="360" w:lineRule="auto"/>
        <w:rPr>
          <w:rFonts w:ascii="Arial" w:hAnsi="Arial" w:cs="Arial"/>
          <w:b/>
          <w:color w:val="000000" w:themeColor="text1"/>
        </w:rPr>
      </w:pPr>
      <w:r w:rsidRPr="000E0F90">
        <w:rPr>
          <w:rFonts w:ascii="Arial" w:hAnsi="Arial" w:cs="Arial"/>
          <w:b/>
          <w:color w:val="000000" w:themeColor="text1"/>
        </w:rPr>
        <w:t>La sostenibilidad es un paradigma que se construye sobre la particularidad de cada territorio, lo que incluye los elementos ecológicos como los sociales.</w:t>
      </w:r>
    </w:p>
    <w:p w:rsidR="00C264E3" w:rsidRPr="000E0F90" w:rsidRDefault="004A6A65" w:rsidP="00702D9A">
      <w:pPr>
        <w:spacing w:line="360" w:lineRule="auto"/>
        <w:rPr>
          <w:rFonts w:ascii="Arial" w:hAnsi="Arial" w:cs="Arial"/>
          <w:color w:val="000000" w:themeColor="text1"/>
        </w:rPr>
      </w:pPr>
      <w:r w:rsidRPr="000E0F90">
        <w:rPr>
          <w:rFonts w:ascii="Arial" w:hAnsi="Arial" w:cs="Arial"/>
          <w:color w:val="000000" w:themeColor="text1"/>
        </w:rPr>
        <w:t>Los territorios son constructos antrópicos, escenario donde se desenvuelven los diversos actores sociales locales, por tanto, son ellos los que deben ser los principales gestores de dicho espacio, y por tanto guiar el destino de los territorios.</w:t>
      </w:r>
      <w:r w:rsidRPr="000E0F90">
        <w:rPr>
          <w:rFonts w:ascii="Arial" w:hAnsi="Arial" w:cs="Arial"/>
          <w:b/>
          <w:color w:val="000000" w:themeColor="text1"/>
        </w:rPr>
        <w:t xml:space="preserve"> </w:t>
      </w:r>
      <w:r w:rsidR="00C264E3" w:rsidRPr="000E0F90">
        <w:rPr>
          <w:rFonts w:ascii="Arial" w:hAnsi="Arial" w:cs="Arial"/>
          <w:color w:val="000000" w:themeColor="text1"/>
        </w:rPr>
        <w:t xml:space="preserve">Los territorios son espacios que están en evolución conjunta y permanente con los actores sociales, adquiriendo complejidad según las demandas del componente social. </w:t>
      </w:r>
      <w:r w:rsidR="00591E67" w:rsidRPr="000E0F90">
        <w:rPr>
          <w:rFonts w:ascii="Arial" w:hAnsi="Arial" w:cs="Arial"/>
          <w:color w:val="000000" w:themeColor="text1"/>
        </w:rPr>
        <w:t>Por tanto las políticas de desarrollo deben considerar el componente local, como un actor clave, dado que es</w:t>
      </w:r>
      <w:r w:rsidR="00440B6E" w:rsidRPr="000E0F90">
        <w:rPr>
          <w:rFonts w:ascii="Arial" w:hAnsi="Arial" w:cs="Arial"/>
          <w:color w:val="000000" w:themeColor="text1"/>
        </w:rPr>
        <w:t xml:space="preserve"> </w:t>
      </w:r>
      <w:r w:rsidR="00820725" w:rsidRPr="000E0F90">
        <w:rPr>
          <w:rFonts w:ascii="Arial" w:hAnsi="Arial" w:cs="Arial"/>
          <w:color w:val="000000" w:themeColor="text1"/>
        </w:rPr>
        <w:t xml:space="preserve">tanto el conductor como </w:t>
      </w:r>
      <w:r w:rsidR="00E1318A" w:rsidRPr="000E0F90">
        <w:rPr>
          <w:rFonts w:ascii="Arial" w:hAnsi="Arial" w:cs="Arial"/>
          <w:color w:val="000000" w:themeColor="text1"/>
        </w:rPr>
        <w:t>receptor</w:t>
      </w:r>
      <w:r w:rsidR="00440B6E" w:rsidRPr="000E0F90">
        <w:rPr>
          <w:rFonts w:ascii="Arial" w:hAnsi="Arial" w:cs="Arial"/>
          <w:color w:val="000000" w:themeColor="text1"/>
        </w:rPr>
        <w:t xml:space="preserve"> final de las propuestas de desarrollo.</w:t>
      </w:r>
      <w:r w:rsidR="00F524C1" w:rsidRPr="000E0F90">
        <w:rPr>
          <w:rFonts w:ascii="Arial" w:hAnsi="Arial" w:cs="Arial"/>
          <w:color w:val="000000" w:themeColor="text1"/>
        </w:rPr>
        <w:t xml:space="preserve"> </w:t>
      </w:r>
    </w:p>
    <w:p w:rsidR="00D1417A" w:rsidRPr="000E0F90" w:rsidRDefault="00D1417A" w:rsidP="00702D9A">
      <w:pPr>
        <w:spacing w:line="360" w:lineRule="auto"/>
        <w:rPr>
          <w:rFonts w:ascii="Arial" w:hAnsi="Arial" w:cs="Arial"/>
          <w:color w:val="000000" w:themeColor="text1"/>
          <w:highlight w:val="green"/>
        </w:rPr>
      </w:pPr>
    </w:p>
    <w:p w:rsidR="00F30779" w:rsidRPr="00301AE2" w:rsidRDefault="00F30779" w:rsidP="00702D9A">
      <w:pPr>
        <w:spacing w:line="360" w:lineRule="auto"/>
        <w:jc w:val="left"/>
        <w:rPr>
          <w:rFonts w:ascii="Arial" w:eastAsiaTheme="majorEastAsia" w:hAnsi="Arial" w:cs="Arial"/>
          <w:b/>
          <w:bCs/>
          <w:color w:val="000000" w:themeColor="text1"/>
          <w:sz w:val="28"/>
          <w:szCs w:val="28"/>
        </w:rPr>
      </w:pPr>
      <w:r w:rsidRPr="00301AE2">
        <w:rPr>
          <w:rFonts w:cs="Arial"/>
          <w:color w:val="000000" w:themeColor="text1"/>
        </w:rPr>
        <w:br w:type="page"/>
      </w:r>
    </w:p>
    <w:p w:rsidR="00154856" w:rsidRPr="000E0F90" w:rsidRDefault="00154856" w:rsidP="00154856">
      <w:pPr>
        <w:pStyle w:val="Ttulo1"/>
        <w:rPr>
          <w:rFonts w:cs="Arial"/>
          <w:color w:val="000000" w:themeColor="text1"/>
          <w:lang w:val="en-US"/>
        </w:rPr>
      </w:pPr>
      <w:bookmarkStart w:id="35" w:name="_Toc488774924"/>
      <w:r w:rsidRPr="000E0F90">
        <w:rPr>
          <w:rFonts w:cs="Arial"/>
          <w:color w:val="000000" w:themeColor="text1"/>
          <w:lang w:val="en-US"/>
        </w:rPr>
        <w:lastRenderedPageBreak/>
        <w:t>BIBLIOGRAFÍA</w:t>
      </w:r>
      <w:bookmarkEnd w:id="35"/>
    </w:p>
    <w:p w:rsidR="004A6A65" w:rsidRPr="000E0F90" w:rsidRDefault="004A6A65" w:rsidP="0080164B">
      <w:pPr>
        <w:spacing w:before="240"/>
        <w:divId w:val="1427388170"/>
        <w:rPr>
          <w:rFonts w:ascii="Arial" w:hAnsi="Arial" w:cs="Arial"/>
          <w:color w:val="000000" w:themeColor="text1"/>
          <w:lang w:val="en-US"/>
        </w:rPr>
      </w:pPr>
      <w:proofErr w:type="gramStart"/>
      <w:r w:rsidRPr="000E0F90">
        <w:rPr>
          <w:rFonts w:ascii="Arial" w:hAnsi="Arial" w:cs="Arial"/>
          <w:color w:val="000000" w:themeColor="text1"/>
          <w:lang w:val="en-US"/>
        </w:rPr>
        <w:t>Adams, C., Frost, G., &amp; Webber, W. (2004).</w:t>
      </w:r>
      <w:proofErr w:type="gramEnd"/>
      <w:r w:rsidRPr="000E0F90">
        <w:rPr>
          <w:rFonts w:ascii="Arial" w:hAnsi="Arial" w:cs="Arial"/>
          <w:color w:val="000000" w:themeColor="text1"/>
          <w:lang w:val="en-US"/>
        </w:rPr>
        <w:t xml:space="preserve"> Chapter 2: Triple Bottom Line: A Review of the Literature. En A. Henriques, &amp; J. Richardson, The triple bottom line: does it all add up? London: Earthscan.</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Aitken, D., Rivera, D., Godoy-Faúndez, A., &amp; Holzapfel, E. (2016).</w:t>
      </w:r>
      <w:proofErr w:type="gramEnd"/>
      <w:r w:rsidRPr="000E0F90">
        <w:rPr>
          <w:rFonts w:ascii="Arial" w:hAnsi="Arial" w:cs="Arial"/>
          <w:color w:val="000000" w:themeColor="text1"/>
          <w:lang w:val="en-US"/>
        </w:rPr>
        <w:t xml:space="preserve"> </w:t>
      </w:r>
      <w:proofErr w:type="gramStart"/>
      <w:r w:rsidRPr="000E0F90">
        <w:rPr>
          <w:rFonts w:ascii="Arial" w:hAnsi="Arial" w:cs="Arial"/>
          <w:color w:val="000000" w:themeColor="text1"/>
          <w:lang w:val="en-US"/>
        </w:rPr>
        <w:t>Water scarcity and the impact of the mining and agricultural sectors in Chile.</w:t>
      </w:r>
      <w:proofErr w:type="gramEnd"/>
      <w:r w:rsidRPr="000E0F90">
        <w:rPr>
          <w:rFonts w:ascii="Arial" w:hAnsi="Arial" w:cs="Arial"/>
          <w:color w:val="000000" w:themeColor="text1"/>
          <w:lang w:val="en-US"/>
        </w:rPr>
        <w:t xml:space="preserve"> </w:t>
      </w:r>
      <w:proofErr w:type="gramStart"/>
      <w:r w:rsidRPr="000E0F90">
        <w:rPr>
          <w:rFonts w:ascii="Arial" w:hAnsi="Arial" w:cs="Arial"/>
          <w:color w:val="000000" w:themeColor="text1"/>
          <w:lang w:val="en-US"/>
        </w:rPr>
        <w:t>Sustainability (Switzerland), 8.</w:t>
      </w:r>
      <w:proofErr w:type="gramEnd"/>
      <w:r w:rsidRPr="000E0F90">
        <w:rPr>
          <w:rFonts w:ascii="Arial" w:hAnsi="Arial" w:cs="Arial"/>
          <w:color w:val="000000" w:themeColor="text1"/>
          <w:lang w:val="en-US"/>
        </w:rPr>
        <w:t xml:space="preserve"> http://doi.org/10.3390/su8020128</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Allmendinger, P., &amp; Tewdwr-Jones, M. (2006).</w:t>
      </w:r>
      <w:proofErr w:type="gramEnd"/>
      <w:r w:rsidRPr="000E0F90">
        <w:rPr>
          <w:rFonts w:ascii="Arial" w:hAnsi="Arial" w:cs="Arial"/>
          <w:color w:val="000000" w:themeColor="text1"/>
          <w:lang w:val="en-US"/>
        </w:rPr>
        <w:t xml:space="preserve"> </w:t>
      </w:r>
      <w:proofErr w:type="gramStart"/>
      <w:r w:rsidRPr="000E0F90">
        <w:rPr>
          <w:rFonts w:ascii="Arial" w:hAnsi="Arial" w:cs="Arial"/>
          <w:color w:val="000000" w:themeColor="text1"/>
          <w:lang w:val="en-US"/>
        </w:rPr>
        <w:t>Territory, identity and spatial planning.</w:t>
      </w:r>
      <w:proofErr w:type="gramEnd"/>
      <w:r w:rsidRPr="000E0F90">
        <w:rPr>
          <w:rFonts w:ascii="Arial" w:hAnsi="Arial" w:cs="Arial"/>
          <w:color w:val="000000" w:themeColor="text1"/>
          <w:lang w:val="en-US"/>
        </w:rPr>
        <w:t xml:space="preserve"> </w:t>
      </w:r>
      <w:proofErr w:type="gramStart"/>
      <w:r w:rsidRPr="000E0F90">
        <w:rPr>
          <w:rFonts w:ascii="Arial" w:hAnsi="Arial" w:cs="Arial"/>
          <w:color w:val="000000" w:themeColor="text1"/>
          <w:lang w:val="en-US"/>
        </w:rPr>
        <w:t>En M. T.-J.</w:t>
      </w:r>
      <w:proofErr w:type="gramEnd"/>
      <w:r w:rsidRPr="000E0F90">
        <w:rPr>
          <w:rFonts w:ascii="Arial" w:hAnsi="Arial" w:cs="Arial"/>
          <w:color w:val="000000" w:themeColor="text1"/>
          <w:lang w:val="en-US"/>
        </w:rPr>
        <w:t xml:space="preserve"> </w:t>
      </w:r>
      <w:proofErr w:type="gramStart"/>
      <w:r w:rsidRPr="000E0F90">
        <w:rPr>
          <w:rFonts w:ascii="Arial" w:hAnsi="Arial" w:cs="Arial"/>
          <w:color w:val="000000" w:themeColor="text1"/>
          <w:lang w:val="en-US"/>
        </w:rPr>
        <w:t>Allmendinge, Territory, identity and spatial planning (págs. 3-21).</w:t>
      </w:r>
      <w:proofErr w:type="gramEnd"/>
      <w:r w:rsidRPr="000E0F90">
        <w:rPr>
          <w:rFonts w:ascii="Arial" w:hAnsi="Arial" w:cs="Arial"/>
          <w:color w:val="000000" w:themeColor="text1"/>
          <w:lang w:val="en-US"/>
        </w:rPr>
        <w:t xml:space="preserve"> Oxon: Routledge.</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Alpa</w:t>
      </w:r>
      <w:proofErr w:type="gramEnd"/>
      <w:r w:rsidRPr="000E0F90">
        <w:rPr>
          <w:rFonts w:ascii="Arial" w:hAnsi="Arial" w:cs="Arial"/>
          <w:color w:val="000000" w:themeColor="text1"/>
          <w:lang w:val="en-US"/>
        </w:rPr>
        <w:t xml:space="preserve">, G. (1992). </w:t>
      </w:r>
      <w:proofErr w:type="gramStart"/>
      <w:r w:rsidRPr="000E0F90">
        <w:rPr>
          <w:rFonts w:ascii="Arial" w:hAnsi="Arial" w:cs="Arial"/>
          <w:color w:val="000000" w:themeColor="text1"/>
          <w:lang w:val="en-US"/>
        </w:rPr>
        <w:t>General Principles of Law.</w:t>
      </w:r>
      <w:proofErr w:type="gramEnd"/>
      <w:r w:rsidRPr="000E0F90">
        <w:rPr>
          <w:rFonts w:ascii="Arial" w:hAnsi="Arial" w:cs="Arial"/>
          <w:color w:val="000000" w:themeColor="text1"/>
          <w:lang w:val="en-US"/>
        </w:rPr>
        <w:t xml:space="preserve"> Encyclopedia of Public International Law, 1(1), 511–527.</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Amezaga, J. M., Younger, P. L., U, R. O., Mayor, U., &amp; Andre, D. S. (2011).</w:t>
      </w:r>
      <w:proofErr w:type="gramEnd"/>
      <w:r w:rsidRPr="000E0F90">
        <w:rPr>
          <w:rFonts w:ascii="Arial" w:hAnsi="Arial" w:cs="Arial"/>
          <w:color w:val="000000" w:themeColor="text1"/>
          <w:lang w:val="en-US"/>
        </w:rPr>
        <w:t xml:space="preserve"> </w:t>
      </w:r>
      <w:proofErr w:type="gramStart"/>
      <w:r w:rsidRPr="000E0F90">
        <w:rPr>
          <w:rFonts w:ascii="Arial" w:hAnsi="Arial" w:cs="Arial"/>
          <w:color w:val="000000" w:themeColor="text1"/>
          <w:lang w:val="en-US"/>
        </w:rPr>
        <w:t>A Rich Vein ?</w:t>
      </w:r>
      <w:proofErr w:type="gramEnd"/>
      <w:r w:rsidRPr="000E0F90">
        <w:rPr>
          <w:rFonts w:ascii="Arial" w:hAnsi="Arial" w:cs="Arial"/>
          <w:color w:val="000000" w:themeColor="text1"/>
          <w:lang w:val="en-US"/>
        </w:rPr>
        <w:t xml:space="preserve"> Mining and the Pursuit of Sustainability †, 21–26.</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Ampuero, G. (1978). Cultura Diaguita. Ministerio de Educación.</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rPr>
        <w:t xml:space="preserve">Ampuero, G., &amp; Hidalgo, J. (1975). Estructura y proceso en la prehistoria y protohistoria del Norte Chico de Chile. </w:t>
      </w:r>
      <w:proofErr w:type="gramStart"/>
      <w:r w:rsidRPr="000E0F90">
        <w:rPr>
          <w:rFonts w:ascii="Arial" w:hAnsi="Arial" w:cs="Arial"/>
          <w:color w:val="000000" w:themeColor="text1"/>
          <w:lang w:val="en-US"/>
        </w:rPr>
        <w:t>Revista de Antopología Chilena, 5, 87–124.</w:t>
      </w:r>
      <w:proofErr w:type="gramEnd"/>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lang w:val="en-US"/>
        </w:rPr>
        <w:t xml:space="preserve">Anaya, J. (2011). </w:t>
      </w:r>
      <w:proofErr w:type="gramStart"/>
      <w:r w:rsidRPr="000E0F90">
        <w:rPr>
          <w:rFonts w:ascii="Arial" w:hAnsi="Arial" w:cs="Arial"/>
          <w:color w:val="000000" w:themeColor="text1"/>
          <w:lang w:val="en-US"/>
        </w:rPr>
        <w:t>Report of the Special Rapporteur on the rights of, (July), 1–27.</w:t>
      </w:r>
      <w:proofErr w:type="gramEnd"/>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 xml:space="preserve">Andaur, V. (2014). Informe Técnico: Calidad de aguas superficiales, subterráneas y sedimentos fluviales de Cuncumén. Consolidado 2012-2014. Mesa del Agua del Río Cuncumén. </w:t>
      </w:r>
    </w:p>
    <w:p w:rsidR="004A6A65" w:rsidRPr="000E0F90" w:rsidRDefault="004A6A65" w:rsidP="004A6A65">
      <w:pPr>
        <w:divId w:val="1427388170"/>
        <w:rPr>
          <w:rFonts w:ascii="Arial" w:hAnsi="Arial" w:cs="Arial"/>
          <w:color w:val="000000" w:themeColor="text1"/>
          <w:lang w:val="en-US"/>
        </w:rPr>
      </w:pPr>
      <w:r w:rsidRPr="002A21E4">
        <w:rPr>
          <w:rFonts w:ascii="Arial" w:hAnsi="Arial" w:cs="Arial"/>
          <w:color w:val="000000" w:themeColor="text1"/>
        </w:rPr>
        <w:t xml:space="preserve">Andreasen, J. K., O’Neill, R. V., Noss, R., &amp; Slosser, N. C. (2001). </w:t>
      </w:r>
      <w:proofErr w:type="gramStart"/>
      <w:r w:rsidRPr="000E0F90">
        <w:rPr>
          <w:rFonts w:ascii="Arial" w:hAnsi="Arial" w:cs="Arial"/>
          <w:color w:val="000000" w:themeColor="text1"/>
          <w:lang w:val="en-US"/>
        </w:rPr>
        <w:t>Considerations for the development of a terrestrial index of ecological integrity.</w:t>
      </w:r>
      <w:proofErr w:type="gramEnd"/>
      <w:r w:rsidRPr="000E0F90">
        <w:rPr>
          <w:rFonts w:ascii="Arial" w:hAnsi="Arial" w:cs="Arial"/>
          <w:color w:val="000000" w:themeColor="text1"/>
          <w:lang w:val="en-US"/>
        </w:rPr>
        <w:t xml:space="preserve"> Ecological Indicators, 1, 21–35. http://doi.org/10.1016/S1470-</w:t>
      </w:r>
      <w:proofErr w:type="gramStart"/>
      <w:r w:rsidRPr="000E0F90">
        <w:rPr>
          <w:rFonts w:ascii="Arial" w:hAnsi="Arial" w:cs="Arial"/>
          <w:color w:val="000000" w:themeColor="text1"/>
          <w:lang w:val="en-US"/>
        </w:rPr>
        <w:t>160X(</w:t>
      </w:r>
      <w:proofErr w:type="gramEnd"/>
      <w:r w:rsidRPr="000E0F90">
        <w:rPr>
          <w:rFonts w:ascii="Arial" w:hAnsi="Arial" w:cs="Arial"/>
          <w:color w:val="000000" w:themeColor="text1"/>
          <w:lang w:val="en-US"/>
        </w:rPr>
        <w:t>01)00007-3</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lang w:val="en-US"/>
        </w:rPr>
        <w:t>Angelstam, P., Andersson, K., Isacson, M., Gavrilov, D. V., Axelsson, R., Bäckström, M</w:t>
      </w:r>
      <w:proofErr w:type="gramStart"/>
      <w:r w:rsidRPr="000E0F90">
        <w:rPr>
          <w:rFonts w:ascii="Arial" w:hAnsi="Arial" w:cs="Arial"/>
          <w:color w:val="000000" w:themeColor="text1"/>
          <w:lang w:val="en-US"/>
        </w:rPr>
        <w:t>., …</w:t>
      </w:r>
      <w:proofErr w:type="gramEnd"/>
      <w:r w:rsidRPr="000E0F90">
        <w:rPr>
          <w:rFonts w:ascii="Arial" w:hAnsi="Arial" w:cs="Arial"/>
          <w:color w:val="000000" w:themeColor="text1"/>
          <w:lang w:val="en-US"/>
        </w:rPr>
        <w:t xml:space="preserve"> Törnblom, J. (2013). Learning about the history of landscape use for the future: Consequences for ecological and social systems in </w:t>
      </w:r>
      <w:proofErr w:type="gramStart"/>
      <w:r w:rsidRPr="000E0F90">
        <w:rPr>
          <w:rFonts w:ascii="Arial" w:hAnsi="Arial" w:cs="Arial"/>
          <w:color w:val="000000" w:themeColor="text1"/>
          <w:lang w:val="en-US"/>
        </w:rPr>
        <w:t>swedish</w:t>
      </w:r>
      <w:proofErr w:type="gramEnd"/>
      <w:r w:rsidRPr="000E0F90">
        <w:rPr>
          <w:rFonts w:ascii="Arial" w:hAnsi="Arial" w:cs="Arial"/>
          <w:color w:val="000000" w:themeColor="text1"/>
          <w:lang w:val="en-US"/>
        </w:rPr>
        <w:t xml:space="preserve"> Bergslagen. Ambio, 42(2), 146–159. http://doi.org/10.1007/s13280-012-0369-z</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Angelstam, P., Elbakidze, M., Axelsson, R., Dixelius, M., &amp; Törnblom, J. (2013).</w:t>
      </w:r>
      <w:proofErr w:type="gramEnd"/>
      <w:r w:rsidRPr="000E0F90">
        <w:rPr>
          <w:rFonts w:ascii="Arial" w:hAnsi="Arial" w:cs="Arial"/>
          <w:color w:val="000000" w:themeColor="text1"/>
          <w:lang w:val="en-US"/>
        </w:rPr>
        <w:t xml:space="preserve"> Knowledge production and learning for sustainable landscapes: seven steps using social-ecological systems as laboratories. </w:t>
      </w:r>
      <w:proofErr w:type="gramStart"/>
      <w:r w:rsidRPr="000E0F90">
        <w:rPr>
          <w:rFonts w:ascii="Arial" w:hAnsi="Arial" w:cs="Arial"/>
          <w:color w:val="000000" w:themeColor="text1"/>
          <w:lang w:val="en-US"/>
        </w:rPr>
        <w:t>Ambio, 42(2), 116–28.</w:t>
      </w:r>
      <w:proofErr w:type="gramEnd"/>
      <w:r w:rsidRPr="000E0F90">
        <w:rPr>
          <w:rFonts w:ascii="Arial" w:hAnsi="Arial" w:cs="Arial"/>
          <w:color w:val="000000" w:themeColor="text1"/>
          <w:lang w:val="en-US"/>
        </w:rPr>
        <w:t xml:space="preserve"> http://doi.org/10.1007/s13280-012-0367-1</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lastRenderedPageBreak/>
        <w:t>Antrop, M. (2000).</w:t>
      </w:r>
      <w:proofErr w:type="gramEnd"/>
      <w:r w:rsidRPr="000E0F90">
        <w:rPr>
          <w:rFonts w:ascii="Arial" w:hAnsi="Arial" w:cs="Arial"/>
          <w:color w:val="000000" w:themeColor="text1"/>
          <w:lang w:val="en-US"/>
        </w:rPr>
        <w:t xml:space="preserve"> </w:t>
      </w:r>
      <w:proofErr w:type="gramStart"/>
      <w:r w:rsidRPr="000E0F90">
        <w:rPr>
          <w:rFonts w:ascii="Arial" w:hAnsi="Arial" w:cs="Arial"/>
          <w:color w:val="000000" w:themeColor="text1"/>
          <w:lang w:val="en-US"/>
        </w:rPr>
        <w:t>Background concepts for integrated landscape analysis.</w:t>
      </w:r>
      <w:proofErr w:type="gramEnd"/>
      <w:r w:rsidRPr="000E0F90">
        <w:rPr>
          <w:rFonts w:ascii="Arial" w:hAnsi="Arial" w:cs="Arial"/>
          <w:color w:val="000000" w:themeColor="text1"/>
          <w:lang w:val="en-US"/>
        </w:rPr>
        <w:t xml:space="preserve"> Agriculture, Ecosystems and Environment, 77(July 1999), 17–28. http://doi.org/10.1016/S0167-</w:t>
      </w:r>
      <w:proofErr w:type="gramStart"/>
      <w:r w:rsidRPr="000E0F90">
        <w:rPr>
          <w:rFonts w:ascii="Arial" w:hAnsi="Arial" w:cs="Arial"/>
          <w:color w:val="000000" w:themeColor="text1"/>
          <w:lang w:val="en-US"/>
        </w:rPr>
        <w:t>8809(</w:t>
      </w:r>
      <w:proofErr w:type="gramEnd"/>
      <w:r w:rsidRPr="000E0F90">
        <w:rPr>
          <w:rFonts w:ascii="Arial" w:hAnsi="Arial" w:cs="Arial"/>
          <w:color w:val="000000" w:themeColor="text1"/>
          <w:lang w:val="en-US"/>
        </w:rPr>
        <w:t>99)00089-4</w:t>
      </w:r>
    </w:p>
    <w:p w:rsidR="004A6A65" w:rsidRPr="000E0F90" w:rsidRDefault="004A6A65" w:rsidP="004A6A65">
      <w:pPr>
        <w:divId w:val="1427388170"/>
        <w:rPr>
          <w:rFonts w:ascii="Arial" w:hAnsi="Arial" w:cs="Arial"/>
          <w:color w:val="000000" w:themeColor="text1"/>
        </w:rPr>
      </w:pPr>
      <w:proofErr w:type="gramStart"/>
      <w:r w:rsidRPr="000E0F90">
        <w:rPr>
          <w:rFonts w:ascii="Arial" w:hAnsi="Arial" w:cs="Arial"/>
          <w:color w:val="000000" w:themeColor="text1"/>
          <w:lang w:val="en-US"/>
        </w:rPr>
        <w:t>ARCADIS.</w:t>
      </w:r>
      <w:proofErr w:type="gramEnd"/>
      <w:r w:rsidRPr="000E0F90">
        <w:rPr>
          <w:rFonts w:ascii="Arial" w:hAnsi="Arial" w:cs="Arial"/>
          <w:color w:val="000000" w:themeColor="text1"/>
          <w:lang w:val="en-US"/>
        </w:rPr>
        <w:t xml:space="preserve"> </w:t>
      </w:r>
      <w:r w:rsidRPr="000E0F90">
        <w:rPr>
          <w:rFonts w:ascii="Arial" w:hAnsi="Arial" w:cs="Arial"/>
          <w:color w:val="000000" w:themeColor="text1"/>
        </w:rPr>
        <w:t>(2004). Estudio de Impacto Ambiental: Modificaciones Proyecto Pascua Lama. Santiago.</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ARCADIS. (2013). Línea Base: Estudio de Impacto Ambiental Candelaria 2030 Continuidad Operacional. . Servicio de Evaluación de Impacto Ambiental. Santiago: ARCADIS.</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Arellano, E., Gastó, J., Gálvez, C., Subercauseaux, D., Toledo, P., &amp; Miranda, M. (2013). Bases para el ordenamiento territorial integrador de la minería del hierro con el desarrollo comunal. Estudio de caso comuna de La Higuera. (J. Gasto</w:t>
      </w:r>
      <w:r w:rsidR="00B17364">
        <w:rPr>
          <w:rFonts w:ascii="Arial" w:hAnsi="Arial" w:cs="Arial"/>
          <w:color w:val="000000" w:themeColor="text1"/>
        </w:rPr>
        <w:t xml:space="preserve"> y C. Gálvez</w:t>
      </w:r>
      <w:r w:rsidRPr="000E0F90">
        <w:rPr>
          <w:rFonts w:ascii="Arial" w:hAnsi="Arial" w:cs="Arial"/>
          <w:color w:val="000000" w:themeColor="text1"/>
        </w:rPr>
        <w:t xml:space="preserve"> Ed</w:t>
      </w:r>
      <w:r w:rsidR="00B17364">
        <w:rPr>
          <w:rFonts w:ascii="Arial" w:hAnsi="Arial" w:cs="Arial"/>
          <w:color w:val="000000" w:themeColor="text1"/>
        </w:rPr>
        <w:t>s</w:t>
      </w:r>
      <w:r w:rsidRPr="000E0F90">
        <w:rPr>
          <w:rFonts w:ascii="Arial" w:hAnsi="Arial" w:cs="Arial"/>
          <w:color w:val="000000" w:themeColor="text1"/>
        </w:rPr>
        <w:t xml:space="preserve">.) Santiago, Chile: Departamento Ecosistemas y Medioambiente, Pontificia </w:t>
      </w:r>
      <w:bookmarkStart w:id="36" w:name="_GoBack"/>
      <w:bookmarkEnd w:id="36"/>
      <w:r w:rsidRPr="000E0F90">
        <w:rPr>
          <w:rFonts w:ascii="Arial" w:hAnsi="Arial" w:cs="Arial"/>
          <w:color w:val="000000" w:themeColor="text1"/>
        </w:rPr>
        <w:t>Universidad Católica de Chile.</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rPr>
        <w:t xml:space="preserve">Arias, M., Atienza, M., &amp; Cademartori, J. (2014). </w:t>
      </w:r>
      <w:r w:rsidRPr="000E0F90">
        <w:rPr>
          <w:rFonts w:ascii="Arial" w:hAnsi="Arial" w:cs="Arial"/>
          <w:color w:val="000000" w:themeColor="text1"/>
          <w:lang w:val="en-US"/>
        </w:rPr>
        <w:t>Large mining enterprises and regional development in Chile: Between the enclave and cluster. Journal of Economic Geography, 14(May 2013), 73–95. http://doi.org/10.1093/jeg/lbt007</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lang w:val="en-US"/>
        </w:rPr>
        <w:t>Aroca, P. (2001). Impacts and development in local economies based on mining: Resources Policy, 27, 119–134. http://doi.org/10.1016/S0301-</w:t>
      </w:r>
      <w:proofErr w:type="gramStart"/>
      <w:r w:rsidRPr="000E0F90">
        <w:rPr>
          <w:rFonts w:ascii="Arial" w:hAnsi="Arial" w:cs="Arial"/>
          <w:color w:val="000000" w:themeColor="text1"/>
          <w:lang w:val="en-US"/>
        </w:rPr>
        <w:t>4207(</w:t>
      </w:r>
      <w:proofErr w:type="gramEnd"/>
      <w:r w:rsidRPr="000E0F90">
        <w:rPr>
          <w:rFonts w:ascii="Arial" w:hAnsi="Arial" w:cs="Arial"/>
          <w:color w:val="000000" w:themeColor="text1"/>
          <w:lang w:val="en-US"/>
        </w:rPr>
        <w:t>01)00013-7</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lang w:val="en-US"/>
        </w:rPr>
        <w:t xml:space="preserve">Azapagic, A. (2004). </w:t>
      </w:r>
      <w:proofErr w:type="gramStart"/>
      <w:r w:rsidRPr="000E0F90">
        <w:rPr>
          <w:rFonts w:ascii="Arial" w:hAnsi="Arial" w:cs="Arial"/>
          <w:color w:val="000000" w:themeColor="text1"/>
          <w:lang w:val="en-US"/>
        </w:rPr>
        <w:t>Developing a framework for sustainable development indicators for the mining and minerals industry.</w:t>
      </w:r>
      <w:proofErr w:type="gramEnd"/>
      <w:r w:rsidRPr="000E0F90">
        <w:rPr>
          <w:rFonts w:ascii="Arial" w:hAnsi="Arial" w:cs="Arial"/>
          <w:color w:val="000000" w:themeColor="text1"/>
          <w:lang w:val="en-US"/>
        </w:rPr>
        <w:t xml:space="preserve"> Journal of Cleaner Production, 12(6), 639–662. http://doi.org/10.1016/S0959-</w:t>
      </w:r>
      <w:proofErr w:type="gramStart"/>
      <w:r w:rsidRPr="000E0F90">
        <w:rPr>
          <w:rFonts w:ascii="Arial" w:hAnsi="Arial" w:cs="Arial"/>
          <w:color w:val="000000" w:themeColor="text1"/>
          <w:lang w:val="en-US"/>
        </w:rPr>
        <w:t>6526(</w:t>
      </w:r>
      <w:proofErr w:type="gramEnd"/>
      <w:r w:rsidRPr="000E0F90">
        <w:rPr>
          <w:rFonts w:ascii="Arial" w:hAnsi="Arial" w:cs="Arial"/>
          <w:color w:val="000000" w:themeColor="text1"/>
          <w:lang w:val="en-US"/>
        </w:rPr>
        <w:t>03)00075-1</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lang w:val="en-US"/>
        </w:rPr>
        <w:t xml:space="preserve">Banco Central de Chile. </w:t>
      </w:r>
      <w:r w:rsidRPr="000E0F90">
        <w:rPr>
          <w:rFonts w:ascii="Arial" w:hAnsi="Arial" w:cs="Arial"/>
          <w:color w:val="000000" w:themeColor="text1"/>
        </w:rPr>
        <w:t>(29 de Diciembre de 2016). Estadísticas en Excel. Producto Interno Bruto Regional. Obtenido de http://si3.bcentral.cl/estadisticas/Principal1/Excel/CCNN/regional/excel.html</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BCN. (06 de Enero de 2017). Biblioteca del Congreso Nacional de Chile. Reportes Estadísticos Comunales 2015. Obtenido de Sitio web de Biblioteca del Congreso Nacional: http://reportescomunales.bcn.cl/2015/index.php/Categor%C3%ADa:Comunas</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Beder, S. (2000).</w:t>
      </w:r>
      <w:proofErr w:type="gramEnd"/>
      <w:r w:rsidRPr="000E0F90">
        <w:rPr>
          <w:rFonts w:ascii="Arial" w:hAnsi="Arial" w:cs="Arial"/>
          <w:color w:val="000000" w:themeColor="text1"/>
          <w:lang w:val="en-US"/>
        </w:rPr>
        <w:t xml:space="preserve"> </w:t>
      </w:r>
      <w:proofErr w:type="gramStart"/>
      <w:r w:rsidRPr="000E0F90">
        <w:rPr>
          <w:rFonts w:ascii="Arial" w:hAnsi="Arial" w:cs="Arial"/>
          <w:color w:val="000000" w:themeColor="text1"/>
          <w:lang w:val="en-US"/>
        </w:rPr>
        <w:t>Costing the Earth: Equity, Sustainable Development and Environmental Economics.</w:t>
      </w:r>
      <w:proofErr w:type="gramEnd"/>
      <w:r w:rsidRPr="000E0F90">
        <w:rPr>
          <w:rFonts w:ascii="Arial" w:hAnsi="Arial" w:cs="Arial"/>
          <w:color w:val="000000" w:themeColor="text1"/>
          <w:lang w:val="en-US"/>
        </w:rPr>
        <w:t xml:space="preserve"> New Zealand Journal of Environmental Law, 4, 227–243. Retrieved from http://ro.uow.edu.au/cgi/viewcontent.cgi?article=1030&amp;context=artspapers</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Berke, P. R., &amp; Conroy, M. M. (2000).</w:t>
      </w:r>
      <w:proofErr w:type="gramEnd"/>
      <w:r w:rsidRPr="000E0F90">
        <w:rPr>
          <w:rFonts w:ascii="Arial" w:hAnsi="Arial" w:cs="Arial"/>
          <w:color w:val="000000" w:themeColor="text1"/>
          <w:lang w:val="en-US"/>
        </w:rPr>
        <w:t xml:space="preserve"> Are we planning for sustainable development? </w:t>
      </w:r>
      <w:proofErr w:type="gramStart"/>
      <w:r w:rsidRPr="000E0F90">
        <w:rPr>
          <w:rFonts w:ascii="Arial" w:hAnsi="Arial" w:cs="Arial"/>
          <w:color w:val="000000" w:themeColor="text1"/>
          <w:lang w:val="en-US"/>
        </w:rPr>
        <w:t>American Planning Association.Journal of the American Planning Association, 66(September), 21.</w:t>
      </w:r>
      <w:proofErr w:type="gramEnd"/>
      <w:r w:rsidRPr="000E0F90">
        <w:rPr>
          <w:rFonts w:ascii="Arial" w:hAnsi="Arial" w:cs="Arial"/>
          <w:color w:val="000000" w:themeColor="text1"/>
          <w:lang w:val="en-US"/>
        </w:rPr>
        <w:t xml:space="preserve"> http://doi.org/10.1080/01944360008976081</w:t>
      </w:r>
    </w:p>
    <w:p w:rsidR="004A6A65" w:rsidRPr="002B538F"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lastRenderedPageBreak/>
        <w:t>Beunen, R., &amp; Opdam, P. (2011).</w:t>
      </w:r>
      <w:proofErr w:type="gramEnd"/>
      <w:r w:rsidRPr="000E0F90">
        <w:rPr>
          <w:rFonts w:ascii="Arial" w:hAnsi="Arial" w:cs="Arial"/>
          <w:color w:val="000000" w:themeColor="text1"/>
          <w:lang w:val="en-US"/>
        </w:rPr>
        <w:t xml:space="preserve"> When landscape planning becomes landscape governance, what happens to the science? </w:t>
      </w:r>
      <w:r w:rsidRPr="002B538F">
        <w:rPr>
          <w:rFonts w:ascii="Arial" w:hAnsi="Arial" w:cs="Arial"/>
          <w:color w:val="000000" w:themeColor="text1"/>
          <w:lang w:val="en-US"/>
        </w:rPr>
        <w:t>Landscape and Urban Planning, 100(4), 324–326. http://doi.org/10.1016/j.landurbplan.2011.01.018</w:t>
      </w:r>
    </w:p>
    <w:p w:rsidR="004A6A65" w:rsidRPr="000E0F90" w:rsidRDefault="004A6A65" w:rsidP="004A6A65">
      <w:pPr>
        <w:divId w:val="1427388170"/>
        <w:rPr>
          <w:rFonts w:ascii="Arial" w:hAnsi="Arial" w:cs="Arial"/>
          <w:color w:val="000000" w:themeColor="text1"/>
        </w:rPr>
      </w:pPr>
      <w:r w:rsidRPr="002B538F">
        <w:rPr>
          <w:rFonts w:ascii="Arial" w:hAnsi="Arial" w:cs="Arial"/>
          <w:color w:val="000000" w:themeColor="text1"/>
          <w:lang w:val="en-US"/>
        </w:rPr>
        <w:t xml:space="preserve">Blanquez, A. (1985). </w:t>
      </w:r>
      <w:r w:rsidRPr="000E0F90">
        <w:rPr>
          <w:rFonts w:ascii="Arial" w:hAnsi="Arial" w:cs="Arial"/>
          <w:color w:val="000000" w:themeColor="text1"/>
        </w:rPr>
        <w:t>Diccionario Latino-Español Español-Latino. Barcelona: Sopena.</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 xml:space="preserve">Boisier, J. (1999). Conflictos ambientales: Relación enter Codelco y su entorno en el caso del transporte de ácido sulfúrico. </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Bolis, I., Morioka, S. N., &amp; Sznelwar, L. I. (2013).</w:t>
      </w:r>
      <w:proofErr w:type="gramEnd"/>
      <w:r w:rsidRPr="000E0F90">
        <w:rPr>
          <w:rFonts w:ascii="Arial" w:hAnsi="Arial" w:cs="Arial"/>
          <w:color w:val="000000" w:themeColor="text1"/>
          <w:lang w:val="en-US"/>
        </w:rPr>
        <w:t xml:space="preserve"> </w:t>
      </w:r>
      <w:proofErr w:type="gramStart"/>
      <w:r w:rsidRPr="000E0F90">
        <w:rPr>
          <w:rFonts w:ascii="Arial" w:hAnsi="Arial" w:cs="Arial"/>
          <w:color w:val="000000" w:themeColor="text1"/>
          <w:lang w:val="en-US"/>
        </w:rPr>
        <w:t>When sustainable development risks losing its meaning.</w:t>
      </w:r>
      <w:proofErr w:type="gramEnd"/>
      <w:r w:rsidRPr="000E0F90">
        <w:rPr>
          <w:rFonts w:ascii="Arial" w:hAnsi="Arial" w:cs="Arial"/>
          <w:color w:val="000000" w:themeColor="text1"/>
          <w:lang w:val="en-US"/>
        </w:rPr>
        <w:t xml:space="preserve"> </w:t>
      </w:r>
      <w:proofErr w:type="gramStart"/>
      <w:r w:rsidRPr="000E0F90">
        <w:rPr>
          <w:rFonts w:ascii="Arial" w:hAnsi="Arial" w:cs="Arial"/>
          <w:color w:val="000000" w:themeColor="text1"/>
          <w:lang w:val="en-US"/>
        </w:rPr>
        <w:t>Delimiting the concept with a comprehensive literature review and a conceptual model.</w:t>
      </w:r>
      <w:proofErr w:type="gramEnd"/>
      <w:r w:rsidRPr="000E0F90">
        <w:rPr>
          <w:rFonts w:ascii="Arial" w:hAnsi="Arial" w:cs="Arial"/>
          <w:color w:val="000000" w:themeColor="text1"/>
          <w:lang w:val="en-US"/>
        </w:rPr>
        <w:t xml:space="preserve"> Journal of Cleaner Production, 83, 7–20. http://doi.org/10.1016/j.jclepro.2014.06.041</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Bond, A., Morrison-Saunders, A., &amp; Pope, J. (2012).</w:t>
      </w:r>
      <w:proofErr w:type="gramEnd"/>
      <w:r w:rsidRPr="000E0F90">
        <w:rPr>
          <w:rFonts w:ascii="Arial" w:hAnsi="Arial" w:cs="Arial"/>
          <w:color w:val="000000" w:themeColor="text1"/>
          <w:lang w:val="en-US"/>
        </w:rPr>
        <w:t xml:space="preserve"> Sustainability assessment: the state of the art. Impact Assessment and Project Appraisal, 30(December 2014), 53–62. http://doi.org/10.1080/14615517.2012.661974</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lang w:val="en-US"/>
        </w:rPr>
        <w:t xml:space="preserve">Boone, C. G. (2010). </w:t>
      </w:r>
      <w:proofErr w:type="gramStart"/>
      <w:r w:rsidRPr="000E0F90">
        <w:rPr>
          <w:rFonts w:ascii="Arial" w:hAnsi="Arial" w:cs="Arial"/>
          <w:color w:val="000000" w:themeColor="text1"/>
          <w:lang w:val="en-US"/>
        </w:rPr>
        <w:t>Environmental justice, sustainability and vulnerability.</w:t>
      </w:r>
      <w:proofErr w:type="gramEnd"/>
      <w:r w:rsidRPr="000E0F90">
        <w:rPr>
          <w:rFonts w:ascii="Arial" w:hAnsi="Arial" w:cs="Arial"/>
          <w:color w:val="000000" w:themeColor="text1"/>
          <w:lang w:val="en-US"/>
        </w:rPr>
        <w:t xml:space="preserve"> International Journal of Urban Sustainable Development, 2(September), 135–140. http://doi.org/10.1080/19463138.2010.513772</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rPr>
        <w:t xml:space="preserve">Börgel, R. (1983). Geomorfología. Colección Geografía de </w:t>
      </w:r>
      <w:proofErr w:type="gramStart"/>
      <w:r w:rsidRPr="000E0F90">
        <w:rPr>
          <w:rFonts w:ascii="Arial" w:hAnsi="Arial" w:cs="Arial"/>
          <w:color w:val="000000" w:themeColor="text1"/>
        </w:rPr>
        <w:t>Chile .</w:t>
      </w:r>
      <w:proofErr w:type="gramEnd"/>
      <w:r w:rsidRPr="000E0F90">
        <w:rPr>
          <w:rFonts w:ascii="Arial" w:hAnsi="Arial" w:cs="Arial"/>
          <w:color w:val="000000" w:themeColor="text1"/>
        </w:rPr>
        <w:t xml:space="preserve"> </w:t>
      </w:r>
      <w:r w:rsidRPr="000E0F90">
        <w:rPr>
          <w:rFonts w:ascii="Arial" w:hAnsi="Arial" w:cs="Arial"/>
          <w:color w:val="000000" w:themeColor="text1"/>
          <w:lang w:val="en-US"/>
        </w:rPr>
        <w:t>Instituto Geográfico Militar.</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lang w:val="en-US"/>
        </w:rPr>
        <w:t xml:space="preserve">Bosshard, A. (2000). </w:t>
      </w:r>
      <w:proofErr w:type="gramStart"/>
      <w:r w:rsidRPr="000E0F90">
        <w:rPr>
          <w:rFonts w:ascii="Arial" w:hAnsi="Arial" w:cs="Arial"/>
          <w:color w:val="000000" w:themeColor="text1"/>
          <w:lang w:val="en-US"/>
        </w:rPr>
        <w:t>A methodology and terminology of sustainability assessment and its perspectives for rural planning.</w:t>
      </w:r>
      <w:proofErr w:type="gramEnd"/>
      <w:r w:rsidRPr="000E0F90">
        <w:rPr>
          <w:rFonts w:ascii="Arial" w:hAnsi="Arial" w:cs="Arial"/>
          <w:color w:val="000000" w:themeColor="text1"/>
          <w:lang w:val="en-US"/>
        </w:rPr>
        <w:t xml:space="preserve"> Agriculture, Ecosystems and Environment, 77, 29–41. http://doi.org/10.1016/S0167-</w:t>
      </w:r>
      <w:proofErr w:type="gramStart"/>
      <w:r w:rsidRPr="000E0F90">
        <w:rPr>
          <w:rFonts w:ascii="Arial" w:hAnsi="Arial" w:cs="Arial"/>
          <w:color w:val="000000" w:themeColor="text1"/>
          <w:lang w:val="en-US"/>
        </w:rPr>
        <w:t>8809(</w:t>
      </w:r>
      <w:proofErr w:type="gramEnd"/>
      <w:r w:rsidRPr="000E0F90">
        <w:rPr>
          <w:rFonts w:ascii="Arial" w:hAnsi="Arial" w:cs="Arial"/>
          <w:color w:val="000000" w:themeColor="text1"/>
          <w:lang w:val="en-US"/>
        </w:rPr>
        <w:t>99)00090-0</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Brereton, D., &amp; Forbes, P. (2004).</w:t>
      </w:r>
      <w:proofErr w:type="gramEnd"/>
      <w:r w:rsidRPr="000E0F90">
        <w:rPr>
          <w:rFonts w:ascii="Arial" w:hAnsi="Arial" w:cs="Arial"/>
          <w:color w:val="000000" w:themeColor="text1"/>
          <w:lang w:val="en-US"/>
        </w:rPr>
        <w:t xml:space="preserve"> MONITORING THE IMPACT OF MINING ON LOCAL COMMUNITIES </w:t>
      </w:r>
      <w:proofErr w:type="gramStart"/>
      <w:r w:rsidRPr="000E0F90">
        <w:rPr>
          <w:rFonts w:ascii="Arial" w:hAnsi="Arial" w:cs="Arial"/>
          <w:color w:val="000000" w:themeColor="text1"/>
          <w:lang w:val="en-US"/>
        </w:rPr>
        <w:t>:,</w:t>
      </w:r>
      <w:proofErr w:type="gramEnd"/>
      <w:r w:rsidRPr="000E0F90">
        <w:rPr>
          <w:rFonts w:ascii="Arial" w:hAnsi="Arial" w:cs="Arial"/>
          <w:color w:val="000000" w:themeColor="text1"/>
          <w:lang w:val="en-US"/>
        </w:rPr>
        <w:t xml:space="preserve"> (October), 1–16.</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Bridge, G. (2004).</w:t>
      </w:r>
      <w:proofErr w:type="gramEnd"/>
      <w:r w:rsidRPr="000E0F90">
        <w:rPr>
          <w:rFonts w:ascii="Arial" w:hAnsi="Arial" w:cs="Arial"/>
          <w:color w:val="000000" w:themeColor="text1"/>
          <w:lang w:val="en-US"/>
        </w:rPr>
        <w:t xml:space="preserve"> </w:t>
      </w:r>
      <w:proofErr w:type="gramStart"/>
      <w:r w:rsidRPr="000E0F90">
        <w:rPr>
          <w:rFonts w:ascii="Arial" w:hAnsi="Arial" w:cs="Arial"/>
          <w:color w:val="000000" w:themeColor="text1"/>
          <w:lang w:val="en-US"/>
        </w:rPr>
        <w:t>CONTESTED TERRAIN: Mining and the Environment.</w:t>
      </w:r>
      <w:proofErr w:type="gramEnd"/>
      <w:r w:rsidRPr="000E0F90">
        <w:rPr>
          <w:rFonts w:ascii="Arial" w:hAnsi="Arial" w:cs="Arial"/>
          <w:color w:val="000000" w:themeColor="text1"/>
          <w:lang w:val="en-US"/>
        </w:rPr>
        <w:t xml:space="preserve"> Annual Review of Environment and Resources, 29(1), 205–259. http://doi.org/10.1146/annurev.energy.28.011503.163434</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lang w:val="en-US"/>
        </w:rPr>
        <w:t>Brueckner, M. ., Durey, A. ., Mayes, R. ., &amp; Pforr, C</w:t>
      </w:r>
      <w:proofErr w:type="gramStart"/>
      <w:r w:rsidRPr="000E0F90">
        <w:rPr>
          <w:rFonts w:ascii="Arial" w:hAnsi="Arial" w:cs="Arial"/>
          <w:color w:val="000000" w:themeColor="text1"/>
          <w:lang w:val="en-US"/>
        </w:rPr>
        <w:t>. .</w:t>
      </w:r>
      <w:proofErr w:type="gramEnd"/>
      <w:r w:rsidRPr="000E0F90">
        <w:rPr>
          <w:rFonts w:ascii="Arial" w:hAnsi="Arial" w:cs="Arial"/>
          <w:color w:val="000000" w:themeColor="text1"/>
          <w:lang w:val="en-US"/>
        </w:rPr>
        <w:t xml:space="preserve"> (2013). </w:t>
      </w:r>
      <w:proofErr w:type="gramStart"/>
      <w:r w:rsidRPr="000E0F90">
        <w:rPr>
          <w:rFonts w:ascii="Arial" w:hAnsi="Arial" w:cs="Arial"/>
          <w:color w:val="000000" w:themeColor="text1"/>
          <w:lang w:val="en-US"/>
        </w:rPr>
        <w:t>The</w:t>
      </w:r>
      <w:proofErr w:type="gramEnd"/>
      <w:r w:rsidRPr="000E0F90">
        <w:rPr>
          <w:rFonts w:ascii="Arial" w:hAnsi="Arial" w:cs="Arial"/>
          <w:color w:val="000000" w:themeColor="text1"/>
          <w:lang w:val="en-US"/>
        </w:rPr>
        <w:t xml:space="preserve"> mining boom and Western Australia’s changing Landscape: Towards Sustainability or Bussines as usual? Rural Society Journal, 22(2), 111–124.</w:t>
      </w:r>
    </w:p>
    <w:p w:rsidR="004A6A65" w:rsidRPr="002B538F"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Brunckhorst, D., Coop, P., &amp; Reeve, I. (2006).</w:t>
      </w:r>
      <w:proofErr w:type="gramEnd"/>
      <w:r w:rsidRPr="000E0F90">
        <w:rPr>
          <w:rFonts w:ascii="Arial" w:hAnsi="Arial" w:cs="Arial"/>
          <w:color w:val="000000" w:themeColor="text1"/>
          <w:lang w:val="en-US"/>
        </w:rPr>
        <w:t xml:space="preserve"> “Eco-civic” optimisation: A nested framework for planning and managing landscapes. </w:t>
      </w:r>
      <w:r w:rsidRPr="002B538F">
        <w:rPr>
          <w:rFonts w:ascii="Arial" w:hAnsi="Arial" w:cs="Arial"/>
          <w:color w:val="000000" w:themeColor="text1"/>
          <w:lang w:val="en-US"/>
        </w:rPr>
        <w:t>Landscape and Urban Planning, 75, 265–281. http://doi.org/10.1016/j.landurbplan.2005.04.001</w:t>
      </w:r>
    </w:p>
    <w:p w:rsidR="004A6A65" w:rsidRPr="000E0F90" w:rsidRDefault="004A6A65" w:rsidP="004A6A65">
      <w:pPr>
        <w:divId w:val="1427388170"/>
        <w:rPr>
          <w:rFonts w:ascii="Arial" w:hAnsi="Arial" w:cs="Arial"/>
          <w:color w:val="000000" w:themeColor="text1"/>
        </w:rPr>
      </w:pPr>
      <w:r w:rsidRPr="002B538F">
        <w:rPr>
          <w:rFonts w:ascii="Arial" w:hAnsi="Arial" w:cs="Arial"/>
          <w:color w:val="000000" w:themeColor="text1"/>
          <w:lang w:val="en-US"/>
        </w:rPr>
        <w:t xml:space="preserve">Bujes, J. (2008). </w:t>
      </w:r>
      <w:r w:rsidRPr="000E0F90">
        <w:rPr>
          <w:rFonts w:ascii="Arial" w:hAnsi="Arial" w:cs="Arial"/>
          <w:color w:val="000000" w:themeColor="text1"/>
        </w:rPr>
        <w:t>Los Collas de Atacama: Identidad y Etnogenésis. Santiago: Universidad Academia de Himanismo Cristiano. Escuela de Antropología.</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lastRenderedPageBreak/>
        <w:t xml:space="preserve">Calderón et. </w:t>
      </w:r>
      <w:proofErr w:type="gramStart"/>
      <w:r w:rsidRPr="000E0F90">
        <w:rPr>
          <w:rFonts w:ascii="Arial" w:hAnsi="Arial" w:cs="Arial"/>
          <w:color w:val="000000" w:themeColor="text1"/>
        </w:rPr>
        <w:t>al</w:t>
      </w:r>
      <w:proofErr w:type="gramEnd"/>
      <w:r w:rsidRPr="000E0F90">
        <w:rPr>
          <w:rFonts w:ascii="Arial" w:hAnsi="Arial" w:cs="Arial"/>
          <w:color w:val="000000" w:themeColor="text1"/>
        </w:rPr>
        <w:t>. (2016). Gran Minería Y Localidades Agrícolas En El Norte De Chile : Comparación, 1–12. http://doi.org/10.4067/S0717-73562016005000001</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Cambridge Dictionary. (2017). Recuperado el 9 de Noviembre de 2016, de http://dictionary.cambridge.org/</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rPr>
        <w:t xml:space="preserve">Camus, P. (2004). Los bosques y la minería del norte chico, s.XIX. Un mito en la representación del paisaje chileno. </w:t>
      </w:r>
      <w:r w:rsidRPr="000E0F90">
        <w:rPr>
          <w:rFonts w:ascii="Arial" w:hAnsi="Arial" w:cs="Arial"/>
          <w:color w:val="000000" w:themeColor="text1"/>
          <w:lang w:val="en-US"/>
        </w:rPr>
        <w:t>Historia, II, 289–310. Retrieved from http://www.scielo.cl/pdf/historia/v37n2/art01.pdf</w:t>
      </w:r>
    </w:p>
    <w:p w:rsidR="004A6A65" w:rsidRPr="000E0F90" w:rsidRDefault="004A6A65" w:rsidP="004A6A65">
      <w:pPr>
        <w:divId w:val="1427388170"/>
        <w:rPr>
          <w:rFonts w:ascii="Arial" w:hAnsi="Arial" w:cs="Arial"/>
          <w:color w:val="000000" w:themeColor="text1"/>
          <w:lang w:val="en-US"/>
        </w:rPr>
      </w:pPr>
      <w:proofErr w:type="gramStart"/>
      <w:r w:rsidRPr="00301AE2">
        <w:rPr>
          <w:rFonts w:ascii="Arial" w:hAnsi="Arial" w:cs="Arial"/>
          <w:color w:val="000000" w:themeColor="text1"/>
          <w:lang w:val="en-US"/>
        </w:rPr>
        <w:t>Carkovic, A. B., Calcagni, M. S., Vega, A. S., Coquery, M., Moya, P. M., Bonilla, C. a., &amp; Past??n</w:t>
      </w:r>
      <w:proofErr w:type="gramEnd"/>
      <w:r w:rsidRPr="00301AE2">
        <w:rPr>
          <w:rFonts w:ascii="Arial" w:hAnsi="Arial" w:cs="Arial"/>
          <w:color w:val="000000" w:themeColor="text1"/>
          <w:lang w:val="en-US"/>
        </w:rPr>
        <w:t xml:space="preserve">, P. a. (2016). </w:t>
      </w:r>
      <w:r w:rsidRPr="000E0F90">
        <w:rPr>
          <w:rFonts w:ascii="Arial" w:hAnsi="Arial" w:cs="Arial"/>
          <w:color w:val="000000" w:themeColor="text1"/>
          <w:lang w:val="en-US"/>
        </w:rPr>
        <w:t>Active and legacy mining in an arid urban environment: challenges and perspectives for Copiap</w:t>
      </w:r>
      <w:proofErr w:type="gramStart"/>
      <w:r w:rsidRPr="000E0F90">
        <w:rPr>
          <w:rFonts w:ascii="Arial" w:hAnsi="Arial" w:cs="Arial"/>
          <w:color w:val="000000" w:themeColor="text1"/>
          <w:lang w:val="en-US"/>
        </w:rPr>
        <w:t>??,</w:t>
      </w:r>
      <w:proofErr w:type="gramEnd"/>
      <w:r w:rsidRPr="000E0F90">
        <w:rPr>
          <w:rFonts w:ascii="Arial" w:hAnsi="Arial" w:cs="Arial"/>
          <w:color w:val="000000" w:themeColor="text1"/>
          <w:lang w:val="en-US"/>
        </w:rPr>
        <w:t xml:space="preserve"> Northern Chile. Environmental Geochemistry and Health, 38, 1001–1014. http://doi.org/10.1007/s10653-016-9793-5</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lang w:val="en-US"/>
        </w:rPr>
        <w:t xml:space="preserve">Carlowitz, V. H. (1732). Economy of Silviculture: or Message and Instructions to mantain the Nature in Wild Arboriculture. </w:t>
      </w:r>
      <w:r w:rsidRPr="000E0F90">
        <w:rPr>
          <w:rFonts w:ascii="Arial" w:hAnsi="Arial" w:cs="Arial"/>
          <w:color w:val="000000" w:themeColor="text1"/>
        </w:rPr>
        <w:t>Leipzig: Friedrich Brauns Erben.</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rPr>
        <w:t xml:space="preserve">Casanova, M., Salazar, O., Seguel, O., &amp; Luzio, W. (2013). </w:t>
      </w:r>
      <w:proofErr w:type="gramStart"/>
      <w:r w:rsidRPr="000E0F90">
        <w:rPr>
          <w:rFonts w:ascii="Arial" w:hAnsi="Arial" w:cs="Arial"/>
          <w:color w:val="000000" w:themeColor="text1"/>
          <w:lang w:val="en-US"/>
        </w:rPr>
        <w:t>Main Feaures of Chilean Soils.</w:t>
      </w:r>
      <w:proofErr w:type="gramEnd"/>
      <w:r w:rsidRPr="000E0F90">
        <w:rPr>
          <w:rFonts w:ascii="Arial" w:hAnsi="Arial" w:cs="Arial"/>
          <w:color w:val="000000" w:themeColor="text1"/>
          <w:lang w:val="en-US"/>
        </w:rPr>
        <w:t xml:space="preserve"> </w:t>
      </w:r>
      <w:r w:rsidRPr="000E0F90">
        <w:rPr>
          <w:rFonts w:ascii="Arial" w:hAnsi="Arial" w:cs="Arial"/>
          <w:color w:val="000000" w:themeColor="text1"/>
        </w:rPr>
        <w:t xml:space="preserve">En M. Casanova, O. Salazar, O. Seguel, &amp; W. Luzio, The Solis of Chile (págs. </w:t>
      </w:r>
      <w:r w:rsidRPr="000E0F90">
        <w:rPr>
          <w:rFonts w:ascii="Arial" w:hAnsi="Arial" w:cs="Arial"/>
          <w:color w:val="000000" w:themeColor="text1"/>
          <w:lang w:val="en-US"/>
        </w:rPr>
        <w:t>25-98). Santiago: Springer.</w:t>
      </w:r>
    </w:p>
    <w:p w:rsidR="004A6A65" w:rsidRPr="000E0F90" w:rsidRDefault="004A6A65" w:rsidP="004A6A65">
      <w:pPr>
        <w:divId w:val="1427388170"/>
        <w:rPr>
          <w:rFonts w:ascii="Arial" w:hAnsi="Arial" w:cs="Arial"/>
          <w:color w:val="000000" w:themeColor="text1"/>
        </w:rPr>
      </w:pPr>
      <w:proofErr w:type="gramStart"/>
      <w:r w:rsidRPr="002A21E4">
        <w:rPr>
          <w:rFonts w:ascii="Arial" w:hAnsi="Arial" w:cs="Arial"/>
          <w:color w:val="000000" w:themeColor="text1"/>
          <w:lang w:val="en-US"/>
        </w:rPr>
        <w:t>Castilla-Gómez, J., &amp; Herrera-Herbert, J. (2015).</w:t>
      </w:r>
      <w:proofErr w:type="gramEnd"/>
      <w:r w:rsidRPr="002A21E4">
        <w:rPr>
          <w:rFonts w:ascii="Arial" w:hAnsi="Arial" w:cs="Arial"/>
          <w:color w:val="000000" w:themeColor="text1"/>
          <w:lang w:val="en-US"/>
        </w:rPr>
        <w:t xml:space="preserve"> </w:t>
      </w:r>
      <w:r w:rsidRPr="000E0F90">
        <w:rPr>
          <w:rFonts w:ascii="Arial" w:hAnsi="Arial" w:cs="Arial"/>
          <w:color w:val="000000" w:themeColor="text1"/>
          <w:lang w:val="en-US"/>
        </w:rPr>
        <w:t xml:space="preserve">Environmental analysis of mining operations: Dynamic tools for impact assessment. </w:t>
      </w:r>
      <w:r w:rsidRPr="000E0F90">
        <w:rPr>
          <w:rFonts w:ascii="Arial" w:hAnsi="Arial" w:cs="Arial"/>
          <w:color w:val="000000" w:themeColor="text1"/>
        </w:rPr>
        <w:t>Minerals Engineering, 76, 87–96. http://doi.org/10.1016/j.mineng.2014.10.024</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Castillo, G. (2003). "La vuelta de los años: Reseñas y perspectivas sobre comunidades, el pastoreo y la trashumancia de la región semiarida de Chile". En P. Livenais, &amp; X. Aranda, Dinámicas de los sistemas agrarios en Chile árido: La Región de Coquimbo.</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Cemat, C. E. de M. responsables de ordenación del T. (2000). Principios Directores para el Desarrollo Territorial Sostenible del Continente Europeo. Conferencia Europea de Ministros responsables de ordenación del territorio.</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Censo Agropecuario. (2007). Censo Agropecuario. Obtenido de http://www.censoagropecuario.cl/</w:t>
      </w:r>
    </w:p>
    <w:p w:rsidR="004A6A65" w:rsidRPr="002D30B3" w:rsidRDefault="004A6A65" w:rsidP="004A6A65">
      <w:pPr>
        <w:divId w:val="1427388170"/>
        <w:rPr>
          <w:rFonts w:ascii="Arial" w:hAnsi="Arial" w:cs="Arial"/>
          <w:color w:val="000000" w:themeColor="text1"/>
          <w:lang w:val="en-US"/>
        </w:rPr>
      </w:pPr>
      <w:r w:rsidRPr="000E0F90">
        <w:rPr>
          <w:rFonts w:ascii="Arial" w:hAnsi="Arial" w:cs="Arial"/>
          <w:color w:val="000000" w:themeColor="text1"/>
          <w:lang w:val="en-US"/>
        </w:rPr>
        <w:t xml:space="preserve">Cheshire, L. (2010). </w:t>
      </w:r>
      <w:proofErr w:type="gramStart"/>
      <w:r w:rsidRPr="000E0F90">
        <w:rPr>
          <w:rFonts w:ascii="Arial" w:hAnsi="Arial" w:cs="Arial"/>
          <w:color w:val="000000" w:themeColor="text1"/>
          <w:lang w:val="en-US"/>
        </w:rPr>
        <w:t>A corporate responsibility?</w:t>
      </w:r>
      <w:proofErr w:type="gramEnd"/>
      <w:r w:rsidRPr="000E0F90">
        <w:rPr>
          <w:rFonts w:ascii="Arial" w:hAnsi="Arial" w:cs="Arial"/>
          <w:color w:val="000000" w:themeColor="text1"/>
          <w:lang w:val="en-US"/>
        </w:rPr>
        <w:t xml:space="preserve"> The constitution of fly-in, fly-out mining companies as governance partners in remote, mine-affected localities. </w:t>
      </w:r>
      <w:r w:rsidRPr="002D30B3">
        <w:rPr>
          <w:rFonts w:ascii="Arial" w:hAnsi="Arial" w:cs="Arial"/>
          <w:color w:val="000000" w:themeColor="text1"/>
          <w:lang w:val="en-US"/>
        </w:rPr>
        <w:t>Journal of Rural Studies, 26(1), 12–20. http://doi.org/10.1016/j.jrurstud.2009.06.005</w:t>
      </w:r>
    </w:p>
    <w:p w:rsidR="004A6A65" w:rsidRPr="000E0F90" w:rsidRDefault="004A6A65" w:rsidP="004A6A65">
      <w:pPr>
        <w:divId w:val="1427388170"/>
        <w:rPr>
          <w:rFonts w:ascii="Arial" w:hAnsi="Arial" w:cs="Arial"/>
          <w:color w:val="000000" w:themeColor="text1"/>
        </w:rPr>
      </w:pPr>
      <w:proofErr w:type="gramStart"/>
      <w:r w:rsidRPr="002D30B3">
        <w:rPr>
          <w:rFonts w:ascii="Arial" w:hAnsi="Arial" w:cs="Arial"/>
          <w:color w:val="000000" w:themeColor="text1"/>
          <w:lang w:val="en-US"/>
        </w:rPr>
        <w:t>Chile, M. d. (2015).</w:t>
      </w:r>
      <w:proofErr w:type="gramEnd"/>
      <w:r w:rsidRPr="002D30B3">
        <w:rPr>
          <w:rFonts w:ascii="Arial" w:hAnsi="Arial" w:cs="Arial"/>
          <w:color w:val="000000" w:themeColor="text1"/>
          <w:lang w:val="en-US"/>
        </w:rPr>
        <w:t xml:space="preserve"> </w:t>
      </w:r>
      <w:r w:rsidRPr="000E0F90">
        <w:rPr>
          <w:rFonts w:ascii="Arial" w:hAnsi="Arial" w:cs="Arial"/>
          <w:color w:val="000000" w:themeColor="text1"/>
        </w:rPr>
        <w:t>Mapa de Conflictos Socioambientales en Chile. Obtenido de Mapa de Conflictos Socioambientales en Chile: http://mapaconflictos.indh.cl/mapa/que_es</w:t>
      </w:r>
    </w:p>
    <w:p w:rsidR="004A6A65" w:rsidRPr="000E0F90" w:rsidRDefault="004A6A65" w:rsidP="004A6A65">
      <w:pPr>
        <w:divId w:val="1427388170"/>
        <w:rPr>
          <w:rFonts w:ascii="Arial" w:hAnsi="Arial" w:cs="Arial"/>
          <w:color w:val="000000" w:themeColor="text1"/>
        </w:rPr>
      </w:pPr>
      <w:proofErr w:type="gramStart"/>
      <w:r w:rsidRPr="000E0F90">
        <w:rPr>
          <w:rFonts w:ascii="Arial" w:hAnsi="Arial" w:cs="Arial"/>
          <w:color w:val="000000" w:themeColor="text1"/>
          <w:lang w:val="en-US"/>
        </w:rPr>
        <w:t>Clayton, A., &amp; Radcliffe, N. (1996).</w:t>
      </w:r>
      <w:proofErr w:type="gramEnd"/>
      <w:r w:rsidRPr="000E0F90">
        <w:rPr>
          <w:rFonts w:ascii="Arial" w:hAnsi="Arial" w:cs="Arial"/>
          <w:color w:val="000000" w:themeColor="text1"/>
          <w:lang w:val="en-US"/>
        </w:rPr>
        <w:t xml:space="preserve"> Sustainability: a system aproach. </w:t>
      </w:r>
      <w:r w:rsidRPr="000E0F90">
        <w:rPr>
          <w:rFonts w:ascii="Arial" w:hAnsi="Arial" w:cs="Arial"/>
          <w:color w:val="000000" w:themeColor="text1"/>
        </w:rPr>
        <w:t>London: Earthscan.</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lastRenderedPageBreak/>
        <w:t>COE, C. o. (05 de Junio de 2015). European Landscape Convention. Obtenido de http://conventions.coe.int/Treaty/en/Treaties/Html/176.htm</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Coen, A. (2006). De sostenible y sustentable. Correo Del Maestro, 3–4.</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Comisión Chilena del Cobre. (08 de Febrero de 2017). Cochilco. Obtenido de https://www.cochilco.cl/</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CONAF. (2017). Corporación Nacional Forestal. Recuperado el 30 de 03 de 2017, de http://www.conaf.cl</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CONAMA. (2002). Estrategia Regional y Plan de Acción de la Biodiversidad IV región Coquimbo. Santiago: Gobierno de Chile.</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 xml:space="preserve">CONAMA. (2009). Estrategia y Plan de Acción para la Cosnervación y Uso Sustentable de la Biodiversidad de Atacama 2010-2017. Comite Regional de </w:t>
      </w:r>
      <w:proofErr w:type="gramStart"/>
      <w:r w:rsidRPr="000E0F90">
        <w:rPr>
          <w:rFonts w:ascii="Arial" w:hAnsi="Arial" w:cs="Arial"/>
          <w:color w:val="000000" w:themeColor="text1"/>
        </w:rPr>
        <w:t>Biodiversidad .</w:t>
      </w:r>
      <w:proofErr w:type="gramEnd"/>
    </w:p>
    <w:p w:rsidR="004A6A65" w:rsidRPr="000E0F90" w:rsidRDefault="004A6A65" w:rsidP="004A6A65">
      <w:pPr>
        <w:divId w:val="1427388170"/>
        <w:rPr>
          <w:rFonts w:ascii="Arial" w:hAnsi="Arial" w:cs="Arial"/>
          <w:color w:val="000000" w:themeColor="text1"/>
          <w:lang w:val="en-US"/>
        </w:rPr>
      </w:pPr>
      <w:r w:rsidRPr="002D30B3">
        <w:rPr>
          <w:rFonts w:ascii="Arial" w:hAnsi="Arial" w:cs="Arial"/>
          <w:color w:val="000000" w:themeColor="text1"/>
        </w:rPr>
        <w:t xml:space="preserve">Conesa, H. M., Schulin, R., &amp; Nowack, B. (2008). </w:t>
      </w:r>
      <w:r w:rsidRPr="000E0F90">
        <w:rPr>
          <w:rFonts w:ascii="Arial" w:hAnsi="Arial" w:cs="Arial"/>
          <w:color w:val="000000" w:themeColor="text1"/>
          <w:lang w:val="en-US"/>
        </w:rPr>
        <w:t>Mining landscape: A cultural tourist opportunity or an environmental problem? Ecological Economics, 64(4), 690–700. http://doi.org/10.1016/j.ecolecon.2007.06.023</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Conroy, M. M., &amp; Berke, P. R. (2004).</w:t>
      </w:r>
      <w:proofErr w:type="gramEnd"/>
      <w:r w:rsidRPr="000E0F90">
        <w:rPr>
          <w:rFonts w:ascii="Arial" w:hAnsi="Arial" w:cs="Arial"/>
          <w:color w:val="000000" w:themeColor="text1"/>
          <w:lang w:val="en-US"/>
        </w:rPr>
        <w:t xml:space="preserve"> What makes a good sustainable development plan? </w:t>
      </w:r>
      <w:proofErr w:type="gramStart"/>
      <w:r w:rsidRPr="000E0F90">
        <w:rPr>
          <w:rFonts w:ascii="Arial" w:hAnsi="Arial" w:cs="Arial"/>
          <w:color w:val="000000" w:themeColor="text1"/>
          <w:lang w:val="en-US"/>
        </w:rPr>
        <w:t>An analysis of factors that influence principles of sustainable development.</w:t>
      </w:r>
      <w:proofErr w:type="gramEnd"/>
      <w:r w:rsidRPr="000E0F90">
        <w:rPr>
          <w:rFonts w:ascii="Arial" w:hAnsi="Arial" w:cs="Arial"/>
          <w:color w:val="000000" w:themeColor="text1"/>
          <w:lang w:val="en-US"/>
        </w:rPr>
        <w:t xml:space="preserve"> </w:t>
      </w:r>
      <w:proofErr w:type="gramStart"/>
      <w:r w:rsidRPr="000E0F90">
        <w:rPr>
          <w:rFonts w:ascii="Arial" w:hAnsi="Arial" w:cs="Arial"/>
          <w:color w:val="000000" w:themeColor="text1"/>
          <w:lang w:val="en-US"/>
        </w:rPr>
        <w:t>Environment and Planning A, 36, 1381–1396.</w:t>
      </w:r>
      <w:proofErr w:type="gramEnd"/>
      <w:r w:rsidRPr="000E0F90">
        <w:rPr>
          <w:rFonts w:ascii="Arial" w:hAnsi="Arial" w:cs="Arial"/>
          <w:color w:val="000000" w:themeColor="text1"/>
          <w:lang w:val="en-US"/>
        </w:rPr>
        <w:t xml:space="preserve"> http://doi.org/10.1068/a367</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lang w:val="en-US"/>
        </w:rPr>
        <w:t xml:space="preserve">Consejo Minero. </w:t>
      </w:r>
      <w:r w:rsidRPr="000E0F90">
        <w:rPr>
          <w:rFonts w:ascii="Arial" w:hAnsi="Arial" w:cs="Arial"/>
          <w:color w:val="000000" w:themeColor="text1"/>
        </w:rPr>
        <w:t>(08 de Febrero de 2017). Obtenido de http://www.consejominero.cl</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Cornely, F. (1956). Cultura Diaguita y Cultura Molle. Santiago: Editorial del Pacífico.</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rPr>
        <w:t xml:space="preserve">Cortés, H. (2003). Evolución de la propiedad agraria en el Norte Chico (Siglos XVI-XIX). En P. Livenais, &amp; X. Aranda, Dinámicas de los sistemas agrarios en Chile árido: La región de Coquimbo (págs. </w:t>
      </w:r>
      <w:r w:rsidRPr="000E0F90">
        <w:rPr>
          <w:rFonts w:ascii="Arial" w:hAnsi="Arial" w:cs="Arial"/>
          <w:color w:val="000000" w:themeColor="text1"/>
          <w:lang w:val="en-US"/>
        </w:rPr>
        <w:t>34-64).</w:t>
      </w:r>
    </w:p>
    <w:p w:rsidR="004A6A65" w:rsidRPr="000E0F90" w:rsidRDefault="004A6A65" w:rsidP="004A6A65">
      <w:pPr>
        <w:divId w:val="1427388170"/>
        <w:rPr>
          <w:rFonts w:ascii="Arial" w:hAnsi="Arial" w:cs="Arial"/>
          <w:color w:val="000000" w:themeColor="text1"/>
          <w:lang w:val="en-US"/>
        </w:rPr>
      </w:pPr>
      <w:r w:rsidRPr="00B17364">
        <w:rPr>
          <w:rFonts w:ascii="Arial" w:hAnsi="Arial" w:cs="Arial"/>
          <w:color w:val="000000" w:themeColor="text1"/>
        </w:rPr>
        <w:t xml:space="preserve">Costanza, R., &amp; Daly, H. E. (1992). </w:t>
      </w:r>
      <w:r w:rsidRPr="000E0F90">
        <w:rPr>
          <w:rFonts w:ascii="Arial" w:hAnsi="Arial" w:cs="Arial"/>
          <w:color w:val="000000" w:themeColor="text1"/>
          <w:lang w:val="en-US"/>
        </w:rPr>
        <w:t>Capital Natural Development Sustainable. Society for Conservation Biology, 6(1), 37–46. http://doi.org/10.1111/j.1365-2036.2008.03913.x</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rPr>
        <w:t xml:space="preserve">Costanza, R., &amp; Patten, B. C. (1995). </w:t>
      </w:r>
      <w:r w:rsidRPr="000E0F90">
        <w:rPr>
          <w:rFonts w:ascii="Arial" w:hAnsi="Arial" w:cs="Arial"/>
          <w:color w:val="000000" w:themeColor="text1"/>
          <w:lang w:val="en-US"/>
        </w:rPr>
        <w:t>Defining and predicting sustainability. Ecological Economics, 15, 193–196. http://doi.org/10.1016/0921-</w:t>
      </w:r>
      <w:proofErr w:type="gramStart"/>
      <w:r w:rsidRPr="000E0F90">
        <w:rPr>
          <w:rFonts w:ascii="Arial" w:hAnsi="Arial" w:cs="Arial"/>
          <w:color w:val="000000" w:themeColor="text1"/>
          <w:lang w:val="en-US"/>
        </w:rPr>
        <w:t>8009(</w:t>
      </w:r>
      <w:proofErr w:type="gramEnd"/>
      <w:r w:rsidRPr="000E0F90">
        <w:rPr>
          <w:rFonts w:ascii="Arial" w:hAnsi="Arial" w:cs="Arial"/>
          <w:color w:val="000000" w:themeColor="text1"/>
          <w:lang w:val="en-US"/>
        </w:rPr>
        <w:t>95)00048-8</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Daher, A. (2015).</w:t>
      </w:r>
      <w:proofErr w:type="gramEnd"/>
      <w:r w:rsidRPr="000E0F90">
        <w:rPr>
          <w:rFonts w:ascii="Arial" w:hAnsi="Arial" w:cs="Arial"/>
          <w:color w:val="000000" w:themeColor="text1"/>
          <w:lang w:val="en-US"/>
        </w:rPr>
        <w:t xml:space="preserve"> Cluster Minero, 25–35.</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Dale, V., Brown, S., &amp; Haeuber, R. (2000).</w:t>
      </w:r>
      <w:proofErr w:type="gramEnd"/>
      <w:r w:rsidRPr="000E0F90">
        <w:rPr>
          <w:rFonts w:ascii="Arial" w:hAnsi="Arial" w:cs="Arial"/>
          <w:color w:val="000000" w:themeColor="text1"/>
          <w:lang w:val="en-US"/>
        </w:rPr>
        <w:t xml:space="preserve"> </w:t>
      </w:r>
      <w:proofErr w:type="gramStart"/>
      <w:r w:rsidRPr="000E0F90">
        <w:rPr>
          <w:rFonts w:ascii="Arial" w:hAnsi="Arial" w:cs="Arial"/>
          <w:color w:val="000000" w:themeColor="text1"/>
          <w:lang w:val="en-US"/>
        </w:rPr>
        <w:t>Ecological Principles and Guidelines for Managing the use of Land.</w:t>
      </w:r>
      <w:proofErr w:type="gramEnd"/>
      <w:r w:rsidRPr="000E0F90">
        <w:rPr>
          <w:rFonts w:ascii="Arial" w:hAnsi="Arial" w:cs="Arial"/>
          <w:color w:val="000000" w:themeColor="text1"/>
          <w:lang w:val="en-US"/>
        </w:rPr>
        <w:t xml:space="preserve"> Ecological Applications, 10(3), 639–670. http://doi.org/10.1890/0012-</w:t>
      </w:r>
      <w:proofErr w:type="gramStart"/>
      <w:r w:rsidRPr="000E0F90">
        <w:rPr>
          <w:rFonts w:ascii="Arial" w:hAnsi="Arial" w:cs="Arial"/>
          <w:color w:val="000000" w:themeColor="text1"/>
          <w:lang w:val="en-US"/>
        </w:rPr>
        <w:t>9623(</w:t>
      </w:r>
      <w:proofErr w:type="gramEnd"/>
      <w:r w:rsidRPr="000E0F90">
        <w:rPr>
          <w:rFonts w:ascii="Arial" w:hAnsi="Arial" w:cs="Arial"/>
          <w:color w:val="000000" w:themeColor="text1"/>
          <w:lang w:val="en-US"/>
        </w:rPr>
        <w:t>2000)081[0272:EPCOE]2.0.CO;2</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Darling, P. (2011).</w:t>
      </w:r>
      <w:proofErr w:type="gramEnd"/>
      <w:r w:rsidRPr="000E0F90">
        <w:rPr>
          <w:rFonts w:ascii="Arial" w:hAnsi="Arial" w:cs="Arial"/>
          <w:color w:val="000000" w:themeColor="text1"/>
          <w:lang w:val="en-US"/>
        </w:rPr>
        <w:t xml:space="preserve"> SME Mining Engineering Handbook, Third Edition, 1912. Retrieved from https://books.google.ru/books?id=5uq-kdfHLWUC</w:t>
      </w:r>
    </w:p>
    <w:p w:rsidR="004A6A65" w:rsidRPr="000E0F90" w:rsidRDefault="004A6A65" w:rsidP="004A6A65">
      <w:pPr>
        <w:divId w:val="1427388170"/>
        <w:rPr>
          <w:rFonts w:ascii="Arial" w:hAnsi="Arial" w:cs="Arial"/>
          <w:color w:val="000000" w:themeColor="text1"/>
          <w:lang w:val="en-US"/>
        </w:rPr>
      </w:pPr>
      <w:proofErr w:type="gramStart"/>
      <w:r w:rsidRPr="002A21E4">
        <w:rPr>
          <w:rFonts w:ascii="Arial" w:hAnsi="Arial" w:cs="Arial"/>
          <w:color w:val="000000" w:themeColor="text1"/>
          <w:lang w:val="en-US"/>
        </w:rPr>
        <w:lastRenderedPageBreak/>
        <w:t>De Bolós, M. (1992).</w:t>
      </w:r>
      <w:proofErr w:type="gramEnd"/>
      <w:r w:rsidRPr="002A21E4">
        <w:rPr>
          <w:rFonts w:ascii="Arial" w:hAnsi="Arial" w:cs="Arial"/>
          <w:color w:val="000000" w:themeColor="text1"/>
          <w:lang w:val="en-US"/>
        </w:rPr>
        <w:t xml:space="preserve"> </w:t>
      </w:r>
      <w:r w:rsidRPr="000E0F90">
        <w:rPr>
          <w:rFonts w:ascii="Arial" w:hAnsi="Arial" w:cs="Arial"/>
          <w:color w:val="000000" w:themeColor="text1"/>
        </w:rPr>
        <w:t xml:space="preserve">Manual de ciencia del </w:t>
      </w:r>
      <w:proofErr w:type="gramStart"/>
      <w:r w:rsidRPr="000E0F90">
        <w:rPr>
          <w:rFonts w:ascii="Arial" w:hAnsi="Arial" w:cs="Arial"/>
          <w:color w:val="000000" w:themeColor="text1"/>
        </w:rPr>
        <w:t>paisaje :</w:t>
      </w:r>
      <w:proofErr w:type="gramEnd"/>
      <w:r w:rsidRPr="000E0F90">
        <w:rPr>
          <w:rFonts w:ascii="Arial" w:hAnsi="Arial" w:cs="Arial"/>
          <w:color w:val="000000" w:themeColor="text1"/>
        </w:rPr>
        <w:t xml:space="preserve"> teoría, métodos y aplicaciones. </w:t>
      </w:r>
      <w:r w:rsidRPr="000E0F90">
        <w:rPr>
          <w:rFonts w:ascii="Arial" w:hAnsi="Arial" w:cs="Arial"/>
          <w:color w:val="000000" w:themeColor="text1"/>
          <w:lang w:val="en-US"/>
        </w:rPr>
        <w:t>Barcelona: Masson.</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lang w:val="en-US"/>
        </w:rPr>
        <w:t>Delaney, D. (2005). Territiry: A short introduction. Oxford: Blackwell Publishing.</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DGA. (14 de Febrero de 2017). Dirección General de Aguas. Obtenido de Decretos declaración zonas de escasez vigente: http://www.dga.cl/</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DGA. (2004). Diagnóstico y clasificación de los cursos y cuerpos de agua segun objetivos de calidad. Cuenca de río Choapa. Ministerio de Obras Públicas, Dirección General de Aguas, Santiago.</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DGA. (2004). Diagnóstico y clasificación de los cursos y cuerpos de agua según objetivos de calidad. Cuenca del Río Copiapó. Santiago: CADE IDEPE.</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DGA. (2004). Diagnóstico y clasificación de los cursos y cuerpos de agua según objetivos de calidad. Cuenca del Río Huasco. Santiago: Direción general de Aguas.</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DGA. (2017). Dirección General de Aguas. Recuperado el 30 de 03 de 2017, de Ministerio de Obras Públicas: http://snia.dga.cl/BNAConsultas/reportes</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rPr>
        <w:t xml:space="preserve">Dimitrios, Pesmatzoglou, Ioannis, Nikolaou, Konstantinos, Evangelinos, &amp; Allan, s. (2014). </w:t>
      </w:r>
      <w:r w:rsidRPr="000E0F90">
        <w:rPr>
          <w:rFonts w:ascii="Arial" w:hAnsi="Arial" w:cs="Arial"/>
          <w:color w:val="000000" w:themeColor="text1"/>
          <w:lang w:val="en-US"/>
        </w:rPr>
        <w:t>Review article extractive multinationals and corporate social responsibility : a commitment towards achieving the goals of sustainable development or only a management strategy </w:t>
      </w:r>
      <w:proofErr w:type="gramStart"/>
      <w:r w:rsidRPr="000E0F90">
        <w:rPr>
          <w:rFonts w:ascii="Arial" w:hAnsi="Arial" w:cs="Arial"/>
          <w:color w:val="000000" w:themeColor="text1"/>
          <w:lang w:val="en-US"/>
        </w:rPr>
        <w:t>?,</w:t>
      </w:r>
      <w:proofErr w:type="gramEnd"/>
      <w:r w:rsidRPr="000E0F90">
        <w:rPr>
          <w:rFonts w:ascii="Arial" w:hAnsi="Arial" w:cs="Arial"/>
          <w:color w:val="000000" w:themeColor="text1"/>
          <w:lang w:val="en-US"/>
        </w:rPr>
        <w:t xml:space="preserve"> 206(august 2012), 187–206. Http://doi.org/10.1002/jid</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Dresner, S. (2008).</w:t>
      </w:r>
      <w:proofErr w:type="gramEnd"/>
      <w:r w:rsidRPr="000E0F90">
        <w:rPr>
          <w:rFonts w:ascii="Arial" w:hAnsi="Arial" w:cs="Arial"/>
          <w:color w:val="000000" w:themeColor="text1"/>
          <w:lang w:val="en-US"/>
        </w:rPr>
        <w:t xml:space="preserve"> </w:t>
      </w:r>
      <w:proofErr w:type="gramStart"/>
      <w:r w:rsidRPr="000E0F90">
        <w:rPr>
          <w:rFonts w:ascii="Arial" w:hAnsi="Arial" w:cs="Arial"/>
          <w:color w:val="000000" w:themeColor="text1"/>
          <w:lang w:val="en-US"/>
        </w:rPr>
        <w:t>The principles of sustainability.</w:t>
      </w:r>
      <w:proofErr w:type="gramEnd"/>
      <w:r w:rsidRPr="000E0F90">
        <w:rPr>
          <w:rFonts w:ascii="Arial" w:hAnsi="Arial" w:cs="Arial"/>
          <w:color w:val="000000" w:themeColor="text1"/>
          <w:lang w:val="en-US"/>
        </w:rPr>
        <w:t xml:space="preserve"> London: Earthscan.</w:t>
      </w:r>
    </w:p>
    <w:p w:rsidR="004A6A65" w:rsidRPr="000E0F90" w:rsidRDefault="004A6A65" w:rsidP="004A6A65">
      <w:pPr>
        <w:divId w:val="1427388170"/>
        <w:rPr>
          <w:rFonts w:ascii="Arial" w:hAnsi="Arial" w:cs="Arial"/>
          <w:color w:val="000000" w:themeColor="text1"/>
          <w:lang w:val="en-US"/>
        </w:rPr>
      </w:pPr>
      <w:proofErr w:type="gramStart"/>
      <w:r w:rsidRPr="002A21E4">
        <w:rPr>
          <w:rFonts w:ascii="Arial" w:hAnsi="Arial" w:cs="Arial"/>
          <w:color w:val="000000" w:themeColor="text1"/>
          <w:lang w:val="en-US"/>
        </w:rPr>
        <w:t>Dudka, S., &amp; Adriano, D. C. (1997).</w:t>
      </w:r>
      <w:proofErr w:type="gramEnd"/>
      <w:r w:rsidRPr="002A21E4">
        <w:rPr>
          <w:rFonts w:ascii="Arial" w:hAnsi="Arial" w:cs="Arial"/>
          <w:color w:val="000000" w:themeColor="text1"/>
          <w:lang w:val="en-US"/>
        </w:rPr>
        <w:t xml:space="preserve"> </w:t>
      </w:r>
      <w:r w:rsidRPr="000E0F90">
        <w:rPr>
          <w:rFonts w:ascii="Arial" w:hAnsi="Arial" w:cs="Arial"/>
          <w:color w:val="000000" w:themeColor="text1"/>
          <w:lang w:val="en-US"/>
        </w:rPr>
        <w:t xml:space="preserve">Environmental Impacts of Metal Ore Mining and Processing: A Review. </w:t>
      </w:r>
      <w:proofErr w:type="gramStart"/>
      <w:r w:rsidRPr="000E0F90">
        <w:rPr>
          <w:rFonts w:ascii="Arial" w:hAnsi="Arial" w:cs="Arial"/>
          <w:color w:val="000000" w:themeColor="text1"/>
          <w:lang w:val="en-US"/>
        </w:rPr>
        <w:t>Journal of Environment Quality, 26, 590.</w:t>
      </w:r>
      <w:proofErr w:type="gramEnd"/>
      <w:r w:rsidRPr="000E0F90">
        <w:rPr>
          <w:rFonts w:ascii="Arial" w:hAnsi="Arial" w:cs="Arial"/>
          <w:color w:val="000000" w:themeColor="text1"/>
          <w:lang w:val="en-US"/>
        </w:rPr>
        <w:t xml:space="preserve"> http://doi.org/10.2134/jeq1997.00472425002600030003x</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lang w:val="en-US"/>
        </w:rPr>
        <w:t xml:space="preserve">Ekins, P., Simon, S., Deutsch, L., Folke, C., &amp; De Groot, R. (2003). </w:t>
      </w:r>
      <w:proofErr w:type="gramStart"/>
      <w:r w:rsidRPr="000E0F90">
        <w:rPr>
          <w:rFonts w:ascii="Arial" w:hAnsi="Arial" w:cs="Arial"/>
          <w:color w:val="000000" w:themeColor="text1"/>
          <w:lang w:val="en-US"/>
        </w:rPr>
        <w:t>A framework for the practical application of the concepts of critical natural capital and strong sustainability.</w:t>
      </w:r>
      <w:proofErr w:type="gramEnd"/>
      <w:r w:rsidRPr="000E0F90">
        <w:rPr>
          <w:rFonts w:ascii="Arial" w:hAnsi="Arial" w:cs="Arial"/>
          <w:color w:val="000000" w:themeColor="text1"/>
          <w:lang w:val="en-US"/>
        </w:rPr>
        <w:t xml:space="preserve"> Ecological Economics, 44, 165–185. http://doi.org/10.1016/S0921-</w:t>
      </w:r>
      <w:proofErr w:type="gramStart"/>
      <w:r w:rsidRPr="000E0F90">
        <w:rPr>
          <w:rFonts w:ascii="Arial" w:hAnsi="Arial" w:cs="Arial"/>
          <w:color w:val="000000" w:themeColor="text1"/>
          <w:lang w:val="en-US"/>
        </w:rPr>
        <w:t>8009(</w:t>
      </w:r>
      <w:proofErr w:type="gramEnd"/>
      <w:r w:rsidRPr="000E0F90">
        <w:rPr>
          <w:rFonts w:ascii="Arial" w:hAnsi="Arial" w:cs="Arial"/>
          <w:color w:val="000000" w:themeColor="text1"/>
          <w:lang w:val="en-US"/>
        </w:rPr>
        <w:t>02)00272-0</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lang w:val="en-US"/>
        </w:rPr>
        <w:t xml:space="preserve">Elkington, J. (1997). </w:t>
      </w:r>
      <w:proofErr w:type="gramStart"/>
      <w:r w:rsidRPr="000E0F90">
        <w:rPr>
          <w:rFonts w:ascii="Arial" w:hAnsi="Arial" w:cs="Arial"/>
          <w:color w:val="000000" w:themeColor="text1"/>
          <w:lang w:val="en-US"/>
        </w:rPr>
        <w:t>Canibals with forks.</w:t>
      </w:r>
      <w:proofErr w:type="gramEnd"/>
      <w:r w:rsidRPr="000E0F90">
        <w:rPr>
          <w:rFonts w:ascii="Arial" w:hAnsi="Arial" w:cs="Arial"/>
          <w:color w:val="000000" w:themeColor="text1"/>
          <w:lang w:val="en-US"/>
        </w:rPr>
        <w:t xml:space="preserve"> </w:t>
      </w:r>
      <w:r w:rsidRPr="000E0F90">
        <w:rPr>
          <w:rFonts w:ascii="Arial" w:hAnsi="Arial" w:cs="Arial"/>
          <w:color w:val="000000" w:themeColor="text1"/>
        </w:rPr>
        <w:t>Oxford, United Kingdom: Capstone.</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Empresa Nacional de Minería. (08 de Febrero de 2017). Enami. Obtenido de http://www.enami.cl/</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Erlwein, A., Lara, A., &amp; Pradenas, A. (2008). Industria de celulosa en Chile: Un modelo de desarrollo no sustentable. En A. Monjeau, A. Parera, &amp; E. Lacour, Ecofilosofía (págs. 141-179). Argentina-Brazil: Universidad Atlántida.</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Etymonline. (2016). www.etymonline.com. Recuperado el 11 de Octubre de 2016, de Online Etimology Dictionary: http://www.etymonline.com/</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lastRenderedPageBreak/>
        <w:t>Faber, N., Jorna, R., &amp; Van Engelen, J. (2005).</w:t>
      </w:r>
      <w:proofErr w:type="gramEnd"/>
      <w:r w:rsidRPr="000E0F90">
        <w:rPr>
          <w:rFonts w:ascii="Arial" w:hAnsi="Arial" w:cs="Arial"/>
          <w:color w:val="000000" w:themeColor="text1"/>
          <w:lang w:val="en-US"/>
        </w:rPr>
        <w:t xml:space="preserve"> </w:t>
      </w:r>
      <w:proofErr w:type="gramStart"/>
      <w:r w:rsidRPr="000E0F90">
        <w:rPr>
          <w:rFonts w:ascii="Arial" w:hAnsi="Arial" w:cs="Arial"/>
          <w:color w:val="000000" w:themeColor="text1"/>
          <w:lang w:val="en-US"/>
        </w:rPr>
        <w:t>the</w:t>
      </w:r>
      <w:proofErr w:type="gramEnd"/>
      <w:r w:rsidRPr="000E0F90">
        <w:rPr>
          <w:rFonts w:ascii="Arial" w:hAnsi="Arial" w:cs="Arial"/>
          <w:color w:val="000000" w:themeColor="text1"/>
          <w:lang w:val="en-US"/>
        </w:rPr>
        <w:t xml:space="preserve"> Sustainability of “Sustainability” — a Study Into the Conceptual Foundations of the Notion of “Sustainability.” Journal of Environmental Assessment Policy and Management, 07(1), 1–33. http://doi.org/10.1142/S1464333205001955</w:t>
      </w:r>
    </w:p>
    <w:p w:rsidR="004A6A65" w:rsidRPr="002D30B3"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Fitzpatrick, P., Fonseca, A., &amp; McAllister, M. L. (2011).</w:t>
      </w:r>
      <w:proofErr w:type="gramEnd"/>
      <w:r w:rsidRPr="000E0F90">
        <w:rPr>
          <w:rFonts w:ascii="Arial" w:hAnsi="Arial" w:cs="Arial"/>
          <w:color w:val="000000" w:themeColor="text1"/>
          <w:lang w:val="en-US"/>
        </w:rPr>
        <w:t xml:space="preserve"> From the Whitehorse Mining Initiative </w:t>
      </w:r>
      <w:proofErr w:type="gramStart"/>
      <w:r w:rsidRPr="000E0F90">
        <w:rPr>
          <w:rFonts w:ascii="Arial" w:hAnsi="Arial" w:cs="Arial"/>
          <w:color w:val="000000" w:themeColor="text1"/>
          <w:lang w:val="en-US"/>
        </w:rPr>
        <w:t>Towards</w:t>
      </w:r>
      <w:proofErr w:type="gramEnd"/>
      <w:r w:rsidRPr="000E0F90">
        <w:rPr>
          <w:rFonts w:ascii="Arial" w:hAnsi="Arial" w:cs="Arial"/>
          <w:color w:val="000000" w:themeColor="text1"/>
          <w:lang w:val="en-US"/>
        </w:rPr>
        <w:t xml:space="preserve"> Sustainable Mining: lessons learned. </w:t>
      </w:r>
      <w:r w:rsidRPr="002D30B3">
        <w:rPr>
          <w:rFonts w:ascii="Arial" w:hAnsi="Arial" w:cs="Arial"/>
          <w:color w:val="000000" w:themeColor="text1"/>
          <w:lang w:val="en-US"/>
        </w:rPr>
        <w:t>Journal of Cleaner Production, 19(4), 376–384. http://doi.org/10.1016/j.jclepro.2010.10.013</w:t>
      </w:r>
    </w:p>
    <w:p w:rsidR="004A6A65" w:rsidRPr="000E0F90" w:rsidRDefault="004A6A65" w:rsidP="004A6A65">
      <w:pPr>
        <w:divId w:val="1427388170"/>
        <w:rPr>
          <w:rFonts w:ascii="Arial" w:hAnsi="Arial" w:cs="Arial"/>
          <w:color w:val="000000" w:themeColor="text1"/>
        </w:rPr>
      </w:pPr>
      <w:proofErr w:type="gramStart"/>
      <w:r w:rsidRPr="002D30B3">
        <w:rPr>
          <w:rFonts w:ascii="Arial" w:hAnsi="Arial" w:cs="Arial"/>
          <w:color w:val="000000" w:themeColor="text1"/>
          <w:lang w:val="en-US"/>
        </w:rPr>
        <w:t>Folchi, M. (2001).</w:t>
      </w:r>
      <w:proofErr w:type="gramEnd"/>
      <w:r w:rsidRPr="002D30B3">
        <w:rPr>
          <w:rFonts w:ascii="Arial" w:hAnsi="Arial" w:cs="Arial"/>
          <w:color w:val="000000" w:themeColor="text1"/>
          <w:lang w:val="en-US"/>
        </w:rPr>
        <w:t xml:space="preserve"> </w:t>
      </w:r>
      <w:r w:rsidRPr="000E0F90">
        <w:rPr>
          <w:rFonts w:ascii="Arial" w:hAnsi="Arial" w:cs="Arial"/>
          <w:color w:val="000000" w:themeColor="text1"/>
        </w:rPr>
        <w:t>Conflictos de contenido ambiental y ecologismo de los pobres: no siempre pobres, ni siempre ecologistas. Ecoogía política, 22, 79-101.</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rPr>
        <w:t xml:space="preserve">Folchi, M. (2001). La Insustentabilidad De La Industria Del Cobre En Chile : Los Hornos Y Los Bosques. </w:t>
      </w:r>
      <w:r w:rsidRPr="000E0F90">
        <w:rPr>
          <w:rFonts w:ascii="Arial" w:hAnsi="Arial" w:cs="Arial"/>
          <w:color w:val="000000" w:themeColor="text1"/>
          <w:lang w:val="en-US"/>
        </w:rPr>
        <w:t>Revista Mapocho, 49, 149–175.</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Fonseca, A., McAllister, M. L., &amp; Fitzpatrick, P. (2012).</w:t>
      </w:r>
      <w:proofErr w:type="gramEnd"/>
      <w:r w:rsidRPr="000E0F90">
        <w:rPr>
          <w:rFonts w:ascii="Arial" w:hAnsi="Arial" w:cs="Arial"/>
          <w:color w:val="000000" w:themeColor="text1"/>
          <w:lang w:val="en-US"/>
        </w:rPr>
        <w:t xml:space="preserve"> Sustainability reporting among mining corporations: a constructive critique of the GRI approach. </w:t>
      </w:r>
      <w:proofErr w:type="gramStart"/>
      <w:r w:rsidRPr="000E0F90">
        <w:rPr>
          <w:rFonts w:ascii="Arial" w:hAnsi="Arial" w:cs="Arial"/>
          <w:color w:val="000000" w:themeColor="text1"/>
          <w:lang w:val="en-US"/>
        </w:rPr>
        <w:t>Journal of Cleaner Production.</w:t>
      </w:r>
      <w:proofErr w:type="gramEnd"/>
      <w:r w:rsidRPr="000E0F90">
        <w:rPr>
          <w:rFonts w:ascii="Arial" w:hAnsi="Arial" w:cs="Arial"/>
          <w:color w:val="000000" w:themeColor="text1"/>
          <w:lang w:val="en-US"/>
        </w:rPr>
        <w:t xml:space="preserve"> http://doi.org/10.1016/j.jclepro.2012.11.050</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Fonseca, A., McAllister, M. L., &amp; Fitzpatrick, P. (2013).</w:t>
      </w:r>
      <w:proofErr w:type="gramEnd"/>
      <w:r w:rsidRPr="000E0F90">
        <w:rPr>
          <w:rFonts w:ascii="Arial" w:hAnsi="Arial" w:cs="Arial"/>
          <w:color w:val="000000" w:themeColor="text1"/>
          <w:lang w:val="en-US"/>
        </w:rPr>
        <w:t xml:space="preserve"> Measuring what? </w:t>
      </w:r>
      <w:proofErr w:type="gramStart"/>
      <w:r w:rsidRPr="000E0F90">
        <w:rPr>
          <w:rFonts w:ascii="Arial" w:hAnsi="Arial" w:cs="Arial"/>
          <w:color w:val="000000" w:themeColor="text1"/>
          <w:lang w:val="en-US"/>
        </w:rPr>
        <w:t>A comparative anatomy of five mining sustainability frameworks.</w:t>
      </w:r>
      <w:proofErr w:type="gramEnd"/>
      <w:r w:rsidRPr="000E0F90">
        <w:rPr>
          <w:rFonts w:ascii="Arial" w:hAnsi="Arial" w:cs="Arial"/>
          <w:color w:val="000000" w:themeColor="text1"/>
          <w:lang w:val="en-US"/>
        </w:rPr>
        <w:t xml:space="preserve"> </w:t>
      </w:r>
      <w:proofErr w:type="gramStart"/>
      <w:r w:rsidRPr="000E0F90">
        <w:rPr>
          <w:rFonts w:ascii="Arial" w:hAnsi="Arial" w:cs="Arial"/>
          <w:color w:val="000000" w:themeColor="text1"/>
          <w:lang w:val="en-US"/>
        </w:rPr>
        <w:t>Minerals Engineering, 46-47, 180–186.</w:t>
      </w:r>
      <w:proofErr w:type="gramEnd"/>
      <w:r w:rsidRPr="000E0F90">
        <w:rPr>
          <w:rFonts w:ascii="Arial" w:hAnsi="Arial" w:cs="Arial"/>
          <w:color w:val="000000" w:themeColor="text1"/>
          <w:lang w:val="en-US"/>
        </w:rPr>
        <w:t xml:space="preserve"> http://doi.org/10.1016/j.mineng.2013.04.008</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Franks, D. M., Brereton, D., &amp; Moran, C. J. (2010).</w:t>
      </w:r>
      <w:proofErr w:type="gramEnd"/>
      <w:r w:rsidRPr="000E0F90">
        <w:rPr>
          <w:rFonts w:ascii="Arial" w:hAnsi="Arial" w:cs="Arial"/>
          <w:color w:val="000000" w:themeColor="text1"/>
          <w:lang w:val="en-US"/>
        </w:rPr>
        <w:t xml:space="preserve"> </w:t>
      </w:r>
      <w:proofErr w:type="gramStart"/>
      <w:r w:rsidRPr="000E0F90">
        <w:rPr>
          <w:rFonts w:ascii="Arial" w:hAnsi="Arial" w:cs="Arial"/>
          <w:color w:val="000000" w:themeColor="text1"/>
          <w:lang w:val="en-US"/>
        </w:rPr>
        <w:t>Managing the cumulative impacts of coal mining on regional communities and environments in Australia.</w:t>
      </w:r>
      <w:proofErr w:type="gramEnd"/>
      <w:r w:rsidRPr="000E0F90">
        <w:rPr>
          <w:rFonts w:ascii="Arial" w:hAnsi="Arial" w:cs="Arial"/>
          <w:color w:val="000000" w:themeColor="text1"/>
          <w:lang w:val="en-US"/>
        </w:rPr>
        <w:t xml:space="preserve"> Impact Assessment and Project Appraisal, 28(4), 299–312. http://doi.org/10.3152/146155110X12838715793129</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lang w:val="en-US"/>
        </w:rPr>
        <w:t xml:space="preserve">Gallardo, J. (2006). </w:t>
      </w:r>
      <w:r w:rsidRPr="000E0F90">
        <w:rPr>
          <w:rFonts w:ascii="Arial" w:hAnsi="Arial" w:cs="Arial"/>
          <w:color w:val="000000" w:themeColor="text1"/>
        </w:rPr>
        <w:t>Expansión del límite urbano de la ciudad de Salamanca y los impactos derivados de su espacio agrícola. Escuela de Geografía, Facultad de Arquitectura y Urbanismo, Santiago.</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rPr>
        <w:t xml:space="preserve">Gasparatos, A., El-Haram, M., &amp; Horner, M. (2008). </w:t>
      </w:r>
      <w:r w:rsidRPr="000E0F90">
        <w:rPr>
          <w:rFonts w:ascii="Arial" w:hAnsi="Arial" w:cs="Arial"/>
          <w:color w:val="000000" w:themeColor="text1"/>
          <w:lang w:val="en-US"/>
        </w:rPr>
        <w:t>A critical review of reductionist approaches for assessing the progress towards sustainability. Environmental Impact Assessment Review, 28(4-5), 286–311. http://doi.org/10.1016/j.eiar.2007.09.002</w:t>
      </w:r>
    </w:p>
    <w:p w:rsidR="004A6A65" w:rsidRPr="000E0F90" w:rsidRDefault="004A6A65" w:rsidP="004A6A65">
      <w:pPr>
        <w:divId w:val="1427388170"/>
        <w:rPr>
          <w:rFonts w:ascii="Arial" w:hAnsi="Arial" w:cs="Arial"/>
          <w:color w:val="000000" w:themeColor="text1"/>
        </w:rPr>
      </w:pPr>
      <w:proofErr w:type="gramStart"/>
      <w:r w:rsidRPr="002A21E4">
        <w:rPr>
          <w:rFonts w:ascii="Arial" w:hAnsi="Arial" w:cs="Arial"/>
          <w:color w:val="000000" w:themeColor="text1"/>
          <w:lang w:val="en-US"/>
        </w:rPr>
        <w:t>Gastó, J., Gálvez, C., Subercauseaux, D., &amp; Fuentes, V. (2015).</w:t>
      </w:r>
      <w:proofErr w:type="gramEnd"/>
      <w:r w:rsidRPr="002A21E4">
        <w:rPr>
          <w:rFonts w:ascii="Arial" w:hAnsi="Arial" w:cs="Arial"/>
          <w:color w:val="000000" w:themeColor="text1"/>
          <w:lang w:val="en-US"/>
        </w:rPr>
        <w:t xml:space="preserve"> </w:t>
      </w:r>
      <w:r w:rsidRPr="000E0F90">
        <w:rPr>
          <w:rFonts w:ascii="Arial" w:hAnsi="Arial" w:cs="Arial"/>
          <w:color w:val="000000" w:themeColor="text1"/>
        </w:rPr>
        <w:t>Informe Componente: Marco Conceptual y Territorial de la Cuenca del Huasco. Santiago.</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Gasto, J., Rodrigo, P., Aránguiz, I., &amp; Urrutia, C. (2002). Ordenación territorial rural en escala comunal. Bases Conceptuales y metodología. En J. R. Gasto, Ordenación Territorial, Desarrollo de Predios y Comunas Rurales. Santiago: Facultad de Agronomía e Ingenieria Forestal. Pontificia Universidad Católica de Chile. LOM Ediciones.</w:t>
      </w:r>
    </w:p>
    <w:p w:rsidR="004A6A65" w:rsidRPr="000E0F90" w:rsidRDefault="004A6A65" w:rsidP="004A6A65">
      <w:pPr>
        <w:divId w:val="1427388170"/>
        <w:rPr>
          <w:rFonts w:ascii="Arial" w:hAnsi="Arial" w:cs="Arial"/>
          <w:color w:val="000000" w:themeColor="text1"/>
        </w:rPr>
      </w:pPr>
      <w:r w:rsidRPr="00B17364">
        <w:rPr>
          <w:rFonts w:ascii="Arial" w:hAnsi="Arial" w:cs="Arial"/>
          <w:color w:val="000000" w:themeColor="text1"/>
          <w:highlight w:val="yellow"/>
        </w:rPr>
        <w:lastRenderedPageBreak/>
        <w:t>Gastó, J., Rodrigo, P., Aránguiz, I., &amp; Urrutia, C. (2002). Ordenación territorial rural en escala comunal. En J. Gastó, P. Rodrigo, &amp; I. Aránguiz, Ordenación territorial, Desarrollo de Predios y Comunas Rurales. Santiago: LOM Ediciones.</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 xml:space="preserve">Gastó, J., Subercaseaux, D., Vera, L., &amp; Tomic, T. (2012). </w:t>
      </w:r>
      <w:proofErr w:type="gramStart"/>
      <w:r w:rsidRPr="000E0F90">
        <w:rPr>
          <w:rFonts w:ascii="Arial" w:hAnsi="Arial" w:cs="Arial"/>
          <w:color w:val="000000" w:themeColor="text1"/>
          <w:lang w:val="en-US"/>
        </w:rPr>
        <w:t>Agriculture and Rurality as Constructor of Sustainable Cultural Landscape.</w:t>
      </w:r>
      <w:proofErr w:type="gramEnd"/>
      <w:r w:rsidRPr="000E0F90">
        <w:rPr>
          <w:rFonts w:ascii="Arial" w:hAnsi="Arial" w:cs="Arial"/>
          <w:color w:val="000000" w:themeColor="text1"/>
          <w:lang w:val="en-US"/>
        </w:rPr>
        <w:t xml:space="preserve"> </w:t>
      </w:r>
      <w:r w:rsidRPr="000E0F90">
        <w:rPr>
          <w:rFonts w:ascii="Arial" w:hAnsi="Arial" w:cs="Arial"/>
          <w:color w:val="000000" w:themeColor="text1"/>
        </w:rPr>
        <w:t>Landscape Planning, 7, 151–178.</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rPr>
        <w:t xml:space="preserve">Gastó, J., Vieli, L., &amp; Vera, L. (2006). Paisaje Cultural. De la Silva al Ager. </w:t>
      </w:r>
      <w:r w:rsidRPr="000E0F90">
        <w:rPr>
          <w:rFonts w:ascii="Arial" w:hAnsi="Arial" w:cs="Arial"/>
          <w:color w:val="000000" w:themeColor="text1"/>
          <w:lang w:val="en-US"/>
        </w:rPr>
        <w:t xml:space="preserve">Agronomía y Forestal </w:t>
      </w:r>
      <w:proofErr w:type="gramStart"/>
      <w:r w:rsidRPr="000E0F90">
        <w:rPr>
          <w:rFonts w:ascii="Arial" w:hAnsi="Arial" w:cs="Arial"/>
          <w:color w:val="000000" w:themeColor="text1"/>
          <w:lang w:val="en-US"/>
        </w:rPr>
        <w:t>UC(</w:t>
      </w:r>
      <w:proofErr w:type="gramEnd"/>
      <w:r w:rsidRPr="000E0F90">
        <w:rPr>
          <w:rFonts w:ascii="Arial" w:hAnsi="Arial" w:cs="Arial"/>
          <w:color w:val="000000" w:themeColor="text1"/>
          <w:lang w:val="en-US"/>
        </w:rPr>
        <w:t>28), 29-33.</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Gaudreau, K., &amp; Gibson, R. B. (2010).</w:t>
      </w:r>
      <w:proofErr w:type="gramEnd"/>
      <w:r w:rsidRPr="000E0F90">
        <w:rPr>
          <w:rFonts w:ascii="Arial" w:hAnsi="Arial" w:cs="Arial"/>
          <w:color w:val="000000" w:themeColor="text1"/>
          <w:lang w:val="en-US"/>
        </w:rPr>
        <w:t xml:space="preserve"> Illustrating integrated sustainability and resilience based assessments: a small-scale biodiesel project in Barbados. Impact Assessment and Project Appraisal, 28(December), 233–243. http://doi.org/10.3152/146155110X12772982841122</w:t>
      </w:r>
    </w:p>
    <w:p w:rsidR="004A6A65" w:rsidRPr="000E0F90" w:rsidRDefault="004A6A65" w:rsidP="004A6A65">
      <w:pPr>
        <w:divId w:val="1427388170"/>
        <w:rPr>
          <w:rFonts w:ascii="Arial" w:hAnsi="Arial" w:cs="Arial"/>
          <w:color w:val="000000" w:themeColor="text1"/>
        </w:rPr>
      </w:pPr>
      <w:proofErr w:type="gramStart"/>
      <w:r w:rsidRPr="000E0F90">
        <w:rPr>
          <w:rFonts w:ascii="Arial" w:hAnsi="Arial" w:cs="Arial"/>
          <w:color w:val="000000" w:themeColor="text1"/>
          <w:lang w:val="en-US"/>
        </w:rPr>
        <w:t>George, C., &amp; Kirkpatrick, C. (2006).</w:t>
      </w:r>
      <w:proofErr w:type="gramEnd"/>
      <w:r w:rsidRPr="000E0F90">
        <w:rPr>
          <w:rFonts w:ascii="Arial" w:hAnsi="Arial" w:cs="Arial"/>
          <w:color w:val="000000" w:themeColor="text1"/>
          <w:lang w:val="en-US"/>
        </w:rPr>
        <w:t xml:space="preserve"> Assessing national sustainable development strategies: Strengthening the links to operational policy. </w:t>
      </w:r>
      <w:r w:rsidRPr="000E0F90">
        <w:rPr>
          <w:rFonts w:ascii="Arial" w:hAnsi="Arial" w:cs="Arial"/>
          <w:color w:val="000000" w:themeColor="text1"/>
        </w:rPr>
        <w:t>Natural Resources Forum, 30, 146–156. http://doi.org/10.1111/j.1477-8947.2006.00167.x</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rPr>
        <w:t xml:space="preserve">Gestión Ambiental Consultores S.A. (2004). Proyecto Integral de Desarrollo. </w:t>
      </w:r>
      <w:r w:rsidRPr="000E0F90">
        <w:rPr>
          <w:rFonts w:ascii="Arial" w:hAnsi="Arial" w:cs="Arial"/>
          <w:color w:val="000000" w:themeColor="text1"/>
          <w:lang w:val="en-US"/>
        </w:rPr>
        <w:t>Santiago.</w:t>
      </w:r>
    </w:p>
    <w:p w:rsidR="004A6A65" w:rsidRPr="000E0F90" w:rsidRDefault="004A6A65" w:rsidP="004A6A65">
      <w:pPr>
        <w:divId w:val="1427388170"/>
        <w:rPr>
          <w:rFonts w:ascii="Arial" w:hAnsi="Arial" w:cs="Arial"/>
          <w:color w:val="000000" w:themeColor="text1"/>
          <w:lang w:val="en-US"/>
        </w:rPr>
      </w:pPr>
      <w:proofErr w:type="gramStart"/>
      <w:r w:rsidRPr="002A21E4">
        <w:rPr>
          <w:rFonts w:ascii="Arial" w:hAnsi="Arial" w:cs="Arial"/>
          <w:color w:val="000000" w:themeColor="text1"/>
          <w:lang w:val="en-US"/>
        </w:rPr>
        <w:t>Ghorbani, Y., &amp; Kuan, S. H. (2016).</w:t>
      </w:r>
      <w:proofErr w:type="gramEnd"/>
      <w:r w:rsidRPr="002A21E4">
        <w:rPr>
          <w:rFonts w:ascii="Arial" w:hAnsi="Arial" w:cs="Arial"/>
          <w:color w:val="000000" w:themeColor="text1"/>
          <w:lang w:val="en-US"/>
        </w:rPr>
        <w:t xml:space="preserve"> </w:t>
      </w:r>
      <w:r w:rsidRPr="000E0F90">
        <w:rPr>
          <w:rFonts w:ascii="Arial" w:hAnsi="Arial" w:cs="Arial"/>
          <w:color w:val="000000" w:themeColor="text1"/>
          <w:lang w:val="en-US"/>
        </w:rPr>
        <w:t>A review of sustainable development in the Chilean mining sector: past, present and future. International Journal of Mining, Reclamation and Environment, 0930(February), 1–29. http://doi.org/10.1080/17480930.2015.1128799</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Gibson, G., Macdonald, A., &amp; O'Faircheallaigh, C. (2011).</w:t>
      </w:r>
      <w:proofErr w:type="gramEnd"/>
      <w:r w:rsidRPr="000E0F90">
        <w:rPr>
          <w:rFonts w:ascii="Arial" w:hAnsi="Arial" w:cs="Arial"/>
          <w:color w:val="000000" w:themeColor="text1"/>
          <w:lang w:val="en-US"/>
        </w:rPr>
        <w:t xml:space="preserve"> </w:t>
      </w:r>
      <w:proofErr w:type="gramStart"/>
      <w:r w:rsidRPr="000E0F90">
        <w:rPr>
          <w:rFonts w:ascii="Arial" w:hAnsi="Arial" w:cs="Arial"/>
          <w:color w:val="000000" w:themeColor="text1"/>
          <w:lang w:val="en-US"/>
        </w:rPr>
        <w:t>Cultural Considerations for Mining and Indigenous Communities.</w:t>
      </w:r>
      <w:proofErr w:type="gramEnd"/>
      <w:r w:rsidRPr="000E0F90">
        <w:rPr>
          <w:rFonts w:ascii="Arial" w:hAnsi="Arial" w:cs="Arial"/>
          <w:color w:val="000000" w:themeColor="text1"/>
          <w:lang w:val="en-US"/>
        </w:rPr>
        <w:t xml:space="preserve"> En P. Dalring, SME Mining Engineering Handbook (págs. 1797-1816).</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lang w:val="en-US"/>
        </w:rPr>
        <w:t xml:space="preserve">Gibson, R. B. (2005). </w:t>
      </w:r>
      <w:proofErr w:type="gramStart"/>
      <w:r w:rsidRPr="000E0F90">
        <w:rPr>
          <w:rFonts w:ascii="Arial" w:hAnsi="Arial" w:cs="Arial"/>
          <w:color w:val="000000" w:themeColor="text1"/>
          <w:lang w:val="en-US"/>
        </w:rPr>
        <w:t>Sustainability Assessment.</w:t>
      </w:r>
      <w:proofErr w:type="gramEnd"/>
      <w:r w:rsidRPr="000E0F90">
        <w:rPr>
          <w:rFonts w:ascii="Arial" w:hAnsi="Arial" w:cs="Arial"/>
          <w:color w:val="000000" w:themeColor="text1"/>
          <w:lang w:val="en-US"/>
        </w:rPr>
        <w:t xml:space="preserve"> Criteria, Processes and Applications (p. 269). </w:t>
      </w:r>
      <w:proofErr w:type="gramStart"/>
      <w:r w:rsidRPr="000E0F90">
        <w:rPr>
          <w:rFonts w:ascii="Arial" w:hAnsi="Arial" w:cs="Arial"/>
          <w:color w:val="000000" w:themeColor="text1"/>
          <w:lang w:val="en-US"/>
        </w:rPr>
        <w:t>Earthscan.</w:t>
      </w:r>
      <w:proofErr w:type="gramEnd"/>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lang w:val="en-US"/>
        </w:rPr>
        <w:t xml:space="preserve">Gibson, R. B. (2006). Beyond the Pillars : Sustainability assessment As </w:t>
      </w:r>
      <w:proofErr w:type="gramStart"/>
      <w:r w:rsidRPr="000E0F90">
        <w:rPr>
          <w:rFonts w:ascii="Arial" w:hAnsi="Arial" w:cs="Arial"/>
          <w:color w:val="000000" w:themeColor="text1"/>
          <w:lang w:val="en-US"/>
        </w:rPr>
        <w:t>A Framework For Effective Integration Of</w:t>
      </w:r>
      <w:proofErr w:type="gramEnd"/>
      <w:r w:rsidRPr="000E0F90">
        <w:rPr>
          <w:rFonts w:ascii="Arial" w:hAnsi="Arial" w:cs="Arial"/>
          <w:color w:val="000000" w:themeColor="text1"/>
          <w:lang w:val="en-US"/>
        </w:rPr>
        <w:t xml:space="preserve"> Social, Economic And Ecological Considerations In Significant Decision-Making, 8(3), 259–280.</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lang w:val="en-US"/>
        </w:rPr>
        <w:t xml:space="preserve">Ginet, P. (2012). Le territoire, </w:t>
      </w:r>
      <w:proofErr w:type="gramStart"/>
      <w:r w:rsidRPr="000E0F90">
        <w:rPr>
          <w:rFonts w:ascii="Arial" w:hAnsi="Arial" w:cs="Arial"/>
          <w:color w:val="000000" w:themeColor="text1"/>
          <w:lang w:val="en-US"/>
        </w:rPr>
        <w:t>un</w:t>
      </w:r>
      <w:proofErr w:type="gramEnd"/>
      <w:r w:rsidRPr="000E0F90">
        <w:rPr>
          <w:rFonts w:ascii="Arial" w:hAnsi="Arial" w:cs="Arial"/>
          <w:color w:val="000000" w:themeColor="text1"/>
          <w:lang w:val="en-US"/>
        </w:rPr>
        <w:t xml:space="preserve"> concept opératoire pour la Géographie appliquée (à l’aménagement). </w:t>
      </w:r>
      <w:proofErr w:type="gramStart"/>
      <w:r w:rsidRPr="000E0F90">
        <w:rPr>
          <w:rFonts w:ascii="Arial" w:hAnsi="Arial" w:cs="Arial"/>
          <w:color w:val="000000" w:themeColor="text1"/>
          <w:lang w:val="en-US"/>
        </w:rPr>
        <w:t>Documentaliste-Sciences de l’Information.</w:t>
      </w:r>
      <w:proofErr w:type="gramEnd"/>
      <w:r w:rsidRPr="000E0F90">
        <w:rPr>
          <w:rFonts w:ascii="Arial" w:hAnsi="Arial" w:cs="Arial"/>
          <w:color w:val="000000" w:themeColor="text1"/>
          <w:lang w:val="en-US"/>
        </w:rPr>
        <w:t xml:space="preserve"> Retrieved from http://hal.archives-ouvertes.fr/hal-00757887/</w:t>
      </w:r>
    </w:p>
    <w:p w:rsidR="004A6A65" w:rsidRPr="000E0F90" w:rsidRDefault="004A6A65" w:rsidP="004A6A65">
      <w:pPr>
        <w:divId w:val="1427388170"/>
        <w:rPr>
          <w:rFonts w:ascii="Arial" w:hAnsi="Arial" w:cs="Arial"/>
          <w:color w:val="000000" w:themeColor="text1"/>
        </w:rPr>
      </w:pPr>
      <w:proofErr w:type="gramStart"/>
      <w:r w:rsidRPr="000E0F90">
        <w:rPr>
          <w:rFonts w:ascii="Arial" w:hAnsi="Arial" w:cs="Arial"/>
          <w:color w:val="000000" w:themeColor="text1"/>
          <w:lang w:val="en-US"/>
        </w:rPr>
        <w:t>Giurco, D., &amp; Cooper, C. (2012).</w:t>
      </w:r>
      <w:proofErr w:type="gramEnd"/>
      <w:r w:rsidRPr="000E0F90">
        <w:rPr>
          <w:rFonts w:ascii="Arial" w:hAnsi="Arial" w:cs="Arial"/>
          <w:color w:val="000000" w:themeColor="text1"/>
          <w:lang w:val="en-US"/>
        </w:rPr>
        <w:t xml:space="preserve"> Mining and sustainability: asking the right questions. </w:t>
      </w:r>
      <w:r w:rsidRPr="000E0F90">
        <w:rPr>
          <w:rFonts w:ascii="Arial" w:hAnsi="Arial" w:cs="Arial"/>
          <w:color w:val="000000" w:themeColor="text1"/>
        </w:rPr>
        <w:t>Minerals Engineering, 29, 3–12. http://doi.org/10.1016/j.mineng.2012.01.006</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Gonzalez, A. (1999). Análisis de cinco conflictos ambientales en el sistema de Evaluación de Impacto Ambiental. Santiago: Memoria para optar al titulo de Ingeniero.</w:t>
      </w:r>
    </w:p>
    <w:p w:rsidR="004A6A65" w:rsidRPr="000E0F90" w:rsidRDefault="004A6A65" w:rsidP="004A6A65">
      <w:pPr>
        <w:divId w:val="1427388170"/>
        <w:rPr>
          <w:rFonts w:ascii="Arial" w:hAnsi="Arial" w:cs="Arial"/>
          <w:color w:val="000000" w:themeColor="text1"/>
          <w:lang w:val="en-US"/>
        </w:rPr>
      </w:pPr>
      <w:r w:rsidRPr="002A21E4">
        <w:rPr>
          <w:rFonts w:ascii="Arial" w:hAnsi="Arial" w:cs="Arial"/>
          <w:color w:val="000000" w:themeColor="text1"/>
        </w:rPr>
        <w:lastRenderedPageBreak/>
        <w:t xml:space="preserve">Gordon, R. B., Bertram, M., &amp; Graedel, T. E. (2006). </w:t>
      </w:r>
      <w:proofErr w:type="gramStart"/>
      <w:r w:rsidRPr="000E0F90">
        <w:rPr>
          <w:rFonts w:ascii="Arial" w:hAnsi="Arial" w:cs="Arial"/>
          <w:color w:val="000000" w:themeColor="text1"/>
          <w:lang w:val="en-US"/>
        </w:rPr>
        <w:t>Metal stocks and sustainability.</w:t>
      </w:r>
      <w:proofErr w:type="gramEnd"/>
      <w:r w:rsidRPr="000E0F90">
        <w:rPr>
          <w:rFonts w:ascii="Arial" w:hAnsi="Arial" w:cs="Arial"/>
          <w:color w:val="000000" w:themeColor="text1"/>
          <w:lang w:val="en-US"/>
        </w:rPr>
        <w:t xml:space="preserve"> Proceedings of the National Academy of Sciences of the United States of America, 103(5), 1209–1214. http://doi.org/10.1073/pnas.0509498103</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lang w:val="en-US"/>
        </w:rPr>
        <w:t>Gottmann, J. (1973). The people and their territory: The Partitioning of the World. En J. Gottmannn, The significance of territory (págs. 1-15). Virginia: The University Press of Virginia.</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lang w:val="en-US"/>
        </w:rPr>
        <w:t>Graulau, J. (2008). “Is mining good for development?</w:t>
      </w:r>
      <w:proofErr w:type="gramStart"/>
      <w:r w:rsidRPr="000E0F90">
        <w:rPr>
          <w:rFonts w:ascii="Arial" w:hAnsi="Arial" w:cs="Arial"/>
          <w:color w:val="000000" w:themeColor="text1"/>
          <w:lang w:val="en-US"/>
        </w:rPr>
        <w:t>”:</w:t>
      </w:r>
      <w:proofErr w:type="gramEnd"/>
      <w:r w:rsidRPr="000E0F90">
        <w:rPr>
          <w:rFonts w:ascii="Arial" w:hAnsi="Arial" w:cs="Arial"/>
          <w:color w:val="000000" w:themeColor="text1"/>
          <w:lang w:val="en-US"/>
        </w:rPr>
        <w:t xml:space="preserve"> the intellectual history of an unsettled question. Progress in Development Studies, 8, 129–162. http://doi.org/10.1177/146499340700800201</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lang w:val="en-US"/>
        </w:rPr>
        <w:t xml:space="preserve">GRI, (Global REporting Initiative). </w:t>
      </w:r>
      <w:proofErr w:type="gramStart"/>
      <w:r w:rsidRPr="000E0F90">
        <w:rPr>
          <w:rFonts w:ascii="Arial" w:hAnsi="Arial" w:cs="Arial"/>
          <w:color w:val="000000" w:themeColor="text1"/>
          <w:lang w:val="en-US"/>
        </w:rPr>
        <w:t>(2013). G4 SECTOR DISCLOSURES MINING AND METALS.</w:t>
      </w:r>
      <w:proofErr w:type="gramEnd"/>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rPr>
        <w:t xml:space="preserve">Guha, R., &amp; Martínez Alier, J. (1997). </w:t>
      </w:r>
      <w:proofErr w:type="gramStart"/>
      <w:r w:rsidRPr="000E0F90">
        <w:rPr>
          <w:rFonts w:ascii="Arial" w:hAnsi="Arial" w:cs="Arial"/>
          <w:color w:val="000000" w:themeColor="text1"/>
          <w:lang w:val="en-US"/>
        </w:rPr>
        <w:t>Varieties of enviromentalism.</w:t>
      </w:r>
      <w:proofErr w:type="gramEnd"/>
      <w:r w:rsidRPr="000E0F90">
        <w:rPr>
          <w:rFonts w:ascii="Arial" w:hAnsi="Arial" w:cs="Arial"/>
          <w:color w:val="000000" w:themeColor="text1"/>
          <w:lang w:val="en-US"/>
        </w:rPr>
        <w:t xml:space="preserve"> Essay North and South Earth Scan.</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Guimarães, R. P. (1998). ATERRIZANDO UNA COMETA: INDICADORES TERRITORIALES DE SUSTENTABILIDAD.</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lang w:val="en-US"/>
        </w:rPr>
        <w:t>Haines-Young, R. (2000). Sustainable development and sustainable landscapes: defining a new paradigm for landscape ecology. Fennia, 1(178), 7-14.</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Han Onn, a., &amp; Woodley, a. (2014).</w:t>
      </w:r>
      <w:proofErr w:type="gramEnd"/>
      <w:r w:rsidRPr="000E0F90">
        <w:rPr>
          <w:rFonts w:ascii="Arial" w:hAnsi="Arial" w:cs="Arial"/>
          <w:color w:val="000000" w:themeColor="text1"/>
          <w:lang w:val="en-US"/>
        </w:rPr>
        <w:t xml:space="preserve"> A discourse analysis on how the sustainability agenda is defined within the mining industry. </w:t>
      </w:r>
      <w:proofErr w:type="gramStart"/>
      <w:r w:rsidRPr="000E0F90">
        <w:rPr>
          <w:rFonts w:ascii="Arial" w:hAnsi="Arial" w:cs="Arial"/>
          <w:color w:val="000000" w:themeColor="text1"/>
          <w:lang w:val="en-US"/>
        </w:rPr>
        <w:t>Journal of Cleaner Production.</w:t>
      </w:r>
      <w:proofErr w:type="gramEnd"/>
      <w:r w:rsidRPr="000E0F90">
        <w:rPr>
          <w:rFonts w:ascii="Arial" w:hAnsi="Arial" w:cs="Arial"/>
          <w:color w:val="000000" w:themeColor="text1"/>
          <w:lang w:val="en-US"/>
        </w:rPr>
        <w:t xml:space="preserve"> http://doi.org/10.1016/j.jclepro.2014.03.086</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Hartman, H., &amp; Mutmansky, J. (2002).</w:t>
      </w:r>
      <w:proofErr w:type="gramEnd"/>
      <w:r w:rsidRPr="000E0F90">
        <w:rPr>
          <w:rFonts w:ascii="Arial" w:hAnsi="Arial" w:cs="Arial"/>
          <w:color w:val="000000" w:themeColor="text1"/>
          <w:lang w:val="en-US"/>
        </w:rPr>
        <w:t xml:space="preserve"> </w:t>
      </w:r>
      <w:proofErr w:type="gramStart"/>
      <w:r w:rsidRPr="000E0F90">
        <w:rPr>
          <w:rFonts w:ascii="Arial" w:hAnsi="Arial" w:cs="Arial"/>
          <w:color w:val="000000" w:themeColor="text1"/>
          <w:lang w:val="en-US"/>
        </w:rPr>
        <w:t>Introduction to mining.</w:t>
      </w:r>
      <w:proofErr w:type="gramEnd"/>
      <w:r w:rsidRPr="000E0F90">
        <w:rPr>
          <w:rFonts w:ascii="Arial" w:hAnsi="Arial" w:cs="Arial"/>
          <w:color w:val="000000" w:themeColor="text1"/>
          <w:lang w:val="en-US"/>
        </w:rPr>
        <w:t xml:space="preserve"> </w:t>
      </w:r>
      <w:proofErr w:type="gramStart"/>
      <w:r w:rsidRPr="000E0F90">
        <w:rPr>
          <w:rFonts w:ascii="Arial" w:hAnsi="Arial" w:cs="Arial"/>
          <w:color w:val="000000" w:themeColor="text1"/>
          <w:lang w:val="en-US"/>
        </w:rPr>
        <w:t>En H. Hartman, &amp; J. Mutmansky, Introductory Mining Engineering (Segunda ed., págs. 1-24).</w:t>
      </w:r>
      <w:proofErr w:type="gramEnd"/>
      <w:r w:rsidRPr="000E0F90">
        <w:rPr>
          <w:rFonts w:ascii="Arial" w:hAnsi="Arial" w:cs="Arial"/>
          <w:color w:val="000000" w:themeColor="text1"/>
          <w:lang w:val="en-US"/>
        </w:rPr>
        <w:t xml:space="preserve"> Canada: John Wiley and Sons, Inc.</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Hartmuth, G., Huber, K., &amp; Rink, D. (2008).</w:t>
      </w:r>
      <w:proofErr w:type="gramEnd"/>
      <w:r w:rsidRPr="000E0F90">
        <w:rPr>
          <w:rFonts w:ascii="Arial" w:hAnsi="Arial" w:cs="Arial"/>
          <w:color w:val="000000" w:themeColor="text1"/>
          <w:lang w:val="en-US"/>
        </w:rPr>
        <w:t xml:space="preserve"> </w:t>
      </w:r>
      <w:proofErr w:type="gramStart"/>
      <w:r w:rsidRPr="000E0F90">
        <w:rPr>
          <w:rFonts w:ascii="Arial" w:hAnsi="Arial" w:cs="Arial"/>
          <w:color w:val="000000" w:themeColor="text1"/>
          <w:lang w:val="en-US"/>
        </w:rPr>
        <w:t>Operationalization and contextualization of sustainability at the local level.</w:t>
      </w:r>
      <w:proofErr w:type="gramEnd"/>
      <w:r w:rsidRPr="000E0F90">
        <w:rPr>
          <w:rFonts w:ascii="Arial" w:hAnsi="Arial" w:cs="Arial"/>
          <w:color w:val="000000" w:themeColor="text1"/>
          <w:lang w:val="en-US"/>
        </w:rPr>
        <w:t xml:space="preserve"> Sustainable Development, 16, 261–270. http://doi.org/10.1002/sd.377</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lang w:val="en-US"/>
        </w:rPr>
        <w:t xml:space="preserve">Henriques, A. (2004). Chapter 3: CSR Sustainability and the Tripple Bottom Line. En A. Henriques, &amp; J. Richardson, The Triple Bottom Line: Does it All Add Up? </w:t>
      </w:r>
      <w:r w:rsidRPr="000E0F90">
        <w:rPr>
          <w:rFonts w:ascii="Arial" w:hAnsi="Arial" w:cs="Arial"/>
          <w:color w:val="000000" w:themeColor="text1"/>
        </w:rPr>
        <w:t>(págs. 26-33). London, United Kingdom: Earthscan.</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Higuera, I. M. (2017). Municipalidad La Higuera. Recuperado el 30 de 03 de 2017, de http://www.munilahiguera.cl</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Hilson, G., &amp; Murck, B. (2000).</w:t>
      </w:r>
      <w:proofErr w:type="gramEnd"/>
      <w:r w:rsidRPr="000E0F90">
        <w:rPr>
          <w:rFonts w:ascii="Arial" w:hAnsi="Arial" w:cs="Arial"/>
          <w:color w:val="000000" w:themeColor="text1"/>
          <w:lang w:val="en-US"/>
        </w:rPr>
        <w:t xml:space="preserve"> Sustainable development in the mining industry : clarifying the corporate perspective, 26(2000), 227–238.</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lastRenderedPageBreak/>
        <w:t>Hjorth, P., &amp; Bagheri, A. (2006).</w:t>
      </w:r>
      <w:proofErr w:type="gramEnd"/>
      <w:r w:rsidRPr="000E0F90">
        <w:rPr>
          <w:rFonts w:ascii="Arial" w:hAnsi="Arial" w:cs="Arial"/>
          <w:color w:val="000000" w:themeColor="text1"/>
          <w:lang w:val="en-US"/>
        </w:rPr>
        <w:t xml:space="preserve"> </w:t>
      </w:r>
      <w:proofErr w:type="gramStart"/>
      <w:r w:rsidRPr="000E0F90">
        <w:rPr>
          <w:rFonts w:ascii="Arial" w:hAnsi="Arial" w:cs="Arial"/>
          <w:color w:val="000000" w:themeColor="text1"/>
          <w:lang w:val="en-US"/>
        </w:rPr>
        <w:t>Navigating towards sustainable development: A system dynamics approach.</w:t>
      </w:r>
      <w:proofErr w:type="gramEnd"/>
      <w:r w:rsidRPr="000E0F90">
        <w:rPr>
          <w:rFonts w:ascii="Arial" w:hAnsi="Arial" w:cs="Arial"/>
          <w:color w:val="000000" w:themeColor="text1"/>
          <w:lang w:val="en-US"/>
        </w:rPr>
        <w:t xml:space="preserve"> Futures, 38, 74–92. http://doi.org/10.1016/j.futures.2005.04.005</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Holden, E., Linnerud, K., &amp; Banister, D. (2014).</w:t>
      </w:r>
      <w:proofErr w:type="gramEnd"/>
      <w:r w:rsidRPr="000E0F90">
        <w:rPr>
          <w:rFonts w:ascii="Arial" w:hAnsi="Arial" w:cs="Arial"/>
          <w:color w:val="000000" w:themeColor="text1"/>
          <w:lang w:val="en-US"/>
        </w:rPr>
        <w:t xml:space="preserve"> Sustainable development: Our Common Future revisited. Global Environmental Change, 26, 130–139. http://doi.org/10.1016/j.gloenvcha.2014.04.006</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Hopwood, B., Mellor, M., &amp; Brien, G. O. (2005).</w:t>
      </w:r>
      <w:proofErr w:type="gramEnd"/>
      <w:r w:rsidRPr="000E0F90">
        <w:rPr>
          <w:rFonts w:ascii="Arial" w:hAnsi="Arial" w:cs="Arial"/>
          <w:color w:val="000000" w:themeColor="text1"/>
          <w:lang w:val="en-US"/>
        </w:rPr>
        <w:t xml:space="preserve"> Sustainable Development : Mapping Different Approaches, 52, 38–52.</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ICMM. (2012).</w:t>
      </w:r>
      <w:proofErr w:type="gramEnd"/>
      <w:r w:rsidRPr="000E0F90">
        <w:rPr>
          <w:rFonts w:ascii="Arial" w:hAnsi="Arial" w:cs="Arial"/>
          <w:color w:val="000000" w:themeColor="text1"/>
          <w:lang w:val="en-US"/>
        </w:rPr>
        <w:t xml:space="preserve"> </w:t>
      </w:r>
      <w:proofErr w:type="gramStart"/>
      <w:r w:rsidRPr="000E0F90">
        <w:rPr>
          <w:rFonts w:ascii="Arial" w:hAnsi="Arial" w:cs="Arial"/>
          <w:color w:val="000000" w:themeColor="text1"/>
          <w:lang w:val="en-US"/>
        </w:rPr>
        <w:t>Trends in the mining and metals industry.</w:t>
      </w:r>
      <w:proofErr w:type="gramEnd"/>
      <w:r w:rsidRPr="000E0F90">
        <w:rPr>
          <w:rFonts w:ascii="Arial" w:hAnsi="Arial" w:cs="Arial"/>
          <w:color w:val="000000" w:themeColor="text1"/>
          <w:lang w:val="en-US"/>
        </w:rPr>
        <w:t xml:space="preserve"> </w:t>
      </w:r>
      <w:proofErr w:type="gramStart"/>
      <w:r w:rsidRPr="000E0F90">
        <w:rPr>
          <w:rFonts w:ascii="Arial" w:hAnsi="Arial" w:cs="Arial"/>
          <w:color w:val="000000" w:themeColor="text1"/>
          <w:lang w:val="en-US"/>
        </w:rPr>
        <w:t>Mining´s Contribution to Sustainable Development, (October), 16.</w:t>
      </w:r>
      <w:proofErr w:type="gramEnd"/>
      <w:r w:rsidRPr="000E0F90">
        <w:rPr>
          <w:rFonts w:ascii="Arial" w:hAnsi="Arial" w:cs="Arial"/>
          <w:color w:val="000000" w:themeColor="text1"/>
          <w:lang w:val="en-US"/>
        </w:rPr>
        <w:t xml:space="preserve"> Retrieved from http://www.icmm.com/document/3731\nhttp://www.icmm.com/document/5423\nhttp://www.icmm.com/our-work/sustainable-development-framework/10-principles\nhttp://www.icmm.com/document/4441</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INE Atacama. (2015). Anuario Estadístico Regional 2015. Región de Atacama. Copiapó.</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INE ATACAMA. (29 de Diciembre de 2016). Instituto Nacional de Estadísticas. Dirección Regional de Atacama. Obtenido de http://www.ineatacama.cl/app/bancoregional/03121.htm</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INE Coquimbo. (04 de 01 de 2011). Instituto Nacional de Estadísticas Coquimbo. Recuperado el 05 de Enero de 2017, de http://www.inecoquimbo.cl/</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INE. (05 de Enero de 2017). Instituto Nacional de Estadísticas. Obtenido de http://www.ine.cl</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INE. (10 de Enero de 2017). Instituto Nacional de Estadísticas. Obtenido de Demográficas y Vitales. Productos Estadísticos: http://www.ine.cl/canales/chile_estadistico/familias/demograficas_vitales.php</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INE. (2002). Censo de población y vivienda. Instituto Nacional de Estadística, Santiago.</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 xml:space="preserve">INE. (2007). División Politico Administrativa y Censal 2007. Sintesis Geográfica de la Región de </w:t>
      </w:r>
      <w:proofErr w:type="gramStart"/>
      <w:r w:rsidRPr="000E0F90">
        <w:rPr>
          <w:rFonts w:ascii="Arial" w:hAnsi="Arial" w:cs="Arial"/>
          <w:color w:val="000000" w:themeColor="text1"/>
        </w:rPr>
        <w:t>Coquimbo .</w:t>
      </w:r>
      <w:proofErr w:type="gramEnd"/>
      <w:r w:rsidRPr="000E0F90">
        <w:rPr>
          <w:rFonts w:ascii="Arial" w:hAnsi="Arial" w:cs="Arial"/>
          <w:color w:val="000000" w:themeColor="text1"/>
        </w:rPr>
        <w:t xml:space="preserve"> Coquimbo.</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 xml:space="preserve">INE. (2007). Región de </w:t>
      </w:r>
      <w:proofErr w:type="gramStart"/>
      <w:r w:rsidRPr="000E0F90">
        <w:rPr>
          <w:rFonts w:ascii="Arial" w:hAnsi="Arial" w:cs="Arial"/>
          <w:color w:val="000000" w:themeColor="text1"/>
        </w:rPr>
        <w:t>Atacama .</w:t>
      </w:r>
      <w:proofErr w:type="gramEnd"/>
      <w:r w:rsidRPr="000E0F90">
        <w:rPr>
          <w:rFonts w:ascii="Arial" w:hAnsi="Arial" w:cs="Arial"/>
          <w:color w:val="000000" w:themeColor="text1"/>
        </w:rPr>
        <w:t xml:space="preserve"> Santiago: INE.</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INE. (2014). Informe Laboral. Encuestra Nacional de Empleo. Región de Atacama. Trimestre movio Octubre-Diciembre-2014.</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Infracon S.A. (2004). Estudio Plan REgulador Comunal La Higuera. Informe N°3. La Higuera. Región de Coquimbo, Chile: Ilustre Municipalidad de La Higuera.</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Inglehart, R. (1991). El cambio cultural en las sociedades industriales avanzadas. Centro de Investigaciones Sociológica.</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lastRenderedPageBreak/>
        <w:t>Jaime Illanes y Asociados, C. S. (2016). Estudio de Impacto Ambiental "Infraestructura Complementaria" Minera Los Pelambres. Santiago: Jaime Illanes y Asociados Consultores S.A.</w:t>
      </w:r>
    </w:p>
    <w:p w:rsidR="004A6A65" w:rsidRPr="000E0F90" w:rsidRDefault="004A6A65" w:rsidP="004A6A65">
      <w:pPr>
        <w:divId w:val="1427388170"/>
        <w:rPr>
          <w:rFonts w:ascii="Arial" w:hAnsi="Arial" w:cs="Arial"/>
          <w:color w:val="000000" w:themeColor="text1"/>
          <w:lang w:val="en-US"/>
        </w:rPr>
      </w:pPr>
      <w:r w:rsidRPr="002A21E4">
        <w:rPr>
          <w:rFonts w:ascii="Arial" w:hAnsi="Arial" w:cs="Arial"/>
          <w:color w:val="000000" w:themeColor="text1"/>
        </w:rPr>
        <w:t xml:space="preserve">James, P. M. (1999). </w:t>
      </w:r>
      <w:proofErr w:type="gramStart"/>
      <w:r w:rsidRPr="000E0F90">
        <w:rPr>
          <w:rFonts w:ascii="Arial" w:hAnsi="Arial" w:cs="Arial"/>
          <w:color w:val="000000" w:themeColor="text1"/>
          <w:lang w:val="en-US"/>
        </w:rPr>
        <w:t>The miner and sustainable development, 89–92.</w:t>
      </w:r>
      <w:proofErr w:type="gramEnd"/>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Johnston, P., Everard, M., Santillo, D., &amp; Robèrt, K. (2007).</w:t>
      </w:r>
      <w:proofErr w:type="gramEnd"/>
      <w:r w:rsidRPr="000E0F90">
        <w:rPr>
          <w:rFonts w:ascii="Arial" w:hAnsi="Arial" w:cs="Arial"/>
          <w:color w:val="000000" w:themeColor="text1"/>
          <w:lang w:val="en-US"/>
        </w:rPr>
        <w:t xml:space="preserve"> </w:t>
      </w:r>
      <w:proofErr w:type="gramStart"/>
      <w:r w:rsidRPr="000E0F90">
        <w:rPr>
          <w:rFonts w:ascii="Arial" w:hAnsi="Arial" w:cs="Arial"/>
          <w:color w:val="000000" w:themeColor="text1"/>
          <w:lang w:val="en-US"/>
        </w:rPr>
        <w:t>Discussion Articles Reclaiming the Definition of Sustainability, 14(1), 60–66.</w:t>
      </w:r>
      <w:proofErr w:type="gramEnd"/>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Juliá, C., Montecinos, S., &amp; Maldonado, A. (2008). Características Climáticas de la Región de Atacama. Libro Rojo de La Flora Nativa Y de Los Sitios Prioritarios Para Su Conservación: Región de Atacama, 25 – 42.</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Kemp, R., Parto, S., &amp; Gibson, R. (2005).</w:t>
      </w:r>
      <w:proofErr w:type="gramEnd"/>
      <w:r w:rsidRPr="000E0F90">
        <w:rPr>
          <w:rFonts w:ascii="Arial" w:hAnsi="Arial" w:cs="Arial"/>
          <w:color w:val="000000" w:themeColor="text1"/>
          <w:lang w:val="en-US"/>
        </w:rPr>
        <w:t xml:space="preserve"> Governance for sustainable development: moving from theory to practice. Internaional Journal of Sustainable Development, 8, 12–30. Retrieved from http://inderscience.metapress.com/index/5BCVT2JNL8PWCDL7.pdf</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Kirsch, S. (2009).</w:t>
      </w:r>
      <w:proofErr w:type="gramEnd"/>
      <w:r w:rsidRPr="000E0F90">
        <w:rPr>
          <w:rFonts w:ascii="Arial" w:hAnsi="Arial" w:cs="Arial"/>
          <w:color w:val="000000" w:themeColor="text1"/>
          <w:lang w:val="en-US"/>
        </w:rPr>
        <w:t xml:space="preserve"> </w:t>
      </w:r>
      <w:proofErr w:type="gramStart"/>
      <w:r w:rsidRPr="000E0F90">
        <w:rPr>
          <w:rFonts w:ascii="Arial" w:hAnsi="Arial" w:cs="Arial"/>
          <w:color w:val="000000" w:themeColor="text1"/>
          <w:lang w:val="en-US"/>
        </w:rPr>
        <w:t>Sustainable Mining.</w:t>
      </w:r>
      <w:proofErr w:type="gramEnd"/>
      <w:r w:rsidRPr="000E0F90">
        <w:rPr>
          <w:rFonts w:ascii="Arial" w:hAnsi="Arial" w:cs="Arial"/>
          <w:color w:val="000000" w:themeColor="text1"/>
          <w:lang w:val="en-US"/>
        </w:rPr>
        <w:t xml:space="preserve"> Dialectical Anthropology, 34(1), 87–93. http://doi.org/10.1007/s10624-009-9113-x</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KNIGHT PIÉSOLD S.A. (2013). Análisis integrado de gestión en cuenca del río huasco, Región de Atacama. Santiago: Ministerio de Obras Públicas, Dirección General de Aguas.</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 xml:space="preserve">Labonne, B. (1999). </w:t>
      </w:r>
      <w:r w:rsidRPr="000E0F90">
        <w:rPr>
          <w:rFonts w:ascii="Arial" w:hAnsi="Arial" w:cs="Arial"/>
          <w:color w:val="000000" w:themeColor="text1"/>
          <w:lang w:val="en-US"/>
        </w:rPr>
        <w:t xml:space="preserve">The mining industry and the community: joining forces for sustainable social development. </w:t>
      </w:r>
      <w:r w:rsidRPr="000E0F90">
        <w:rPr>
          <w:rFonts w:ascii="Arial" w:hAnsi="Arial" w:cs="Arial"/>
          <w:color w:val="000000" w:themeColor="text1"/>
        </w:rPr>
        <w:t>Natural Resources Forum, 23(4), 315–322. http://doi.org/10.1111/j.1477-8947.1999.tb00919.x</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Lagos, G., Blanco, H., Torres, V., Bustos, B. (2001). Capítulo 6-</w:t>
      </w:r>
      <w:proofErr w:type="gramStart"/>
      <w:r w:rsidRPr="000E0F90">
        <w:rPr>
          <w:rFonts w:ascii="Arial" w:hAnsi="Arial" w:cs="Arial"/>
          <w:color w:val="000000" w:themeColor="text1"/>
        </w:rPr>
        <w:t>Minería ,</w:t>
      </w:r>
      <w:proofErr w:type="gramEnd"/>
      <w:r w:rsidRPr="000E0F90">
        <w:rPr>
          <w:rFonts w:ascii="Arial" w:hAnsi="Arial" w:cs="Arial"/>
          <w:color w:val="000000" w:themeColor="text1"/>
        </w:rPr>
        <w:t xml:space="preserve"> Minerales y Desarrollo Sustentable en Chile, 340–440.</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Lamorgese, L., &amp; Geneletti, D. (2013).</w:t>
      </w:r>
      <w:proofErr w:type="gramEnd"/>
      <w:r w:rsidRPr="000E0F90">
        <w:rPr>
          <w:rFonts w:ascii="Arial" w:hAnsi="Arial" w:cs="Arial"/>
          <w:color w:val="000000" w:themeColor="text1"/>
          <w:lang w:val="en-US"/>
        </w:rPr>
        <w:t xml:space="preserve"> Sustainability principles in strategic environmental assessment: A framework for analysis and examples from Italian urban planning. Environmental Impact Assessment Review, 42, 116–126. http://doi.org/10.1016/j.eiar.2012.12.004</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lang w:val="en-US"/>
        </w:rPr>
        <w:t>Lang, D. J., Wiek, A., Bergmann, M., Stauffacher, M., Martens, P., Moll, P</w:t>
      </w:r>
      <w:proofErr w:type="gramStart"/>
      <w:r w:rsidRPr="000E0F90">
        <w:rPr>
          <w:rFonts w:ascii="Arial" w:hAnsi="Arial" w:cs="Arial"/>
          <w:color w:val="000000" w:themeColor="text1"/>
          <w:lang w:val="en-US"/>
        </w:rPr>
        <w:t>., …</w:t>
      </w:r>
      <w:proofErr w:type="gramEnd"/>
      <w:r w:rsidRPr="000E0F90">
        <w:rPr>
          <w:rFonts w:ascii="Arial" w:hAnsi="Arial" w:cs="Arial"/>
          <w:color w:val="000000" w:themeColor="text1"/>
          <w:lang w:val="en-US"/>
        </w:rPr>
        <w:t xml:space="preserve"> Thomas, C. J. (2012). Transdisciplinary research in sustainability science: practice, principles, and challenges. Sustainability Science, 7(S1), 25–43. http://doi.org/10.1007/s11625-011-0149-x</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lang w:val="en-US"/>
        </w:rPr>
        <w:t xml:space="preserve">Laurence, D. (2011). </w:t>
      </w:r>
      <w:proofErr w:type="gramStart"/>
      <w:r w:rsidRPr="000E0F90">
        <w:rPr>
          <w:rFonts w:ascii="Arial" w:hAnsi="Arial" w:cs="Arial"/>
          <w:color w:val="000000" w:themeColor="text1"/>
          <w:lang w:val="en-US"/>
        </w:rPr>
        <w:t>Establishing a sustainable mining operation: an overview.</w:t>
      </w:r>
      <w:proofErr w:type="gramEnd"/>
      <w:r w:rsidRPr="000E0F90">
        <w:rPr>
          <w:rFonts w:ascii="Arial" w:hAnsi="Arial" w:cs="Arial"/>
          <w:color w:val="000000" w:themeColor="text1"/>
          <w:lang w:val="en-US"/>
        </w:rPr>
        <w:t xml:space="preserve"> Journal of Cleaner Production, 19(2-3), 278–284. http://doi.org/10.1016/j.jclepro.2010.08.019</w:t>
      </w:r>
    </w:p>
    <w:p w:rsidR="004A6A65" w:rsidRPr="000E0F90" w:rsidRDefault="004A6A65" w:rsidP="004A6A65">
      <w:pPr>
        <w:divId w:val="1427388170"/>
        <w:rPr>
          <w:rFonts w:ascii="Arial" w:hAnsi="Arial" w:cs="Arial"/>
          <w:color w:val="000000" w:themeColor="text1"/>
        </w:rPr>
      </w:pPr>
      <w:proofErr w:type="gramStart"/>
      <w:r w:rsidRPr="000E0F90">
        <w:rPr>
          <w:rFonts w:ascii="Arial" w:hAnsi="Arial" w:cs="Arial"/>
          <w:color w:val="000000" w:themeColor="text1"/>
          <w:lang w:val="en-US"/>
        </w:rPr>
        <w:lastRenderedPageBreak/>
        <w:t>Lawrie, M., Tonts, M., &amp; Plummer, P. (2011).</w:t>
      </w:r>
      <w:proofErr w:type="gramEnd"/>
      <w:r w:rsidRPr="000E0F90">
        <w:rPr>
          <w:rFonts w:ascii="Arial" w:hAnsi="Arial" w:cs="Arial"/>
          <w:color w:val="000000" w:themeColor="text1"/>
          <w:lang w:val="en-US"/>
        </w:rPr>
        <w:t xml:space="preserve"> </w:t>
      </w:r>
      <w:proofErr w:type="gramStart"/>
      <w:r w:rsidRPr="000E0F90">
        <w:rPr>
          <w:rFonts w:ascii="Arial" w:hAnsi="Arial" w:cs="Arial"/>
          <w:color w:val="000000" w:themeColor="text1"/>
          <w:lang w:val="en-US"/>
        </w:rPr>
        <w:t>Boomtowns, Resource Dependence and Socio-economic Well-being.</w:t>
      </w:r>
      <w:proofErr w:type="gramEnd"/>
      <w:r w:rsidRPr="000E0F90">
        <w:rPr>
          <w:rFonts w:ascii="Arial" w:hAnsi="Arial" w:cs="Arial"/>
          <w:color w:val="000000" w:themeColor="text1"/>
          <w:lang w:val="en-US"/>
        </w:rPr>
        <w:t xml:space="preserve"> </w:t>
      </w:r>
      <w:r w:rsidRPr="000E0F90">
        <w:rPr>
          <w:rFonts w:ascii="Arial" w:hAnsi="Arial" w:cs="Arial"/>
          <w:color w:val="000000" w:themeColor="text1"/>
        </w:rPr>
        <w:t>Australian Geographer, 42(2), 139–164. http://doi.org/10.1080/00049182.2011.569985</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Le Berre, M. (1992). Hypergeo. Recuperado el 06 de Diciembre de 2016, de territorio según Maryvonne Le Berre: http://www.hypergeo.eu/spip.php?article514</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lang w:val="en-US"/>
        </w:rPr>
        <w:t xml:space="preserve">Lehmann, S. (2010). Green Urbanism: Formulating a Series of Holistic Principles. </w:t>
      </w:r>
      <w:proofErr w:type="gramStart"/>
      <w:r w:rsidRPr="000E0F90">
        <w:rPr>
          <w:rFonts w:ascii="Arial" w:hAnsi="Arial" w:cs="Arial"/>
          <w:color w:val="000000" w:themeColor="text1"/>
          <w:lang w:val="en-US"/>
        </w:rPr>
        <w:t>Survey And Perspectives Integrating Environment &amp; Society, 3(October), Art.</w:t>
      </w:r>
      <w:proofErr w:type="gramEnd"/>
      <w:r w:rsidRPr="000E0F90">
        <w:rPr>
          <w:rFonts w:ascii="Arial" w:hAnsi="Arial" w:cs="Arial"/>
          <w:color w:val="000000" w:themeColor="text1"/>
          <w:lang w:val="en-US"/>
        </w:rPr>
        <w:t xml:space="preserve"> 6. Retrieved from http://sapiens.revues.org/1057</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Lim, H.-S., Lee, J.-S., Chon, H.-T., &amp; Sager, M. (2008).</w:t>
      </w:r>
      <w:proofErr w:type="gramEnd"/>
      <w:r w:rsidRPr="000E0F90">
        <w:rPr>
          <w:rFonts w:ascii="Arial" w:hAnsi="Arial" w:cs="Arial"/>
          <w:color w:val="000000" w:themeColor="text1"/>
          <w:lang w:val="en-US"/>
        </w:rPr>
        <w:t xml:space="preserve"> Heavy metal contamination and health risk assessment in the vicinity of the abandoned Songcheon Au–Ag mine in Korea. Journal of Geochemical Exploration, 96(2-3), 223–230. http://doi.org/10.1016/j.gexplo.2007.04.008</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Lockie, S., Franettovich, M., Petkova-Timmer, V., Rolfe, J., &amp; Ivanova, G. (2009).</w:t>
      </w:r>
      <w:proofErr w:type="gramEnd"/>
      <w:r w:rsidRPr="000E0F90">
        <w:rPr>
          <w:rFonts w:ascii="Arial" w:hAnsi="Arial" w:cs="Arial"/>
          <w:color w:val="000000" w:themeColor="text1"/>
          <w:lang w:val="en-US"/>
        </w:rPr>
        <w:t xml:space="preserve"> Coal mining and the resource community cycle: A longitudinal assessment of the social impacts of the Coppabella coal mine. Environmental Impact Assessment Review, 29(5), 330–339. http://doi.org/10.1016/j.eiar.2009.01.008</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Lodhia, S., &amp; Hess, N. (2014).</w:t>
      </w:r>
      <w:proofErr w:type="gramEnd"/>
      <w:r w:rsidRPr="000E0F90">
        <w:rPr>
          <w:rFonts w:ascii="Arial" w:hAnsi="Arial" w:cs="Arial"/>
          <w:color w:val="000000" w:themeColor="text1"/>
          <w:lang w:val="en-US"/>
        </w:rPr>
        <w:t xml:space="preserve"> Sustainability accounting and reporting in the mining industry: current literature and directions for future research. </w:t>
      </w:r>
      <w:proofErr w:type="gramStart"/>
      <w:r w:rsidRPr="000E0F90">
        <w:rPr>
          <w:rFonts w:ascii="Arial" w:hAnsi="Arial" w:cs="Arial"/>
          <w:color w:val="000000" w:themeColor="text1"/>
          <w:lang w:val="en-US"/>
        </w:rPr>
        <w:t>Journal of Cleaner Production.</w:t>
      </w:r>
      <w:proofErr w:type="gramEnd"/>
      <w:r w:rsidRPr="000E0F90">
        <w:rPr>
          <w:rFonts w:ascii="Arial" w:hAnsi="Arial" w:cs="Arial"/>
          <w:color w:val="000000" w:themeColor="text1"/>
          <w:lang w:val="en-US"/>
        </w:rPr>
        <w:t xml:space="preserve"> http://doi.org/10.1016/j.jclepro.2014.08.094</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lang w:val="en-US"/>
        </w:rPr>
        <w:t xml:space="preserve">López, E. (2009). </w:t>
      </w:r>
      <w:r w:rsidRPr="000E0F90">
        <w:rPr>
          <w:rFonts w:ascii="Arial" w:hAnsi="Arial" w:cs="Arial"/>
          <w:color w:val="000000" w:themeColor="text1"/>
        </w:rPr>
        <w:t xml:space="preserve">Vivir y morir un poco: El Mineral de La Higuera entre 1875-1885. En L. Ortega, Sociedad y Minería en el Norte </w:t>
      </w:r>
      <w:proofErr w:type="gramStart"/>
      <w:r w:rsidRPr="000E0F90">
        <w:rPr>
          <w:rFonts w:ascii="Arial" w:hAnsi="Arial" w:cs="Arial"/>
          <w:color w:val="000000" w:themeColor="text1"/>
        </w:rPr>
        <w:t>Chico ,</w:t>
      </w:r>
      <w:proofErr w:type="gramEnd"/>
      <w:r w:rsidRPr="000E0F90">
        <w:rPr>
          <w:rFonts w:ascii="Arial" w:hAnsi="Arial" w:cs="Arial"/>
          <w:color w:val="000000" w:themeColor="text1"/>
        </w:rPr>
        <w:t xml:space="preserve"> 1840-1930 (págs. 195-222). Santiago: Universidad Academia Humanismo Cristiano, Universidad de Santiago de Chile.</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rPr>
        <w:t>Lostarnau, C., Oyarzún, J., Maturana, H., Soto, G., Señoret, M., Soto, M.</w:t>
      </w:r>
      <w:proofErr w:type="gramStart"/>
      <w:r w:rsidRPr="000E0F90">
        <w:rPr>
          <w:rFonts w:ascii="Arial" w:hAnsi="Arial" w:cs="Arial"/>
          <w:color w:val="000000" w:themeColor="text1"/>
        </w:rPr>
        <w:t>, …</w:t>
      </w:r>
      <w:proofErr w:type="gramEnd"/>
      <w:r w:rsidRPr="000E0F90">
        <w:rPr>
          <w:rFonts w:ascii="Arial" w:hAnsi="Arial" w:cs="Arial"/>
          <w:color w:val="000000" w:themeColor="text1"/>
        </w:rPr>
        <w:t xml:space="preserve"> </w:t>
      </w:r>
      <w:r w:rsidRPr="000E0F90">
        <w:rPr>
          <w:rFonts w:ascii="Arial" w:hAnsi="Arial" w:cs="Arial"/>
          <w:color w:val="000000" w:themeColor="text1"/>
          <w:lang w:val="en-US"/>
        </w:rPr>
        <w:t>Oyarzún, R. (2011). Stakeholder participation within the public environmental system in Chile: Major gaps between theory and practice. Journal of Environmental Management, 92(10), 2470–2478. http://doi.org/10.1016/j.jenvman.2011.05.008</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lang w:val="en-US"/>
        </w:rPr>
        <w:t xml:space="preserve">Lottermoser, B. (2010). </w:t>
      </w:r>
      <w:proofErr w:type="gramStart"/>
      <w:r w:rsidRPr="000E0F90">
        <w:rPr>
          <w:rFonts w:ascii="Arial" w:hAnsi="Arial" w:cs="Arial"/>
          <w:color w:val="000000" w:themeColor="text1"/>
          <w:lang w:val="en-US"/>
        </w:rPr>
        <w:t>Tailings.</w:t>
      </w:r>
      <w:proofErr w:type="gramEnd"/>
      <w:r w:rsidRPr="000E0F90">
        <w:rPr>
          <w:rFonts w:ascii="Arial" w:hAnsi="Arial" w:cs="Arial"/>
          <w:color w:val="000000" w:themeColor="text1"/>
          <w:lang w:val="en-US"/>
        </w:rPr>
        <w:t xml:space="preserve"> En B. Lottermoser, Mine Wastes (págs. </w:t>
      </w:r>
      <w:r w:rsidRPr="000E0F90">
        <w:rPr>
          <w:rFonts w:ascii="Arial" w:hAnsi="Arial" w:cs="Arial"/>
          <w:color w:val="000000" w:themeColor="text1"/>
        </w:rPr>
        <w:t>205-242). London: Springer.</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rPr>
        <w:t xml:space="preserve">Luebert, F., &amp; Pliscoff, P. (2006). Sinopsis bioclimática y vegetacional de Chile. </w:t>
      </w:r>
      <w:r w:rsidRPr="000E0F90">
        <w:rPr>
          <w:rFonts w:ascii="Arial" w:hAnsi="Arial" w:cs="Arial"/>
          <w:color w:val="000000" w:themeColor="text1"/>
          <w:lang w:val="en-US"/>
        </w:rPr>
        <w:t>Santiago, Chile: Editorial Universitaria S.A.</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Luederitz, C., Lang, D. J., &amp; Von Wehrden, H. (2013).</w:t>
      </w:r>
      <w:proofErr w:type="gramEnd"/>
      <w:r w:rsidRPr="000E0F90">
        <w:rPr>
          <w:rFonts w:ascii="Arial" w:hAnsi="Arial" w:cs="Arial"/>
          <w:color w:val="000000" w:themeColor="text1"/>
          <w:lang w:val="en-US"/>
        </w:rPr>
        <w:t xml:space="preserve"> </w:t>
      </w:r>
      <w:proofErr w:type="gramStart"/>
      <w:r w:rsidRPr="000E0F90">
        <w:rPr>
          <w:rFonts w:ascii="Arial" w:hAnsi="Arial" w:cs="Arial"/>
          <w:color w:val="000000" w:themeColor="text1"/>
          <w:lang w:val="en-US"/>
        </w:rPr>
        <w:t>A systematic review of guiding principles for sustainable urban neighborhood development.</w:t>
      </w:r>
      <w:proofErr w:type="gramEnd"/>
      <w:r w:rsidRPr="000E0F90">
        <w:rPr>
          <w:rFonts w:ascii="Arial" w:hAnsi="Arial" w:cs="Arial"/>
          <w:color w:val="000000" w:themeColor="text1"/>
          <w:lang w:val="en-US"/>
        </w:rPr>
        <w:t xml:space="preserve"> Landscape and Urban Planning, 118, 40–52. http://doi.org/10.1016/j.landurbplan.2013.06.002</w:t>
      </w:r>
    </w:p>
    <w:p w:rsidR="004A6A65" w:rsidRPr="000E0F90" w:rsidRDefault="004A6A65" w:rsidP="004A6A65">
      <w:pPr>
        <w:divId w:val="1427388170"/>
        <w:rPr>
          <w:rFonts w:ascii="Arial" w:hAnsi="Arial" w:cs="Arial"/>
          <w:color w:val="000000" w:themeColor="text1"/>
        </w:rPr>
      </w:pPr>
      <w:proofErr w:type="gramStart"/>
      <w:r w:rsidRPr="002A21E4">
        <w:rPr>
          <w:rFonts w:ascii="Arial" w:hAnsi="Arial" w:cs="Arial"/>
          <w:color w:val="000000" w:themeColor="text1"/>
          <w:lang w:val="en-US"/>
        </w:rPr>
        <w:t>Luzio, W., Casanova, M., &amp; Seguel, O. (2010).</w:t>
      </w:r>
      <w:proofErr w:type="gramEnd"/>
      <w:r w:rsidRPr="002A21E4">
        <w:rPr>
          <w:rFonts w:ascii="Arial" w:hAnsi="Arial" w:cs="Arial"/>
          <w:color w:val="000000" w:themeColor="text1"/>
          <w:lang w:val="en-US"/>
        </w:rPr>
        <w:t xml:space="preserve"> </w:t>
      </w:r>
      <w:r w:rsidRPr="000E0F90">
        <w:rPr>
          <w:rFonts w:ascii="Arial" w:hAnsi="Arial" w:cs="Arial"/>
          <w:color w:val="000000" w:themeColor="text1"/>
        </w:rPr>
        <w:t>Suelos de Chile. Santiago: Universidad de Chile. Facultad de Ciencias Agronómicas.</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lastRenderedPageBreak/>
        <w:t>Martínez Carazo, P. C. (2006). El método de estudio de caso: Estrategia metodológica de la investigación científica. Pensamiento Y Gestión: Revista de La División de Ciencias Administrativas de La Universidad Del Norte, 165–193. http://doi.org/10.1055/s-0029-1217568</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rPr>
        <w:t xml:space="preserve">Max Neef, M. (1994). Desarrollo a escala Humana: conceptos, aplicaciones y algunas reflexiones. </w:t>
      </w:r>
      <w:r w:rsidRPr="000E0F90">
        <w:rPr>
          <w:rFonts w:ascii="Arial" w:hAnsi="Arial" w:cs="Arial"/>
          <w:color w:val="000000" w:themeColor="text1"/>
          <w:lang w:val="en-US"/>
        </w:rPr>
        <w:t>Santiago: Icaria.</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lang w:val="en-US"/>
        </w:rPr>
        <w:t>MCA, M. C. of A. (2005a). Endring Value: Guidance for implementation.</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lang w:val="en-US"/>
        </w:rPr>
        <w:t>MCA, M. C. of A. (2005b). Enduring Value</w:t>
      </w:r>
      <w:proofErr w:type="gramStart"/>
      <w:r w:rsidRPr="000E0F90">
        <w:rPr>
          <w:rFonts w:ascii="Arial" w:hAnsi="Arial" w:cs="Arial"/>
          <w:color w:val="000000" w:themeColor="text1"/>
          <w:lang w:val="en-US"/>
        </w:rPr>
        <w:t>:The</w:t>
      </w:r>
      <w:proofErr w:type="gramEnd"/>
      <w:r w:rsidRPr="000E0F90">
        <w:rPr>
          <w:rFonts w:ascii="Arial" w:hAnsi="Arial" w:cs="Arial"/>
          <w:color w:val="000000" w:themeColor="text1"/>
          <w:lang w:val="en-US"/>
        </w:rPr>
        <w:t xml:space="preserve"> Australian Minerals Industry Framework for Sustainable Development. </w:t>
      </w:r>
      <w:proofErr w:type="gramStart"/>
      <w:r w:rsidRPr="000E0F90">
        <w:rPr>
          <w:rFonts w:ascii="Arial" w:hAnsi="Arial" w:cs="Arial"/>
          <w:color w:val="000000" w:themeColor="text1"/>
          <w:lang w:val="en-US"/>
        </w:rPr>
        <w:t>Enduring Value Secretariat.</w:t>
      </w:r>
      <w:proofErr w:type="gramEnd"/>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Mckenzie, F. H., Phillips, R., Rowley, S., &amp; Brereton, D. (2009).</w:t>
      </w:r>
      <w:proofErr w:type="gramEnd"/>
      <w:r w:rsidRPr="000E0F90">
        <w:rPr>
          <w:rFonts w:ascii="Arial" w:hAnsi="Arial" w:cs="Arial"/>
          <w:color w:val="000000" w:themeColor="text1"/>
          <w:lang w:val="en-US"/>
        </w:rPr>
        <w:t xml:space="preserve"> Housing market dynamics in resource boom towns authored by.</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lang w:val="en-US"/>
        </w:rPr>
        <w:t xml:space="preserve">Merriam Webster. </w:t>
      </w:r>
      <w:r w:rsidRPr="000E0F90">
        <w:rPr>
          <w:rFonts w:ascii="Arial" w:hAnsi="Arial" w:cs="Arial"/>
          <w:color w:val="000000" w:themeColor="text1"/>
        </w:rPr>
        <w:t>(2017). Recuperado el 09 de Noviembre de 2016, de https://www.merriam-webster.com/</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Ministerio de Desarrollo Social. (12 de Octubre de 2016). Ampliando la mirada sobre la pobreza y desigualdad: Diagnóstico Nacional y Principales resultados regionlaes. Recuperado el 26 de Diciembre de 2016, de Ministerio de Desarrollo Social: http://observatorio.ministeriodesarrollosocial.gob.cl/casen-multidimensional/casen/docs/CASEN_2015_Presentacion_con_resultados_regionales_Ampliando_la_mirada_sobre_la_pobreza_yla_desigualdad.pdf</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Ministerio de Desarrollo Social. (21 de 03 de 2017). Recuperado el 21 de Marzo de 2017, de Consulta indígena: http://www.consultaindigenamds.gob.cl/qconvenio.html</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 xml:space="preserve">Ministerio de Medio Ambiente. (2016). Diagnóstico y estado de tendencia de la biodiversidad: Región de Coquimbo. Santiago: División de Recursos Naturales y Biovinersidad. Departamento de Políticas y Planificación de la </w:t>
      </w:r>
      <w:proofErr w:type="gramStart"/>
      <w:r w:rsidRPr="000E0F90">
        <w:rPr>
          <w:rFonts w:ascii="Arial" w:hAnsi="Arial" w:cs="Arial"/>
          <w:color w:val="000000" w:themeColor="text1"/>
        </w:rPr>
        <w:t>Biodiversidad .</w:t>
      </w:r>
      <w:proofErr w:type="gramEnd"/>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Ministerio de Minería, G. d. (2016). Medidas de Productividad para el Sector Minero. Obtenido de Servicio Nacional de Geología y Minería: http://www.sernageomin.cl</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Moine, A. (2006). Le territoire comme un système complexe : un concept opératoire pour l’aménagement et la géographie. L’Espace Géographique, 2(35), 115–132.</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rPr>
        <w:t xml:space="preserve">Moran, C. J., Lodhia, S., Kunz, N. C., &amp; Huisingh, D. (2014). </w:t>
      </w:r>
      <w:r w:rsidRPr="000E0F90">
        <w:rPr>
          <w:rFonts w:ascii="Arial" w:hAnsi="Arial" w:cs="Arial"/>
          <w:color w:val="000000" w:themeColor="text1"/>
          <w:lang w:val="en-US"/>
        </w:rPr>
        <w:t>Sustainability in mining, minerals and energy: New processes, pathways and human interactions for a cautiously optimistic future. Journal of Cleaner Production, 84, 1–15. http://doi.org/10.1016/j.jclepro.2014.09.016</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Morrison-Saunders, a., &amp; Hodgson, N. (2009).</w:t>
      </w:r>
      <w:proofErr w:type="gramEnd"/>
      <w:r w:rsidRPr="000E0F90">
        <w:rPr>
          <w:rFonts w:ascii="Arial" w:hAnsi="Arial" w:cs="Arial"/>
          <w:color w:val="000000" w:themeColor="text1"/>
          <w:lang w:val="en-US"/>
        </w:rPr>
        <w:t xml:space="preserve"> </w:t>
      </w:r>
      <w:proofErr w:type="gramStart"/>
      <w:r w:rsidRPr="000E0F90">
        <w:rPr>
          <w:rFonts w:ascii="Arial" w:hAnsi="Arial" w:cs="Arial"/>
          <w:color w:val="000000" w:themeColor="text1"/>
          <w:lang w:val="en-US"/>
        </w:rPr>
        <w:t>Applying Sustainability Principles in Practice: Guidance for Assessing Individual Proposals.</w:t>
      </w:r>
      <w:proofErr w:type="gramEnd"/>
      <w:r w:rsidRPr="000E0F90">
        <w:rPr>
          <w:rFonts w:ascii="Arial" w:hAnsi="Arial" w:cs="Arial"/>
          <w:color w:val="000000" w:themeColor="text1"/>
          <w:lang w:val="en-US"/>
        </w:rPr>
        <w:t xml:space="preserve"> IAIA09 Impact Assessment and Human Well-Being, 29th Annual Conference of the International Association for Impact </w:t>
      </w:r>
      <w:r w:rsidRPr="000E0F90">
        <w:rPr>
          <w:rFonts w:ascii="Arial" w:hAnsi="Arial" w:cs="Arial"/>
          <w:color w:val="000000" w:themeColor="text1"/>
          <w:lang w:val="en-US"/>
        </w:rPr>
        <w:lastRenderedPageBreak/>
        <w:t>Assessment, (September), 2–3. Retrieved from http://researchrepository.murdoch.edu.au/1707/</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Morrison-saunders, A., &amp; Hodgson, N. (2009).</w:t>
      </w:r>
      <w:proofErr w:type="gramEnd"/>
      <w:r w:rsidRPr="000E0F90">
        <w:rPr>
          <w:rFonts w:ascii="Arial" w:hAnsi="Arial" w:cs="Arial"/>
          <w:color w:val="000000" w:themeColor="text1"/>
          <w:lang w:val="en-US"/>
        </w:rPr>
        <w:t xml:space="preserve"> </w:t>
      </w:r>
      <w:proofErr w:type="gramStart"/>
      <w:r w:rsidRPr="000E0F90">
        <w:rPr>
          <w:rFonts w:ascii="Arial" w:hAnsi="Arial" w:cs="Arial"/>
          <w:color w:val="000000" w:themeColor="text1"/>
          <w:lang w:val="en-US"/>
        </w:rPr>
        <w:t>Applying Sustainability Principles in Practice : Guidance for Assessing Individual Proposals.</w:t>
      </w:r>
      <w:proofErr w:type="gramEnd"/>
      <w:r w:rsidRPr="000E0F90">
        <w:rPr>
          <w:rFonts w:ascii="Arial" w:hAnsi="Arial" w:cs="Arial"/>
          <w:color w:val="000000" w:themeColor="text1"/>
          <w:lang w:val="en-US"/>
        </w:rPr>
        <w:t xml:space="preserve"> Assessment, (September), 1–6.</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lang w:val="en-US"/>
        </w:rPr>
        <w:t>Mudd, G. M. (2007). Global trends in gold mining: Towards quantifying environmental and resource sustainability. Resources Policy, 32, 42–56. http://doi.org/10.1016/j.resourpol.2007.05.002</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lang w:val="en-US"/>
        </w:rPr>
        <w:t>Mudd, G. M. (2010). The Environmental sustainability of mining in Australia: key mega-trends and looming constraints. Resources Policy, 35(2), 98–115. http://doi.org/10.1016/j.resourpol.2009.12.001</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Mudd, G. M., &amp; Ward, J. D. (n.d.).</w:t>
      </w:r>
      <w:proofErr w:type="gramEnd"/>
      <w:r w:rsidRPr="000E0F90">
        <w:rPr>
          <w:rFonts w:ascii="Arial" w:hAnsi="Arial" w:cs="Arial"/>
          <w:color w:val="000000" w:themeColor="text1"/>
          <w:lang w:val="en-US"/>
        </w:rPr>
        <w:t xml:space="preserve"> Will Sustainability Constraints Cause </w:t>
      </w:r>
      <w:proofErr w:type="gramStart"/>
      <w:r w:rsidRPr="000E0F90">
        <w:rPr>
          <w:rFonts w:ascii="Arial" w:hAnsi="Arial" w:cs="Arial"/>
          <w:color w:val="000000" w:themeColor="text1"/>
          <w:lang w:val="en-US"/>
        </w:rPr>
        <w:t>“ Peak</w:t>
      </w:r>
      <w:proofErr w:type="gramEnd"/>
      <w:r w:rsidRPr="000E0F90">
        <w:rPr>
          <w:rFonts w:ascii="Arial" w:hAnsi="Arial" w:cs="Arial"/>
          <w:color w:val="000000" w:themeColor="text1"/>
          <w:lang w:val="en-US"/>
        </w:rPr>
        <w:t xml:space="preserve"> Minerals ” ?, 1–10.</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 xml:space="preserve">MWH. (2011). Estudio de Impacto Ambiental: Optimización Poryecto Minero Cerro Casale. Capitulo 5 Línea Base Ambiental. </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Nava, R., Armijo, R., &amp; Gastó, J. (1996). Ecosistemas. La Unidad de la naturaleza y el hombre. México: Editorial Trillas.</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rPr>
        <w:t xml:space="preserve">Navarro, M. C., Pérez-Sirvent, C., Martínez-Sánchez, M. J., Vidal, J., Tovar, P. J., &amp; Bech, J. (2008). </w:t>
      </w:r>
      <w:r w:rsidRPr="000E0F90">
        <w:rPr>
          <w:rFonts w:ascii="Arial" w:hAnsi="Arial" w:cs="Arial"/>
          <w:color w:val="000000" w:themeColor="text1"/>
          <w:lang w:val="en-US"/>
        </w:rPr>
        <w:t>Abandoned mine sites as a source of contamination by heavy metals: A case study in a semi-arid zone. Journal of Geochemical Exploration, 96(2-3), 183–193. http://doi.org/10.1016/j.gexplo.2007.04.011</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lang w:val="en-US"/>
        </w:rPr>
        <w:t xml:space="preserve">Naveh, Z. (2007). </w:t>
      </w:r>
      <w:proofErr w:type="gramStart"/>
      <w:r w:rsidRPr="000E0F90">
        <w:rPr>
          <w:rFonts w:ascii="Arial" w:hAnsi="Arial" w:cs="Arial"/>
          <w:color w:val="000000" w:themeColor="text1"/>
          <w:lang w:val="en-US"/>
        </w:rPr>
        <w:t>Landscape ecology and sustainability.</w:t>
      </w:r>
      <w:proofErr w:type="gramEnd"/>
      <w:r w:rsidRPr="000E0F90">
        <w:rPr>
          <w:rFonts w:ascii="Arial" w:hAnsi="Arial" w:cs="Arial"/>
          <w:color w:val="000000" w:themeColor="text1"/>
          <w:lang w:val="en-US"/>
        </w:rPr>
        <w:t xml:space="preserve"> Landscape Ecology, 22, 1437–1440. http://doi.org/10.1007/s10980-007-9171-x</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Ness, B., Urbel-Piirsalu, E., Anderberg, S., &amp; Olsson, L. (2007).</w:t>
      </w:r>
      <w:proofErr w:type="gramEnd"/>
      <w:r w:rsidRPr="000E0F90">
        <w:rPr>
          <w:rFonts w:ascii="Arial" w:hAnsi="Arial" w:cs="Arial"/>
          <w:color w:val="000000" w:themeColor="text1"/>
          <w:lang w:val="en-US"/>
        </w:rPr>
        <w:t xml:space="preserve"> </w:t>
      </w:r>
      <w:proofErr w:type="gramStart"/>
      <w:r w:rsidRPr="000E0F90">
        <w:rPr>
          <w:rFonts w:ascii="Arial" w:hAnsi="Arial" w:cs="Arial"/>
          <w:color w:val="000000" w:themeColor="text1"/>
          <w:lang w:val="en-US"/>
        </w:rPr>
        <w:t>Categorising tools for sustainability assessment.</w:t>
      </w:r>
      <w:proofErr w:type="gramEnd"/>
      <w:r w:rsidRPr="000E0F90">
        <w:rPr>
          <w:rFonts w:ascii="Arial" w:hAnsi="Arial" w:cs="Arial"/>
          <w:color w:val="000000" w:themeColor="text1"/>
          <w:lang w:val="en-US"/>
        </w:rPr>
        <w:t xml:space="preserve"> Ecological Economics, 60(2005), 498–508. http://doi.org/10.1016/j.ecolecon.2006.07.023</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lang w:val="en-US"/>
        </w:rPr>
        <w:t>Neumayer, E. (2010). Weak versus strong sustainability: exploring the limits of two opposing paradigms. Edward Elgar.</w:t>
      </w:r>
    </w:p>
    <w:p w:rsidR="004A6A65" w:rsidRPr="002D30B3" w:rsidRDefault="004A6A65" w:rsidP="004A6A65">
      <w:pPr>
        <w:divId w:val="1427388170"/>
        <w:rPr>
          <w:rFonts w:ascii="Arial" w:hAnsi="Arial" w:cs="Arial"/>
          <w:color w:val="000000" w:themeColor="text1"/>
          <w:lang w:val="en-US"/>
        </w:rPr>
      </w:pPr>
      <w:r w:rsidRPr="000E0F90">
        <w:rPr>
          <w:rFonts w:ascii="Arial" w:hAnsi="Arial" w:cs="Arial"/>
          <w:color w:val="000000" w:themeColor="text1"/>
          <w:lang w:val="en-US"/>
        </w:rPr>
        <w:t xml:space="preserve">Newbold, J. (2003). Social consequences of mining and present day solutions - Region II in Chile highlighted. </w:t>
      </w:r>
      <w:r w:rsidRPr="002D30B3">
        <w:rPr>
          <w:rFonts w:ascii="Arial" w:hAnsi="Arial" w:cs="Arial"/>
          <w:color w:val="000000" w:themeColor="text1"/>
          <w:lang w:val="en-US"/>
        </w:rPr>
        <w:t>Sustainable Development, 11, 84–90. http://doi.org/10.1002/sd.205</w:t>
      </w:r>
    </w:p>
    <w:p w:rsidR="004A6A65" w:rsidRPr="000E0F90" w:rsidRDefault="004A6A65" w:rsidP="004A6A65">
      <w:pPr>
        <w:divId w:val="1427388170"/>
        <w:rPr>
          <w:rFonts w:ascii="Arial" w:hAnsi="Arial" w:cs="Arial"/>
          <w:color w:val="000000" w:themeColor="text1"/>
        </w:rPr>
      </w:pPr>
      <w:proofErr w:type="gramStart"/>
      <w:r w:rsidRPr="002D30B3">
        <w:rPr>
          <w:rFonts w:ascii="Arial" w:hAnsi="Arial" w:cs="Arial"/>
          <w:color w:val="000000" w:themeColor="text1"/>
          <w:lang w:val="en-US"/>
        </w:rPr>
        <w:t>Novoa, J., &amp; López, D. (2001).</w:t>
      </w:r>
      <w:proofErr w:type="gramEnd"/>
      <w:r w:rsidRPr="002D30B3">
        <w:rPr>
          <w:rFonts w:ascii="Arial" w:hAnsi="Arial" w:cs="Arial"/>
          <w:color w:val="000000" w:themeColor="text1"/>
          <w:lang w:val="en-US"/>
        </w:rPr>
        <w:t xml:space="preserve"> </w:t>
      </w:r>
      <w:r w:rsidRPr="000E0F90">
        <w:rPr>
          <w:rFonts w:ascii="Arial" w:hAnsi="Arial" w:cs="Arial"/>
          <w:color w:val="000000" w:themeColor="text1"/>
        </w:rPr>
        <w:t>IV Región: El escenario Geográfico Físico. En F. Squeo, G. Arancio, &amp; J. Gutiérrez, Libro rojo de la Flora Nativa y de los Sitios Prioritarios para su Conservación: Región de Coquimbo (págs. 13-28). La Serena: Ediciones Universidad de La Serena.</w:t>
      </w:r>
    </w:p>
    <w:p w:rsidR="004A6A65" w:rsidRPr="000E0F90" w:rsidRDefault="004A6A65" w:rsidP="004A6A65">
      <w:pPr>
        <w:divId w:val="1427388170"/>
        <w:rPr>
          <w:rFonts w:ascii="Arial" w:hAnsi="Arial" w:cs="Arial"/>
          <w:color w:val="000000" w:themeColor="text1"/>
          <w:lang w:val="en-US"/>
        </w:rPr>
      </w:pPr>
      <w:r w:rsidRPr="002A21E4">
        <w:rPr>
          <w:rFonts w:ascii="Arial" w:hAnsi="Arial" w:cs="Arial"/>
          <w:color w:val="000000" w:themeColor="text1"/>
        </w:rPr>
        <w:lastRenderedPageBreak/>
        <w:t xml:space="preserve">Nriagu, J. O. (1996). </w:t>
      </w:r>
      <w:proofErr w:type="gramStart"/>
      <w:r w:rsidRPr="000E0F90">
        <w:rPr>
          <w:rFonts w:ascii="Arial" w:hAnsi="Arial" w:cs="Arial"/>
          <w:color w:val="000000" w:themeColor="text1"/>
          <w:lang w:val="en-US"/>
        </w:rPr>
        <w:t>A History of Global Metal Pollution.</w:t>
      </w:r>
      <w:proofErr w:type="gramEnd"/>
      <w:r w:rsidRPr="000E0F90">
        <w:rPr>
          <w:rFonts w:ascii="Arial" w:hAnsi="Arial" w:cs="Arial"/>
          <w:color w:val="000000" w:themeColor="text1"/>
          <w:lang w:val="en-US"/>
        </w:rPr>
        <w:t xml:space="preserve"> </w:t>
      </w:r>
      <w:proofErr w:type="gramStart"/>
      <w:r w:rsidRPr="000E0F90">
        <w:rPr>
          <w:rFonts w:ascii="Arial" w:hAnsi="Arial" w:cs="Arial"/>
          <w:color w:val="000000" w:themeColor="text1"/>
          <w:lang w:val="en-US"/>
        </w:rPr>
        <w:t>Science, 272(April 1996), 223–0.</w:t>
      </w:r>
      <w:proofErr w:type="gramEnd"/>
      <w:r w:rsidRPr="000E0F90">
        <w:rPr>
          <w:rFonts w:ascii="Arial" w:hAnsi="Arial" w:cs="Arial"/>
          <w:color w:val="000000" w:themeColor="text1"/>
          <w:lang w:val="en-US"/>
        </w:rPr>
        <w:t xml:space="preserve"> http://doi.org/10.1126/science.272.5259.223</w:t>
      </w:r>
    </w:p>
    <w:p w:rsidR="004A6A65" w:rsidRPr="000E0F90" w:rsidRDefault="004A6A65" w:rsidP="004A6A65">
      <w:pPr>
        <w:divId w:val="1427388170"/>
        <w:rPr>
          <w:rFonts w:ascii="Arial" w:hAnsi="Arial" w:cs="Arial"/>
          <w:color w:val="000000" w:themeColor="text1"/>
        </w:rPr>
      </w:pPr>
      <w:proofErr w:type="gramStart"/>
      <w:r w:rsidRPr="000E0F90">
        <w:rPr>
          <w:rFonts w:ascii="Arial" w:hAnsi="Arial" w:cs="Arial"/>
          <w:color w:val="000000" w:themeColor="text1"/>
          <w:lang w:val="en-US"/>
        </w:rPr>
        <w:t>O' Riordan, T. (1988).</w:t>
      </w:r>
      <w:proofErr w:type="gramEnd"/>
      <w:r w:rsidRPr="000E0F90">
        <w:rPr>
          <w:rFonts w:ascii="Arial" w:hAnsi="Arial" w:cs="Arial"/>
          <w:color w:val="000000" w:themeColor="text1"/>
          <w:lang w:val="en-US"/>
        </w:rPr>
        <w:t xml:space="preserve"> </w:t>
      </w:r>
      <w:proofErr w:type="gramStart"/>
      <w:r w:rsidRPr="000E0F90">
        <w:rPr>
          <w:rFonts w:ascii="Arial" w:hAnsi="Arial" w:cs="Arial"/>
          <w:color w:val="000000" w:themeColor="text1"/>
          <w:lang w:val="en-US"/>
        </w:rPr>
        <w:t>The politics of sustainability.</w:t>
      </w:r>
      <w:proofErr w:type="gramEnd"/>
      <w:r w:rsidRPr="000E0F90">
        <w:rPr>
          <w:rFonts w:ascii="Arial" w:hAnsi="Arial" w:cs="Arial"/>
          <w:color w:val="000000" w:themeColor="text1"/>
          <w:lang w:val="en-US"/>
        </w:rPr>
        <w:t xml:space="preserve"> En R. K. Turner (Ed.), Sustainable Environmental Management: Principles and Practices. </w:t>
      </w:r>
      <w:r w:rsidRPr="000E0F90">
        <w:rPr>
          <w:rFonts w:ascii="Arial" w:hAnsi="Arial" w:cs="Arial"/>
          <w:color w:val="000000" w:themeColor="text1"/>
        </w:rPr>
        <w:t>London: Belhaven.</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 xml:space="preserve">ODEPA, &amp; INE. (2014). Región de Atacama. Información </w:t>
      </w:r>
      <w:proofErr w:type="gramStart"/>
      <w:r w:rsidRPr="000E0F90">
        <w:rPr>
          <w:rFonts w:ascii="Arial" w:hAnsi="Arial" w:cs="Arial"/>
          <w:color w:val="000000" w:themeColor="text1"/>
        </w:rPr>
        <w:t>Regional .</w:t>
      </w:r>
      <w:proofErr w:type="gramEnd"/>
      <w:r w:rsidRPr="000E0F90">
        <w:rPr>
          <w:rFonts w:ascii="Arial" w:hAnsi="Arial" w:cs="Arial"/>
          <w:color w:val="000000" w:themeColor="text1"/>
        </w:rPr>
        <w:t xml:space="preserve"> Santiago: ODEPA.</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 xml:space="preserve">Ortega, L. (2009). Del auge a la crisis y la decadencia. La minería del cobre entre 1875 y 1925. En L. Ortega, M. Godoy, &amp; H. Venegas, Sociedad y Minería en el Norte Chico 1840-1930 (págs. 17-66). Santiago: Universidad Academia Humanismo Cristiano, Universidad de Santiago de </w:t>
      </w:r>
      <w:proofErr w:type="gramStart"/>
      <w:r w:rsidRPr="000E0F90">
        <w:rPr>
          <w:rFonts w:ascii="Arial" w:hAnsi="Arial" w:cs="Arial"/>
          <w:color w:val="000000" w:themeColor="text1"/>
        </w:rPr>
        <w:t>Chile .</w:t>
      </w:r>
      <w:proofErr w:type="gramEnd"/>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lang w:val="en-US"/>
        </w:rPr>
        <w:t xml:space="preserve">Ostrom, E. (2009). </w:t>
      </w:r>
      <w:proofErr w:type="gramStart"/>
      <w:r w:rsidRPr="000E0F90">
        <w:rPr>
          <w:rFonts w:ascii="Arial" w:hAnsi="Arial" w:cs="Arial"/>
          <w:color w:val="000000" w:themeColor="text1"/>
          <w:lang w:val="en-US"/>
        </w:rPr>
        <w:t>A General Framework for Analyzing Sustainability of Social-Ecological Systems.</w:t>
      </w:r>
      <w:proofErr w:type="gramEnd"/>
      <w:r w:rsidRPr="000E0F90">
        <w:rPr>
          <w:rFonts w:ascii="Arial" w:hAnsi="Arial" w:cs="Arial"/>
          <w:color w:val="000000" w:themeColor="text1"/>
          <w:lang w:val="en-US"/>
        </w:rPr>
        <w:t xml:space="preserve"> Science, 325(2009), 419–422. http://doi.org/10.1126/science.1172133</w:t>
      </w:r>
    </w:p>
    <w:p w:rsidR="004A6A65" w:rsidRPr="000E0F90" w:rsidRDefault="004A6A65" w:rsidP="004A6A65">
      <w:pPr>
        <w:divId w:val="1427388170"/>
        <w:rPr>
          <w:rFonts w:ascii="Arial" w:hAnsi="Arial" w:cs="Arial"/>
          <w:color w:val="000000" w:themeColor="text1"/>
        </w:rPr>
      </w:pPr>
      <w:proofErr w:type="gramStart"/>
      <w:r w:rsidRPr="000E0F90">
        <w:rPr>
          <w:rFonts w:ascii="Arial" w:hAnsi="Arial" w:cs="Arial"/>
          <w:color w:val="000000" w:themeColor="text1"/>
          <w:lang w:val="en-US"/>
        </w:rPr>
        <w:t>Oyarzún, J., &amp; Oyarzún, R. (2011).</w:t>
      </w:r>
      <w:proofErr w:type="gramEnd"/>
      <w:r w:rsidRPr="000E0F90">
        <w:rPr>
          <w:rFonts w:ascii="Arial" w:hAnsi="Arial" w:cs="Arial"/>
          <w:color w:val="000000" w:themeColor="text1"/>
          <w:lang w:val="en-US"/>
        </w:rPr>
        <w:t xml:space="preserve"> </w:t>
      </w:r>
      <w:proofErr w:type="gramStart"/>
      <w:r w:rsidRPr="000E0F90">
        <w:rPr>
          <w:rFonts w:ascii="Arial" w:hAnsi="Arial" w:cs="Arial"/>
          <w:color w:val="000000" w:themeColor="text1"/>
          <w:lang w:val="en-US"/>
        </w:rPr>
        <w:t>Sustainable Development Threats, Inter-Sector Confl icts and Environmental Policy Requirements in the Arid, Mining Rich, Northern Chile Territory.</w:t>
      </w:r>
      <w:proofErr w:type="gramEnd"/>
      <w:r w:rsidRPr="000E0F90">
        <w:rPr>
          <w:rFonts w:ascii="Arial" w:hAnsi="Arial" w:cs="Arial"/>
          <w:color w:val="000000" w:themeColor="text1"/>
          <w:lang w:val="en-US"/>
        </w:rPr>
        <w:t xml:space="preserve"> </w:t>
      </w:r>
      <w:r w:rsidRPr="000E0F90">
        <w:rPr>
          <w:rFonts w:ascii="Arial" w:hAnsi="Arial" w:cs="Arial"/>
          <w:color w:val="000000" w:themeColor="text1"/>
        </w:rPr>
        <w:t>Sustainable Development, 19(December 2009), 263–274.</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Padilla, C. (2000). El pecado de la participación ciudadana. Conflictos ambientales en Chile. Santiago: Observatorio Latinoamericano de Conflictos Ambientales.</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lang w:val="en-US"/>
        </w:rPr>
        <w:t xml:space="preserve">Pearce, D. W., Markandya, A., &amp; Barbier, E. (1989). </w:t>
      </w:r>
      <w:proofErr w:type="gramStart"/>
      <w:r w:rsidRPr="000E0F90">
        <w:rPr>
          <w:rFonts w:ascii="Arial" w:hAnsi="Arial" w:cs="Arial"/>
          <w:color w:val="000000" w:themeColor="text1"/>
          <w:lang w:val="en-US"/>
        </w:rPr>
        <w:t>Blueprint for a Green Economy.</w:t>
      </w:r>
      <w:proofErr w:type="gramEnd"/>
      <w:r w:rsidRPr="000E0F90">
        <w:rPr>
          <w:rFonts w:ascii="Arial" w:hAnsi="Arial" w:cs="Arial"/>
          <w:color w:val="000000" w:themeColor="text1"/>
          <w:lang w:val="en-US"/>
        </w:rPr>
        <w:t xml:space="preserve"> London: Earthscan.</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lang w:val="en-US"/>
        </w:rPr>
        <w:t xml:space="preserve">Pearce, D., Markandya, A., &amp; Barbier, E. (1989). </w:t>
      </w:r>
      <w:proofErr w:type="gramStart"/>
      <w:r w:rsidRPr="000E0F90">
        <w:rPr>
          <w:rFonts w:ascii="Arial" w:hAnsi="Arial" w:cs="Arial"/>
          <w:color w:val="000000" w:themeColor="text1"/>
          <w:lang w:val="en-US"/>
        </w:rPr>
        <w:t>Blue print for a Green Economy.</w:t>
      </w:r>
      <w:proofErr w:type="gramEnd"/>
      <w:r w:rsidRPr="000E0F90">
        <w:rPr>
          <w:rFonts w:ascii="Arial" w:hAnsi="Arial" w:cs="Arial"/>
          <w:color w:val="000000" w:themeColor="text1"/>
          <w:lang w:val="en-US"/>
        </w:rPr>
        <w:t xml:space="preserve"> London: Earthscan.</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Peng, J., Wang, Y., Wu, J., Shen, H., &amp; Pan, Y. (2011).</w:t>
      </w:r>
      <w:proofErr w:type="gramEnd"/>
      <w:r w:rsidRPr="000E0F90">
        <w:rPr>
          <w:rFonts w:ascii="Arial" w:hAnsi="Arial" w:cs="Arial"/>
          <w:color w:val="000000" w:themeColor="text1"/>
          <w:lang w:val="en-US"/>
        </w:rPr>
        <w:t xml:space="preserve"> </w:t>
      </w:r>
      <w:proofErr w:type="gramStart"/>
      <w:r w:rsidRPr="000E0F90">
        <w:rPr>
          <w:rFonts w:ascii="Arial" w:hAnsi="Arial" w:cs="Arial"/>
          <w:color w:val="000000" w:themeColor="text1"/>
          <w:lang w:val="en-US"/>
        </w:rPr>
        <w:t>Research progress on evaluation frameworks of regional ecological sustainability.</w:t>
      </w:r>
      <w:proofErr w:type="gramEnd"/>
      <w:r w:rsidRPr="000E0F90">
        <w:rPr>
          <w:rFonts w:ascii="Arial" w:hAnsi="Arial" w:cs="Arial"/>
          <w:color w:val="000000" w:themeColor="text1"/>
          <w:lang w:val="en-US"/>
        </w:rPr>
        <w:t xml:space="preserve"> Chinese Geographical Science, 21(4), 496–510. http://doi.org/10.1007/s11769-011-0490-0</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lang w:val="en-US"/>
        </w:rPr>
        <w:t xml:space="preserve">Pengra, B. (2012). One </w:t>
      </w:r>
      <w:proofErr w:type="gramStart"/>
      <w:r w:rsidRPr="000E0F90">
        <w:rPr>
          <w:rFonts w:ascii="Arial" w:hAnsi="Arial" w:cs="Arial"/>
          <w:color w:val="000000" w:themeColor="text1"/>
          <w:lang w:val="en-US"/>
        </w:rPr>
        <w:t>Planet ,</w:t>
      </w:r>
      <w:proofErr w:type="gramEnd"/>
      <w:r w:rsidRPr="000E0F90">
        <w:rPr>
          <w:rFonts w:ascii="Arial" w:hAnsi="Arial" w:cs="Arial"/>
          <w:color w:val="000000" w:themeColor="text1"/>
          <w:lang w:val="en-US"/>
        </w:rPr>
        <w:t xml:space="preserve"> How Many People ? </w:t>
      </w:r>
      <w:r w:rsidRPr="000E0F90">
        <w:rPr>
          <w:rFonts w:ascii="Arial" w:hAnsi="Arial" w:cs="Arial"/>
          <w:color w:val="000000" w:themeColor="text1"/>
        </w:rPr>
        <w:t>UNEP Global Environmental Alert Service, (June), 1–17.</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rPr>
        <w:t xml:space="preserve">Perez, F., &amp; Sanchez, L. E. (2009). </w:t>
      </w:r>
      <w:proofErr w:type="gramStart"/>
      <w:r w:rsidRPr="000E0F90">
        <w:rPr>
          <w:rFonts w:ascii="Arial" w:hAnsi="Arial" w:cs="Arial"/>
          <w:color w:val="000000" w:themeColor="text1"/>
          <w:lang w:val="en-US"/>
        </w:rPr>
        <w:t>Assessing the evolution of sustainability reporting in the mining sector.</w:t>
      </w:r>
      <w:proofErr w:type="gramEnd"/>
      <w:r w:rsidRPr="000E0F90">
        <w:rPr>
          <w:rFonts w:ascii="Arial" w:hAnsi="Arial" w:cs="Arial"/>
          <w:color w:val="000000" w:themeColor="text1"/>
          <w:lang w:val="en-US"/>
        </w:rPr>
        <w:t xml:space="preserve"> </w:t>
      </w:r>
      <w:proofErr w:type="gramStart"/>
      <w:r w:rsidRPr="000E0F90">
        <w:rPr>
          <w:rFonts w:ascii="Arial" w:hAnsi="Arial" w:cs="Arial"/>
          <w:color w:val="000000" w:themeColor="text1"/>
          <w:lang w:val="en-US"/>
        </w:rPr>
        <w:t>Environmental Management, 43(6), 949–61.</w:t>
      </w:r>
      <w:proofErr w:type="gramEnd"/>
      <w:r w:rsidRPr="000E0F90">
        <w:rPr>
          <w:rFonts w:ascii="Arial" w:hAnsi="Arial" w:cs="Arial"/>
          <w:color w:val="000000" w:themeColor="text1"/>
          <w:lang w:val="en-US"/>
        </w:rPr>
        <w:t xml:space="preserve"> http://doi.org/10.1007/s00267-008-9269-1</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Péti, M. (2012).</w:t>
      </w:r>
      <w:proofErr w:type="gramEnd"/>
      <w:r w:rsidRPr="000E0F90">
        <w:rPr>
          <w:rFonts w:ascii="Arial" w:hAnsi="Arial" w:cs="Arial"/>
          <w:color w:val="000000" w:themeColor="text1"/>
          <w:lang w:val="en-US"/>
        </w:rPr>
        <w:t xml:space="preserve"> </w:t>
      </w:r>
      <w:proofErr w:type="gramStart"/>
      <w:r w:rsidRPr="000E0F90">
        <w:rPr>
          <w:rFonts w:ascii="Arial" w:hAnsi="Arial" w:cs="Arial"/>
          <w:color w:val="000000" w:themeColor="text1"/>
          <w:lang w:val="en-US"/>
        </w:rPr>
        <w:t>A territorial understanding of sustainability in public development.</w:t>
      </w:r>
      <w:proofErr w:type="gramEnd"/>
      <w:r w:rsidRPr="000E0F90">
        <w:rPr>
          <w:rFonts w:ascii="Arial" w:hAnsi="Arial" w:cs="Arial"/>
          <w:color w:val="000000" w:themeColor="text1"/>
          <w:lang w:val="en-US"/>
        </w:rPr>
        <w:t xml:space="preserve"> Environmental Impact Assessment Review, 32(1), 61–73. http://doi.org/10.1016/j.eiar.2011.03.004</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Petrova, S. (2013).</w:t>
      </w:r>
      <w:proofErr w:type="gramEnd"/>
      <w:r w:rsidRPr="000E0F90">
        <w:rPr>
          <w:rFonts w:ascii="Arial" w:hAnsi="Arial" w:cs="Arial"/>
          <w:color w:val="000000" w:themeColor="text1"/>
          <w:lang w:val="en-US"/>
        </w:rPr>
        <w:t xml:space="preserve"> Social impacts of mining: Changes within the local social landscape, 22(2), 153–165.</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lastRenderedPageBreak/>
        <w:t>Pintér, L., Hardi, P., Martinuzzi, A., &amp; Hall, J. (2012).</w:t>
      </w:r>
      <w:proofErr w:type="gramEnd"/>
      <w:r w:rsidRPr="000E0F90">
        <w:rPr>
          <w:rFonts w:ascii="Arial" w:hAnsi="Arial" w:cs="Arial"/>
          <w:color w:val="000000" w:themeColor="text1"/>
          <w:lang w:val="en-US"/>
        </w:rPr>
        <w:t xml:space="preserve"> Bellagio STAMP: Principles for sustainability assessment and measurement. Ecological Indicators, 17, 20–28. http://doi.org/10.1016/j.ecolind.2011.07.001</w:t>
      </w:r>
    </w:p>
    <w:p w:rsidR="004A6A65" w:rsidRPr="000E0F90" w:rsidRDefault="004A6A65" w:rsidP="004A6A65">
      <w:pPr>
        <w:divId w:val="1427388170"/>
        <w:rPr>
          <w:rFonts w:ascii="Arial" w:hAnsi="Arial" w:cs="Arial"/>
          <w:color w:val="000000" w:themeColor="text1"/>
          <w:lang w:val="en-US"/>
        </w:rPr>
      </w:pPr>
      <w:proofErr w:type="gramStart"/>
      <w:r w:rsidRPr="002A21E4">
        <w:rPr>
          <w:rFonts w:ascii="Arial" w:hAnsi="Arial" w:cs="Arial"/>
          <w:color w:val="000000" w:themeColor="text1"/>
          <w:lang w:val="en-US"/>
        </w:rPr>
        <w:t>Pinto-Correia, T., &amp; Kristensen, L. (2013).</w:t>
      </w:r>
      <w:proofErr w:type="gramEnd"/>
      <w:r w:rsidRPr="002A21E4">
        <w:rPr>
          <w:rFonts w:ascii="Arial" w:hAnsi="Arial" w:cs="Arial"/>
          <w:color w:val="000000" w:themeColor="text1"/>
          <w:lang w:val="en-US"/>
        </w:rPr>
        <w:t xml:space="preserve"> </w:t>
      </w:r>
      <w:proofErr w:type="gramStart"/>
      <w:r w:rsidRPr="000E0F90">
        <w:rPr>
          <w:rFonts w:ascii="Arial" w:hAnsi="Arial" w:cs="Arial"/>
          <w:color w:val="000000" w:themeColor="text1"/>
          <w:lang w:val="en-US"/>
        </w:rPr>
        <w:t>Linking research to practice: The landscape as the basis for integrating social and ecological perspectives of the rural.</w:t>
      </w:r>
      <w:proofErr w:type="gramEnd"/>
      <w:r w:rsidRPr="000E0F90">
        <w:rPr>
          <w:rFonts w:ascii="Arial" w:hAnsi="Arial" w:cs="Arial"/>
          <w:color w:val="000000" w:themeColor="text1"/>
          <w:lang w:val="en-US"/>
        </w:rPr>
        <w:t xml:space="preserve"> Landscape and Urban Planning, 120, 248–256. http://doi.org/10.1016/j.landurbplan.2013.07.005</w:t>
      </w:r>
    </w:p>
    <w:p w:rsidR="004A6A65" w:rsidRPr="000E0F90" w:rsidRDefault="004A6A65" w:rsidP="004A6A65">
      <w:pPr>
        <w:divId w:val="1427388170"/>
        <w:rPr>
          <w:rFonts w:ascii="Arial" w:hAnsi="Arial" w:cs="Arial"/>
          <w:color w:val="000000" w:themeColor="text1"/>
        </w:rPr>
      </w:pPr>
      <w:proofErr w:type="gramStart"/>
      <w:r w:rsidRPr="002A21E4">
        <w:rPr>
          <w:rFonts w:ascii="Arial" w:hAnsi="Arial" w:cs="Arial"/>
          <w:color w:val="000000" w:themeColor="text1"/>
          <w:lang w:val="en-US"/>
        </w:rPr>
        <w:t>Pisani, P., Abogabir, X., &amp; Pollicardo, J. (1999).</w:t>
      </w:r>
      <w:proofErr w:type="gramEnd"/>
      <w:r w:rsidRPr="002A21E4">
        <w:rPr>
          <w:rFonts w:ascii="Arial" w:hAnsi="Arial" w:cs="Arial"/>
          <w:color w:val="000000" w:themeColor="text1"/>
          <w:lang w:val="en-US"/>
        </w:rPr>
        <w:t xml:space="preserve"> </w:t>
      </w:r>
      <w:r w:rsidRPr="000E0F90">
        <w:rPr>
          <w:rFonts w:ascii="Arial" w:hAnsi="Arial" w:cs="Arial"/>
          <w:color w:val="000000" w:themeColor="text1"/>
        </w:rPr>
        <w:t>Aportes conceptuales y Metodológicos para la Resolución Colaborativa de Conflictos Ambientales en Chile. Santiago: Casa de la Paz.</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rPr>
        <w:t xml:space="preserve">Pokhrel, L. R., &amp; Dubey, B. (2013). </w:t>
      </w:r>
      <w:r w:rsidRPr="000E0F90">
        <w:rPr>
          <w:rFonts w:ascii="Arial" w:hAnsi="Arial" w:cs="Arial"/>
          <w:color w:val="000000" w:themeColor="text1"/>
          <w:lang w:val="en-US"/>
        </w:rPr>
        <w:t>Global Scenarios of Metal Mining, Environmental Repercussions, Public Policies, and Sustainability: A Review. Critical Reviews in Environmental Science and Technology, 43(21), 2352–2388. http://doi.org/10.1080/10643389.2012.672086</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Prior, T., Giurco, D., Mudd, G., Mason, L., &amp; Behrisch, J. (2012).</w:t>
      </w:r>
      <w:proofErr w:type="gramEnd"/>
      <w:r w:rsidRPr="000E0F90">
        <w:rPr>
          <w:rFonts w:ascii="Arial" w:hAnsi="Arial" w:cs="Arial"/>
          <w:color w:val="000000" w:themeColor="text1"/>
          <w:lang w:val="en-US"/>
        </w:rPr>
        <w:t xml:space="preserve"> </w:t>
      </w:r>
      <w:proofErr w:type="gramStart"/>
      <w:r w:rsidRPr="000E0F90">
        <w:rPr>
          <w:rFonts w:ascii="Arial" w:hAnsi="Arial" w:cs="Arial"/>
          <w:color w:val="000000" w:themeColor="text1"/>
          <w:lang w:val="en-US"/>
        </w:rPr>
        <w:t>Resource depletion, peak minerals and the implications for sustainable resource management.</w:t>
      </w:r>
      <w:proofErr w:type="gramEnd"/>
      <w:r w:rsidRPr="000E0F90">
        <w:rPr>
          <w:rFonts w:ascii="Arial" w:hAnsi="Arial" w:cs="Arial"/>
          <w:color w:val="000000" w:themeColor="text1"/>
          <w:lang w:val="en-US"/>
        </w:rPr>
        <w:t xml:space="preserve"> Global Environmental Change, 22(3), 577–587. http://doi.org/10.1016/j.gloenvcha.2011.08.009</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Prno, J., &amp; Scott Slocombe, D. (2012).</w:t>
      </w:r>
      <w:proofErr w:type="gramEnd"/>
      <w:r w:rsidRPr="000E0F90">
        <w:rPr>
          <w:rFonts w:ascii="Arial" w:hAnsi="Arial" w:cs="Arial"/>
          <w:color w:val="000000" w:themeColor="text1"/>
          <w:lang w:val="en-US"/>
        </w:rPr>
        <w:t xml:space="preserve"> Exploring the origins of “social license to operate” in the mining sector: Perspectives from governance and sustainability theories. Resources Policy, 37(3), 346–357. http://doi.org/10.1016/j.resourpol.2012.04.002</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lang w:val="en-US"/>
        </w:rPr>
        <w:t xml:space="preserve">Quay, R. (2010). </w:t>
      </w:r>
      <w:proofErr w:type="gramStart"/>
      <w:r w:rsidRPr="000E0F90">
        <w:rPr>
          <w:rFonts w:ascii="Arial" w:hAnsi="Arial" w:cs="Arial"/>
          <w:color w:val="000000" w:themeColor="text1"/>
          <w:lang w:val="en-US"/>
        </w:rPr>
        <w:t>Anticipatory Governance.</w:t>
      </w:r>
      <w:proofErr w:type="gramEnd"/>
      <w:r w:rsidRPr="000E0F90">
        <w:rPr>
          <w:rFonts w:ascii="Arial" w:hAnsi="Arial" w:cs="Arial"/>
          <w:color w:val="000000" w:themeColor="text1"/>
          <w:lang w:val="en-US"/>
        </w:rPr>
        <w:t xml:space="preserve"> </w:t>
      </w:r>
      <w:proofErr w:type="gramStart"/>
      <w:r w:rsidRPr="000E0F90">
        <w:rPr>
          <w:rFonts w:ascii="Arial" w:hAnsi="Arial" w:cs="Arial"/>
          <w:color w:val="000000" w:themeColor="text1"/>
          <w:lang w:val="en-US"/>
        </w:rPr>
        <w:t>Journal of the American Planning Association, 76(4), 496–511.</w:t>
      </w:r>
      <w:proofErr w:type="gramEnd"/>
      <w:r w:rsidRPr="000E0F90">
        <w:rPr>
          <w:rFonts w:ascii="Arial" w:hAnsi="Arial" w:cs="Arial"/>
          <w:color w:val="000000" w:themeColor="text1"/>
          <w:lang w:val="en-US"/>
        </w:rPr>
        <w:t xml:space="preserve"> http://doi.org/10.1080/01944363.2010.508428</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RAE. (11 de Mayo de 2015). Real Academia Española de la Lengua. Obtenido de http://www.rae.es</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RAE. (16 de Enero de 2017). Real Academia Española de la Lengua. Obtenido de Real Academia Española: http://dle.rae.es/?id=YpjGrNt</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Raffestin, C. (1986). El territorio según Claude Raffestin. Obtenido de Sitio Web de Hypergeo: http://www.hypergeo.eu/spip.php?article515</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Rajaram, V., Dutta, S., &amp; Parameswaran, K. (2005).</w:t>
      </w:r>
      <w:proofErr w:type="gramEnd"/>
      <w:r w:rsidRPr="000E0F90">
        <w:rPr>
          <w:rFonts w:ascii="Arial" w:hAnsi="Arial" w:cs="Arial"/>
          <w:color w:val="000000" w:themeColor="text1"/>
          <w:lang w:val="en-US"/>
        </w:rPr>
        <w:t xml:space="preserve"> Sustainable Mining Practices: A Global Perspective. London, UK: Taylor </w:t>
      </w:r>
      <w:proofErr w:type="gramStart"/>
      <w:r w:rsidRPr="000E0F90">
        <w:rPr>
          <w:rFonts w:ascii="Arial" w:hAnsi="Arial" w:cs="Arial"/>
          <w:color w:val="000000" w:themeColor="text1"/>
          <w:lang w:val="en-US"/>
        </w:rPr>
        <w:t>And</w:t>
      </w:r>
      <w:proofErr w:type="gramEnd"/>
      <w:r w:rsidRPr="000E0F90">
        <w:rPr>
          <w:rFonts w:ascii="Arial" w:hAnsi="Arial" w:cs="Arial"/>
          <w:color w:val="000000" w:themeColor="text1"/>
          <w:lang w:val="en-US"/>
        </w:rPr>
        <w:t xml:space="preserve"> Francis Group.</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Ranängen, H., &amp; Lindman, Å. (2017).</w:t>
      </w:r>
      <w:proofErr w:type="gramEnd"/>
      <w:r w:rsidRPr="000E0F90">
        <w:rPr>
          <w:rFonts w:ascii="Arial" w:hAnsi="Arial" w:cs="Arial"/>
          <w:color w:val="000000" w:themeColor="text1"/>
          <w:lang w:val="en-US"/>
        </w:rPr>
        <w:t xml:space="preserve"> </w:t>
      </w:r>
      <w:proofErr w:type="gramStart"/>
      <w:r w:rsidRPr="000E0F90">
        <w:rPr>
          <w:rFonts w:ascii="Arial" w:hAnsi="Arial" w:cs="Arial"/>
          <w:color w:val="000000" w:themeColor="text1"/>
          <w:lang w:val="en-US"/>
        </w:rPr>
        <w:t>A path towards sustainability for the Nordic mining industry.</w:t>
      </w:r>
      <w:proofErr w:type="gramEnd"/>
      <w:r w:rsidRPr="000E0F90">
        <w:rPr>
          <w:rFonts w:ascii="Arial" w:hAnsi="Arial" w:cs="Arial"/>
          <w:color w:val="000000" w:themeColor="text1"/>
          <w:lang w:val="en-US"/>
        </w:rPr>
        <w:t xml:space="preserve"> Journal of Cleaner Production, 151, 43–52. http://doi.org/10.1016/j.jclepro.2017.03.047</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Reed, M. S., Fraser, E. D. G., &amp; Dougill, A. J. (2006).</w:t>
      </w:r>
      <w:proofErr w:type="gramEnd"/>
      <w:r w:rsidRPr="000E0F90">
        <w:rPr>
          <w:rFonts w:ascii="Arial" w:hAnsi="Arial" w:cs="Arial"/>
          <w:color w:val="000000" w:themeColor="text1"/>
          <w:lang w:val="en-US"/>
        </w:rPr>
        <w:t xml:space="preserve"> </w:t>
      </w:r>
      <w:proofErr w:type="gramStart"/>
      <w:r w:rsidRPr="000E0F90">
        <w:rPr>
          <w:rFonts w:ascii="Arial" w:hAnsi="Arial" w:cs="Arial"/>
          <w:color w:val="000000" w:themeColor="text1"/>
          <w:lang w:val="en-US"/>
        </w:rPr>
        <w:t>An adaptive learning process for developing and applying sustainability indicators with local communities.</w:t>
      </w:r>
      <w:proofErr w:type="gramEnd"/>
      <w:r w:rsidRPr="000E0F90">
        <w:rPr>
          <w:rFonts w:ascii="Arial" w:hAnsi="Arial" w:cs="Arial"/>
          <w:color w:val="000000" w:themeColor="text1"/>
          <w:lang w:val="en-US"/>
        </w:rPr>
        <w:t xml:space="preserve"> Ecological Economics, 59, 406–418. http://doi.org/10.1016/j.ecolecon.2005.11.008</w:t>
      </w:r>
    </w:p>
    <w:p w:rsidR="004A6A65" w:rsidRPr="000E0F90" w:rsidRDefault="004A6A65" w:rsidP="004A6A65">
      <w:pPr>
        <w:divId w:val="1427388170"/>
        <w:rPr>
          <w:rFonts w:ascii="Arial" w:hAnsi="Arial" w:cs="Arial"/>
          <w:color w:val="000000" w:themeColor="text1"/>
        </w:rPr>
      </w:pPr>
      <w:proofErr w:type="gramStart"/>
      <w:r w:rsidRPr="002A21E4">
        <w:rPr>
          <w:rFonts w:ascii="Arial" w:hAnsi="Arial" w:cs="Arial"/>
          <w:color w:val="000000" w:themeColor="text1"/>
          <w:lang w:val="en-US"/>
        </w:rPr>
        <w:lastRenderedPageBreak/>
        <w:t>Rehner, J., Baeza, S. a., &amp; Barton, J. R. (2014).</w:t>
      </w:r>
      <w:proofErr w:type="gramEnd"/>
      <w:r w:rsidRPr="002A21E4">
        <w:rPr>
          <w:rFonts w:ascii="Arial" w:hAnsi="Arial" w:cs="Arial"/>
          <w:color w:val="000000" w:themeColor="text1"/>
          <w:lang w:val="en-US"/>
        </w:rPr>
        <w:t xml:space="preserve"> </w:t>
      </w:r>
      <w:r w:rsidRPr="000E0F90">
        <w:rPr>
          <w:rFonts w:ascii="Arial" w:hAnsi="Arial" w:cs="Arial"/>
          <w:color w:val="000000" w:themeColor="text1"/>
          <w:lang w:val="en-US"/>
        </w:rPr>
        <w:t xml:space="preserve">Chile’s resource-based export boom and its outcomes: Regional specialization, export stability and economic growth. </w:t>
      </w:r>
      <w:r w:rsidRPr="000E0F90">
        <w:rPr>
          <w:rFonts w:ascii="Arial" w:hAnsi="Arial" w:cs="Arial"/>
          <w:color w:val="000000" w:themeColor="text1"/>
        </w:rPr>
        <w:t>Geoforum, 56, 35–45. http://doi.org/10.1016/j.geoforum.2014.06.007</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Relaves. (26 de Abril de 2017). Relaves. Recuperado el 26 de Abril de 2017, de www.relaves.org</w:t>
      </w:r>
    </w:p>
    <w:p w:rsidR="004A6A65" w:rsidRPr="002D30B3"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Rist, S., Chidambaranathan, M., Escobar, C., Wiesmann, U., &amp; Zimmermann, A. (2007).</w:t>
      </w:r>
      <w:proofErr w:type="gramEnd"/>
      <w:r w:rsidRPr="000E0F90">
        <w:rPr>
          <w:rFonts w:ascii="Arial" w:hAnsi="Arial" w:cs="Arial"/>
          <w:color w:val="000000" w:themeColor="text1"/>
          <w:lang w:val="en-US"/>
        </w:rPr>
        <w:t xml:space="preserve"> </w:t>
      </w:r>
      <w:proofErr w:type="gramStart"/>
      <w:r w:rsidRPr="000E0F90">
        <w:rPr>
          <w:rFonts w:ascii="Arial" w:hAnsi="Arial" w:cs="Arial"/>
          <w:color w:val="000000" w:themeColor="text1"/>
          <w:lang w:val="en-US"/>
        </w:rPr>
        <w:t>Moving from sustainable management to sustainable governance of natural resources: The role of social learning processes in rural India, Bolivia and Mali.</w:t>
      </w:r>
      <w:proofErr w:type="gramEnd"/>
      <w:r w:rsidRPr="000E0F90">
        <w:rPr>
          <w:rFonts w:ascii="Arial" w:hAnsi="Arial" w:cs="Arial"/>
          <w:color w:val="000000" w:themeColor="text1"/>
          <w:lang w:val="en-US"/>
        </w:rPr>
        <w:t xml:space="preserve"> </w:t>
      </w:r>
      <w:r w:rsidRPr="002D30B3">
        <w:rPr>
          <w:rFonts w:ascii="Arial" w:hAnsi="Arial" w:cs="Arial"/>
          <w:color w:val="000000" w:themeColor="text1"/>
          <w:lang w:val="en-US"/>
        </w:rPr>
        <w:t>Journal of Rural Studies, 23, 23–37. http://doi.org/10.1016/j.jrurstud.2006.02.006</w:t>
      </w:r>
    </w:p>
    <w:p w:rsidR="004A6A65" w:rsidRPr="000E0F90" w:rsidRDefault="004A6A65" w:rsidP="004A6A65">
      <w:pPr>
        <w:divId w:val="1427388170"/>
        <w:rPr>
          <w:rFonts w:ascii="Arial" w:hAnsi="Arial" w:cs="Arial"/>
          <w:color w:val="000000" w:themeColor="text1"/>
        </w:rPr>
      </w:pPr>
      <w:proofErr w:type="gramStart"/>
      <w:r w:rsidRPr="002D30B3">
        <w:rPr>
          <w:rFonts w:ascii="Arial" w:hAnsi="Arial" w:cs="Arial"/>
          <w:color w:val="000000" w:themeColor="text1"/>
          <w:lang w:val="en-US"/>
        </w:rPr>
        <w:t>Rivera, N., &amp; Aroca, P. (2014).</w:t>
      </w:r>
      <w:proofErr w:type="gramEnd"/>
      <w:r w:rsidRPr="002D30B3">
        <w:rPr>
          <w:rFonts w:ascii="Arial" w:hAnsi="Arial" w:cs="Arial"/>
          <w:color w:val="000000" w:themeColor="text1"/>
          <w:lang w:val="en-US"/>
        </w:rPr>
        <w:t xml:space="preserve"> </w:t>
      </w:r>
      <w:r w:rsidRPr="000E0F90">
        <w:rPr>
          <w:rFonts w:ascii="Arial" w:hAnsi="Arial" w:cs="Arial"/>
          <w:color w:val="000000" w:themeColor="text1"/>
        </w:rPr>
        <w:t>Escalas de producción en economías mineras. El caso de Chile en su dimensión regional. Eure, 40, 145–155. http://doi.org/10.4067/S0250-71612014000300012</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lang w:val="en-US"/>
        </w:rPr>
        <w:t xml:space="preserve">Robinson, J. (2004). Squaring the circle? </w:t>
      </w:r>
      <w:proofErr w:type="gramStart"/>
      <w:r w:rsidRPr="000E0F90">
        <w:rPr>
          <w:rFonts w:ascii="Arial" w:hAnsi="Arial" w:cs="Arial"/>
          <w:color w:val="000000" w:themeColor="text1"/>
          <w:lang w:val="en-US"/>
        </w:rPr>
        <w:t>Some thoughts on the idea of sustainable development.</w:t>
      </w:r>
      <w:proofErr w:type="gramEnd"/>
      <w:r w:rsidRPr="000E0F90">
        <w:rPr>
          <w:rFonts w:ascii="Arial" w:hAnsi="Arial" w:cs="Arial"/>
          <w:color w:val="000000" w:themeColor="text1"/>
          <w:lang w:val="en-US"/>
        </w:rPr>
        <w:t xml:space="preserve"> </w:t>
      </w:r>
      <w:r w:rsidRPr="000E0F90">
        <w:rPr>
          <w:rFonts w:ascii="Arial" w:hAnsi="Arial" w:cs="Arial"/>
          <w:color w:val="000000" w:themeColor="text1"/>
        </w:rPr>
        <w:t>Ecological Economics, 48(4), 369–384. http://doi.org/10.1016/j.ecolecon.2003.10.017</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Rodríguez, D. (1991). Gestión organizacional, elementos para su estudio. Santiago: Pontificia Universidad de Chile.</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 xml:space="preserve">Rojas, A., Sabatini, F., &amp; Sepúlveda, C. (2003). Conflictos Ambientales en Chile: aprendizajes y desafíos. Revista Ambiente y Desarrollo del CIPMA, </w:t>
      </w:r>
      <w:proofErr w:type="gramStart"/>
      <w:r w:rsidRPr="000E0F90">
        <w:rPr>
          <w:rFonts w:ascii="Arial" w:hAnsi="Arial" w:cs="Arial"/>
          <w:color w:val="000000" w:themeColor="text1"/>
        </w:rPr>
        <w:t>XIX(</w:t>
      </w:r>
      <w:proofErr w:type="gramEnd"/>
      <w:r w:rsidRPr="000E0F90">
        <w:rPr>
          <w:rFonts w:ascii="Arial" w:hAnsi="Arial" w:cs="Arial"/>
          <w:color w:val="000000" w:themeColor="text1"/>
        </w:rPr>
        <w:t>2), 22-30.</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Rubio, P. (2009). Aspectos de una minería periférica: El departamento de Chañaral y la Explotación del cobre, 1885-1910. En L. Ortega, M. Godoy, &amp; H. Venegas, Sociedad y Mineria en el Norte Chico, 1840-1930 (págs. 223-269). Santiago: Universidad Academia de Humanismo Cristiano, Universidad de Santiago de Chile.</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rPr>
        <w:t xml:space="preserve">Sabatini, F. (1997). Conflictos ambientales: entre la globalización y la sociedad civil. </w:t>
      </w:r>
      <w:r w:rsidRPr="000E0F90">
        <w:rPr>
          <w:rFonts w:ascii="Arial" w:hAnsi="Arial" w:cs="Arial"/>
          <w:color w:val="000000" w:themeColor="text1"/>
          <w:lang w:val="en-US"/>
        </w:rPr>
        <w:t>Santiago, Chile: CIPMA.</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Sack, R. (1986).</w:t>
      </w:r>
      <w:proofErr w:type="gramEnd"/>
      <w:r w:rsidRPr="000E0F90">
        <w:rPr>
          <w:rFonts w:ascii="Arial" w:hAnsi="Arial" w:cs="Arial"/>
          <w:color w:val="000000" w:themeColor="text1"/>
          <w:lang w:val="en-US"/>
        </w:rPr>
        <w:t xml:space="preserve"> Human Territoriality: Its Theory and History.</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Salamanca, I. M. (2017). Salamanca. Recuperado el 30 de 03 de 2017, de http://www.salamanca.cl/</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Salas, M. A. (2013). Prospectiva Territorial. Aproximación a una base conceptual y metodológica.</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San Martín, P. (1997). Conflictos Ambientales en Chile. Observatorio Latinoamericano de Conflictos Ambientales.</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rPr>
        <w:t xml:space="preserve">Santandreu, A., &amp; Gudynas, E. (1998). Ciudadanía en Movimiento: Participación y conflictos ambientales. </w:t>
      </w:r>
      <w:r w:rsidRPr="000E0F90">
        <w:rPr>
          <w:rFonts w:ascii="Arial" w:hAnsi="Arial" w:cs="Arial"/>
          <w:color w:val="000000" w:themeColor="text1"/>
          <w:lang w:val="en-US"/>
        </w:rPr>
        <w:t>Montevideo, Uruguay: Trilce.</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lastRenderedPageBreak/>
        <w:t>Sayer, J., Margules, C., Boedhihartono, A. K., Dale, A., Sunderland, T., Supriatna, J., &amp; Saryanthi, R. (2015).</w:t>
      </w:r>
      <w:proofErr w:type="gramEnd"/>
      <w:r w:rsidRPr="000E0F90">
        <w:rPr>
          <w:rFonts w:ascii="Arial" w:hAnsi="Arial" w:cs="Arial"/>
          <w:color w:val="000000" w:themeColor="text1"/>
          <w:lang w:val="en-US"/>
        </w:rPr>
        <w:t xml:space="preserve"> Landscape approaches; what are the pre-conditions for success? Sustainability Science, 10, 345–355. http://doi.org/10.1007/s11625-014-0281-5</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lang w:val="en-US"/>
        </w:rPr>
        <w:t>Sayer, J., Sunderland, T., Ghazoul, J., Pfund, J.-L., Sheil, D., Meijaard, E</w:t>
      </w:r>
      <w:proofErr w:type="gramStart"/>
      <w:r w:rsidRPr="000E0F90">
        <w:rPr>
          <w:rFonts w:ascii="Arial" w:hAnsi="Arial" w:cs="Arial"/>
          <w:color w:val="000000" w:themeColor="text1"/>
          <w:lang w:val="en-US"/>
        </w:rPr>
        <w:t>., …</w:t>
      </w:r>
      <w:proofErr w:type="gramEnd"/>
      <w:r w:rsidRPr="000E0F90">
        <w:rPr>
          <w:rFonts w:ascii="Arial" w:hAnsi="Arial" w:cs="Arial"/>
          <w:color w:val="000000" w:themeColor="text1"/>
          <w:lang w:val="en-US"/>
        </w:rPr>
        <w:t xml:space="preserve"> Buck, L. E. (2013). Ten principles for a landscape approach to reconciling agriculture, conservation, and other competing land uses. </w:t>
      </w:r>
      <w:proofErr w:type="gramStart"/>
      <w:r w:rsidRPr="000E0F90">
        <w:rPr>
          <w:rFonts w:ascii="Arial" w:hAnsi="Arial" w:cs="Arial"/>
          <w:color w:val="000000" w:themeColor="text1"/>
          <w:lang w:val="en-US"/>
        </w:rPr>
        <w:t>Proceedings of the National Academy of Sciences of the United States of America, 110(21), 8349–56.</w:t>
      </w:r>
      <w:proofErr w:type="gramEnd"/>
      <w:r w:rsidRPr="000E0F90">
        <w:rPr>
          <w:rFonts w:ascii="Arial" w:hAnsi="Arial" w:cs="Arial"/>
          <w:color w:val="000000" w:themeColor="text1"/>
          <w:lang w:val="en-US"/>
        </w:rPr>
        <w:t xml:space="preserve"> http://doi.org/10.1073/pnas.1210595110</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Schaffartzik, A., Mayer, A., Eisenmenger, N., &amp; Krausmann, F. (2016).</w:t>
      </w:r>
      <w:proofErr w:type="gramEnd"/>
      <w:r w:rsidRPr="000E0F90">
        <w:rPr>
          <w:rFonts w:ascii="Arial" w:hAnsi="Arial" w:cs="Arial"/>
          <w:color w:val="000000" w:themeColor="text1"/>
          <w:lang w:val="en-US"/>
        </w:rPr>
        <w:t xml:space="preserve"> Global patterns of metal extractivism, 1950-2010: Providing the bones for the industrial society’s skeleton. Ecological Economics, 122, 101–110. http://doi.org/10.1016/j.ecolecon.2015.12.007</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lang w:val="en-US"/>
        </w:rPr>
        <w:t>Schildermans, P. (2011). The Chilean copper industry towards a more ecologically durable exploitation </w:t>
      </w:r>
      <w:proofErr w:type="gramStart"/>
      <w:r w:rsidRPr="000E0F90">
        <w:rPr>
          <w:rFonts w:ascii="Arial" w:hAnsi="Arial" w:cs="Arial"/>
          <w:color w:val="000000" w:themeColor="text1"/>
          <w:lang w:val="en-US"/>
        </w:rPr>
        <w:t>?,</w:t>
      </w:r>
      <w:proofErr w:type="gramEnd"/>
      <w:r w:rsidRPr="000E0F90">
        <w:rPr>
          <w:rFonts w:ascii="Arial" w:hAnsi="Arial" w:cs="Arial"/>
          <w:color w:val="000000" w:themeColor="text1"/>
          <w:lang w:val="en-US"/>
        </w:rPr>
        <w:t xml:space="preserve"> 256.</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Sedlacek, S., &amp; Gaube, V. (2010).</w:t>
      </w:r>
      <w:proofErr w:type="gramEnd"/>
      <w:r w:rsidRPr="000E0F90">
        <w:rPr>
          <w:rFonts w:ascii="Arial" w:hAnsi="Arial" w:cs="Arial"/>
          <w:color w:val="000000" w:themeColor="text1"/>
          <w:lang w:val="en-US"/>
        </w:rPr>
        <w:t xml:space="preserve"> Regions on their way to sustainability: The role of institutions in fostering sustainable development at the regional level. Environment, Development and Sustainability, 12, 117–134. http://doi.org/10.1007/s10668-008-9184-x</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Selman, P. (2006).</w:t>
      </w:r>
      <w:proofErr w:type="gramEnd"/>
      <w:r w:rsidRPr="000E0F90">
        <w:rPr>
          <w:rFonts w:ascii="Arial" w:hAnsi="Arial" w:cs="Arial"/>
          <w:color w:val="000000" w:themeColor="text1"/>
          <w:lang w:val="en-US"/>
        </w:rPr>
        <w:t xml:space="preserve"> </w:t>
      </w:r>
      <w:proofErr w:type="gramStart"/>
      <w:r w:rsidRPr="000E0F90">
        <w:rPr>
          <w:rFonts w:ascii="Arial" w:hAnsi="Arial" w:cs="Arial"/>
          <w:color w:val="000000" w:themeColor="text1"/>
          <w:lang w:val="en-US"/>
        </w:rPr>
        <w:t>Introduction.</w:t>
      </w:r>
      <w:proofErr w:type="gramEnd"/>
      <w:r w:rsidRPr="000E0F90">
        <w:rPr>
          <w:rFonts w:ascii="Arial" w:hAnsi="Arial" w:cs="Arial"/>
          <w:color w:val="000000" w:themeColor="text1"/>
          <w:lang w:val="en-US"/>
        </w:rPr>
        <w:t xml:space="preserve"> </w:t>
      </w:r>
      <w:proofErr w:type="gramStart"/>
      <w:r w:rsidRPr="000E0F90">
        <w:rPr>
          <w:rFonts w:ascii="Arial" w:hAnsi="Arial" w:cs="Arial"/>
          <w:color w:val="000000" w:themeColor="text1"/>
          <w:lang w:val="en-US"/>
        </w:rPr>
        <w:t>En P. Selman, Planing at the Landscape Scale (págs. 1-23).</w:t>
      </w:r>
      <w:proofErr w:type="gramEnd"/>
      <w:r w:rsidRPr="000E0F90">
        <w:rPr>
          <w:rFonts w:ascii="Arial" w:hAnsi="Arial" w:cs="Arial"/>
          <w:color w:val="000000" w:themeColor="text1"/>
          <w:lang w:val="en-US"/>
        </w:rPr>
        <w:t xml:space="preserve"> Oxon: Routledge.</w:t>
      </w:r>
    </w:p>
    <w:p w:rsidR="004A6A65" w:rsidRPr="002D30B3"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Selman, P. (2008).</w:t>
      </w:r>
      <w:proofErr w:type="gramEnd"/>
      <w:r w:rsidRPr="000E0F90">
        <w:rPr>
          <w:rFonts w:ascii="Arial" w:hAnsi="Arial" w:cs="Arial"/>
          <w:color w:val="000000" w:themeColor="text1"/>
          <w:lang w:val="en-US"/>
        </w:rPr>
        <w:t xml:space="preserve"> What do we mean by sustainable landscape? </w:t>
      </w:r>
      <w:r w:rsidRPr="002D30B3">
        <w:rPr>
          <w:rFonts w:ascii="Arial" w:hAnsi="Arial" w:cs="Arial"/>
          <w:color w:val="000000" w:themeColor="text1"/>
          <w:lang w:val="en-US"/>
        </w:rPr>
        <w:t>Sustainability: Science, Practice, &amp; Policy, 4(2), 23–28.</w:t>
      </w:r>
    </w:p>
    <w:p w:rsidR="004A6A65" w:rsidRPr="000E0F90" w:rsidRDefault="004A6A65" w:rsidP="004A6A65">
      <w:pPr>
        <w:divId w:val="1427388170"/>
        <w:rPr>
          <w:rFonts w:ascii="Arial" w:hAnsi="Arial" w:cs="Arial"/>
          <w:color w:val="000000" w:themeColor="text1"/>
        </w:rPr>
      </w:pPr>
      <w:proofErr w:type="gramStart"/>
      <w:r w:rsidRPr="002D30B3">
        <w:rPr>
          <w:rFonts w:ascii="Arial" w:hAnsi="Arial" w:cs="Arial"/>
          <w:color w:val="000000" w:themeColor="text1"/>
          <w:lang w:val="en-US"/>
        </w:rPr>
        <w:t>SERNAGEOMIN.</w:t>
      </w:r>
      <w:proofErr w:type="gramEnd"/>
      <w:r w:rsidRPr="002D30B3">
        <w:rPr>
          <w:rFonts w:ascii="Arial" w:hAnsi="Arial" w:cs="Arial"/>
          <w:color w:val="000000" w:themeColor="text1"/>
          <w:lang w:val="en-US"/>
        </w:rPr>
        <w:t xml:space="preserve"> </w:t>
      </w:r>
      <w:r w:rsidRPr="000E0F90">
        <w:rPr>
          <w:rFonts w:ascii="Arial" w:hAnsi="Arial" w:cs="Arial"/>
          <w:color w:val="000000" w:themeColor="text1"/>
        </w:rPr>
        <w:t xml:space="preserve">(18 de 01 de 2013). www.sernageomin.cl. </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Sernageomin. (2011). Atlas de Faenas Mineras, Región de Coquimbo (Versión Actualizada). Mapas y Estadísticas de Faenas Mineras de Chile N° 8, Santiago.</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SERNAGEOMIN. (2011). Atlas de Faenas Mineras. Región Coquimbo. Santiago: Sernageomin.</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Sernageomin. (2011). Atlas de Faenas Mineras: Regiones de Antofagasta y Atacama (Versión Actualizada). Santiago.</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SERNAGEOMIN. (2014). Anuario de la Mineria de Chile 2014. Santiago: Sernageomin.</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SERNAGEOMIN. (2014). Anuario de la Minería de Chile 2014. Santiago: Sernageomin.</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 xml:space="preserve">SERNAGEOMIN. (21 de Diciembre de 2010). Catastro de Depósitos de Relaves. Depósitos de Relaves Activos y No Activos 2010. Departamento de Seguridad Mienra. </w:t>
      </w:r>
      <w:r w:rsidRPr="000E0F90">
        <w:rPr>
          <w:rFonts w:ascii="Arial" w:hAnsi="Arial" w:cs="Arial"/>
          <w:color w:val="000000" w:themeColor="text1"/>
        </w:rPr>
        <w:lastRenderedPageBreak/>
        <w:t>Obtenido de Sitio web de Servicio Nacional de Geología y Minería: http://www.sernageomin.cl/ambiental-catastro.php</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Sernageomin. (22 de Diciembre de 2016). Servicio Nacional de Geologia y Minería. Obtenido de http://www.sernageomin.cl/mineria-relaves.php</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SERNATUR, S. N. (31 de 03 de 2017). Servicio Nacional de Turismo.</w:t>
      </w:r>
    </w:p>
    <w:p w:rsidR="004A6A65" w:rsidRPr="000E0F90" w:rsidRDefault="004A6A65" w:rsidP="004A6A65">
      <w:pPr>
        <w:divId w:val="1427388170"/>
        <w:rPr>
          <w:rFonts w:ascii="Arial" w:hAnsi="Arial" w:cs="Arial"/>
          <w:color w:val="000000" w:themeColor="text1"/>
        </w:rPr>
      </w:pPr>
      <w:r w:rsidRPr="0031605E">
        <w:rPr>
          <w:rFonts w:ascii="Arial" w:hAnsi="Arial" w:cs="Arial"/>
          <w:color w:val="000000" w:themeColor="text1"/>
        </w:rPr>
        <w:t xml:space="preserve">Shiroyama, H., Yarime, M., Matsuo, M., Schroeder, H., Scholz, R., &amp; Ulrich, A. E. (2012). </w:t>
      </w:r>
      <w:r w:rsidRPr="000E0F90">
        <w:rPr>
          <w:rFonts w:ascii="Arial" w:hAnsi="Arial" w:cs="Arial"/>
          <w:color w:val="000000" w:themeColor="text1"/>
          <w:lang w:val="en-US"/>
        </w:rPr>
        <w:t xml:space="preserve">Governance for sustainability: knowledge integration and multi-actor dimensions in risk management. </w:t>
      </w:r>
      <w:r w:rsidRPr="000E0F90">
        <w:rPr>
          <w:rFonts w:ascii="Arial" w:hAnsi="Arial" w:cs="Arial"/>
          <w:color w:val="000000" w:themeColor="text1"/>
        </w:rPr>
        <w:t>Sustainability Science, 7(S1), 45–55. http://doi.org/10.1007/s11625-011-0155-z</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SIGA. (2008). Estudio de Impacto Ambiental: Proyecto Minero Tres Valles. Compañía Minera Latinoamericana. Capitulo IV Línea Base. Santiago: SIGA Ingeniería y Consultoría.</w:t>
      </w:r>
    </w:p>
    <w:p w:rsidR="004A6A65" w:rsidRPr="002D30B3" w:rsidRDefault="004A6A65" w:rsidP="004A6A65">
      <w:pPr>
        <w:divId w:val="1427388170"/>
        <w:rPr>
          <w:rFonts w:ascii="Arial" w:hAnsi="Arial" w:cs="Arial"/>
          <w:color w:val="000000" w:themeColor="text1"/>
          <w:lang w:val="en-US"/>
        </w:rPr>
      </w:pPr>
      <w:r w:rsidRPr="000E0F90">
        <w:rPr>
          <w:rFonts w:ascii="Arial" w:hAnsi="Arial" w:cs="Arial"/>
          <w:color w:val="000000" w:themeColor="text1"/>
          <w:lang w:val="en-US"/>
        </w:rPr>
        <w:t xml:space="preserve">Simon, J. (1996). </w:t>
      </w:r>
      <w:proofErr w:type="gramStart"/>
      <w:r w:rsidRPr="000E0F90">
        <w:rPr>
          <w:rFonts w:ascii="Arial" w:hAnsi="Arial" w:cs="Arial"/>
          <w:color w:val="000000" w:themeColor="text1"/>
          <w:lang w:val="en-US"/>
        </w:rPr>
        <w:t>The Ultimate Resource 2.</w:t>
      </w:r>
      <w:proofErr w:type="gramEnd"/>
      <w:r w:rsidRPr="000E0F90">
        <w:rPr>
          <w:rFonts w:ascii="Arial" w:hAnsi="Arial" w:cs="Arial"/>
          <w:color w:val="000000" w:themeColor="text1"/>
          <w:lang w:val="en-US"/>
        </w:rPr>
        <w:t xml:space="preserve"> </w:t>
      </w:r>
      <w:r w:rsidRPr="002D30B3">
        <w:rPr>
          <w:rFonts w:ascii="Arial" w:hAnsi="Arial" w:cs="Arial"/>
          <w:color w:val="000000" w:themeColor="text1"/>
          <w:lang w:val="en-US"/>
        </w:rPr>
        <w:t>Princeton: University Press Princeton.</w:t>
      </w:r>
    </w:p>
    <w:p w:rsidR="004A6A65" w:rsidRPr="000E0F90" w:rsidRDefault="004A6A65" w:rsidP="004A6A65">
      <w:pPr>
        <w:divId w:val="1427388170"/>
        <w:rPr>
          <w:rFonts w:ascii="Arial" w:hAnsi="Arial" w:cs="Arial"/>
          <w:color w:val="000000" w:themeColor="text1"/>
        </w:rPr>
      </w:pPr>
      <w:proofErr w:type="gramStart"/>
      <w:r w:rsidRPr="002D30B3">
        <w:rPr>
          <w:rFonts w:ascii="Arial" w:hAnsi="Arial" w:cs="Arial"/>
          <w:color w:val="000000" w:themeColor="text1"/>
          <w:lang w:val="en-US"/>
        </w:rPr>
        <w:t>SINIA.</w:t>
      </w:r>
      <w:proofErr w:type="gramEnd"/>
      <w:r w:rsidRPr="002D30B3">
        <w:rPr>
          <w:rFonts w:ascii="Arial" w:hAnsi="Arial" w:cs="Arial"/>
          <w:color w:val="000000" w:themeColor="text1"/>
          <w:lang w:val="en-US"/>
        </w:rPr>
        <w:t xml:space="preserve"> </w:t>
      </w:r>
      <w:r w:rsidRPr="000E0F90">
        <w:rPr>
          <w:rFonts w:ascii="Arial" w:hAnsi="Arial" w:cs="Arial"/>
          <w:color w:val="000000" w:themeColor="text1"/>
        </w:rPr>
        <w:t>(12 de Junio de 2017). Sistema Nacional de Información Ambiental. Recuperado el 12 de Junio de 2017, de www.sinia.cl</w:t>
      </w:r>
    </w:p>
    <w:p w:rsidR="004A6A65" w:rsidRPr="002B538F" w:rsidRDefault="004A6A65" w:rsidP="004A6A65">
      <w:pPr>
        <w:divId w:val="1427388170"/>
        <w:rPr>
          <w:rFonts w:ascii="Arial" w:hAnsi="Arial" w:cs="Arial"/>
          <w:color w:val="000000" w:themeColor="text1"/>
          <w:lang w:val="en-US"/>
        </w:rPr>
      </w:pPr>
      <w:r w:rsidRPr="000E0F90">
        <w:rPr>
          <w:rFonts w:ascii="Arial" w:hAnsi="Arial" w:cs="Arial"/>
          <w:color w:val="000000" w:themeColor="text1"/>
        </w:rPr>
        <w:t xml:space="preserve">Sociedad Nacional de Minería. </w:t>
      </w:r>
      <w:proofErr w:type="gramStart"/>
      <w:r w:rsidRPr="002D30B3">
        <w:rPr>
          <w:rFonts w:ascii="Arial" w:hAnsi="Arial" w:cs="Arial"/>
          <w:color w:val="000000" w:themeColor="text1"/>
          <w:lang w:val="en-US"/>
        </w:rPr>
        <w:t>(2016). Memoria Anual 2015/2016.</w:t>
      </w:r>
      <w:proofErr w:type="gramEnd"/>
      <w:r w:rsidRPr="002D30B3">
        <w:rPr>
          <w:rFonts w:ascii="Arial" w:hAnsi="Arial" w:cs="Arial"/>
          <w:color w:val="000000" w:themeColor="text1"/>
          <w:lang w:val="en-US"/>
        </w:rPr>
        <w:t xml:space="preserve"> </w:t>
      </w:r>
      <w:r w:rsidRPr="002B538F">
        <w:rPr>
          <w:rFonts w:ascii="Arial" w:hAnsi="Arial" w:cs="Arial"/>
          <w:color w:val="000000" w:themeColor="text1"/>
          <w:lang w:val="en-US"/>
        </w:rPr>
        <w:t>Santiago: SONAMI.</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Söderholm, P., &amp; Svahn, N. (2015).</w:t>
      </w:r>
      <w:proofErr w:type="gramEnd"/>
      <w:r w:rsidRPr="000E0F90">
        <w:rPr>
          <w:rFonts w:ascii="Arial" w:hAnsi="Arial" w:cs="Arial"/>
          <w:color w:val="000000" w:themeColor="text1"/>
          <w:lang w:val="en-US"/>
        </w:rPr>
        <w:t xml:space="preserve"> Mining, regional development and benefit-sharing in developed countries. Resources Policy, 45, 78–91. http://doi.org/10.1016/j.resourpol.2015.03.003</w:t>
      </w:r>
    </w:p>
    <w:p w:rsidR="004A6A65" w:rsidRPr="000E0F90" w:rsidRDefault="004A6A65" w:rsidP="004A6A65">
      <w:pPr>
        <w:divId w:val="1427388170"/>
        <w:rPr>
          <w:rFonts w:ascii="Arial" w:hAnsi="Arial" w:cs="Arial"/>
          <w:color w:val="000000" w:themeColor="text1"/>
        </w:rPr>
      </w:pPr>
      <w:proofErr w:type="gramStart"/>
      <w:r w:rsidRPr="000E0F90">
        <w:rPr>
          <w:rFonts w:ascii="Arial" w:hAnsi="Arial" w:cs="Arial"/>
          <w:color w:val="000000" w:themeColor="text1"/>
          <w:lang w:val="en-US"/>
        </w:rPr>
        <w:t>Solomon, F., Katz, E., &amp; Lovel, R. (2008).</w:t>
      </w:r>
      <w:proofErr w:type="gramEnd"/>
      <w:r w:rsidRPr="000E0F90">
        <w:rPr>
          <w:rFonts w:ascii="Arial" w:hAnsi="Arial" w:cs="Arial"/>
          <w:color w:val="000000" w:themeColor="text1"/>
          <w:lang w:val="en-US"/>
        </w:rPr>
        <w:t xml:space="preserve"> Social dimensions of mining: Research, policy and practice challenges for the minerals industry in Australia. </w:t>
      </w:r>
      <w:r w:rsidRPr="000E0F90">
        <w:rPr>
          <w:rFonts w:ascii="Arial" w:hAnsi="Arial" w:cs="Arial"/>
          <w:color w:val="000000" w:themeColor="text1"/>
        </w:rPr>
        <w:t>Resources Policy, 33(3), 142–149. http://doi.org/10.1016/j.resourpol.2008.01.005</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SONAMI. (12 de 05 de 2017). Sociedad Nacional de Minería. Recuperado el 12 de 05 de 2017, de Mapa Minero: http://www.sonami.cl/site/mapaminero/</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Sonter, L. J., Moran, C. J., Barrett, D. J., &amp; Soares-Filho, B. S. (2014).</w:t>
      </w:r>
      <w:proofErr w:type="gramEnd"/>
      <w:r w:rsidRPr="000E0F90">
        <w:rPr>
          <w:rFonts w:ascii="Arial" w:hAnsi="Arial" w:cs="Arial"/>
          <w:color w:val="000000" w:themeColor="text1"/>
          <w:lang w:val="en-US"/>
        </w:rPr>
        <w:t xml:space="preserve"> Processes of land use change in mining regions. Journal of Cleaner Production, 84, 494–501. http://doi.org/10.1016/j.jclepro.2014.03.084</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Sosa, M. (2012). ¿Cómo entender el territorio? (B. Ramos, Ed.)Colección Documentos para el debate y la formación, N°4 (</w:t>
      </w:r>
      <w:proofErr w:type="gramStart"/>
      <w:r w:rsidRPr="000E0F90">
        <w:rPr>
          <w:rFonts w:ascii="Arial" w:hAnsi="Arial" w:cs="Arial"/>
          <w:color w:val="000000" w:themeColor="text1"/>
        </w:rPr>
        <w:t>Editroial ,</w:t>
      </w:r>
      <w:proofErr w:type="gramEnd"/>
      <w:r w:rsidRPr="000E0F90">
        <w:rPr>
          <w:rFonts w:ascii="Arial" w:hAnsi="Arial" w:cs="Arial"/>
          <w:color w:val="000000" w:themeColor="text1"/>
        </w:rPr>
        <w:t xml:space="preserve"> p. 131). Guatemala.</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rPr>
        <w:t xml:space="preserve">Spielmann, K. (2002). Evolución histórica y cultural de la percepción de la naturaleza y territorio. En J. Gastó, P. Rodrigo, &amp; I. Aránguiz., Ordenación Territorial, Desarrollo de Predios y Comunas Rurales (págs. </w:t>
      </w:r>
      <w:r w:rsidRPr="000E0F90">
        <w:rPr>
          <w:rFonts w:ascii="Arial" w:hAnsi="Arial" w:cs="Arial"/>
          <w:color w:val="000000" w:themeColor="text1"/>
          <w:lang w:val="en-US"/>
        </w:rPr>
        <w:t>225-233). Santiago, Chile: LOM Ediciones.</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lang w:val="en-US"/>
        </w:rPr>
        <w:t xml:space="preserve">Spitz, K., &amp; </w:t>
      </w:r>
      <w:proofErr w:type="gramStart"/>
      <w:r w:rsidRPr="000E0F90">
        <w:rPr>
          <w:rFonts w:ascii="Arial" w:hAnsi="Arial" w:cs="Arial"/>
          <w:color w:val="000000" w:themeColor="text1"/>
          <w:lang w:val="en-US"/>
        </w:rPr>
        <w:t>Trudinge ,</w:t>
      </w:r>
      <w:proofErr w:type="gramEnd"/>
      <w:r w:rsidRPr="000E0F90">
        <w:rPr>
          <w:rFonts w:ascii="Arial" w:hAnsi="Arial" w:cs="Arial"/>
          <w:color w:val="000000" w:themeColor="text1"/>
          <w:lang w:val="en-US"/>
        </w:rPr>
        <w:t xml:space="preserve"> J. (2008). </w:t>
      </w:r>
      <w:proofErr w:type="gramStart"/>
      <w:r w:rsidRPr="000E0F90">
        <w:rPr>
          <w:rFonts w:ascii="Arial" w:hAnsi="Arial" w:cs="Arial"/>
          <w:color w:val="000000" w:themeColor="text1"/>
          <w:lang w:val="en-US"/>
        </w:rPr>
        <w:t>Minerals, Wealth and Progress.</w:t>
      </w:r>
      <w:proofErr w:type="gramEnd"/>
      <w:r w:rsidRPr="000E0F90">
        <w:rPr>
          <w:rFonts w:ascii="Arial" w:hAnsi="Arial" w:cs="Arial"/>
          <w:color w:val="000000" w:themeColor="text1"/>
          <w:lang w:val="en-US"/>
        </w:rPr>
        <w:t xml:space="preserve"> En K. T. Spitz, Minind and the Environment: Form Ore to Metal (págs. 1-67). </w:t>
      </w:r>
      <w:proofErr w:type="gramStart"/>
      <w:r w:rsidRPr="000E0F90">
        <w:rPr>
          <w:rFonts w:ascii="Arial" w:hAnsi="Arial" w:cs="Arial"/>
          <w:color w:val="000000" w:themeColor="text1"/>
          <w:lang w:val="en-US"/>
        </w:rPr>
        <w:t>CRC Press 2008.</w:t>
      </w:r>
      <w:proofErr w:type="gramEnd"/>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lastRenderedPageBreak/>
        <w:t>Storey, D. (2012).</w:t>
      </w:r>
      <w:proofErr w:type="gramEnd"/>
      <w:r w:rsidRPr="000E0F90">
        <w:rPr>
          <w:rFonts w:ascii="Arial" w:hAnsi="Arial" w:cs="Arial"/>
          <w:color w:val="000000" w:themeColor="text1"/>
          <w:lang w:val="en-US"/>
        </w:rPr>
        <w:t xml:space="preserve"> Territories: the claiming of space. London: Routledge.</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Storey, K. (2001).</w:t>
      </w:r>
      <w:proofErr w:type="gramEnd"/>
      <w:r w:rsidRPr="000E0F90">
        <w:rPr>
          <w:rFonts w:ascii="Arial" w:hAnsi="Arial" w:cs="Arial"/>
          <w:color w:val="000000" w:themeColor="text1"/>
          <w:lang w:val="en-US"/>
        </w:rPr>
        <w:t xml:space="preserve"> Fly-in/Fly-out and Fly-over: Mining and regional development in Western Australia. Australian Geographer, 32(2), 133–148. http://doi.org/10.1080/00049180120066616</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Stubbs, W., Higgins, C., &amp; Milne, M. (2013).</w:t>
      </w:r>
      <w:proofErr w:type="gramEnd"/>
      <w:r w:rsidRPr="000E0F90">
        <w:rPr>
          <w:rFonts w:ascii="Arial" w:hAnsi="Arial" w:cs="Arial"/>
          <w:color w:val="000000" w:themeColor="text1"/>
          <w:lang w:val="en-US"/>
        </w:rPr>
        <w:t xml:space="preserve"> Why Do Companies Not Produce Sustainability Reports? Business Strategy and the Environment, 22(7), 456–470. http://doi.org/10.1002/bse.1756</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Sverdrup, H. U., Ragnarsdottir, K. V., &amp; Koca, D. (2014).</w:t>
      </w:r>
      <w:proofErr w:type="gramEnd"/>
      <w:r w:rsidRPr="000E0F90">
        <w:rPr>
          <w:rFonts w:ascii="Arial" w:hAnsi="Arial" w:cs="Arial"/>
          <w:color w:val="000000" w:themeColor="text1"/>
          <w:lang w:val="en-US"/>
        </w:rPr>
        <w:t xml:space="preserve"> On modelling the global copper mining rates, market supply, copper price and the end of copper reserves. Resources, Conservation and Recycling, 87, 158–174. http://doi.org/10.1016/j.resconrec.2014.03.007</w:t>
      </w:r>
    </w:p>
    <w:p w:rsidR="004A6A65" w:rsidRPr="000E0F90" w:rsidRDefault="004A6A65" w:rsidP="004A6A65">
      <w:pPr>
        <w:divId w:val="1427388170"/>
        <w:rPr>
          <w:rFonts w:ascii="Arial" w:hAnsi="Arial" w:cs="Arial"/>
          <w:color w:val="000000" w:themeColor="text1"/>
        </w:rPr>
      </w:pPr>
      <w:proofErr w:type="gramStart"/>
      <w:r w:rsidRPr="000E0F90">
        <w:rPr>
          <w:rFonts w:ascii="Arial" w:hAnsi="Arial" w:cs="Arial"/>
          <w:color w:val="000000" w:themeColor="text1"/>
          <w:lang w:val="en-US"/>
        </w:rPr>
        <w:t>Tchernitchin, A. N., &amp; Muñoz, G. (2012).</w:t>
      </w:r>
      <w:proofErr w:type="gramEnd"/>
      <w:r w:rsidRPr="000E0F90">
        <w:rPr>
          <w:rFonts w:ascii="Arial" w:hAnsi="Arial" w:cs="Arial"/>
          <w:color w:val="000000" w:themeColor="text1"/>
          <w:lang w:val="en-US"/>
        </w:rPr>
        <w:t xml:space="preserve"> </w:t>
      </w:r>
      <w:r w:rsidRPr="000E0F90">
        <w:rPr>
          <w:rFonts w:ascii="Arial" w:hAnsi="Arial" w:cs="Arial"/>
          <w:color w:val="000000" w:themeColor="text1"/>
        </w:rPr>
        <w:t>Efectos sobre la salud y el medioambiente de las actividades mineras en Chile. Contaminación del Estero Pupío y Agua Potable del pueblo de Caimanes: ¿Se origina desde el tranque de Relaves mineros El Mauro? Cuadernos Médico Sociales: Revista de Salud Pública del Colegio Médico de Chile, 52(4), 199-214.</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lang w:val="en-US"/>
        </w:rPr>
        <w:t>Therivel, R., Christian, G., Craig, C., Grinham, R., Mackins, D., Smith, J</w:t>
      </w:r>
      <w:proofErr w:type="gramStart"/>
      <w:r w:rsidRPr="000E0F90">
        <w:rPr>
          <w:rFonts w:ascii="Arial" w:hAnsi="Arial" w:cs="Arial"/>
          <w:color w:val="000000" w:themeColor="text1"/>
          <w:lang w:val="en-US"/>
        </w:rPr>
        <w:t>., …</w:t>
      </w:r>
      <w:proofErr w:type="gramEnd"/>
      <w:r w:rsidRPr="000E0F90">
        <w:rPr>
          <w:rFonts w:ascii="Arial" w:hAnsi="Arial" w:cs="Arial"/>
          <w:color w:val="000000" w:themeColor="text1"/>
          <w:lang w:val="en-US"/>
        </w:rPr>
        <w:t xml:space="preserve"> Yamane, M. (2009). Sustainability-focused impact assessment: English experiences. Impact Assessment and Project Appraisal, 27(September 2016), 155–168. http://doi.org/10.3152/146155109X438733</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lang w:val="en-US"/>
        </w:rPr>
        <w:t xml:space="preserve">Thompson, I. (2000). </w:t>
      </w:r>
      <w:proofErr w:type="gramStart"/>
      <w:r w:rsidRPr="000E0F90">
        <w:rPr>
          <w:rFonts w:ascii="Arial" w:hAnsi="Arial" w:cs="Arial"/>
          <w:color w:val="000000" w:themeColor="text1"/>
          <w:lang w:val="en-US"/>
        </w:rPr>
        <w:t>The ethics of sustainability.</w:t>
      </w:r>
      <w:proofErr w:type="gramEnd"/>
      <w:r w:rsidRPr="000E0F90">
        <w:rPr>
          <w:rFonts w:ascii="Arial" w:hAnsi="Arial" w:cs="Arial"/>
          <w:color w:val="000000" w:themeColor="text1"/>
          <w:lang w:val="en-US"/>
        </w:rPr>
        <w:t xml:space="preserve"> </w:t>
      </w:r>
      <w:proofErr w:type="gramStart"/>
      <w:r w:rsidRPr="000E0F90">
        <w:rPr>
          <w:rFonts w:ascii="Arial" w:hAnsi="Arial" w:cs="Arial"/>
          <w:color w:val="000000" w:themeColor="text1"/>
          <w:lang w:val="en-US"/>
        </w:rPr>
        <w:t>En J. B. Maggie Roe, Landscape and Sustainability (págs. 12-31).</w:t>
      </w:r>
      <w:proofErr w:type="gramEnd"/>
      <w:r w:rsidRPr="000E0F90">
        <w:rPr>
          <w:rFonts w:ascii="Arial" w:hAnsi="Arial" w:cs="Arial"/>
          <w:color w:val="000000" w:themeColor="text1"/>
          <w:lang w:val="en-US"/>
        </w:rPr>
        <w:t xml:space="preserve"> London: Spon Press.</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lang w:val="en-US"/>
        </w:rPr>
        <w:t xml:space="preserve">Tiainen, H. (2016). </w:t>
      </w:r>
      <w:proofErr w:type="gramStart"/>
      <w:r w:rsidRPr="000E0F90">
        <w:rPr>
          <w:rFonts w:ascii="Arial" w:hAnsi="Arial" w:cs="Arial"/>
          <w:color w:val="000000" w:themeColor="text1"/>
          <w:lang w:val="en-US"/>
        </w:rPr>
        <w:t>Contemplating governance for social sustainability in mining in Greenland.</w:t>
      </w:r>
      <w:proofErr w:type="gramEnd"/>
      <w:r w:rsidRPr="000E0F90">
        <w:rPr>
          <w:rFonts w:ascii="Arial" w:hAnsi="Arial" w:cs="Arial"/>
          <w:color w:val="000000" w:themeColor="text1"/>
          <w:lang w:val="en-US"/>
        </w:rPr>
        <w:t xml:space="preserve"> Resources Policy, 49, 282–289. http://doi.org/10.1016/j.resourpol.2016.06.009</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lang w:val="en-US"/>
        </w:rPr>
        <w:t xml:space="preserve">Tilton, J. E. (1996). </w:t>
      </w:r>
      <w:proofErr w:type="gramStart"/>
      <w:r w:rsidRPr="000E0F90">
        <w:rPr>
          <w:rFonts w:ascii="Arial" w:hAnsi="Arial" w:cs="Arial"/>
          <w:color w:val="000000" w:themeColor="text1"/>
          <w:lang w:val="en-US"/>
        </w:rPr>
        <w:t>Exhaustible resources and sustainable development.</w:t>
      </w:r>
      <w:proofErr w:type="gramEnd"/>
      <w:r w:rsidRPr="000E0F90">
        <w:rPr>
          <w:rFonts w:ascii="Arial" w:hAnsi="Arial" w:cs="Arial"/>
          <w:color w:val="000000" w:themeColor="text1"/>
          <w:lang w:val="en-US"/>
        </w:rPr>
        <w:t xml:space="preserve"> Resources Policy, 22(96), 91–97. http://doi.org/10.1016/S0301-</w:t>
      </w:r>
      <w:proofErr w:type="gramStart"/>
      <w:r w:rsidRPr="000E0F90">
        <w:rPr>
          <w:rFonts w:ascii="Arial" w:hAnsi="Arial" w:cs="Arial"/>
          <w:color w:val="000000" w:themeColor="text1"/>
          <w:lang w:val="en-US"/>
        </w:rPr>
        <w:t>4207(</w:t>
      </w:r>
      <w:proofErr w:type="gramEnd"/>
      <w:r w:rsidRPr="000E0F90">
        <w:rPr>
          <w:rFonts w:ascii="Arial" w:hAnsi="Arial" w:cs="Arial"/>
          <w:color w:val="000000" w:themeColor="text1"/>
          <w:lang w:val="en-US"/>
        </w:rPr>
        <w:t>96)00024-4</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Tonts, M. (2009).</w:t>
      </w:r>
      <w:proofErr w:type="gramEnd"/>
      <w:r w:rsidRPr="000E0F90">
        <w:rPr>
          <w:rFonts w:ascii="Arial" w:hAnsi="Arial" w:cs="Arial"/>
          <w:color w:val="000000" w:themeColor="text1"/>
          <w:lang w:val="en-US"/>
        </w:rPr>
        <w:t xml:space="preserve"> Labour Market Dynamics in Resource Dependent Regions: an Examination of the Western Australian Goldfields. Geographical Research, 48(2), 148–165. http://doi.org/10.1111/j.1745-5871.2009.00624.x</w:t>
      </w:r>
    </w:p>
    <w:p w:rsidR="004A6A65" w:rsidRPr="000E0F90" w:rsidRDefault="004A6A65" w:rsidP="004A6A65">
      <w:pPr>
        <w:divId w:val="1427388170"/>
        <w:rPr>
          <w:rFonts w:ascii="Arial" w:hAnsi="Arial" w:cs="Arial"/>
          <w:color w:val="000000" w:themeColor="text1"/>
        </w:rPr>
      </w:pPr>
      <w:r w:rsidRPr="002B538F">
        <w:rPr>
          <w:rFonts w:ascii="Arial" w:hAnsi="Arial" w:cs="Arial"/>
          <w:color w:val="000000" w:themeColor="text1"/>
          <w:lang w:val="en-US"/>
        </w:rPr>
        <w:t xml:space="preserve">Torres-Murra, J. (2008). </w:t>
      </w:r>
      <w:r w:rsidRPr="000E0F90">
        <w:rPr>
          <w:rFonts w:ascii="Arial" w:hAnsi="Arial" w:cs="Arial"/>
          <w:color w:val="000000" w:themeColor="text1"/>
        </w:rPr>
        <w:t>Estudio Linea Base: Fauna. Quebradas Manquehua y Cárcamo. Santiago: M&amp;MA Ltda.</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t>Venegas, V. (2009). Carrizal Alto, las dificultades de una mineria tradicional. En L. Ortega, M. Godoy, &amp; H. Venegas, Sociedad y Minería en el Norte Chico 1840-1930 (págs. 97-124). Santiago: Universidad Academia de Humanismo Cristiano, Universidad de Santiago.</w:t>
      </w:r>
    </w:p>
    <w:p w:rsidR="004A6A65" w:rsidRPr="000E0F90" w:rsidRDefault="004A6A65" w:rsidP="004A6A65">
      <w:pPr>
        <w:divId w:val="1427388170"/>
        <w:rPr>
          <w:rFonts w:ascii="Arial" w:hAnsi="Arial" w:cs="Arial"/>
          <w:color w:val="000000" w:themeColor="text1"/>
        </w:rPr>
      </w:pPr>
      <w:r w:rsidRPr="000E0F90">
        <w:rPr>
          <w:rFonts w:ascii="Arial" w:hAnsi="Arial" w:cs="Arial"/>
          <w:color w:val="000000" w:themeColor="text1"/>
        </w:rPr>
        <w:lastRenderedPageBreak/>
        <w:t>Vicuña Mackenna, B. (1978). La industria de cobre entre los indígenas de Chile. En B. Vicuña Mackenna, El libro del Cobre y del Carbón de Piedra en Chile (págs. 3-11). Buenos Aires: Francisco de Aguirre S.A.</w:t>
      </w:r>
    </w:p>
    <w:p w:rsidR="004A6A65" w:rsidRPr="000E0F90" w:rsidRDefault="004A6A65" w:rsidP="004A6A65">
      <w:pPr>
        <w:divId w:val="1427388170"/>
        <w:rPr>
          <w:rFonts w:ascii="Arial" w:hAnsi="Arial" w:cs="Arial"/>
          <w:color w:val="000000" w:themeColor="text1"/>
          <w:lang w:val="en-US"/>
        </w:rPr>
      </w:pPr>
      <w:r w:rsidRPr="002A21E4">
        <w:rPr>
          <w:rFonts w:ascii="Arial" w:hAnsi="Arial" w:cs="Arial"/>
          <w:color w:val="000000" w:themeColor="text1"/>
        </w:rPr>
        <w:t xml:space="preserve">Voinov, A., &amp; Farley, J. (2006). </w:t>
      </w:r>
      <w:r w:rsidRPr="000E0F90">
        <w:rPr>
          <w:rFonts w:ascii="Arial" w:hAnsi="Arial" w:cs="Arial"/>
          <w:color w:val="000000" w:themeColor="text1"/>
          <w:lang w:val="en-US"/>
        </w:rPr>
        <w:t xml:space="preserve">Reconciling </w:t>
      </w:r>
      <w:proofErr w:type="gramStart"/>
      <w:r w:rsidRPr="000E0F90">
        <w:rPr>
          <w:rFonts w:ascii="Arial" w:hAnsi="Arial" w:cs="Arial"/>
          <w:color w:val="000000" w:themeColor="text1"/>
          <w:lang w:val="en-US"/>
        </w:rPr>
        <w:t>sustainability ,</w:t>
      </w:r>
      <w:proofErr w:type="gramEnd"/>
      <w:r w:rsidRPr="000E0F90">
        <w:rPr>
          <w:rFonts w:ascii="Arial" w:hAnsi="Arial" w:cs="Arial"/>
          <w:color w:val="000000" w:themeColor="text1"/>
          <w:lang w:val="en-US"/>
        </w:rPr>
        <w:t xml:space="preserve"> systems theory and discounting, 3. http://doi.org/10.1016/j.ecolecon.2006.10.005</w:t>
      </w:r>
    </w:p>
    <w:p w:rsidR="004A6A65" w:rsidRPr="000E0F90" w:rsidRDefault="004A6A65" w:rsidP="004A6A65">
      <w:pPr>
        <w:divId w:val="1427388170"/>
        <w:rPr>
          <w:rFonts w:ascii="Arial" w:hAnsi="Arial" w:cs="Arial"/>
          <w:color w:val="000000" w:themeColor="text1"/>
        </w:rPr>
      </w:pPr>
      <w:proofErr w:type="gramStart"/>
      <w:r w:rsidRPr="000E0F90">
        <w:rPr>
          <w:rFonts w:ascii="Arial" w:hAnsi="Arial" w:cs="Arial"/>
          <w:color w:val="000000" w:themeColor="text1"/>
          <w:lang w:val="en-US"/>
        </w:rPr>
        <w:t>Walter, C., &amp; Stützel, H. (2009).</w:t>
      </w:r>
      <w:proofErr w:type="gramEnd"/>
      <w:r w:rsidRPr="000E0F90">
        <w:rPr>
          <w:rFonts w:ascii="Arial" w:hAnsi="Arial" w:cs="Arial"/>
          <w:color w:val="000000" w:themeColor="text1"/>
          <w:lang w:val="en-US"/>
        </w:rPr>
        <w:t xml:space="preserve"> A new method for assessing the sustainability of land-use systems (I): Identifying the relevant issues. </w:t>
      </w:r>
      <w:r w:rsidRPr="000E0F90">
        <w:rPr>
          <w:rFonts w:ascii="Arial" w:hAnsi="Arial" w:cs="Arial"/>
          <w:color w:val="000000" w:themeColor="text1"/>
        </w:rPr>
        <w:t>Ecological Economics, 68(5), 1275–1287. http://doi.org/10.1016/j.ecolecon.2008.11.016</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rPr>
        <w:t xml:space="preserve">Walter, M. (2009). Conflictos ambientales, socioambientales, distributivos, de contenido ambiental...Reflecxionando sobre enfoques y definiciones. </w:t>
      </w:r>
      <w:r w:rsidRPr="000E0F90">
        <w:rPr>
          <w:rFonts w:ascii="Arial" w:hAnsi="Arial" w:cs="Arial"/>
          <w:color w:val="000000" w:themeColor="text1"/>
          <w:lang w:val="en-US"/>
        </w:rPr>
        <w:t xml:space="preserve">Centro de investigación para </w:t>
      </w:r>
      <w:proofErr w:type="gramStart"/>
      <w:r w:rsidRPr="000E0F90">
        <w:rPr>
          <w:rFonts w:ascii="Arial" w:hAnsi="Arial" w:cs="Arial"/>
          <w:color w:val="000000" w:themeColor="text1"/>
          <w:lang w:val="en-US"/>
        </w:rPr>
        <w:t>la paz</w:t>
      </w:r>
      <w:proofErr w:type="gramEnd"/>
      <w:r w:rsidRPr="000E0F90">
        <w:rPr>
          <w:rFonts w:ascii="Arial" w:hAnsi="Arial" w:cs="Arial"/>
          <w:color w:val="000000" w:themeColor="text1"/>
          <w:lang w:val="en-US"/>
        </w:rPr>
        <w:t>, 1-9.</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lang w:val="en-US"/>
        </w:rPr>
        <w:t xml:space="preserve">Warhurst, A. (1994). </w:t>
      </w:r>
      <w:proofErr w:type="gramStart"/>
      <w:r w:rsidRPr="000E0F90">
        <w:rPr>
          <w:rFonts w:ascii="Arial" w:hAnsi="Arial" w:cs="Arial"/>
          <w:color w:val="000000" w:themeColor="text1"/>
          <w:lang w:val="en-US"/>
        </w:rPr>
        <w:t>The limitations of environmental regulation in mining.</w:t>
      </w:r>
      <w:proofErr w:type="gramEnd"/>
      <w:r w:rsidRPr="000E0F90">
        <w:rPr>
          <w:rFonts w:ascii="Arial" w:hAnsi="Arial" w:cs="Arial"/>
          <w:color w:val="000000" w:themeColor="text1"/>
          <w:lang w:val="en-US"/>
        </w:rPr>
        <w:t xml:space="preserve"> </w:t>
      </w:r>
      <w:proofErr w:type="gramStart"/>
      <w:r w:rsidRPr="000E0F90">
        <w:rPr>
          <w:rFonts w:ascii="Arial" w:hAnsi="Arial" w:cs="Arial"/>
          <w:color w:val="000000" w:themeColor="text1"/>
          <w:lang w:val="en-US"/>
        </w:rPr>
        <w:t>En R. Eggert, Mining and the Environment.</w:t>
      </w:r>
      <w:proofErr w:type="gramEnd"/>
      <w:r w:rsidRPr="000E0F90">
        <w:rPr>
          <w:rFonts w:ascii="Arial" w:hAnsi="Arial" w:cs="Arial"/>
          <w:color w:val="000000" w:themeColor="text1"/>
          <w:lang w:val="en-US"/>
        </w:rPr>
        <w:t xml:space="preserve"> International Perspectives on Public Policy (págs. 133-172). Washington: Resource Future.</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WCED.</w:t>
      </w:r>
      <w:proofErr w:type="gramEnd"/>
      <w:r w:rsidRPr="000E0F90">
        <w:rPr>
          <w:rFonts w:ascii="Arial" w:hAnsi="Arial" w:cs="Arial"/>
          <w:color w:val="000000" w:themeColor="text1"/>
          <w:lang w:val="en-US"/>
        </w:rPr>
        <w:t xml:space="preserve"> (1987). Our Common Future, Chapter 2: Towards Sustainable Development. Switzerland: United Nations.</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lang w:val="en-US"/>
        </w:rPr>
        <w:t xml:space="preserve">Weiss, E. B. (1984). The Planetary Trust : Conservation and Intergenerational Equity. </w:t>
      </w:r>
      <w:proofErr w:type="gramStart"/>
      <w:r w:rsidRPr="000E0F90">
        <w:rPr>
          <w:rFonts w:ascii="Arial" w:hAnsi="Arial" w:cs="Arial"/>
          <w:color w:val="000000" w:themeColor="text1"/>
          <w:lang w:val="en-US"/>
        </w:rPr>
        <w:t>Ecology Law Quarterly, 11(4).</w:t>
      </w:r>
      <w:proofErr w:type="gramEnd"/>
      <w:r w:rsidRPr="000E0F90">
        <w:rPr>
          <w:rFonts w:ascii="Arial" w:hAnsi="Arial" w:cs="Arial"/>
          <w:color w:val="000000" w:themeColor="text1"/>
          <w:lang w:val="en-US"/>
        </w:rPr>
        <w:t xml:space="preserve"> Retrieved from http://heinonline.org/HOL/Page?handle=hein.journals/eclawq11&amp;div=30&amp;g_sent=1&amp;collection=journals</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lang w:val="en-US"/>
        </w:rPr>
        <w:t xml:space="preserve">Whitmore, A. (2006). The </w:t>
      </w:r>
      <w:proofErr w:type="gramStart"/>
      <w:r w:rsidRPr="000E0F90">
        <w:rPr>
          <w:rFonts w:ascii="Arial" w:hAnsi="Arial" w:cs="Arial"/>
          <w:color w:val="000000" w:themeColor="text1"/>
          <w:lang w:val="en-US"/>
        </w:rPr>
        <w:t>emperors</w:t>
      </w:r>
      <w:proofErr w:type="gramEnd"/>
      <w:r w:rsidRPr="000E0F90">
        <w:rPr>
          <w:rFonts w:ascii="Arial" w:hAnsi="Arial" w:cs="Arial"/>
          <w:color w:val="000000" w:themeColor="text1"/>
          <w:lang w:val="en-US"/>
        </w:rPr>
        <w:t xml:space="preserve"> new clothes: Sustainable mining? Journal of Cleaner Production, 14(3-4), 309–314. http://doi.org/10.1016/j.jclepro.2004.10.005</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lang w:val="en-US"/>
        </w:rPr>
        <w:t xml:space="preserve">Wiesmann, U. (1998). Sustainable regional development in rural Africa: conceptual framework and case studies from Kenya. </w:t>
      </w:r>
      <w:proofErr w:type="gramStart"/>
      <w:r w:rsidRPr="000E0F90">
        <w:rPr>
          <w:rFonts w:ascii="Arial" w:hAnsi="Arial" w:cs="Arial"/>
          <w:color w:val="000000" w:themeColor="text1"/>
          <w:lang w:val="en-US"/>
        </w:rPr>
        <w:t>(p. 286 pp.).</w:t>
      </w:r>
      <w:proofErr w:type="gramEnd"/>
      <w:r w:rsidRPr="000E0F90">
        <w:rPr>
          <w:rFonts w:ascii="Arial" w:hAnsi="Arial" w:cs="Arial"/>
          <w:color w:val="000000" w:themeColor="text1"/>
          <w:lang w:val="en-US"/>
        </w:rPr>
        <w:t xml:space="preserve"> Retrieved from https://www.cabdirect.org/cabdirect/abstract/20006781205</w:t>
      </w:r>
    </w:p>
    <w:p w:rsidR="004A6A65" w:rsidRPr="000E0F90" w:rsidRDefault="004A6A65" w:rsidP="004A6A65">
      <w:pPr>
        <w:divId w:val="1427388170"/>
        <w:rPr>
          <w:rFonts w:ascii="Arial" w:hAnsi="Arial" w:cs="Arial"/>
          <w:color w:val="000000" w:themeColor="text1"/>
          <w:lang w:val="en-US"/>
        </w:rPr>
      </w:pPr>
      <w:r w:rsidRPr="000E0F90">
        <w:rPr>
          <w:rFonts w:ascii="Arial" w:hAnsi="Arial" w:cs="Arial"/>
          <w:color w:val="000000" w:themeColor="text1"/>
          <w:lang w:val="en-US"/>
        </w:rPr>
        <w:t>Wilson, L. J. (2004). Riding the Resource Roller Coaster: Understanding Socioeconomic Differences between Mining Communities. Rural Sociology, 69(2), 261–281. http://doi.org/10.1526/003601104323087606</w:t>
      </w:r>
    </w:p>
    <w:p w:rsidR="004A6A65" w:rsidRPr="000E0F90" w:rsidRDefault="004A6A65" w:rsidP="004A6A65">
      <w:pPr>
        <w:divId w:val="1427388170"/>
        <w:rPr>
          <w:rFonts w:ascii="Arial" w:hAnsi="Arial" w:cs="Arial"/>
          <w:color w:val="000000" w:themeColor="text1"/>
          <w:lang w:val="en-US"/>
        </w:rPr>
      </w:pPr>
      <w:proofErr w:type="gramStart"/>
      <w:r w:rsidRPr="000E0F90">
        <w:rPr>
          <w:rFonts w:ascii="Arial" w:hAnsi="Arial" w:cs="Arial"/>
          <w:color w:val="000000" w:themeColor="text1"/>
          <w:lang w:val="en-US"/>
        </w:rPr>
        <w:t>Worrall, R., Neil, D., Brereton, D., &amp; Mulligan, D. (2009).</w:t>
      </w:r>
      <w:proofErr w:type="gramEnd"/>
      <w:r w:rsidRPr="000E0F90">
        <w:rPr>
          <w:rFonts w:ascii="Arial" w:hAnsi="Arial" w:cs="Arial"/>
          <w:color w:val="000000" w:themeColor="text1"/>
          <w:lang w:val="en-US"/>
        </w:rPr>
        <w:t xml:space="preserve"> Towards a sustainability criteria and indicators framework for legacy mine land. Journal of Cleaner Production, 17(16), 1426–1434. http://doi.org/10.1016/j.jclepro.2009.04.013</w:t>
      </w:r>
    </w:p>
    <w:p w:rsidR="005E5EE8" w:rsidRPr="000E0F90" w:rsidRDefault="004A6A65" w:rsidP="005E5EE8">
      <w:pPr>
        <w:rPr>
          <w:color w:val="000000" w:themeColor="text1"/>
        </w:rPr>
      </w:pPr>
      <w:r w:rsidRPr="000E0F90">
        <w:rPr>
          <w:rFonts w:ascii="Arial" w:hAnsi="Arial" w:cs="Arial"/>
          <w:color w:val="000000" w:themeColor="text1"/>
          <w:lang w:val="en-US"/>
        </w:rPr>
        <w:t xml:space="preserve">Wu, J. (2013). Landscape sustainability science: Ecosystem services and human well-being in changing landscapes. </w:t>
      </w:r>
      <w:proofErr w:type="gramStart"/>
      <w:r w:rsidRPr="000E0F90">
        <w:rPr>
          <w:rFonts w:ascii="Arial" w:hAnsi="Arial" w:cs="Arial"/>
          <w:color w:val="000000" w:themeColor="text1"/>
          <w:lang w:val="en-US"/>
        </w:rPr>
        <w:t>Landscape Ecology, 28, 999–1023.</w:t>
      </w:r>
      <w:proofErr w:type="gramEnd"/>
      <w:r w:rsidRPr="000E0F90">
        <w:rPr>
          <w:rFonts w:ascii="Arial" w:hAnsi="Arial" w:cs="Arial"/>
          <w:color w:val="000000" w:themeColor="text1"/>
          <w:lang w:val="en-US"/>
        </w:rPr>
        <w:t xml:space="preserve"> http://doi.org/10.1007/s10980-013-9894-9</w:t>
      </w:r>
    </w:p>
    <w:p w:rsidR="004A6A65" w:rsidRPr="000E0F90" w:rsidRDefault="004A6A65" w:rsidP="00CF11BB">
      <w:pPr>
        <w:rPr>
          <w:rFonts w:ascii="Arial" w:hAnsi="Arial" w:cs="Arial"/>
          <w:color w:val="000000" w:themeColor="text1"/>
        </w:rPr>
      </w:pPr>
    </w:p>
    <w:sectPr w:rsidR="004A6A65" w:rsidRPr="000E0F90" w:rsidSect="00F61E1A">
      <w:footerReference w:type="default" r:id="rId62"/>
      <w:pgSz w:w="12240" w:h="15840"/>
      <w:pgMar w:top="1701" w:right="1701" w:bottom="1418" w:left="1985"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5926" w:rsidRDefault="00CD5926" w:rsidP="0066168A">
      <w:pPr>
        <w:spacing w:after="0" w:line="240" w:lineRule="auto"/>
      </w:pPr>
      <w:r>
        <w:separator/>
      </w:r>
    </w:p>
  </w:endnote>
  <w:endnote w:type="continuationSeparator" w:id="0">
    <w:p w:rsidR="00CD5926" w:rsidRDefault="00CD5926" w:rsidP="006616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21E4" w:rsidRDefault="002A21E4">
    <w:pPr>
      <w:pStyle w:val="Piedepgina"/>
      <w:jc w:val="right"/>
    </w:pPr>
  </w:p>
  <w:p w:rsidR="002A21E4" w:rsidRDefault="002A21E4">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95765385"/>
      <w:docPartObj>
        <w:docPartGallery w:val="Page Numbers (Bottom of Page)"/>
        <w:docPartUnique/>
      </w:docPartObj>
    </w:sdtPr>
    <w:sdtEndPr/>
    <w:sdtContent>
      <w:p w:rsidR="002A21E4" w:rsidRDefault="002A21E4">
        <w:pPr>
          <w:pStyle w:val="Piedepgina"/>
          <w:jc w:val="right"/>
        </w:pPr>
        <w:r>
          <w:fldChar w:fldCharType="begin"/>
        </w:r>
        <w:r w:rsidRPr="00EA436F">
          <w:instrText>PAGE   \* MERGEFORMAT</w:instrText>
        </w:r>
        <w:r>
          <w:fldChar w:fldCharType="separate"/>
        </w:r>
        <w:r w:rsidR="00B17364" w:rsidRPr="00B17364">
          <w:rPr>
            <w:noProof/>
            <w:lang w:val="es-ES"/>
          </w:rPr>
          <w:t>2</w:t>
        </w:r>
        <w:r>
          <w:fldChar w:fldCharType="end"/>
        </w:r>
      </w:p>
    </w:sdtContent>
  </w:sdt>
  <w:p w:rsidR="002A21E4" w:rsidRDefault="002A21E4">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11869582"/>
      <w:docPartObj>
        <w:docPartGallery w:val="Page Numbers (Bottom of Page)"/>
        <w:docPartUnique/>
      </w:docPartObj>
    </w:sdtPr>
    <w:sdtEndPr/>
    <w:sdtContent>
      <w:p w:rsidR="002A21E4" w:rsidRDefault="002A21E4">
        <w:pPr>
          <w:pStyle w:val="Piedepgina"/>
          <w:jc w:val="right"/>
        </w:pPr>
        <w:r>
          <w:fldChar w:fldCharType="begin"/>
        </w:r>
        <w:r>
          <w:instrText>PAGE   \* MERGEFORMAT</w:instrText>
        </w:r>
        <w:r>
          <w:fldChar w:fldCharType="separate"/>
        </w:r>
        <w:r w:rsidR="00B17364" w:rsidRPr="00B17364">
          <w:rPr>
            <w:noProof/>
            <w:lang w:val="es-ES"/>
          </w:rPr>
          <w:t>184</w:t>
        </w:r>
        <w:r>
          <w:fldChar w:fldCharType="end"/>
        </w:r>
      </w:p>
    </w:sdtContent>
  </w:sdt>
  <w:p w:rsidR="002A21E4" w:rsidRDefault="002A21E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5926" w:rsidRDefault="00CD5926" w:rsidP="0066168A">
      <w:pPr>
        <w:spacing w:after="0" w:line="240" w:lineRule="auto"/>
      </w:pPr>
      <w:r>
        <w:separator/>
      </w:r>
    </w:p>
  </w:footnote>
  <w:footnote w:type="continuationSeparator" w:id="0">
    <w:p w:rsidR="00CD5926" w:rsidRDefault="00CD5926" w:rsidP="0066168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81FD9"/>
    <w:multiLevelType w:val="hybridMultilevel"/>
    <w:tmpl w:val="145A2DC4"/>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
    <w:nsid w:val="016C2AE2"/>
    <w:multiLevelType w:val="hybridMultilevel"/>
    <w:tmpl w:val="B4743B62"/>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
    <w:nsid w:val="05B05795"/>
    <w:multiLevelType w:val="hybridMultilevel"/>
    <w:tmpl w:val="7B560EB6"/>
    <w:lvl w:ilvl="0" w:tplc="5E4AC6AE">
      <w:start w:val="1"/>
      <w:numFmt w:val="bullet"/>
      <w:pStyle w:val="FuenteCuadroOT"/>
      <w:lvlText w:val=""/>
      <w:lvlJc w:val="left"/>
      <w:pPr>
        <w:tabs>
          <w:tab w:val="num" w:pos="360"/>
        </w:tabs>
        <w:ind w:left="357" w:hanging="357"/>
      </w:pPr>
      <w:rPr>
        <w:rFonts w:ascii="Wingdings 3" w:hAnsi="Wingdings 3" w:hint="default"/>
      </w:rPr>
    </w:lvl>
    <w:lvl w:ilvl="1" w:tplc="0C0A0003" w:tentative="1">
      <w:start w:val="1"/>
      <w:numFmt w:val="bullet"/>
      <w:lvlText w:val="o"/>
      <w:lvlJc w:val="left"/>
      <w:pPr>
        <w:tabs>
          <w:tab w:val="num" w:pos="1156"/>
        </w:tabs>
        <w:ind w:left="1156" w:hanging="360"/>
      </w:pPr>
      <w:rPr>
        <w:rFonts w:ascii="Courier New" w:hAnsi="Courier New" w:hint="default"/>
      </w:rPr>
    </w:lvl>
    <w:lvl w:ilvl="2" w:tplc="0C0A0005" w:tentative="1">
      <w:start w:val="1"/>
      <w:numFmt w:val="bullet"/>
      <w:lvlText w:val=""/>
      <w:lvlJc w:val="left"/>
      <w:pPr>
        <w:tabs>
          <w:tab w:val="num" w:pos="1876"/>
        </w:tabs>
        <w:ind w:left="1876" w:hanging="360"/>
      </w:pPr>
      <w:rPr>
        <w:rFonts w:ascii="Wingdings" w:hAnsi="Wingdings" w:hint="default"/>
      </w:rPr>
    </w:lvl>
    <w:lvl w:ilvl="3" w:tplc="0C0A0001" w:tentative="1">
      <w:start w:val="1"/>
      <w:numFmt w:val="bullet"/>
      <w:lvlText w:val=""/>
      <w:lvlJc w:val="left"/>
      <w:pPr>
        <w:tabs>
          <w:tab w:val="num" w:pos="2596"/>
        </w:tabs>
        <w:ind w:left="2596" w:hanging="360"/>
      </w:pPr>
      <w:rPr>
        <w:rFonts w:ascii="Symbol" w:hAnsi="Symbol" w:hint="default"/>
      </w:rPr>
    </w:lvl>
    <w:lvl w:ilvl="4" w:tplc="0C0A0003" w:tentative="1">
      <w:start w:val="1"/>
      <w:numFmt w:val="bullet"/>
      <w:lvlText w:val="o"/>
      <w:lvlJc w:val="left"/>
      <w:pPr>
        <w:tabs>
          <w:tab w:val="num" w:pos="3316"/>
        </w:tabs>
        <w:ind w:left="3316" w:hanging="360"/>
      </w:pPr>
      <w:rPr>
        <w:rFonts w:ascii="Courier New" w:hAnsi="Courier New" w:hint="default"/>
      </w:rPr>
    </w:lvl>
    <w:lvl w:ilvl="5" w:tplc="0C0A0005" w:tentative="1">
      <w:start w:val="1"/>
      <w:numFmt w:val="bullet"/>
      <w:lvlText w:val=""/>
      <w:lvlJc w:val="left"/>
      <w:pPr>
        <w:tabs>
          <w:tab w:val="num" w:pos="4036"/>
        </w:tabs>
        <w:ind w:left="4036" w:hanging="360"/>
      </w:pPr>
      <w:rPr>
        <w:rFonts w:ascii="Wingdings" w:hAnsi="Wingdings" w:hint="default"/>
      </w:rPr>
    </w:lvl>
    <w:lvl w:ilvl="6" w:tplc="0C0A0001" w:tentative="1">
      <w:start w:val="1"/>
      <w:numFmt w:val="bullet"/>
      <w:lvlText w:val=""/>
      <w:lvlJc w:val="left"/>
      <w:pPr>
        <w:tabs>
          <w:tab w:val="num" w:pos="4756"/>
        </w:tabs>
        <w:ind w:left="4756" w:hanging="360"/>
      </w:pPr>
      <w:rPr>
        <w:rFonts w:ascii="Symbol" w:hAnsi="Symbol" w:hint="default"/>
      </w:rPr>
    </w:lvl>
    <w:lvl w:ilvl="7" w:tplc="0C0A0003" w:tentative="1">
      <w:start w:val="1"/>
      <w:numFmt w:val="bullet"/>
      <w:lvlText w:val="o"/>
      <w:lvlJc w:val="left"/>
      <w:pPr>
        <w:tabs>
          <w:tab w:val="num" w:pos="5476"/>
        </w:tabs>
        <w:ind w:left="5476" w:hanging="360"/>
      </w:pPr>
      <w:rPr>
        <w:rFonts w:ascii="Courier New" w:hAnsi="Courier New" w:hint="default"/>
      </w:rPr>
    </w:lvl>
    <w:lvl w:ilvl="8" w:tplc="0C0A0005" w:tentative="1">
      <w:start w:val="1"/>
      <w:numFmt w:val="bullet"/>
      <w:lvlText w:val=""/>
      <w:lvlJc w:val="left"/>
      <w:pPr>
        <w:tabs>
          <w:tab w:val="num" w:pos="6196"/>
        </w:tabs>
        <w:ind w:left="6196" w:hanging="360"/>
      </w:pPr>
      <w:rPr>
        <w:rFonts w:ascii="Wingdings" w:hAnsi="Wingdings" w:hint="default"/>
      </w:rPr>
    </w:lvl>
  </w:abstractNum>
  <w:abstractNum w:abstractNumId="3">
    <w:nsid w:val="06506C00"/>
    <w:multiLevelType w:val="hybridMultilevel"/>
    <w:tmpl w:val="1A906256"/>
    <w:lvl w:ilvl="0" w:tplc="25C44660">
      <w:start w:val="1"/>
      <w:numFmt w:val="bullet"/>
      <w:lvlText w:val=""/>
      <w:lvlJc w:val="left"/>
      <w:pPr>
        <w:ind w:left="360" w:hanging="360"/>
      </w:pPr>
      <w:rPr>
        <w:rFonts w:ascii="Symbol" w:hAnsi="Symbol" w:hint="default"/>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4">
    <w:nsid w:val="06C67F1D"/>
    <w:multiLevelType w:val="hybridMultilevel"/>
    <w:tmpl w:val="6EAAF2A4"/>
    <w:lvl w:ilvl="0" w:tplc="25C44660">
      <w:start w:val="1"/>
      <w:numFmt w:val="bullet"/>
      <w:lvlText w:val=""/>
      <w:lvlJc w:val="left"/>
      <w:pPr>
        <w:ind w:left="360" w:hanging="360"/>
      </w:pPr>
      <w:rPr>
        <w:rFonts w:ascii="Symbol" w:hAnsi="Symbol" w:hint="default"/>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5">
    <w:nsid w:val="06DC44B2"/>
    <w:multiLevelType w:val="hybridMultilevel"/>
    <w:tmpl w:val="3A006DD4"/>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6">
    <w:nsid w:val="094250CB"/>
    <w:multiLevelType w:val="hybridMultilevel"/>
    <w:tmpl w:val="6984800A"/>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7">
    <w:nsid w:val="09DA18FD"/>
    <w:multiLevelType w:val="multilevel"/>
    <w:tmpl w:val="A53A1864"/>
    <w:lvl w:ilvl="0">
      <w:start w:val="2"/>
      <w:numFmt w:val="decimal"/>
      <w:lvlText w:val="%1."/>
      <w:lvlJc w:val="left"/>
      <w:pPr>
        <w:ind w:left="420" w:hanging="42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8">
    <w:nsid w:val="0C6C4AF1"/>
    <w:multiLevelType w:val="hybridMultilevel"/>
    <w:tmpl w:val="A268D8FC"/>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9">
    <w:nsid w:val="0C716CB7"/>
    <w:multiLevelType w:val="hybridMultilevel"/>
    <w:tmpl w:val="A3A22EBC"/>
    <w:lvl w:ilvl="0" w:tplc="717C3F80">
      <w:numFmt w:val="bullet"/>
      <w:lvlText w:val="-"/>
      <w:lvlJc w:val="left"/>
      <w:pPr>
        <w:ind w:left="720" w:hanging="360"/>
      </w:pPr>
      <w:rPr>
        <w:rFonts w:ascii="Calibri" w:eastAsiaTheme="minorHAnsi" w:hAnsi="Calibri" w:cstheme="minorBid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0">
    <w:nsid w:val="11FF1892"/>
    <w:multiLevelType w:val="hybridMultilevel"/>
    <w:tmpl w:val="96F23A70"/>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1">
    <w:nsid w:val="13777A5C"/>
    <w:multiLevelType w:val="hybridMultilevel"/>
    <w:tmpl w:val="B9F4573A"/>
    <w:lvl w:ilvl="0" w:tplc="25C44660">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2">
    <w:nsid w:val="14AE0718"/>
    <w:multiLevelType w:val="hybridMultilevel"/>
    <w:tmpl w:val="AE8825F0"/>
    <w:lvl w:ilvl="0" w:tplc="BD808044">
      <w:start w:val="1"/>
      <w:numFmt w:val="decimal"/>
      <w:lvlText w:val="%1."/>
      <w:lvlJc w:val="left"/>
      <w:pPr>
        <w:tabs>
          <w:tab w:val="num" w:pos="720"/>
        </w:tabs>
        <w:ind w:left="720" w:hanging="360"/>
      </w:pPr>
    </w:lvl>
    <w:lvl w:ilvl="1" w:tplc="2E500B60" w:tentative="1">
      <w:start w:val="1"/>
      <w:numFmt w:val="decimal"/>
      <w:lvlText w:val="%2."/>
      <w:lvlJc w:val="left"/>
      <w:pPr>
        <w:tabs>
          <w:tab w:val="num" w:pos="1440"/>
        </w:tabs>
        <w:ind w:left="1440" w:hanging="360"/>
      </w:pPr>
    </w:lvl>
    <w:lvl w:ilvl="2" w:tplc="D5F6F7A4" w:tentative="1">
      <w:start w:val="1"/>
      <w:numFmt w:val="decimal"/>
      <w:lvlText w:val="%3."/>
      <w:lvlJc w:val="left"/>
      <w:pPr>
        <w:tabs>
          <w:tab w:val="num" w:pos="2160"/>
        </w:tabs>
        <w:ind w:left="2160" w:hanging="360"/>
      </w:pPr>
    </w:lvl>
    <w:lvl w:ilvl="3" w:tplc="ED683EAE" w:tentative="1">
      <w:start w:val="1"/>
      <w:numFmt w:val="decimal"/>
      <w:lvlText w:val="%4."/>
      <w:lvlJc w:val="left"/>
      <w:pPr>
        <w:tabs>
          <w:tab w:val="num" w:pos="2880"/>
        </w:tabs>
        <w:ind w:left="2880" w:hanging="360"/>
      </w:pPr>
    </w:lvl>
    <w:lvl w:ilvl="4" w:tplc="25AE0D2C" w:tentative="1">
      <w:start w:val="1"/>
      <w:numFmt w:val="decimal"/>
      <w:lvlText w:val="%5."/>
      <w:lvlJc w:val="left"/>
      <w:pPr>
        <w:tabs>
          <w:tab w:val="num" w:pos="3600"/>
        </w:tabs>
        <w:ind w:left="3600" w:hanging="360"/>
      </w:pPr>
    </w:lvl>
    <w:lvl w:ilvl="5" w:tplc="A384907E" w:tentative="1">
      <w:start w:val="1"/>
      <w:numFmt w:val="decimal"/>
      <w:lvlText w:val="%6."/>
      <w:lvlJc w:val="left"/>
      <w:pPr>
        <w:tabs>
          <w:tab w:val="num" w:pos="4320"/>
        </w:tabs>
        <w:ind w:left="4320" w:hanging="360"/>
      </w:pPr>
    </w:lvl>
    <w:lvl w:ilvl="6" w:tplc="AD9A65CC" w:tentative="1">
      <w:start w:val="1"/>
      <w:numFmt w:val="decimal"/>
      <w:lvlText w:val="%7."/>
      <w:lvlJc w:val="left"/>
      <w:pPr>
        <w:tabs>
          <w:tab w:val="num" w:pos="5040"/>
        </w:tabs>
        <w:ind w:left="5040" w:hanging="360"/>
      </w:pPr>
    </w:lvl>
    <w:lvl w:ilvl="7" w:tplc="A7783FE8" w:tentative="1">
      <w:start w:val="1"/>
      <w:numFmt w:val="decimal"/>
      <w:lvlText w:val="%8."/>
      <w:lvlJc w:val="left"/>
      <w:pPr>
        <w:tabs>
          <w:tab w:val="num" w:pos="5760"/>
        </w:tabs>
        <w:ind w:left="5760" w:hanging="360"/>
      </w:pPr>
    </w:lvl>
    <w:lvl w:ilvl="8" w:tplc="04B871C2" w:tentative="1">
      <w:start w:val="1"/>
      <w:numFmt w:val="decimal"/>
      <w:lvlText w:val="%9."/>
      <w:lvlJc w:val="left"/>
      <w:pPr>
        <w:tabs>
          <w:tab w:val="num" w:pos="6480"/>
        </w:tabs>
        <w:ind w:left="6480" w:hanging="360"/>
      </w:pPr>
    </w:lvl>
  </w:abstractNum>
  <w:abstractNum w:abstractNumId="13">
    <w:nsid w:val="18647C5E"/>
    <w:multiLevelType w:val="hybridMultilevel"/>
    <w:tmpl w:val="EB9075F0"/>
    <w:lvl w:ilvl="0" w:tplc="25C44660">
      <w:start w:val="1"/>
      <w:numFmt w:val="bullet"/>
      <w:lvlText w:val=""/>
      <w:lvlJc w:val="left"/>
      <w:pPr>
        <w:ind w:left="360" w:hanging="360"/>
      </w:pPr>
      <w:rPr>
        <w:rFonts w:ascii="Symbol" w:hAnsi="Symbol" w:hint="default"/>
      </w:rPr>
    </w:lvl>
    <w:lvl w:ilvl="1" w:tplc="25C44660">
      <w:start w:val="1"/>
      <w:numFmt w:val="bullet"/>
      <w:lvlText w:val=""/>
      <w:lvlJc w:val="left"/>
      <w:pPr>
        <w:ind w:left="1080" w:hanging="360"/>
      </w:pPr>
      <w:rPr>
        <w:rFonts w:ascii="Symbol" w:hAnsi="Symbol"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14">
    <w:nsid w:val="198F3E2C"/>
    <w:multiLevelType w:val="hybridMultilevel"/>
    <w:tmpl w:val="56FC6AF8"/>
    <w:lvl w:ilvl="0" w:tplc="340A0005">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5">
    <w:nsid w:val="218109E8"/>
    <w:multiLevelType w:val="hybridMultilevel"/>
    <w:tmpl w:val="DF08EE0C"/>
    <w:lvl w:ilvl="0" w:tplc="FB082696">
      <w:start w:val="1"/>
      <w:numFmt w:val="decimal"/>
      <w:lvlText w:val="%1."/>
      <w:lvlJc w:val="left"/>
      <w:pPr>
        <w:ind w:left="1080" w:hanging="360"/>
      </w:pPr>
      <w:rPr>
        <w:i w:val="0"/>
      </w:rPr>
    </w:lvl>
    <w:lvl w:ilvl="1" w:tplc="340A0019" w:tentative="1">
      <w:start w:val="1"/>
      <w:numFmt w:val="lowerLetter"/>
      <w:lvlText w:val="%2."/>
      <w:lvlJc w:val="left"/>
      <w:pPr>
        <w:ind w:left="1800" w:hanging="360"/>
      </w:pPr>
    </w:lvl>
    <w:lvl w:ilvl="2" w:tplc="340A001B" w:tentative="1">
      <w:start w:val="1"/>
      <w:numFmt w:val="lowerRoman"/>
      <w:lvlText w:val="%3."/>
      <w:lvlJc w:val="right"/>
      <w:pPr>
        <w:ind w:left="2520" w:hanging="180"/>
      </w:pPr>
    </w:lvl>
    <w:lvl w:ilvl="3" w:tplc="340A000F" w:tentative="1">
      <w:start w:val="1"/>
      <w:numFmt w:val="decimal"/>
      <w:lvlText w:val="%4."/>
      <w:lvlJc w:val="left"/>
      <w:pPr>
        <w:ind w:left="3240" w:hanging="360"/>
      </w:pPr>
    </w:lvl>
    <w:lvl w:ilvl="4" w:tplc="340A0019" w:tentative="1">
      <w:start w:val="1"/>
      <w:numFmt w:val="lowerLetter"/>
      <w:lvlText w:val="%5."/>
      <w:lvlJc w:val="left"/>
      <w:pPr>
        <w:ind w:left="3960" w:hanging="360"/>
      </w:pPr>
    </w:lvl>
    <w:lvl w:ilvl="5" w:tplc="340A001B" w:tentative="1">
      <w:start w:val="1"/>
      <w:numFmt w:val="lowerRoman"/>
      <w:lvlText w:val="%6."/>
      <w:lvlJc w:val="right"/>
      <w:pPr>
        <w:ind w:left="4680" w:hanging="180"/>
      </w:pPr>
    </w:lvl>
    <w:lvl w:ilvl="6" w:tplc="340A000F" w:tentative="1">
      <w:start w:val="1"/>
      <w:numFmt w:val="decimal"/>
      <w:lvlText w:val="%7."/>
      <w:lvlJc w:val="left"/>
      <w:pPr>
        <w:ind w:left="5400" w:hanging="360"/>
      </w:pPr>
    </w:lvl>
    <w:lvl w:ilvl="7" w:tplc="340A0019" w:tentative="1">
      <w:start w:val="1"/>
      <w:numFmt w:val="lowerLetter"/>
      <w:lvlText w:val="%8."/>
      <w:lvlJc w:val="left"/>
      <w:pPr>
        <w:ind w:left="6120" w:hanging="360"/>
      </w:pPr>
    </w:lvl>
    <w:lvl w:ilvl="8" w:tplc="340A001B" w:tentative="1">
      <w:start w:val="1"/>
      <w:numFmt w:val="lowerRoman"/>
      <w:lvlText w:val="%9."/>
      <w:lvlJc w:val="right"/>
      <w:pPr>
        <w:ind w:left="6840" w:hanging="180"/>
      </w:pPr>
    </w:lvl>
  </w:abstractNum>
  <w:abstractNum w:abstractNumId="16">
    <w:nsid w:val="2C8F12A9"/>
    <w:multiLevelType w:val="hybridMultilevel"/>
    <w:tmpl w:val="390CD8C0"/>
    <w:lvl w:ilvl="0" w:tplc="25C44660">
      <w:start w:val="1"/>
      <w:numFmt w:val="bullet"/>
      <w:lvlText w:val=""/>
      <w:lvlJc w:val="left"/>
      <w:pPr>
        <w:ind w:left="720" w:hanging="360"/>
      </w:pPr>
      <w:rPr>
        <w:rFonts w:ascii="Symbol" w:hAnsi="Symbol" w:hint="default"/>
      </w:rPr>
    </w:lvl>
    <w:lvl w:ilvl="1" w:tplc="340A0003">
      <w:start w:val="1"/>
      <w:numFmt w:val="bullet"/>
      <w:lvlText w:val="o"/>
      <w:lvlJc w:val="left"/>
      <w:pPr>
        <w:ind w:left="1440" w:hanging="360"/>
      </w:pPr>
      <w:rPr>
        <w:rFonts w:ascii="Courier New" w:hAnsi="Courier New" w:cs="Courier New" w:hint="default"/>
      </w:rPr>
    </w:lvl>
    <w:lvl w:ilvl="2" w:tplc="340A0005">
      <w:start w:val="1"/>
      <w:numFmt w:val="bullet"/>
      <w:lvlText w:val=""/>
      <w:lvlJc w:val="left"/>
      <w:pPr>
        <w:ind w:left="2160" w:hanging="360"/>
      </w:pPr>
      <w:rPr>
        <w:rFonts w:ascii="Wingdings" w:hAnsi="Wingdings" w:hint="default"/>
      </w:rPr>
    </w:lvl>
    <w:lvl w:ilvl="3" w:tplc="340A0001">
      <w:start w:val="1"/>
      <w:numFmt w:val="bullet"/>
      <w:lvlText w:val=""/>
      <w:lvlJc w:val="left"/>
      <w:pPr>
        <w:ind w:left="2880" w:hanging="360"/>
      </w:pPr>
      <w:rPr>
        <w:rFonts w:ascii="Symbol" w:hAnsi="Symbol" w:hint="default"/>
      </w:rPr>
    </w:lvl>
    <w:lvl w:ilvl="4" w:tplc="340A0003">
      <w:start w:val="1"/>
      <w:numFmt w:val="bullet"/>
      <w:lvlText w:val="o"/>
      <w:lvlJc w:val="left"/>
      <w:pPr>
        <w:ind w:left="3600" w:hanging="360"/>
      </w:pPr>
      <w:rPr>
        <w:rFonts w:ascii="Courier New" w:hAnsi="Courier New" w:cs="Courier New" w:hint="default"/>
      </w:rPr>
    </w:lvl>
    <w:lvl w:ilvl="5" w:tplc="340A0005">
      <w:start w:val="1"/>
      <w:numFmt w:val="bullet"/>
      <w:lvlText w:val=""/>
      <w:lvlJc w:val="left"/>
      <w:pPr>
        <w:ind w:left="4320" w:hanging="360"/>
      </w:pPr>
      <w:rPr>
        <w:rFonts w:ascii="Wingdings" w:hAnsi="Wingdings" w:hint="default"/>
      </w:rPr>
    </w:lvl>
    <w:lvl w:ilvl="6" w:tplc="340A0001">
      <w:start w:val="1"/>
      <w:numFmt w:val="bullet"/>
      <w:lvlText w:val=""/>
      <w:lvlJc w:val="left"/>
      <w:pPr>
        <w:ind w:left="5040" w:hanging="360"/>
      </w:pPr>
      <w:rPr>
        <w:rFonts w:ascii="Symbol" w:hAnsi="Symbol" w:hint="default"/>
      </w:rPr>
    </w:lvl>
    <w:lvl w:ilvl="7" w:tplc="340A0003">
      <w:start w:val="1"/>
      <w:numFmt w:val="bullet"/>
      <w:lvlText w:val="o"/>
      <w:lvlJc w:val="left"/>
      <w:pPr>
        <w:ind w:left="5760" w:hanging="360"/>
      </w:pPr>
      <w:rPr>
        <w:rFonts w:ascii="Courier New" w:hAnsi="Courier New" w:cs="Courier New" w:hint="default"/>
      </w:rPr>
    </w:lvl>
    <w:lvl w:ilvl="8" w:tplc="340A0005">
      <w:start w:val="1"/>
      <w:numFmt w:val="bullet"/>
      <w:lvlText w:val=""/>
      <w:lvlJc w:val="left"/>
      <w:pPr>
        <w:ind w:left="6480" w:hanging="360"/>
      </w:pPr>
      <w:rPr>
        <w:rFonts w:ascii="Wingdings" w:hAnsi="Wingdings" w:hint="default"/>
      </w:rPr>
    </w:lvl>
  </w:abstractNum>
  <w:abstractNum w:abstractNumId="17">
    <w:nsid w:val="2DD16977"/>
    <w:multiLevelType w:val="hybridMultilevel"/>
    <w:tmpl w:val="740C633E"/>
    <w:lvl w:ilvl="0" w:tplc="AA24CEEE">
      <w:start w:val="1"/>
      <w:numFmt w:val="bullet"/>
      <w:lvlText w:val="•"/>
      <w:lvlJc w:val="left"/>
      <w:pPr>
        <w:tabs>
          <w:tab w:val="num" w:pos="720"/>
        </w:tabs>
        <w:ind w:left="720" w:hanging="360"/>
      </w:pPr>
      <w:rPr>
        <w:rFonts w:ascii="Arial" w:hAnsi="Arial" w:hint="default"/>
      </w:rPr>
    </w:lvl>
    <w:lvl w:ilvl="1" w:tplc="34A02A1A">
      <w:start w:val="2611"/>
      <w:numFmt w:val="bullet"/>
      <w:lvlText w:val="•"/>
      <w:lvlJc w:val="left"/>
      <w:pPr>
        <w:tabs>
          <w:tab w:val="num" w:pos="1440"/>
        </w:tabs>
        <w:ind w:left="1440" w:hanging="360"/>
      </w:pPr>
      <w:rPr>
        <w:rFonts w:ascii="Arial" w:hAnsi="Arial" w:hint="default"/>
      </w:rPr>
    </w:lvl>
    <w:lvl w:ilvl="2" w:tplc="B0CE3ADE" w:tentative="1">
      <w:start w:val="1"/>
      <w:numFmt w:val="bullet"/>
      <w:lvlText w:val="•"/>
      <w:lvlJc w:val="left"/>
      <w:pPr>
        <w:tabs>
          <w:tab w:val="num" w:pos="2160"/>
        </w:tabs>
        <w:ind w:left="2160" w:hanging="360"/>
      </w:pPr>
      <w:rPr>
        <w:rFonts w:ascii="Arial" w:hAnsi="Arial" w:hint="default"/>
      </w:rPr>
    </w:lvl>
    <w:lvl w:ilvl="3" w:tplc="CD62B418" w:tentative="1">
      <w:start w:val="1"/>
      <w:numFmt w:val="bullet"/>
      <w:lvlText w:val="•"/>
      <w:lvlJc w:val="left"/>
      <w:pPr>
        <w:tabs>
          <w:tab w:val="num" w:pos="2880"/>
        </w:tabs>
        <w:ind w:left="2880" w:hanging="360"/>
      </w:pPr>
      <w:rPr>
        <w:rFonts w:ascii="Arial" w:hAnsi="Arial" w:hint="default"/>
      </w:rPr>
    </w:lvl>
    <w:lvl w:ilvl="4" w:tplc="B1FC89A6" w:tentative="1">
      <w:start w:val="1"/>
      <w:numFmt w:val="bullet"/>
      <w:lvlText w:val="•"/>
      <w:lvlJc w:val="left"/>
      <w:pPr>
        <w:tabs>
          <w:tab w:val="num" w:pos="3600"/>
        </w:tabs>
        <w:ind w:left="3600" w:hanging="360"/>
      </w:pPr>
      <w:rPr>
        <w:rFonts w:ascii="Arial" w:hAnsi="Arial" w:hint="default"/>
      </w:rPr>
    </w:lvl>
    <w:lvl w:ilvl="5" w:tplc="24A8B6BE" w:tentative="1">
      <w:start w:val="1"/>
      <w:numFmt w:val="bullet"/>
      <w:lvlText w:val="•"/>
      <w:lvlJc w:val="left"/>
      <w:pPr>
        <w:tabs>
          <w:tab w:val="num" w:pos="4320"/>
        </w:tabs>
        <w:ind w:left="4320" w:hanging="360"/>
      </w:pPr>
      <w:rPr>
        <w:rFonts w:ascii="Arial" w:hAnsi="Arial" w:hint="default"/>
      </w:rPr>
    </w:lvl>
    <w:lvl w:ilvl="6" w:tplc="103C4138" w:tentative="1">
      <w:start w:val="1"/>
      <w:numFmt w:val="bullet"/>
      <w:lvlText w:val="•"/>
      <w:lvlJc w:val="left"/>
      <w:pPr>
        <w:tabs>
          <w:tab w:val="num" w:pos="5040"/>
        </w:tabs>
        <w:ind w:left="5040" w:hanging="360"/>
      </w:pPr>
      <w:rPr>
        <w:rFonts w:ascii="Arial" w:hAnsi="Arial" w:hint="default"/>
      </w:rPr>
    </w:lvl>
    <w:lvl w:ilvl="7" w:tplc="4F1EC75C" w:tentative="1">
      <w:start w:val="1"/>
      <w:numFmt w:val="bullet"/>
      <w:lvlText w:val="•"/>
      <w:lvlJc w:val="left"/>
      <w:pPr>
        <w:tabs>
          <w:tab w:val="num" w:pos="5760"/>
        </w:tabs>
        <w:ind w:left="5760" w:hanging="360"/>
      </w:pPr>
      <w:rPr>
        <w:rFonts w:ascii="Arial" w:hAnsi="Arial" w:hint="default"/>
      </w:rPr>
    </w:lvl>
    <w:lvl w:ilvl="8" w:tplc="89F4D3A0" w:tentative="1">
      <w:start w:val="1"/>
      <w:numFmt w:val="bullet"/>
      <w:lvlText w:val="•"/>
      <w:lvlJc w:val="left"/>
      <w:pPr>
        <w:tabs>
          <w:tab w:val="num" w:pos="6480"/>
        </w:tabs>
        <w:ind w:left="6480" w:hanging="360"/>
      </w:pPr>
      <w:rPr>
        <w:rFonts w:ascii="Arial" w:hAnsi="Arial" w:hint="default"/>
      </w:rPr>
    </w:lvl>
  </w:abstractNum>
  <w:abstractNum w:abstractNumId="18">
    <w:nsid w:val="349B5597"/>
    <w:multiLevelType w:val="hybridMultilevel"/>
    <w:tmpl w:val="A6EC2FB8"/>
    <w:lvl w:ilvl="0" w:tplc="25C44660">
      <w:start w:val="1"/>
      <w:numFmt w:val="bullet"/>
      <w:lvlText w:val=""/>
      <w:lvlJc w:val="left"/>
      <w:pPr>
        <w:ind w:left="720" w:hanging="360"/>
      </w:pPr>
      <w:rPr>
        <w:rFonts w:ascii="Symbol" w:hAnsi="Symbol" w:hint="default"/>
      </w:rPr>
    </w:lvl>
    <w:lvl w:ilvl="1" w:tplc="25C44660">
      <w:start w:val="1"/>
      <w:numFmt w:val="bullet"/>
      <w:lvlText w:val=""/>
      <w:lvlJc w:val="left"/>
      <w:pPr>
        <w:ind w:left="1440" w:hanging="360"/>
      </w:pPr>
      <w:rPr>
        <w:rFonts w:ascii="Symbol" w:hAnsi="Symbol"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9">
    <w:nsid w:val="389E508B"/>
    <w:multiLevelType w:val="hybridMultilevel"/>
    <w:tmpl w:val="9134E274"/>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0">
    <w:nsid w:val="42242F9A"/>
    <w:multiLevelType w:val="hybridMultilevel"/>
    <w:tmpl w:val="B4743B62"/>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1">
    <w:nsid w:val="4580158B"/>
    <w:multiLevelType w:val="hybridMultilevel"/>
    <w:tmpl w:val="DF08EE0C"/>
    <w:lvl w:ilvl="0" w:tplc="FB082696">
      <w:start w:val="1"/>
      <w:numFmt w:val="decimal"/>
      <w:lvlText w:val="%1."/>
      <w:lvlJc w:val="left"/>
      <w:pPr>
        <w:ind w:left="1080" w:hanging="360"/>
      </w:pPr>
      <w:rPr>
        <w:i w:val="0"/>
      </w:rPr>
    </w:lvl>
    <w:lvl w:ilvl="1" w:tplc="340A0019" w:tentative="1">
      <w:start w:val="1"/>
      <w:numFmt w:val="lowerLetter"/>
      <w:lvlText w:val="%2."/>
      <w:lvlJc w:val="left"/>
      <w:pPr>
        <w:ind w:left="1800" w:hanging="360"/>
      </w:pPr>
    </w:lvl>
    <w:lvl w:ilvl="2" w:tplc="340A001B" w:tentative="1">
      <w:start w:val="1"/>
      <w:numFmt w:val="lowerRoman"/>
      <w:lvlText w:val="%3."/>
      <w:lvlJc w:val="right"/>
      <w:pPr>
        <w:ind w:left="2520" w:hanging="180"/>
      </w:pPr>
    </w:lvl>
    <w:lvl w:ilvl="3" w:tplc="340A000F" w:tentative="1">
      <w:start w:val="1"/>
      <w:numFmt w:val="decimal"/>
      <w:lvlText w:val="%4."/>
      <w:lvlJc w:val="left"/>
      <w:pPr>
        <w:ind w:left="3240" w:hanging="360"/>
      </w:pPr>
    </w:lvl>
    <w:lvl w:ilvl="4" w:tplc="340A0019" w:tentative="1">
      <w:start w:val="1"/>
      <w:numFmt w:val="lowerLetter"/>
      <w:lvlText w:val="%5."/>
      <w:lvlJc w:val="left"/>
      <w:pPr>
        <w:ind w:left="3960" w:hanging="360"/>
      </w:pPr>
    </w:lvl>
    <w:lvl w:ilvl="5" w:tplc="340A001B" w:tentative="1">
      <w:start w:val="1"/>
      <w:numFmt w:val="lowerRoman"/>
      <w:lvlText w:val="%6."/>
      <w:lvlJc w:val="right"/>
      <w:pPr>
        <w:ind w:left="4680" w:hanging="180"/>
      </w:pPr>
    </w:lvl>
    <w:lvl w:ilvl="6" w:tplc="340A000F" w:tentative="1">
      <w:start w:val="1"/>
      <w:numFmt w:val="decimal"/>
      <w:lvlText w:val="%7."/>
      <w:lvlJc w:val="left"/>
      <w:pPr>
        <w:ind w:left="5400" w:hanging="360"/>
      </w:pPr>
    </w:lvl>
    <w:lvl w:ilvl="7" w:tplc="340A0019" w:tentative="1">
      <w:start w:val="1"/>
      <w:numFmt w:val="lowerLetter"/>
      <w:lvlText w:val="%8."/>
      <w:lvlJc w:val="left"/>
      <w:pPr>
        <w:ind w:left="6120" w:hanging="360"/>
      </w:pPr>
    </w:lvl>
    <w:lvl w:ilvl="8" w:tplc="340A001B" w:tentative="1">
      <w:start w:val="1"/>
      <w:numFmt w:val="lowerRoman"/>
      <w:lvlText w:val="%9."/>
      <w:lvlJc w:val="right"/>
      <w:pPr>
        <w:ind w:left="6840" w:hanging="180"/>
      </w:pPr>
    </w:lvl>
  </w:abstractNum>
  <w:abstractNum w:abstractNumId="22">
    <w:nsid w:val="4B7C0AD6"/>
    <w:multiLevelType w:val="hybridMultilevel"/>
    <w:tmpl w:val="D68A0EB4"/>
    <w:lvl w:ilvl="0" w:tplc="25C44660">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3">
    <w:nsid w:val="506C7483"/>
    <w:multiLevelType w:val="hybridMultilevel"/>
    <w:tmpl w:val="10DC49FA"/>
    <w:lvl w:ilvl="0" w:tplc="340A0005">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4">
    <w:nsid w:val="542F642C"/>
    <w:multiLevelType w:val="hybridMultilevel"/>
    <w:tmpl w:val="7E284B42"/>
    <w:lvl w:ilvl="0" w:tplc="97EE02B2">
      <w:start w:val="1"/>
      <w:numFmt w:val="bullet"/>
      <w:lvlText w:val="•"/>
      <w:lvlJc w:val="left"/>
      <w:pPr>
        <w:tabs>
          <w:tab w:val="num" w:pos="720"/>
        </w:tabs>
        <w:ind w:left="720" w:hanging="360"/>
      </w:pPr>
      <w:rPr>
        <w:rFonts w:ascii="Arial" w:hAnsi="Arial" w:hint="default"/>
      </w:rPr>
    </w:lvl>
    <w:lvl w:ilvl="1" w:tplc="E9E227BA" w:tentative="1">
      <w:start w:val="1"/>
      <w:numFmt w:val="bullet"/>
      <w:lvlText w:val="•"/>
      <w:lvlJc w:val="left"/>
      <w:pPr>
        <w:tabs>
          <w:tab w:val="num" w:pos="1440"/>
        </w:tabs>
        <w:ind w:left="1440" w:hanging="360"/>
      </w:pPr>
      <w:rPr>
        <w:rFonts w:ascii="Arial" w:hAnsi="Arial" w:hint="default"/>
      </w:rPr>
    </w:lvl>
    <w:lvl w:ilvl="2" w:tplc="5026506A" w:tentative="1">
      <w:start w:val="1"/>
      <w:numFmt w:val="bullet"/>
      <w:lvlText w:val="•"/>
      <w:lvlJc w:val="left"/>
      <w:pPr>
        <w:tabs>
          <w:tab w:val="num" w:pos="2160"/>
        </w:tabs>
        <w:ind w:left="2160" w:hanging="360"/>
      </w:pPr>
      <w:rPr>
        <w:rFonts w:ascii="Arial" w:hAnsi="Arial" w:hint="default"/>
      </w:rPr>
    </w:lvl>
    <w:lvl w:ilvl="3" w:tplc="49385566" w:tentative="1">
      <w:start w:val="1"/>
      <w:numFmt w:val="bullet"/>
      <w:lvlText w:val="•"/>
      <w:lvlJc w:val="left"/>
      <w:pPr>
        <w:tabs>
          <w:tab w:val="num" w:pos="2880"/>
        </w:tabs>
        <w:ind w:left="2880" w:hanging="360"/>
      </w:pPr>
      <w:rPr>
        <w:rFonts w:ascii="Arial" w:hAnsi="Arial" w:hint="default"/>
      </w:rPr>
    </w:lvl>
    <w:lvl w:ilvl="4" w:tplc="A0F4249E" w:tentative="1">
      <w:start w:val="1"/>
      <w:numFmt w:val="bullet"/>
      <w:lvlText w:val="•"/>
      <w:lvlJc w:val="left"/>
      <w:pPr>
        <w:tabs>
          <w:tab w:val="num" w:pos="3600"/>
        </w:tabs>
        <w:ind w:left="3600" w:hanging="360"/>
      </w:pPr>
      <w:rPr>
        <w:rFonts w:ascii="Arial" w:hAnsi="Arial" w:hint="default"/>
      </w:rPr>
    </w:lvl>
    <w:lvl w:ilvl="5" w:tplc="0FBAA072" w:tentative="1">
      <w:start w:val="1"/>
      <w:numFmt w:val="bullet"/>
      <w:lvlText w:val="•"/>
      <w:lvlJc w:val="left"/>
      <w:pPr>
        <w:tabs>
          <w:tab w:val="num" w:pos="4320"/>
        </w:tabs>
        <w:ind w:left="4320" w:hanging="360"/>
      </w:pPr>
      <w:rPr>
        <w:rFonts w:ascii="Arial" w:hAnsi="Arial" w:hint="default"/>
      </w:rPr>
    </w:lvl>
    <w:lvl w:ilvl="6" w:tplc="B97EC23E" w:tentative="1">
      <w:start w:val="1"/>
      <w:numFmt w:val="bullet"/>
      <w:lvlText w:val="•"/>
      <w:lvlJc w:val="left"/>
      <w:pPr>
        <w:tabs>
          <w:tab w:val="num" w:pos="5040"/>
        </w:tabs>
        <w:ind w:left="5040" w:hanging="360"/>
      </w:pPr>
      <w:rPr>
        <w:rFonts w:ascii="Arial" w:hAnsi="Arial" w:hint="default"/>
      </w:rPr>
    </w:lvl>
    <w:lvl w:ilvl="7" w:tplc="3904E11E" w:tentative="1">
      <w:start w:val="1"/>
      <w:numFmt w:val="bullet"/>
      <w:lvlText w:val="•"/>
      <w:lvlJc w:val="left"/>
      <w:pPr>
        <w:tabs>
          <w:tab w:val="num" w:pos="5760"/>
        </w:tabs>
        <w:ind w:left="5760" w:hanging="360"/>
      </w:pPr>
      <w:rPr>
        <w:rFonts w:ascii="Arial" w:hAnsi="Arial" w:hint="default"/>
      </w:rPr>
    </w:lvl>
    <w:lvl w:ilvl="8" w:tplc="E3AE4D50" w:tentative="1">
      <w:start w:val="1"/>
      <w:numFmt w:val="bullet"/>
      <w:lvlText w:val="•"/>
      <w:lvlJc w:val="left"/>
      <w:pPr>
        <w:tabs>
          <w:tab w:val="num" w:pos="6480"/>
        </w:tabs>
        <w:ind w:left="6480" w:hanging="360"/>
      </w:pPr>
      <w:rPr>
        <w:rFonts w:ascii="Arial" w:hAnsi="Arial" w:hint="default"/>
      </w:rPr>
    </w:lvl>
  </w:abstractNum>
  <w:abstractNum w:abstractNumId="25">
    <w:nsid w:val="545D3A99"/>
    <w:multiLevelType w:val="multilevel"/>
    <w:tmpl w:val="9294DAD8"/>
    <w:lvl w:ilvl="0">
      <w:start w:val="1"/>
      <w:numFmt w:val="decimal"/>
      <w:pStyle w:val="TablaAnexo"/>
      <w:lvlText w:val="Tabla A - 6.10.%1."/>
      <w:lvlJc w:val="left"/>
      <w:pPr>
        <w:tabs>
          <w:tab w:val="num" w:pos="2160"/>
        </w:tabs>
        <w:ind w:left="0" w:firstLine="0"/>
      </w:pPr>
      <w:rPr>
        <w:rFonts w:ascii="Arial" w:hAnsi="Arial" w:cs="Times New Roman" w:hint="default"/>
        <w:b/>
        <w:i w:val="0"/>
      </w:rPr>
    </w:lvl>
    <w:lvl w:ilvl="1">
      <w:start w:val="1"/>
      <w:numFmt w:val="decimal"/>
      <w:lvlText w:val="%1.%2"/>
      <w:lvlJc w:val="left"/>
      <w:pPr>
        <w:tabs>
          <w:tab w:val="num" w:pos="0"/>
        </w:tabs>
        <w:ind w:left="0" w:firstLine="0"/>
      </w:pPr>
    </w:lvl>
    <w:lvl w:ilvl="2">
      <w:start w:val="1"/>
      <w:numFmt w:val="decimal"/>
      <w:lvlText w:val="%1.%2.%3"/>
      <w:lvlJc w:val="left"/>
      <w:pPr>
        <w:tabs>
          <w:tab w:val="num" w:pos="0"/>
        </w:tabs>
        <w:ind w:left="0" w:firstLine="0"/>
      </w:pPr>
    </w:lvl>
    <w:lvl w:ilvl="3">
      <w:start w:val="1"/>
      <w:numFmt w:val="decimal"/>
      <w:lvlText w:val="%1.%2.%3.%4"/>
      <w:lvlJc w:val="left"/>
      <w:pPr>
        <w:tabs>
          <w:tab w:val="num" w:pos="0"/>
        </w:tabs>
        <w:ind w:left="0" w:firstLine="0"/>
      </w:pPr>
    </w:lvl>
    <w:lvl w:ilvl="4">
      <w:start w:val="1"/>
      <w:numFmt w:val="lowerLetter"/>
      <w:lvlText w:val="%5"/>
      <w:lvlJc w:val="left"/>
      <w:pPr>
        <w:tabs>
          <w:tab w:val="num" w:pos="0"/>
        </w:tabs>
        <w:ind w:left="0" w:firstLine="0"/>
      </w:pPr>
    </w:lvl>
    <w:lvl w:ilvl="5">
      <w:start w:val="1"/>
      <w:numFmt w:val="decimal"/>
      <w:suff w:val="nothing"/>
      <w:lvlText w:val="%5.%6    "/>
      <w:lvlJc w:val="left"/>
      <w:pPr>
        <w:ind w:left="0" w:firstLine="0"/>
      </w:pPr>
    </w:lvl>
    <w:lvl w:ilvl="6">
      <w:start w:val="1"/>
      <w:numFmt w:val="decimal"/>
      <w:lvlText w:val="%5.%6.%7"/>
      <w:lvlJc w:val="left"/>
      <w:pPr>
        <w:tabs>
          <w:tab w:val="num" w:pos="720"/>
        </w:tabs>
        <w:ind w:left="0" w:firstLine="0"/>
      </w:pPr>
      <w:rPr>
        <w:rFonts w:ascii="Arial" w:hAnsi="Arial" w:cs="Times New Roman" w:hint="default"/>
        <w:b w:val="0"/>
        <w:i/>
        <w:sz w:val="22"/>
      </w:rPr>
    </w:lvl>
    <w:lvl w:ilvl="7">
      <w:start w:val="1"/>
      <w:numFmt w:val="decimal"/>
      <w:lvlText w:val=".%8"/>
      <w:lvlJc w:val="left"/>
      <w:pPr>
        <w:tabs>
          <w:tab w:val="num" w:pos="0"/>
        </w:tabs>
        <w:ind w:left="0" w:firstLine="0"/>
      </w:pPr>
    </w:lvl>
    <w:lvl w:ilvl="8">
      <w:start w:val="1"/>
      <w:numFmt w:val="decimal"/>
      <w:lvlText w:val=".%8.%9"/>
      <w:lvlJc w:val="left"/>
      <w:pPr>
        <w:tabs>
          <w:tab w:val="num" w:pos="0"/>
        </w:tabs>
        <w:ind w:left="0" w:firstLine="0"/>
      </w:pPr>
    </w:lvl>
  </w:abstractNum>
  <w:abstractNum w:abstractNumId="26">
    <w:nsid w:val="5A4E339C"/>
    <w:multiLevelType w:val="hybridMultilevel"/>
    <w:tmpl w:val="4E7AFEEA"/>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7">
    <w:nsid w:val="6301750F"/>
    <w:multiLevelType w:val="hybridMultilevel"/>
    <w:tmpl w:val="2C00776A"/>
    <w:lvl w:ilvl="0" w:tplc="AD925488">
      <w:start w:val="1"/>
      <w:numFmt w:val="bullet"/>
      <w:lvlText w:val="•"/>
      <w:lvlJc w:val="left"/>
      <w:pPr>
        <w:tabs>
          <w:tab w:val="num" w:pos="720"/>
        </w:tabs>
        <w:ind w:left="720" w:hanging="360"/>
      </w:pPr>
      <w:rPr>
        <w:rFonts w:ascii="Arial" w:hAnsi="Arial" w:hint="default"/>
      </w:rPr>
    </w:lvl>
    <w:lvl w:ilvl="1" w:tplc="600C0B36" w:tentative="1">
      <w:start w:val="1"/>
      <w:numFmt w:val="bullet"/>
      <w:lvlText w:val="•"/>
      <w:lvlJc w:val="left"/>
      <w:pPr>
        <w:tabs>
          <w:tab w:val="num" w:pos="1440"/>
        </w:tabs>
        <w:ind w:left="1440" w:hanging="360"/>
      </w:pPr>
      <w:rPr>
        <w:rFonts w:ascii="Arial" w:hAnsi="Arial" w:hint="default"/>
      </w:rPr>
    </w:lvl>
    <w:lvl w:ilvl="2" w:tplc="7FAC668C" w:tentative="1">
      <w:start w:val="1"/>
      <w:numFmt w:val="bullet"/>
      <w:lvlText w:val="•"/>
      <w:lvlJc w:val="left"/>
      <w:pPr>
        <w:tabs>
          <w:tab w:val="num" w:pos="2160"/>
        </w:tabs>
        <w:ind w:left="2160" w:hanging="360"/>
      </w:pPr>
      <w:rPr>
        <w:rFonts w:ascii="Arial" w:hAnsi="Arial" w:hint="default"/>
      </w:rPr>
    </w:lvl>
    <w:lvl w:ilvl="3" w:tplc="87D8D9B4" w:tentative="1">
      <w:start w:val="1"/>
      <w:numFmt w:val="bullet"/>
      <w:lvlText w:val="•"/>
      <w:lvlJc w:val="left"/>
      <w:pPr>
        <w:tabs>
          <w:tab w:val="num" w:pos="2880"/>
        </w:tabs>
        <w:ind w:left="2880" w:hanging="360"/>
      </w:pPr>
      <w:rPr>
        <w:rFonts w:ascii="Arial" w:hAnsi="Arial" w:hint="default"/>
      </w:rPr>
    </w:lvl>
    <w:lvl w:ilvl="4" w:tplc="5A64481C" w:tentative="1">
      <w:start w:val="1"/>
      <w:numFmt w:val="bullet"/>
      <w:lvlText w:val="•"/>
      <w:lvlJc w:val="left"/>
      <w:pPr>
        <w:tabs>
          <w:tab w:val="num" w:pos="3600"/>
        </w:tabs>
        <w:ind w:left="3600" w:hanging="360"/>
      </w:pPr>
      <w:rPr>
        <w:rFonts w:ascii="Arial" w:hAnsi="Arial" w:hint="default"/>
      </w:rPr>
    </w:lvl>
    <w:lvl w:ilvl="5" w:tplc="B106D4D2" w:tentative="1">
      <w:start w:val="1"/>
      <w:numFmt w:val="bullet"/>
      <w:lvlText w:val="•"/>
      <w:lvlJc w:val="left"/>
      <w:pPr>
        <w:tabs>
          <w:tab w:val="num" w:pos="4320"/>
        </w:tabs>
        <w:ind w:left="4320" w:hanging="360"/>
      </w:pPr>
      <w:rPr>
        <w:rFonts w:ascii="Arial" w:hAnsi="Arial" w:hint="default"/>
      </w:rPr>
    </w:lvl>
    <w:lvl w:ilvl="6" w:tplc="FAFA1104" w:tentative="1">
      <w:start w:val="1"/>
      <w:numFmt w:val="bullet"/>
      <w:lvlText w:val="•"/>
      <w:lvlJc w:val="left"/>
      <w:pPr>
        <w:tabs>
          <w:tab w:val="num" w:pos="5040"/>
        </w:tabs>
        <w:ind w:left="5040" w:hanging="360"/>
      </w:pPr>
      <w:rPr>
        <w:rFonts w:ascii="Arial" w:hAnsi="Arial" w:hint="default"/>
      </w:rPr>
    </w:lvl>
    <w:lvl w:ilvl="7" w:tplc="47A61FA8" w:tentative="1">
      <w:start w:val="1"/>
      <w:numFmt w:val="bullet"/>
      <w:lvlText w:val="•"/>
      <w:lvlJc w:val="left"/>
      <w:pPr>
        <w:tabs>
          <w:tab w:val="num" w:pos="5760"/>
        </w:tabs>
        <w:ind w:left="5760" w:hanging="360"/>
      </w:pPr>
      <w:rPr>
        <w:rFonts w:ascii="Arial" w:hAnsi="Arial" w:hint="default"/>
      </w:rPr>
    </w:lvl>
    <w:lvl w:ilvl="8" w:tplc="C84EED70" w:tentative="1">
      <w:start w:val="1"/>
      <w:numFmt w:val="bullet"/>
      <w:lvlText w:val="•"/>
      <w:lvlJc w:val="left"/>
      <w:pPr>
        <w:tabs>
          <w:tab w:val="num" w:pos="6480"/>
        </w:tabs>
        <w:ind w:left="6480" w:hanging="360"/>
      </w:pPr>
      <w:rPr>
        <w:rFonts w:ascii="Arial" w:hAnsi="Arial" w:hint="default"/>
      </w:rPr>
    </w:lvl>
  </w:abstractNum>
  <w:abstractNum w:abstractNumId="28">
    <w:nsid w:val="63144DE1"/>
    <w:multiLevelType w:val="hybridMultilevel"/>
    <w:tmpl w:val="CA1E6ECC"/>
    <w:lvl w:ilvl="0" w:tplc="25C44660">
      <w:start w:val="1"/>
      <w:numFmt w:val="bullet"/>
      <w:lvlText w:val=""/>
      <w:lvlJc w:val="left"/>
      <w:pPr>
        <w:ind w:left="360" w:hanging="360"/>
      </w:pPr>
      <w:rPr>
        <w:rFonts w:ascii="Symbol" w:hAnsi="Symbol" w:hint="default"/>
      </w:rPr>
    </w:lvl>
    <w:lvl w:ilvl="1" w:tplc="340A0003" w:tentative="1">
      <w:start w:val="1"/>
      <w:numFmt w:val="bullet"/>
      <w:lvlText w:val="o"/>
      <w:lvlJc w:val="left"/>
      <w:pPr>
        <w:ind w:left="360" w:hanging="360"/>
      </w:pPr>
      <w:rPr>
        <w:rFonts w:ascii="Courier New" w:hAnsi="Courier New" w:cs="Courier New" w:hint="default"/>
      </w:rPr>
    </w:lvl>
    <w:lvl w:ilvl="2" w:tplc="340A0005" w:tentative="1">
      <w:start w:val="1"/>
      <w:numFmt w:val="bullet"/>
      <w:lvlText w:val=""/>
      <w:lvlJc w:val="left"/>
      <w:pPr>
        <w:ind w:left="1080" w:hanging="360"/>
      </w:pPr>
      <w:rPr>
        <w:rFonts w:ascii="Wingdings" w:hAnsi="Wingdings" w:hint="default"/>
      </w:rPr>
    </w:lvl>
    <w:lvl w:ilvl="3" w:tplc="340A0001" w:tentative="1">
      <w:start w:val="1"/>
      <w:numFmt w:val="bullet"/>
      <w:lvlText w:val=""/>
      <w:lvlJc w:val="left"/>
      <w:pPr>
        <w:ind w:left="1800" w:hanging="360"/>
      </w:pPr>
      <w:rPr>
        <w:rFonts w:ascii="Symbol" w:hAnsi="Symbol" w:hint="default"/>
      </w:rPr>
    </w:lvl>
    <w:lvl w:ilvl="4" w:tplc="340A0003" w:tentative="1">
      <w:start w:val="1"/>
      <w:numFmt w:val="bullet"/>
      <w:lvlText w:val="o"/>
      <w:lvlJc w:val="left"/>
      <w:pPr>
        <w:ind w:left="2520" w:hanging="360"/>
      </w:pPr>
      <w:rPr>
        <w:rFonts w:ascii="Courier New" w:hAnsi="Courier New" w:cs="Courier New" w:hint="default"/>
      </w:rPr>
    </w:lvl>
    <w:lvl w:ilvl="5" w:tplc="340A0005" w:tentative="1">
      <w:start w:val="1"/>
      <w:numFmt w:val="bullet"/>
      <w:lvlText w:val=""/>
      <w:lvlJc w:val="left"/>
      <w:pPr>
        <w:ind w:left="3240" w:hanging="360"/>
      </w:pPr>
      <w:rPr>
        <w:rFonts w:ascii="Wingdings" w:hAnsi="Wingdings" w:hint="default"/>
      </w:rPr>
    </w:lvl>
    <w:lvl w:ilvl="6" w:tplc="340A0001" w:tentative="1">
      <w:start w:val="1"/>
      <w:numFmt w:val="bullet"/>
      <w:lvlText w:val=""/>
      <w:lvlJc w:val="left"/>
      <w:pPr>
        <w:ind w:left="3960" w:hanging="360"/>
      </w:pPr>
      <w:rPr>
        <w:rFonts w:ascii="Symbol" w:hAnsi="Symbol" w:hint="default"/>
      </w:rPr>
    </w:lvl>
    <w:lvl w:ilvl="7" w:tplc="340A0003" w:tentative="1">
      <w:start w:val="1"/>
      <w:numFmt w:val="bullet"/>
      <w:lvlText w:val="o"/>
      <w:lvlJc w:val="left"/>
      <w:pPr>
        <w:ind w:left="4680" w:hanging="360"/>
      </w:pPr>
      <w:rPr>
        <w:rFonts w:ascii="Courier New" w:hAnsi="Courier New" w:cs="Courier New" w:hint="default"/>
      </w:rPr>
    </w:lvl>
    <w:lvl w:ilvl="8" w:tplc="340A0005" w:tentative="1">
      <w:start w:val="1"/>
      <w:numFmt w:val="bullet"/>
      <w:lvlText w:val=""/>
      <w:lvlJc w:val="left"/>
      <w:pPr>
        <w:ind w:left="5400" w:hanging="360"/>
      </w:pPr>
      <w:rPr>
        <w:rFonts w:ascii="Wingdings" w:hAnsi="Wingdings" w:hint="default"/>
      </w:rPr>
    </w:lvl>
  </w:abstractNum>
  <w:abstractNum w:abstractNumId="29">
    <w:nsid w:val="641245DC"/>
    <w:multiLevelType w:val="hybridMultilevel"/>
    <w:tmpl w:val="B2E814C8"/>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0">
    <w:nsid w:val="6D790E09"/>
    <w:multiLevelType w:val="hybridMultilevel"/>
    <w:tmpl w:val="365CF608"/>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1">
    <w:nsid w:val="6DF76AC7"/>
    <w:multiLevelType w:val="multilevel"/>
    <w:tmpl w:val="E2FC9804"/>
    <w:lvl w:ilvl="0">
      <w:start w:val="1"/>
      <w:numFmt w:val="decimal"/>
      <w:lvlText w:val="%1."/>
      <w:lvlJc w:val="left"/>
      <w:pPr>
        <w:tabs>
          <w:tab w:val="num" w:pos="927"/>
        </w:tabs>
        <w:ind w:left="927" w:hanging="360"/>
      </w:pPr>
      <w:rPr>
        <w:b/>
      </w:rPr>
    </w:lvl>
    <w:lvl w:ilvl="1">
      <w:start w:val="1"/>
      <w:numFmt w:val="decimal"/>
      <w:isLgl/>
      <w:lvlText w:val="%1.%2"/>
      <w:lvlJc w:val="left"/>
      <w:pPr>
        <w:tabs>
          <w:tab w:val="num" w:pos="927"/>
        </w:tabs>
        <w:ind w:left="927" w:hanging="360"/>
      </w:pPr>
    </w:lvl>
    <w:lvl w:ilvl="2">
      <w:start w:val="1"/>
      <w:numFmt w:val="decimal"/>
      <w:isLgl/>
      <w:lvlText w:val="%1.%2.%3"/>
      <w:lvlJc w:val="left"/>
      <w:pPr>
        <w:tabs>
          <w:tab w:val="num" w:pos="1287"/>
        </w:tabs>
        <w:ind w:left="1287" w:hanging="720"/>
      </w:pPr>
    </w:lvl>
    <w:lvl w:ilvl="3">
      <w:start w:val="1"/>
      <w:numFmt w:val="decimal"/>
      <w:isLgl/>
      <w:lvlText w:val="%1.%2.%3.%4"/>
      <w:lvlJc w:val="left"/>
      <w:pPr>
        <w:tabs>
          <w:tab w:val="num" w:pos="1287"/>
        </w:tabs>
        <w:ind w:left="1287" w:hanging="720"/>
      </w:pPr>
    </w:lvl>
    <w:lvl w:ilvl="4">
      <w:start w:val="1"/>
      <w:numFmt w:val="decimal"/>
      <w:isLgl/>
      <w:lvlText w:val="%1.%2.%3.%4.%5"/>
      <w:lvlJc w:val="left"/>
      <w:pPr>
        <w:tabs>
          <w:tab w:val="num" w:pos="1647"/>
        </w:tabs>
        <w:ind w:left="1647" w:hanging="1080"/>
      </w:pPr>
    </w:lvl>
    <w:lvl w:ilvl="5">
      <w:start w:val="1"/>
      <w:numFmt w:val="decimal"/>
      <w:isLgl/>
      <w:lvlText w:val="%1.%2.%3.%4.%5.%6"/>
      <w:lvlJc w:val="left"/>
      <w:pPr>
        <w:tabs>
          <w:tab w:val="num" w:pos="1647"/>
        </w:tabs>
        <w:ind w:left="1647" w:hanging="1080"/>
      </w:pPr>
    </w:lvl>
    <w:lvl w:ilvl="6">
      <w:start w:val="1"/>
      <w:numFmt w:val="decimal"/>
      <w:isLgl/>
      <w:lvlText w:val="%1.%2.%3.%4.%5.%6.%7"/>
      <w:lvlJc w:val="left"/>
      <w:pPr>
        <w:tabs>
          <w:tab w:val="num" w:pos="2007"/>
        </w:tabs>
        <w:ind w:left="2007" w:hanging="1440"/>
      </w:pPr>
    </w:lvl>
    <w:lvl w:ilvl="7">
      <w:start w:val="1"/>
      <w:numFmt w:val="decimal"/>
      <w:isLgl/>
      <w:lvlText w:val="%1.%2.%3.%4.%5.%6.%7.%8"/>
      <w:lvlJc w:val="left"/>
      <w:pPr>
        <w:tabs>
          <w:tab w:val="num" w:pos="2007"/>
        </w:tabs>
        <w:ind w:left="2007" w:hanging="1440"/>
      </w:pPr>
    </w:lvl>
    <w:lvl w:ilvl="8">
      <w:start w:val="1"/>
      <w:numFmt w:val="decimal"/>
      <w:isLgl/>
      <w:lvlText w:val="%1.%2.%3.%4.%5.%6.%7.%8.%9"/>
      <w:lvlJc w:val="left"/>
      <w:pPr>
        <w:tabs>
          <w:tab w:val="num" w:pos="2367"/>
        </w:tabs>
        <w:ind w:left="2367" w:hanging="1800"/>
      </w:pPr>
    </w:lvl>
  </w:abstractNum>
  <w:abstractNum w:abstractNumId="32">
    <w:nsid w:val="7221373D"/>
    <w:multiLevelType w:val="hybridMultilevel"/>
    <w:tmpl w:val="A3FA3544"/>
    <w:lvl w:ilvl="0" w:tplc="340A000F">
      <w:start w:val="1"/>
      <w:numFmt w:val="decimal"/>
      <w:lvlText w:val="%1."/>
      <w:lvlJc w:val="left"/>
      <w:pPr>
        <w:ind w:left="1080" w:hanging="360"/>
      </w:pPr>
    </w:lvl>
    <w:lvl w:ilvl="1" w:tplc="340A0019" w:tentative="1">
      <w:start w:val="1"/>
      <w:numFmt w:val="lowerLetter"/>
      <w:lvlText w:val="%2."/>
      <w:lvlJc w:val="left"/>
      <w:pPr>
        <w:ind w:left="1800" w:hanging="360"/>
      </w:pPr>
    </w:lvl>
    <w:lvl w:ilvl="2" w:tplc="340A001B" w:tentative="1">
      <w:start w:val="1"/>
      <w:numFmt w:val="lowerRoman"/>
      <w:lvlText w:val="%3."/>
      <w:lvlJc w:val="right"/>
      <w:pPr>
        <w:ind w:left="2520" w:hanging="180"/>
      </w:pPr>
    </w:lvl>
    <w:lvl w:ilvl="3" w:tplc="340A000F" w:tentative="1">
      <w:start w:val="1"/>
      <w:numFmt w:val="decimal"/>
      <w:lvlText w:val="%4."/>
      <w:lvlJc w:val="left"/>
      <w:pPr>
        <w:ind w:left="3240" w:hanging="360"/>
      </w:pPr>
    </w:lvl>
    <w:lvl w:ilvl="4" w:tplc="340A0019" w:tentative="1">
      <w:start w:val="1"/>
      <w:numFmt w:val="lowerLetter"/>
      <w:lvlText w:val="%5."/>
      <w:lvlJc w:val="left"/>
      <w:pPr>
        <w:ind w:left="3960" w:hanging="360"/>
      </w:pPr>
    </w:lvl>
    <w:lvl w:ilvl="5" w:tplc="340A001B" w:tentative="1">
      <w:start w:val="1"/>
      <w:numFmt w:val="lowerRoman"/>
      <w:lvlText w:val="%6."/>
      <w:lvlJc w:val="right"/>
      <w:pPr>
        <w:ind w:left="4680" w:hanging="180"/>
      </w:pPr>
    </w:lvl>
    <w:lvl w:ilvl="6" w:tplc="340A000F" w:tentative="1">
      <w:start w:val="1"/>
      <w:numFmt w:val="decimal"/>
      <w:lvlText w:val="%7."/>
      <w:lvlJc w:val="left"/>
      <w:pPr>
        <w:ind w:left="5400" w:hanging="360"/>
      </w:pPr>
    </w:lvl>
    <w:lvl w:ilvl="7" w:tplc="340A0019" w:tentative="1">
      <w:start w:val="1"/>
      <w:numFmt w:val="lowerLetter"/>
      <w:lvlText w:val="%8."/>
      <w:lvlJc w:val="left"/>
      <w:pPr>
        <w:ind w:left="6120" w:hanging="360"/>
      </w:pPr>
    </w:lvl>
    <w:lvl w:ilvl="8" w:tplc="340A001B" w:tentative="1">
      <w:start w:val="1"/>
      <w:numFmt w:val="lowerRoman"/>
      <w:lvlText w:val="%9."/>
      <w:lvlJc w:val="right"/>
      <w:pPr>
        <w:ind w:left="6840" w:hanging="180"/>
      </w:pPr>
    </w:lvl>
  </w:abstractNum>
  <w:abstractNum w:abstractNumId="33">
    <w:nsid w:val="790629A4"/>
    <w:multiLevelType w:val="hybridMultilevel"/>
    <w:tmpl w:val="6F9E85F4"/>
    <w:lvl w:ilvl="0" w:tplc="25C44660">
      <w:start w:val="1"/>
      <w:numFmt w:val="bullet"/>
      <w:lvlText w:val=""/>
      <w:lvlJc w:val="left"/>
      <w:pPr>
        <w:ind w:left="360" w:hanging="360"/>
      </w:pPr>
      <w:rPr>
        <w:rFonts w:ascii="Symbol" w:hAnsi="Symbol" w:hint="default"/>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34">
    <w:nsid w:val="7AFF5AB5"/>
    <w:multiLevelType w:val="hybridMultilevel"/>
    <w:tmpl w:val="3C40E612"/>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num w:numId="1">
    <w:abstractNumId w:val="26"/>
  </w:num>
  <w:num w:numId="2">
    <w:abstractNumId w:val="29"/>
  </w:num>
  <w:num w:numId="3">
    <w:abstractNumId w:val="34"/>
  </w:num>
  <w:num w:numId="4">
    <w:abstractNumId w:val="30"/>
  </w:num>
  <w:num w:numId="5">
    <w:abstractNumId w:val="8"/>
  </w:num>
  <w:num w:numId="6">
    <w:abstractNumId w:val="1"/>
  </w:num>
  <w:num w:numId="7">
    <w:abstractNumId w:val="9"/>
  </w:num>
  <w:num w:numId="8">
    <w:abstractNumId w:val="19"/>
  </w:num>
  <w:num w:numId="9">
    <w:abstractNumId w:val="12"/>
  </w:num>
  <w:num w:numId="10">
    <w:abstractNumId w:val="10"/>
  </w:num>
  <w:num w:numId="11">
    <w:abstractNumId w:val="27"/>
  </w:num>
  <w:num w:numId="12">
    <w:abstractNumId w:val="17"/>
  </w:num>
  <w:num w:numId="13">
    <w:abstractNumId w:val="5"/>
  </w:num>
  <w:num w:numId="14">
    <w:abstractNumId w:val="32"/>
  </w:num>
  <w:num w:numId="15">
    <w:abstractNumId w:val="21"/>
  </w:num>
  <w:num w:numId="16">
    <w:abstractNumId w:val="10"/>
  </w:num>
  <w:num w:numId="17">
    <w:abstractNumId w:val="5"/>
  </w:num>
  <w:num w:numId="1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
  </w:num>
  <w:num w:numId="21">
    <w:abstractNumId w:val="20"/>
  </w:num>
  <w:num w:numId="2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6"/>
  </w:num>
  <w:num w:numId="26">
    <w:abstractNumId w:val="6"/>
  </w:num>
  <w:num w:numId="27">
    <w:abstractNumId w:val="22"/>
  </w:num>
  <w:num w:numId="28">
    <w:abstractNumId w:val="33"/>
  </w:num>
  <w:num w:numId="29">
    <w:abstractNumId w:val="4"/>
  </w:num>
  <w:num w:numId="30">
    <w:abstractNumId w:val="3"/>
  </w:num>
  <w:num w:numId="31">
    <w:abstractNumId w:val="13"/>
  </w:num>
  <w:num w:numId="32">
    <w:abstractNumId w:val="18"/>
  </w:num>
  <w:num w:numId="33">
    <w:abstractNumId w:val="28"/>
  </w:num>
  <w:num w:numId="34">
    <w:abstractNumId w:val="24"/>
  </w:num>
  <w:num w:numId="35">
    <w:abstractNumId w:val="7"/>
  </w:num>
  <w:num w:numId="36">
    <w:abstractNumId w:val="15"/>
  </w:num>
  <w:num w:numId="37">
    <w:abstractNumId w:val="14"/>
  </w:num>
  <w:num w:numId="38">
    <w:abstractNumId w:val="23"/>
  </w:num>
  <w:num w:numId="3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es-CL" w:vendorID="64" w:dllVersion="131078" w:nlCheck="1" w:checkStyle="1"/>
  <w:activeWritingStyle w:appName="MSWord" w:lang="en-US" w:vendorID="64" w:dllVersion="131078" w:nlCheck="1" w:checkStyle="1"/>
  <w:activeWritingStyle w:appName="MSWord" w:lang="es-ES" w:vendorID="64" w:dllVersion="131078" w:nlCheck="1" w:checkStyle="1"/>
  <w:proofState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7699"/>
    <w:rsid w:val="00000598"/>
    <w:rsid w:val="00001652"/>
    <w:rsid w:val="00001974"/>
    <w:rsid w:val="00001E04"/>
    <w:rsid w:val="00002005"/>
    <w:rsid w:val="00002833"/>
    <w:rsid w:val="00002876"/>
    <w:rsid w:val="00003035"/>
    <w:rsid w:val="00003241"/>
    <w:rsid w:val="000032FD"/>
    <w:rsid w:val="00003636"/>
    <w:rsid w:val="0000375A"/>
    <w:rsid w:val="00003CE1"/>
    <w:rsid w:val="00004BA3"/>
    <w:rsid w:val="00005744"/>
    <w:rsid w:val="00005BE3"/>
    <w:rsid w:val="00005D5D"/>
    <w:rsid w:val="00007230"/>
    <w:rsid w:val="0000724B"/>
    <w:rsid w:val="0000750D"/>
    <w:rsid w:val="0000782B"/>
    <w:rsid w:val="000100A6"/>
    <w:rsid w:val="0001097A"/>
    <w:rsid w:val="000109A6"/>
    <w:rsid w:val="000112A8"/>
    <w:rsid w:val="000119D3"/>
    <w:rsid w:val="00011E07"/>
    <w:rsid w:val="00012088"/>
    <w:rsid w:val="00012185"/>
    <w:rsid w:val="000121D5"/>
    <w:rsid w:val="00012343"/>
    <w:rsid w:val="00012517"/>
    <w:rsid w:val="000128B4"/>
    <w:rsid w:val="00012A1E"/>
    <w:rsid w:val="00012B8F"/>
    <w:rsid w:val="00012C90"/>
    <w:rsid w:val="00013012"/>
    <w:rsid w:val="00013B72"/>
    <w:rsid w:val="00014572"/>
    <w:rsid w:val="00015765"/>
    <w:rsid w:val="00015A43"/>
    <w:rsid w:val="00015B86"/>
    <w:rsid w:val="00016124"/>
    <w:rsid w:val="0001657F"/>
    <w:rsid w:val="00016C64"/>
    <w:rsid w:val="00017333"/>
    <w:rsid w:val="0002050C"/>
    <w:rsid w:val="00020A88"/>
    <w:rsid w:val="0002179A"/>
    <w:rsid w:val="00021EBF"/>
    <w:rsid w:val="00022614"/>
    <w:rsid w:val="00022617"/>
    <w:rsid w:val="00022998"/>
    <w:rsid w:val="000235F0"/>
    <w:rsid w:val="00023964"/>
    <w:rsid w:val="00023ABE"/>
    <w:rsid w:val="00023BE3"/>
    <w:rsid w:val="00023F53"/>
    <w:rsid w:val="00023FD8"/>
    <w:rsid w:val="00025F43"/>
    <w:rsid w:val="00025FF7"/>
    <w:rsid w:val="00026554"/>
    <w:rsid w:val="00026F45"/>
    <w:rsid w:val="000271E2"/>
    <w:rsid w:val="00027B48"/>
    <w:rsid w:val="000302AE"/>
    <w:rsid w:val="00030D75"/>
    <w:rsid w:val="00030FDF"/>
    <w:rsid w:val="00031306"/>
    <w:rsid w:val="0003236C"/>
    <w:rsid w:val="000325CB"/>
    <w:rsid w:val="000327ED"/>
    <w:rsid w:val="00033A03"/>
    <w:rsid w:val="00033D5F"/>
    <w:rsid w:val="0003423B"/>
    <w:rsid w:val="00034A31"/>
    <w:rsid w:val="000356D9"/>
    <w:rsid w:val="0003579C"/>
    <w:rsid w:val="000357EA"/>
    <w:rsid w:val="000361A6"/>
    <w:rsid w:val="00036587"/>
    <w:rsid w:val="00036803"/>
    <w:rsid w:val="00036B31"/>
    <w:rsid w:val="00036C57"/>
    <w:rsid w:val="00036E3C"/>
    <w:rsid w:val="00037751"/>
    <w:rsid w:val="00040081"/>
    <w:rsid w:val="000419C2"/>
    <w:rsid w:val="00042224"/>
    <w:rsid w:val="0004234D"/>
    <w:rsid w:val="000425A8"/>
    <w:rsid w:val="00042BAB"/>
    <w:rsid w:val="0004325B"/>
    <w:rsid w:val="000433A8"/>
    <w:rsid w:val="00043D2E"/>
    <w:rsid w:val="00043D9B"/>
    <w:rsid w:val="00043EC1"/>
    <w:rsid w:val="000441DB"/>
    <w:rsid w:val="00044308"/>
    <w:rsid w:val="000445CF"/>
    <w:rsid w:val="000449AD"/>
    <w:rsid w:val="000449D6"/>
    <w:rsid w:val="00044F81"/>
    <w:rsid w:val="000451B6"/>
    <w:rsid w:val="00045811"/>
    <w:rsid w:val="00046052"/>
    <w:rsid w:val="000461BE"/>
    <w:rsid w:val="000461DA"/>
    <w:rsid w:val="00046F75"/>
    <w:rsid w:val="00047152"/>
    <w:rsid w:val="0004719C"/>
    <w:rsid w:val="00047572"/>
    <w:rsid w:val="000477DB"/>
    <w:rsid w:val="00050062"/>
    <w:rsid w:val="0005016A"/>
    <w:rsid w:val="000503B6"/>
    <w:rsid w:val="00050634"/>
    <w:rsid w:val="000507A4"/>
    <w:rsid w:val="00051388"/>
    <w:rsid w:val="000513B2"/>
    <w:rsid w:val="0005144B"/>
    <w:rsid w:val="00051C13"/>
    <w:rsid w:val="00051C67"/>
    <w:rsid w:val="000520E9"/>
    <w:rsid w:val="0005225D"/>
    <w:rsid w:val="000526BD"/>
    <w:rsid w:val="00052A14"/>
    <w:rsid w:val="00052CC9"/>
    <w:rsid w:val="00052F26"/>
    <w:rsid w:val="0005390E"/>
    <w:rsid w:val="00053938"/>
    <w:rsid w:val="0005423E"/>
    <w:rsid w:val="0005443A"/>
    <w:rsid w:val="00054678"/>
    <w:rsid w:val="000554BD"/>
    <w:rsid w:val="000554F8"/>
    <w:rsid w:val="00055A6C"/>
    <w:rsid w:val="00055C3A"/>
    <w:rsid w:val="00056113"/>
    <w:rsid w:val="000562D8"/>
    <w:rsid w:val="00056A1D"/>
    <w:rsid w:val="00057CFF"/>
    <w:rsid w:val="00060126"/>
    <w:rsid w:val="00060169"/>
    <w:rsid w:val="00060DED"/>
    <w:rsid w:val="00061444"/>
    <w:rsid w:val="000616F8"/>
    <w:rsid w:val="000624C6"/>
    <w:rsid w:val="000626B0"/>
    <w:rsid w:val="00062806"/>
    <w:rsid w:val="000628EE"/>
    <w:rsid w:val="00062A9C"/>
    <w:rsid w:val="00062CE8"/>
    <w:rsid w:val="00062FAB"/>
    <w:rsid w:val="000631CD"/>
    <w:rsid w:val="0006342C"/>
    <w:rsid w:val="00063DD0"/>
    <w:rsid w:val="00063FB1"/>
    <w:rsid w:val="00064BA0"/>
    <w:rsid w:val="000651E0"/>
    <w:rsid w:val="0006523A"/>
    <w:rsid w:val="0006575C"/>
    <w:rsid w:val="00065EA5"/>
    <w:rsid w:val="00066359"/>
    <w:rsid w:val="0006651D"/>
    <w:rsid w:val="000665C4"/>
    <w:rsid w:val="000666F2"/>
    <w:rsid w:val="00067535"/>
    <w:rsid w:val="00067994"/>
    <w:rsid w:val="00067A25"/>
    <w:rsid w:val="00067A49"/>
    <w:rsid w:val="00070001"/>
    <w:rsid w:val="00070661"/>
    <w:rsid w:val="00070714"/>
    <w:rsid w:val="00070A3B"/>
    <w:rsid w:val="00070E49"/>
    <w:rsid w:val="00070E73"/>
    <w:rsid w:val="000711EB"/>
    <w:rsid w:val="0007158E"/>
    <w:rsid w:val="000718BA"/>
    <w:rsid w:val="00071963"/>
    <w:rsid w:val="000723ED"/>
    <w:rsid w:val="00072502"/>
    <w:rsid w:val="0007264E"/>
    <w:rsid w:val="00072AE3"/>
    <w:rsid w:val="00072FC0"/>
    <w:rsid w:val="000734B7"/>
    <w:rsid w:val="000740DF"/>
    <w:rsid w:val="0007478B"/>
    <w:rsid w:val="00075142"/>
    <w:rsid w:val="00075214"/>
    <w:rsid w:val="00075B16"/>
    <w:rsid w:val="00075CDF"/>
    <w:rsid w:val="00075DA3"/>
    <w:rsid w:val="00076AC2"/>
    <w:rsid w:val="000773C3"/>
    <w:rsid w:val="00077406"/>
    <w:rsid w:val="00077634"/>
    <w:rsid w:val="00077955"/>
    <w:rsid w:val="00077ED0"/>
    <w:rsid w:val="0008010C"/>
    <w:rsid w:val="00080D8D"/>
    <w:rsid w:val="00080F56"/>
    <w:rsid w:val="00081518"/>
    <w:rsid w:val="0008206E"/>
    <w:rsid w:val="0008260C"/>
    <w:rsid w:val="00082BAA"/>
    <w:rsid w:val="00082BEC"/>
    <w:rsid w:val="00082F7A"/>
    <w:rsid w:val="000832EE"/>
    <w:rsid w:val="00083AEC"/>
    <w:rsid w:val="00083C14"/>
    <w:rsid w:val="00083D5F"/>
    <w:rsid w:val="0008441B"/>
    <w:rsid w:val="0008462F"/>
    <w:rsid w:val="000853D1"/>
    <w:rsid w:val="000856EB"/>
    <w:rsid w:val="00085D8D"/>
    <w:rsid w:val="00086242"/>
    <w:rsid w:val="0008639E"/>
    <w:rsid w:val="00086482"/>
    <w:rsid w:val="00086D2C"/>
    <w:rsid w:val="00090D9E"/>
    <w:rsid w:val="00090F90"/>
    <w:rsid w:val="000910E3"/>
    <w:rsid w:val="00091212"/>
    <w:rsid w:val="0009190D"/>
    <w:rsid w:val="00092626"/>
    <w:rsid w:val="000928A2"/>
    <w:rsid w:val="00093C0F"/>
    <w:rsid w:val="00093C8A"/>
    <w:rsid w:val="00093DEB"/>
    <w:rsid w:val="00094184"/>
    <w:rsid w:val="00094316"/>
    <w:rsid w:val="00094726"/>
    <w:rsid w:val="0009474A"/>
    <w:rsid w:val="00094E26"/>
    <w:rsid w:val="00095425"/>
    <w:rsid w:val="0009569C"/>
    <w:rsid w:val="00095C16"/>
    <w:rsid w:val="00096243"/>
    <w:rsid w:val="00096AD2"/>
    <w:rsid w:val="00096C73"/>
    <w:rsid w:val="00096DC2"/>
    <w:rsid w:val="00097907"/>
    <w:rsid w:val="00097B25"/>
    <w:rsid w:val="000A0028"/>
    <w:rsid w:val="000A0238"/>
    <w:rsid w:val="000A0480"/>
    <w:rsid w:val="000A0838"/>
    <w:rsid w:val="000A09B0"/>
    <w:rsid w:val="000A0D3F"/>
    <w:rsid w:val="000A11E7"/>
    <w:rsid w:val="000A1491"/>
    <w:rsid w:val="000A1B23"/>
    <w:rsid w:val="000A21CE"/>
    <w:rsid w:val="000A233B"/>
    <w:rsid w:val="000A23E3"/>
    <w:rsid w:val="000A2739"/>
    <w:rsid w:val="000A2778"/>
    <w:rsid w:val="000A281B"/>
    <w:rsid w:val="000A2906"/>
    <w:rsid w:val="000A2A53"/>
    <w:rsid w:val="000A2F13"/>
    <w:rsid w:val="000A301F"/>
    <w:rsid w:val="000A32CC"/>
    <w:rsid w:val="000A3985"/>
    <w:rsid w:val="000A4B4C"/>
    <w:rsid w:val="000A4B89"/>
    <w:rsid w:val="000A5A68"/>
    <w:rsid w:val="000A6312"/>
    <w:rsid w:val="000A660D"/>
    <w:rsid w:val="000A6CC7"/>
    <w:rsid w:val="000A77B2"/>
    <w:rsid w:val="000A7C69"/>
    <w:rsid w:val="000B034D"/>
    <w:rsid w:val="000B0BD3"/>
    <w:rsid w:val="000B1654"/>
    <w:rsid w:val="000B1B20"/>
    <w:rsid w:val="000B2636"/>
    <w:rsid w:val="000B326E"/>
    <w:rsid w:val="000B3459"/>
    <w:rsid w:val="000B34AD"/>
    <w:rsid w:val="000B402E"/>
    <w:rsid w:val="000B44DF"/>
    <w:rsid w:val="000B4892"/>
    <w:rsid w:val="000B522B"/>
    <w:rsid w:val="000B5259"/>
    <w:rsid w:val="000B7265"/>
    <w:rsid w:val="000C0ABA"/>
    <w:rsid w:val="000C20B5"/>
    <w:rsid w:val="000C25B1"/>
    <w:rsid w:val="000C2884"/>
    <w:rsid w:val="000C2CAD"/>
    <w:rsid w:val="000C3362"/>
    <w:rsid w:val="000C3B72"/>
    <w:rsid w:val="000C4607"/>
    <w:rsid w:val="000C4EDE"/>
    <w:rsid w:val="000C5180"/>
    <w:rsid w:val="000C5BE4"/>
    <w:rsid w:val="000C6566"/>
    <w:rsid w:val="000C7408"/>
    <w:rsid w:val="000C7963"/>
    <w:rsid w:val="000C7C53"/>
    <w:rsid w:val="000C7EAF"/>
    <w:rsid w:val="000D0AB8"/>
    <w:rsid w:val="000D0DBD"/>
    <w:rsid w:val="000D161B"/>
    <w:rsid w:val="000D167A"/>
    <w:rsid w:val="000D16EA"/>
    <w:rsid w:val="000D17CD"/>
    <w:rsid w:val="000D1AEE"/>
    <w:rsid w:val="000D1B1D"/>
    <w:rsid w:val="000D1D3E"/>
    <w:rsid w:val="000D20CC"/>
    <w:rsid w:val="000D22EC"/>
    <w:rsid w:val="000D24AC"/>
    <w:rsid w:val="000D2881"/>
    <w:rsid w:val="000D2F84"/>
    <w:rsid w:val="000D31F8"/>
    <w:rsid w:val="000D371D"/>
    <w:rsid w:val="000D3B1F"/>
    <w:rsid w:val="000D3EEA"/>
    <w:rsid w:val="000D4431"/>
    <w:rsid w:val="000D4469"/>
    <w:rsid w:val="000D4D8B"/>
    <w:rsid w:val="000D612F"/>
    <w:rsid w:val="000D68AB"/>
    <w:rsid w:val="000D6C3F"/>
    <w:rsid w:val="000D7236"/>
    <w:rsid w:val="000E002F"/>
    <w:rsid w:val="000E02F8"/>
    <w:rsid w:val="000E04F5"/>
    <w:rsid w:val="000E0A44"/>
    <w:rsid w:val="000E0A56"/>
    <w:rsid w:val="000E0E03"/>
    <w:rsid w:val="000E0F90"/>
    <w:rsid w:val="000E12F1"/>
    <w:rsid w:val="000E13F3"/>
    <w:rsid w:val="000E1564"/>
    <w:rsid w:val="000E192A"/>
    <w:rsid w:val="000E2A26"/>
    <w:rsid w:val="000E2A3E"/>
    <w:rsid w:val="000E2AD6"/>
    <w:rsid w:val="000E2D91"/>
    <w:rsid w:val="000E30E0"/>
    <w:rsid w:val="000E3326"/>
    <w:rsid w:val="000E42D8"/>
    <w:rsid w:val="000E45DC"/>
    <w:rsid w:val="000E4AA6"/>
    <w:rsid w:val="000E4D54"/>
    <w:rsid w:val="000E5371"/>
    <w:rsid w:val="000E57C3"/>
    <w:rsid w:val="000E5D8E"/>
    <w:rsid w:val="000E5FEF"/>
    <w:rsid w:val="000E6364"/>
    <w:rsid w:val="000E6499"/>
    <w:rsid w:val="000E7382"/>
    <w:rsid w:val="000E78BD"/>
    <w:rsid w:val="000E7BAC"/>
    <w:rsid w:val="000E7C3F"/>
    <w:rsid w:val="000F0258"/>
    <w:rsid w:val="000F0947"/>
    <w:rsid w:val="000F0C1C"/>
    <w:rsid w:val="000F0C31"/>
    <w:rsid w:val="000F0F12"/>
    <w:rsid w:val="000F12F1"/>
    <w:rsid w:val="000F1936"/>
    <w:rsid w:val="000F287D"/>
    <w:rsid w:val="000F2895"/>
    <w:rsid w:val="000F2D14"/>
    <w:rsid w:val="000F31FE"/>
    <w:rsid w:val="000F32AA"/>
    <w:rsid w:val="000F33EE"/>
    <w:rsid w:val="000F3A3D"/>
    <w:rsid w:val="000F405F"/>
    <w:rsid w:val="000F4669"/>
    <w:rsid w:val="000F5003"/>
    <w:rsid w:val="000F5862"/>
    <w:rsid w:val="000F5891"/>
    <w:rsid w:val="000F68C7"/>
    <w:rsid w:val="000F7141"/>
    <w:rsid w:val="000F72C6"/>
    <w:rsid w:val="000F7336"/>
    <w:rsid w:val="000F7CFE"/>
    <w:rsid w:val="001002AE"/>
    <w:rsid w:val="001005B9"/>
    <w:rsid w:val="001005DB"/>
    <w:rsid w:val="00100625"/>
    <w:rsid w:val="0010065E"/>
    <w:rsid w:val="00100CB9"/>
    <w:rsid w:val="00101511"/>
    <w:rsid w:val="00101D43"/>
    <w:rsid w:val="001020EB"/>
    <w:rsid w:val="00102426"/>
    <w:rsid w:val="00102E0C"/>
    <w:rsid w:val="00103378"/>
    <w:rsid w:val="001034A7"/>
    <w:rsid w:val="0010388C"/>
    <w:rsid w:val="001038C6"/>
    <w:rsid w:val="00103B42"/>
    <w:rsid w:val="00103B92"/>
    <w:rsid w:val="00104107"/>
    <w:rsid w:val="00104236"/>
    <w:rsid w:val="001045BF"/>
    <w:rsid w:val="001048B3"/>
    <w:rsid w:val="00104E74"/>
    <w:rsid w:val="00104ED6"/>
    <w:rsid w:val="00105455"/>
    <w:rsid w:val="00106A5A"/>
    <w:rsid w:val="001073CE"/>
    <w:rsid w:val="00107507"/>
    <w:rsid w:val="00107707"/>
    <w:rsid w:val="00110151"/>
    <w:rsid w:val="001103DA"/>
    <w:rsid w:val="001107C0"/>
    <w:rsid w:val="00110C72"/>
    <w:rsid w:val="00111087"/>
    <w:rsid w:val="0011136D"/>
    <w:rsid w:val="001114B9"/>
    <w:rsid w:val="0011157F"/>
    <w:rsid w:val="001115E5"/>
    <w:rsid w:val="00112107"/>
    <w:rsid w:val="00112954"/>
    <w:rsid w:val="001130DD"/>
    <w:rsid w:val="0011366A"/>
    <w:rsid w:val="0011378E"/>
    <w:rsid w:val="001138FC"/>
    <w:rsid w:val="00113F13"/>
    <w:rsid w:val="00114C74"/>
    <w:rsid w:val="00114CFC"/>
    <w:rsid w:val="00116368"/>
    <w:rsid w:val="00117D2B"/>
    <w:rsid w:val="00120B1F"/>
    <w:rsid w:val="001210BE"/>
    <w:rsid w:val="00121259"/>
    <w:rsid w:val="0012136A"/>
    <w:rsid w:val="001219F6"/>
    <w:rsid w:val="0012287D"/>
    <w:rsid w:val="00122AF4"/>
    <w:rsid w:val="00122FDE"/>
    <w:rsid w:val="0012386D"/>
    <w:rsid w:val="00123D7C"/>
    <w:rsid w:val="00123F75"/>
    <w:rsid w:val="00124631"/>
    <w:rsid w:val="0012478A"/>
    <w:rsid w:val="00124B42"/>
    <w:rsid w:val="00124E8F"/>
    <w:rsid w:val="00125067"/>
    <w:rsid w:val="001257DA"/>
    <w:rsid w:val="001258C1"/>
    <w:rsid w:val="00125973"/>
    <w:rsid w:val="001260D5"/>
    <w:rsid w:val="00126FF6"/>
    <w:rsid w:val="00127A70"/>
    <w:rsid w:val="00127BC3"/>
    <w:rsid w:val="00127BD4"/>
    <w:rsid w:val="00127ED9"/>
    <w:rsid w:val="001305AE"/>
    <w:rsid w:val="0013082E"/>
    <w:rsid w:val="00130B05"/>
    <w:rsid w:val="00130D79"/>
    <w:rsid w:val="00131309"/>
    <w:rsid w:val="001319C5"/>
    <w:rsid w:val="00132325"/>
    <w:rsid w:val="00132CB9"/>
    <w:rsid w:val="00133156"/>
    <w:rsid w:val="001331F3"/>
    <w:rsid w:val="00133D0E"/>
    <w:rsid w:val="00133E4B"/>
    <w:rsid w:val="001347F3"/>
    <w:rsid w:val="00134AC1"/>
    <w:rsid w:val="00134AC7"/>
    <w:rsid w:val="00134E12"/>
    <w:rsid w:val="00134F96"/>
    <w:rsid w:val="00135195"/>
    <w:rsid w:val="00135621"/>
    <w:rsid w:val="0013590B"/>
    <w:rsid w:val="0013649C"/>
    <w:rsid w:val="00136906"/>
    <w:rsid w:val="001377BF"/>
    <w:rsid w:val="0014036D"/>
    <w:rsid w:val="001405F1"/>
    <w:rsid w:val="001405F2"/>
    <w:rsid w:val="001407BA"/>
    <w:rsid w:val="001407D2"/>
    <w:rsid w:val="00140A5B"/>
    <w:rsid w:val="00140BF5"/>
    <w:rsid w:val="0014129C"/>
    <w:rsid w:val="001414BA"/>
    <w:rsid w:val="00141857"/>
    <w:rsid w:val="0014236C"/>
    <w:rsid w:val="001426C5"/>
    <w:rsid w:val="0014292F"/>
    <w:rsid w:val="00143441"/>
    <w:rsid w:val="00143CC1"/>
    <w:rsid w:val="00143DC9"/>
    <w:rsid w:val="00143EA1"/>
    <w:rsid w:val="00144067"/>
    <w:rsid w:val="0014430B"/>
    <w:rsid w:val="001448D9"/>
    <w:rsid w:val="00144995"/>
    <w:rsid w:val="00144F5E"/>
    <w:rsid w:val="0014557C"/>
    <w:rsid w:val="001455C0"/>
    <w:rsid w:val="00146935"/>
    <w:rsid w:val="00146C1A"/>
    <w:rsid w:val="00146DCA"/>
    <w:rsid w:val="0014707A"/>
    <w:rsid w:val="00147213"/>
    <w:rsid w:val="00147560"/>
    <w:rsid w:val="0014776E"/>
    <w:rsid w:val="00147C49"/>
    <w:rsid w:val="00147D8F"/>
    <w:rsid w:val="00150295"/>
    <w:rsid w:val="0015034F"/>
    <w:rsid w:val="001506E0"/>
    <w:rsid w:val="001509FC"/>
    <w:rsid w:val="00150E94"/>
    <w:rsid w:val="001510F3"/>
    <w:rsid w:val="001513DF"/>
    <w:rsid w:val="0015161E"/>
    <w:rsid w:val="0015181D"/>
    <w:rsid w:val="001519BE"/>
    <w:rsid w:val="00151FF1"/>
    <w:rsid w:val="00152F30"/>
    <w:rsid w:val="001530A0"/>
    <w:rsid w:val="001532AD"/>
    <w:rsid w:val="0015344B"/>
    <w:rsid w:val="00153470"/>
    <w:rsid w:val="00154706"/>
    <w:rsid w:val="00154797"/>
    <w:rsid w:val="00154856"/>
    <w:rsid w:val="00154EAC"/>
    <w:rsid w:val="0015575D"/>
    <w:rsid w:val="00155BA6"/>
    <w:rsid w:val="00156056"/>
    <w:rsid w:val="00157479"/>
    <w:rsid w:val="0016098B"/>
    <w:rsid w:val="00161215"/>
    <w:rsid w:val="00161479"/>
    <w:rsid w:val="00161AF9"/>
    <w:rsid w:val="00161C07"/>
    <w:rsid w:val="0016232B"/>
    <w:rsid w:val="00162900"/>
    <w:rsid w:val="00162A93"/>
    <w:rsid w:val="00162C5C"/>
    <w:rsid w:val="00162ED1"/>
    <w:rsid w:val="00162F5D"/>
    <w:rsid w:val="00163149"/>
    <w:rsid w:val="001646C3"/>
    <w:rsid w:val="001647BF"/>
    <w:rsid w:val="001649D1"/>
    <w:rsid w:val="00164A23"/>
    <w:rsid w:val="00165546"/>
    <w:rsid w:val="001657B1"/>
    <w:rsid w:val="001668FC"/>
    <w:rsid w:val="00167160"/>
    <w:rsid w:val="00167508"/>
    <w:rsid w:val="00167920"/>
    <w:rsid w:val="00167D7E"/>
    <w:rsid w:val="00167D99"/>
    <w:rsid w:val="0017027C"/>
    <w:rsid w:val="00170371"/>
    <w:rsid w:val="00170DBE"/>
    <w:rsid w:val="0017128E"/>
    <w:rsid w:val="0017190A"/>
    <w:rsid w:val="00171A4F"/>
    <w:rsid w:val="0017281A"/>
    <w:rsid w:val="00172908"/>
    <w:rsid w:val="0017302C"/>
    <w:rsid w:val="00173D44"/>
    <w:rsid w:val="00173E23"/>
    <w:rsid w:val="00174035"/>
    <w:rsid w:val="00174388"/>
    <w:rsid w:val="0017497F"/>
    <w:rsid w:val="00175026"/>
    <w:rsid w:val="0017547F"/>
    <w:rsid w:val="0017610B"/>
    <w:rsid w:val="00176820"/>
    <w:rsid w:val="00176A6E"/>
    <w:rsid w:val="00177891"/>
    <w:rsid w:val="00177D71"/>
    <w:rsid w:val="00180060"/>
    <w:rsid w:val="001802B9"/>
    <w:rsid w:val="00180A56"/>
    <w:rsid w:val="00181300"/>
    <w:rsid w:val="00181671"/>
    <w:rsid w:val="00181FA1"/>
    <w:rsid w:val="00182907"/>
    <w:rsid w:val="001829B1"/>
    <w:rsid w:val="00183012"/>
    <w:rsid w:val="001846B9"/>
    <w:rsid w:val="00184B87"/>
    <w:rsid w:val="00184EA0"/>
    <w:rsid w:val="001856B4"/>
    <w:rsid w:val="00185C06"/>
    <w:rsid w:val="00185E73"/>
    <w:rsid w:val="001862A5"/>
    <w:rsid w:val="00186D49"/>
    <w:rsid w:val="0018719C"/>
    <w:rsid w:val="001875E9"/>
    <w:rsid w:val="00187F00"/>
    <w:rsid w:val="001912D9"/>
    <w:rsid w:val="001912E4"/>
    <w:rsid w:val="0019209C"/>
    <w:rsid w:val="00192813"/>
    <w:rsid w:val="00193321"/>
    <w:rsid w:val="001934E6"/>
    <w:rsid w:val="00193870"/>
    <w:rsid w:val="00193AFA"/>
    <w:rsid w:val="0019407C"/>
    <w:rsid w:val="001943E5"/>
    <w:rsid w:val="001945C0"/>
    <w:rsid w:val="00194A77"/>
    <w:rsid w:val="00194A9F"/>
    <w:rsid w:val="00194D4B"/>
    <w:rsid w:val="0019576B"/>
    <w:rsid w:val="00195C38"/>
    <w:rsid w:val="00195FFA"/>
    <w:rsid w:val="001963E4"/>
    <w:rsid w:val="001964C9"/>
    <w:rsid w:val="00196516"/>
    <w:rsid w:val="001969E1"/>
    <w:rsid w:val="0019773C"/>
    <w:rsid w:val="00197CDA"/>
    <w:rsid w:val="00197E0E"/>
    <w:rsid w:val="001A0756"/>
    <w:rsid w:val="001A1C45"/>
    <w:rsid w:val="001A2C5C"/>
    <w:rsid w:val="001A35CF"/>
    <w:rsid w:val="001A38E4"/>
    <w:rsid w:val="001A4133"/>
    <w:rsid w:val="001A4999"/>
    <w:rsid w:val="001A4B01"/>
    <w:rsid w:val="001A51E6"/>
    <w:rsid w:val="001A5887"/>
    <w:rsid w:val="001A5BD9"/>
    <w:rsid w:val="001A5C05"/>
    <w:rsid w:val="001A5D46"/>
    <w:rsid w:val="001A5D61"/>
    <w:rsid w:val="001A5FA2"/>
    <w:rsid w:val="001A601E"/>
    <w:rsid w:val="001A66DD"/>
    <w:rsid w:val="001A681B"/>
    <w:rsid w:val="001A6AE6"/>
    <w:rsid w:val="001A6D95"/>
    <w:rsid w:val="001A74D1"/>
    <w:rsid w:val="001A7D6C"/>
    <w:rsid w:val="001A7EF7"/>
    <w:rsid w:val="001B0451"/>
    <w:rsid w:val="001B06D1"/>
    <w:rsid w:val="001B0964"/>
    <w:rsid w:val="001B0D1A"/>
    <w:rsid w:val="001B0EA6"/>
    <w:rsid w:val="001B2643"/>
    <w:rsid w:val="001B2A29"/>
    <w:rsid w:val="001B3542"/>
    <w:rsid w:val="001B3A2A"/>
    <w:rsid w:val="001B4040"/>
    <w:rsid w:val="001B40C2"/>
    <w:rsid w:val="001B40F7"/>
    <w:rsid w:val="001B410E"/>
    <w:rsid w:val="001B4745"/>
    <w:rsid w:val="001B4B42"/>
    <w:rsid w:val="001B4E9B"/>
    <w:rsid w:val="001B573F"/>
    <w:rsid w:val="001B591C"/>
    <w:rsid w:val="001B5C85"/>
    <w:rsid w:val="001B6A4A"/>
    <w:rsid w:val="001B7793"/>
    <w:rsid w:val="001B7A44"/>
    <w:rsid w:val="001C027F"/>
    <w:rsid w:val="001C0470"/>
    <w:rsid w:val="001C052B"/>
    <w:rsid w:val="001C05A5"/>
    <w:rsid w:val="001C0713"/>
    <w:rsid w:val="001C10B2"/>
    <w:rsid w:val="001C1F79"/>
    <w:rsid w:val="001C2D1B"/>
    <w:rsid w:val="001C2EC4"/>
    <w:rsid w:val="001C2FD7"/>
    <w:rsid w:val="001C3274"/>
    <w:rsid w:val="001C3711"/>
    <w:rsid w:val="001C382A"/>
    <w:rsid w:val="001C3B60"/>
    <w:rsid w:val="001C411A"/>
    <w:rsid w:val="001C5004"/>
    <w:rsid w:val="001C5739"/>
    <w:rsid w:val="001C5D12"/>
    <w:rsid w:val="001C5E07"/>
    <w:rsid w:val="001C61B7"/>
    <w:rsid w:val="001C664F"/>
    <w:rsid w:val="001C688E"/>
    <w:rsid w:val="001C6A50"/>
    <w:rsid w:val="001C71EE"/>
    <w:rsid w:val="001C7EC5"/>
    <w:rsid w:val="001C7EF1"/>
    <w:rsid w:val="001D0CD3"/>
    <w:rsid w:val="001D0FEF"/>
    <w:rsid w:val="001D1ACE"/>
    <w:rsid w:val="001D25E1"/>
    <w:rsid w:val="001D27D9"/>
    <w:rsid w:val="001D2D0B"/>
    <w:rsid w:val="001D31D5"/>
    <w:rsid w:val="001D440F"/>
    <w:rsid w:val="001D44ED"/>
    <w:rsid w:val="001D4D56"/>
    <w:rsid w:val="001D4EC5"/>
    <w:rsid w:val="001D501C"/>
    <w:rsid w:val="001D5079"/>
    <w:rsid w:val="001D580E"/>
    <w:rsid w:val="001D60C1"/>
    <w:rsid w:val="001D611E"/>
    <w:rsid w:val="001D6238"/>
    <w:rsid w:val="001D65F7"/>
    <w:rsid w:val="001D6930"/>
    <w:rsid w:val="001D6A47"/>
    <w:rsid w:val="001D7A07"/>
    <w:rsid w:val="001D7D34"/>
    <w:rsid w:val="001D7F51"/>
    <w:rsid w:val="001E0091"/>
    <w:rsid w:val="001E0FD7"/>
    <w:rsid w:val="001E26F6"/>
    <w:rsid w:val="001E26FB"/>
    <w:rsid w:val="001E294F"/>
    <w:rsid w:val="001E2BD9"/>
    <w:rsid w:val="001E2FB2"/>
    <w:rsid w:val="001E3280"/>
    <w:rsid w:val="001E3CA6"/>
    <w:rsid w:val="001E4946"/>
    <w:rsid w:val="001E4D9E"/>
    <w:rsid w:val="001E5185"/>
    <w:rsid w:val="001E553D"/>
    <w:rsid w:val="001E5A19"/>
    <w:rsid w:val="001E5BF6"/>
    <w:rsid w:val="001E5FD1"/>
    <w:rsid w:val="001E6DA1"/>
    <w:rsid w:val="001E7805"/>
    <w:rsid w:val="001E7D66"/>
    <w:rsid w:val="001F0453"/>
    <w:rsid w:val="001F05AE"/>
    <w:rsid w:val="001F0604"/>
    <w:rsid w:val="001F0CE8"/>
    <w:rsid w:val="001F107A"/>
    <w:rsid w:val="001F207F"/>
    <w:rsid w:val="001F24CF"/>
    <w:rsid w:val="001F2906"/>
    <w:rsid w:val="001F295D"/>
    <w:rsid w:val="001F29C0"/>
    <w:rsid w:val="001F2B7F"/>
    <w:rsid w:val="001F314A"/>
    <w:rsid w:val="001F34FC"/>
    <w:rsid w:val="001F475B"/>
    <w:rsid w:val="001F4865"/>
    <w:rsid w:val="001F4E4C"/>
    <w:rsid w:val="001F5E5A"/>
    <w:rsid w:val="001F628D"/>
    <w:rsid w:val="001F6376"/>
    <w:rsid w:val="001F64FD"/>
    <w:rsid w:val="001F6601"/>
    <w:rsid w:val="001F6907"/>
    <w:rsid w:val="001F6EFD"/>
    <w:rsid w:val="001F7F68"/>
    <w:rsid w:val="0020016C"/>
    <w:rsid w:val="00200A82"/>
    <w:rsid w:val="00200D00"/>
    <w:rsid w:val="0020120D"/>
    <w:rsid w:val="00201352"/>
    <w:rsid w:val="0020155B"/>
    <w:rsid w:val="002018F1"/>
    <w:rsid w:val="00201EB2"/>
    <w:rsid w:val="002020BC"/>
    <w:rsid w:val="002020E6"/>
    <w:rsid w:val="0020246B"/>
    <w:rsid w:val="00202680"/>
    <w:rsid w:val="002027DC"/>
    <w:rsid w:val="0020334D"/>
    <w:rsid w:val="002035EF"/>
    <w:rsid w:val="00203637"/>
    <w:rsid w:val="00203A80"/>
    <w:rsid w:val="00204B4D"/>
    <w:rsid w:val="00204FE0"/>
    <w:rsid w:val="002051E6"/>
    <w:rsid w:val="00205255"/>
    <w:rsid w:val="002067D0"/>
    <w:rsid w:val="00206860"/>
    <w:rsid w:val="00207086"/>
    <w:rsid w:val="002073A2"/>
    <w:rsid w:val="002076D9"/>
    <w:rsid w:val="00207940"/>
    <w:rsid w:val="002105A7"/>
    <w:rsid w:val="0021085C"/>
    <w:rsid w:val="0021101B"/>
    <w:rsid w:val="002115CE"/>
    <w:rsid w:val="002120D0"/>
    <w:rsid w:val="0021218A"/>
    <w:rsid w:val="0021267C"/>
    <w:rsid w:val="00212BCD"/>
    <w:rsid w:val="00212F51"/>
    <w:rsid w:val="002131FE"/>
    <w:rsid w:val="00213415"/>
    <w:rsid w:val="00213753"/>
    <w:rsid w:val="00213CE5"/>
    <w:rsid w:val="00213FDB"/>
    <w:rsid w:val="00214110"/>
    <w:rsid w:val="002144A9"/>
    <w:rsid w:val="002146D7"/>
    <w:rsid w:val="002147D5"/>
    <w:rsid w:val="0021483D"/>
    <w:rsid w:val="0021491A"/>
    <w:rsid w:val="00215122"/>
    <w:rsid w:val="002161EA"/>
    <w:rsid w:val="0021670F"/>
    <w:rsid w:val="002175BA"/>
    <w:rsid w:val="00217778"/>
    <w:rsid w:val="00217802"/>
    <w:rsid w:val="00217C99"/>
    <w:rsid w:val="00217DE7"/>
    <w:rsid w:val="00217E87"/>
    <w:rsid w:val="00217F8A"/>
    <w:rsid w:val="0022008B"/>
    <w:rsid w:val="00220BFA"/>
    <w:rsid w:val="00220CCA"/>
    <w:rsid w:val="00221499"/>
    <w:rsid w:val="00221B9F"/>
    <w:rsid w:val="00221E1C"/>
    <w:rsid w:val="00222081"/>
    <w:rsid w:val="0022230F"/>
    <w:rsid w:val="0022238C"/>
    <w:rsid w:val="002228DC"/>
    <w:rsid w:val="00222C2D"/>
    <w:rsid w:val="00222D7C"/>
    <w:rsid w:val="00223311"/>
    <w:rsid w:val="00223DFA"/>
    <w:rsid w:val="002242B8"/>
    <w:rsid w:val="002249C2"/>
    <w:rsid w:val="00224C52"/>
    <w:rsid w:val="002254DB"/>
    <w:rsid w:val="002255B5"/>
    <w:rsid w:val="00225683"/>
    <w:rsid w:val="00225844"/>
    <w:rsid w:val="00225E15"/>
    <w:rsid w:val="0022615F"/>
    <w:rsid w:val="0022616C"/>
    <w:rsid w:val="002262A0"/>
    <w:rsid w:val="00226F1F"/>
    <w:rsid w:val="00227366"/>
    <w:rsid w:val="0022747A"/>
    <w:rsid w:val="00227492"/>
    <w:rsid w:val="00227901"/>
    <w:rsid w:val="00227D99"/>
    <w:rsid w:val="00230C73"/>
    <w:rsid w:val="00230D79"/>
    <w:rsid w:val="002318C8"/>
    <w:rsid w:val="002319E7"/>
    <w:rsid w:val="00231BD9"/>
    <w:rsid w:val="00231F52"/>
    <w:rsid w:val="00232052"/>
    <w:rsid w:val="00232292"/>
    <w:rsid w:val="002325DA"/>
    <w:rsid w:val="0023288F"/>
    <w:rsid w:val="002328CC"/>
    <w:rsid w:val="00232910"/>
    <w:rsid w:val="0023291D"/>
    <w:rsid w:val="002329FF"/>
    <w:rsid w:val="00232B21"/>
    <w:rsid w:val="00234160"/>
    <w:rsid w:val="00234D7A"/>
    <w:rsid w:val="00235242"/>
    <w:rsid w:val="00236201"/>
    <w:rsid w:val="00236217"/>
    <w:rsid w:val="002366C1"/>
    <w:rsid w:val="00236C03"/>
    <w:rsid w:val="00236F1E"/>
    <w:rsid w:val="00237C85"/>
    <w:rsid w:val="002407E7"/>
    <w:rsid w:val="00240D2B"/>
    <w:rsid w:val="0024123B"/>
    <w:rsid w:val="00241399"/>
    <w:rsid w:val="00241A27"/>
    <w:rsid w:val="00241DC4"/>
    <w:rsid w:val="002420E5"/>
    <w:rsid w:val="00242F64"/>
    <w:rsid w:val="0024335E"/>
    <w:rsid w:val="00243682"/>
    <w:rsid w:val="00243F92"/>
    <w:rsid w:val="002440D9"/>
    <w:rsid w:val="0024428E"/>
    <w:rsid w:val="0024436E"/>
    <w:rsid w:val="00245048"/>
    <w:rsid w:val="00245470"/>
    <w:rsid w:val="002459C0"/>
    <w:rsid w:val="00245A92"/>
    <w:rsid w:val="00245BAD"/>
    <w:rsid w:val="00245D29"/>
    <w:rsid w:val="002460AD"/>
    <w:rsid w:val="00246285"/>
    <w:rsid w:val="00246353"/>
    <w:rsid w:val="002466DB"/>
    <w:rsid w:val="00246A16"/>
    <w:rsid w:val="00246BED"/>
    <w:rsid w:val="00246C48"/>
    <w:rsid w:val="00247AE4"/>
    <w:rsid w:val="0025025F"/>
    <w:rsid w:val="00250AAB"/>
    <w:rsid w:val="00250FAD"/>
    <w:rsid w:val="00251E6E"/>
    <w:rsid w:val="00251FDB"/>
    <w:rsid w:val="00252330"/>
    <w:rsid w:val="00252A57"/>
    <w:rsid w:val="00252EE4"/>
    <w:rsid w:val="00253523"/>
    <w:rsid w:val="00253A10"/>
    <w:rsid w:val="00253E5B"/>
    <w:rsid w:val="00253F8B"/>
    <w:rsid w:val="00254B53"/>
    <w:rsid w:val="002559A0"/>
    <w:rsid w:val="002559CE"/>
    <w:rsid w:val="00255B6D"/>
    <w:rsid w:val="00255BAE"/>
    <w:rsid w:val="00256241"/>
    <w:rsid w:val="00256513"/>
    <w:rsid w:val="00256C48"/>
    <w:rsid w:val="00256D23"/>
    <w:rsid w:val="002576A6"/>
    <w:rsid w:val="00257707"/>
    <w:rsid w:val="00257B0B"/>
    <w:rsid w:val="00260192"/>
    <w:rsid w:val="00260734"/>
    <w:rsid w:val="00260F37"/>
    <w:rsid w:val="002613F4"/>
    <w:rsid w:val="00261BA9"/>
    <w:rsid w:val="00261D1D"/>
    <w:rsid w:val="00261ED5"/>
    <w:rsid w:val="00262817"/>
    <w:rsid w:val="00262F7D"/>
    <w:rsid w:val="002633AE"/>
    <w:rsid w:val="0026343B"/>
    <w:rsid w:val="002634E4"/>
    <w:rsid w:val="00263E01"/>
    <w:rsid w:val="0026411C"/>
    <w:rsid w:val="002643E9"/>
    <w:rsid w:val="00264A6F"/>
    <w:rsid w:val="00264AAD"/>
    <w:rsid w:val="00264DFC"/>
    <w:rsid w:val="00265BAE"/>
    <w:rsid w:val="00266059"/>
    <w:rsid w:val="00266885"/>
    <w:rsid w:val="00266A41"/>
    <w:rsid w:val="00266AD4"/>
    <w:rsid w:val="00266D6B"/>
    <w:rsid w:val="002671CD"/>
    <w:rsid w:val="00267A94"/>
    <w:rsid w:val="00267C73"/>
    <w:rsid w:val="00267D36"/>
    <w:rsid w:val="0027034D"/>
    <w:rsid w:val="0027038F"/>
    <w:rsid w:val="00270395"/>
    <w:rsid w:val="0027089B"/>
    <w:rsid w:val="00271577"/>
    <w:rsid w:val="00271A7D"/>
    <w:rsid w:val="00271F1D"/>
    <w:rsid w:val="00272196"/>
    <w:rsid w:val="002724E0"/>
    <w:rsid w:val="00272587"/>
    <w:rsid w:val="002726E4"/>
    <w:rsid w:val="002726FB"/>
    <w:rsid w:val="0027388F"/>
    <w:rsid w:val="00273B70"/>
    <w:rsid w:val="002740DD"/>
    <w:rsid w:val="002740F2"/>
    <w:rsid w:val="002745A4"/>
    <w:rsid w:val="00274986"/>
    <w:rsid w:val="00274D4D"/>
    <w:rsid w:val="0027533C"/>
    <w:rsid w:val="002757DA"/>
    <w:rsid w:val="00275AC0"/>
    <w:rsid w:val="00275DA8"/>
    <w:rsid w:val="00275E0B"/>
    <w:rsid w:val="00275F41"/>
    <w:rsid w:val="00276949"/>
    <w:rsid w:val="00276B2C"/>
    <w:rsid w:val="0027706D"/>
    <w:rsid w:val="002774E7"/>
    <w:rsid w:val="002778D2"/>
    <w:rsid w:val="002779CB"/>
    <w:rsid w:val="00277C1B"/>
    <w:rsid w:val="002800D8"/>
    <w:rsid w:val="002802A5"/>
    <w:rsid w:val="00280805"/>
    <w:rsid w:val="00280AEB"/>
    <w:rsid w:val="00280E40"/>
    <w:rsid w:val="002811A7"/>
    <w:rsid w:val="0028202B"/>
    <w:rsid w:val="0028241E"/>
    <w:rsid w:val="0028288D"/>
    <w:rsid w:val="00282AB0"/>
    <w:rsid w:val="00282B94"/>
    <w:rsid w:val="00282DEE"/>
    <w:rsid w:val="00282E95"/>
    <w:rsid w:val="002830D3"/>
    <w:rsid w:val="00283565"/>
    <w:rsid w:val="00283573"/>
    <w:rsid w:val="00283C0C"/>
    <w:rsid w:val="00283CCF"/>
    <w:rsid w:val="00284133"/>
    <w:rsid w:val="002844E8"/>
    <w:rsid w:val="00284878"/>
    <w:rsid w:val="00284D3E"/>
    <w:rsid w:val="0028557B"/>
    <w:rsid w:val="002855C8"/>
    <w:rsid w:val="0028602B"/>
    <w:rsid w:val="00286059"/>
    <w:rsid w:val="00286297"/>
    <w:rsid w:val="00286AEC"/>
    <w:rsid w:val="00287245"/>
    <w:rsid w:val="0029034C"/>
    <w:rsid w:val="002906D7"/>
    <w:rsid w:val="00290ED8"/>
    <w:rsid w:val="00291121"/>
    <w:rsid w:val="002914FD"/>
    <w:rsid w:val="0029160B"/>
    <w:rsid w:val="00291B40"/>
    <w:rsid w:val="00293027"/>
    <w:rsid w:val="00293279"/>
    <w:rsid w:val="0029369F"/>
    <w:rsid w:val="00293701"/>
    <w:rsid w:val="00293834"/>
    <w:rsid w:val="00293BD8"/>
    <w:rsid w:val="0029423C"/>
    <w:rsid w:val="00294315"/>
    <w:rsid w:val="00294974"/>
    <w:rsid w:val="00294E1D"/>
    <w:rsid w:val="0029532C"/>
    <w:rsid w:val="00295621"/>
    <w:rsid w:val="00295DED"/>
    <w:rsid w:val="00295E26"/>
    <w:rsid w:val="0029603F"/>
    <w:rsid w:val="00297164"/>
    <w:rsid w:val="00297298"/>
    <w:rsid w:val="0029761A"/>
    <w:rsid w:val="002977C5"/>
    <w:rsid w:val="002978DB"/>
    <w:rsid w:val="002A05C4"/>
    <w:rsid w:val="002A0CAE"/>
    <w:rsid w:val="002A11A7"/>
    <w:rsid w:val="002A168C"/>
    <w:rsid w:val="002A16DC"/>
    <w:rsid w:val="002A1AED"/>
    <w:rsid w:val="002A1F98"/>
    <w:rsid w:val="002A2096"/>
    <w:rsid w:val="002A217F"/>
    <w:rsid w:val="002A21E4"/>
    <w:rsid w:val="002A2360"/>
    <w:rsid w:val="002A2D89"/>
    <w:rsid w:val="002A2E5B"/>
    <w:rsid w:val="002A374D"/>
    <w:rsid w:val="002A3FF3"/>
    <w:rsid w:val="002A40B5"/>
    <w:rsid w:val="002A4BCC"/>
    <w:rsid w:val="002A5397"/>
    <w:rsid w:val="002A58BA"/>
    <w:rsid w:val="002A5B31"/>
    <w:rsid w:val="002A5CB2"/>
    <w:rsid w:val="002A5E66"/>
    <w:rsid w:val="002A6795"/>
    <w:rsid w:val="002A6FA4"/>
    <w:rsid w:val="002A74D7"/>
    <w:rsid w:val="002A79F8"/>
    <w:rsid w:val="002B06D4"/>
    <w:rsid w:val="002B0797"/>
    <w:rsid w:val="002B0A91"/>
    <w:rsid w:val="002B0FC4"/>
    <w:rsid w:val="002B121B"/>
    <w:rsid w:val="002B1EBC"/>
    <w:rsid w:val="002B2897"/>
    <w:rsid w:val="002B2BE3"/>
    <w:rsid w:val="002B2C03"/>
    <w:rsid w:val="002B2DB2"/>
    <w:rsid w:val="002B2E0B"/>
    <w:rsid w:val="002B301C"/>
    <w:rsid w:val="002B30D5"/>
    <w:rsid w:val="002B314B"/>
    <w:rsid w:val="002B3474"/>
    <w:rsid w:val="002B3681"/>
    <w:rsid w:val="002B36CE"/>
    <w:rsid w:val="002B36D3"/>
    <w:rsid w:val="002B38E1"/>
    <w:rsid w:val="002B3B97"/>
    <w:rsid w:val="002B41F5"/>
    <w:rsid w:val="002B4250"/>
    <w:rsid w:val="002B4B0C"/>
    <w:rsid w:val="002B4C20"/>
    <w:rsid w:val="002B538F"/>
    <w:rsid w:val="002B546D"/>
    <w:rsid w:val="002B5C25"/>
    <w:rsid w:val="002B65BB"/>
    <w:rsid w:val="002B6BB9"/>
    <w:rsid w:val="002B6C44"/>
    <w:rsid w:val="002B71CB"/>
    <w:rsid w:val="002B74B4"/>
    <w:rsid w:val="002B7616"/>
    <w:rsid w:val="002B7E55"/>
    <w:rsid w:val="002C037B"/>
    <w:rsid w:val="002C0CFB"/>
    <w:rsid w:val="002C19D6"/>
    <w:rsid w:val="002C1E3F"/>
    <w:rsid w:val="002C22D8"/>
    <w:rsid w:val="002C25FF"/>
    <w:rsid w:val="002C295A"/>
    <w:rsid w:val="002C29A6"/>
    <w:rsid w:val="002C2B80"/>
    <w:rsid w:val="002C2DC5"/>
    <w:rsid w:val="002C35EE"/>
    <w:rsid w:val="002C431F"/>
    <w:rsid w:val="002C4683"/>
    <w:rsid w:val="002C49E0"/>
    <w:rsid w:val="002C4A10"/>
    <w:rsid w:val="002C4A6F"/>
    <w:rsid w:val="002C52DF"/>
    <w:rsid w:val="002C6683"/>
    <w:rsid w:val="002C7001"/>
    <w:rsid w:val="002C72DD"/>
    <w:rsid w:val="002C771E"/>
    <w:rsid w:val="002C776B"/>
    <w:rsid w:val="002C779D"/>
    <w:rsid w:val="002D0408"/>
    <w:rsid w:val="002D07B3"/>
    <w:rsid w:val="002D1050"/>
    <w:rsid w:val="002D1652"/>
    <w:rsid w:val="002D1C7F"/>
    <w:rsid w:val="002D2F74"/>
    <w:rsid w:val="002D30B3"/>
    <w:rsid w:val="002D36CE"/>
    <w:rsid w:val="002D39D8"/>
    <w:rsid w:val="002D4143"/>
    <w:rsid w:val="002D438B"/>
    <w:rsid w:val="002D43F7"/>
    <w:rsid w:val="002D456E"/>
    <w:rsid w:val="002D4AEF"/>
    <w:rsid w:val="002D4BF2"/>
    <w:rsid w:val="002D4D9B"/>
    <w:rsid w:val="002D4FA3"/>
    <w:rsid w:val="002D53AF"/>
    <w:rsid w:val="002D53EB"/>
    <w:rsid w:val="002D693E"/>
    <w:rsid w:val="002D7825"/>
    <w:rsid w:val="002E099A"/>
    <w:rsid w:val="002E0BB0"/>
    <w:rsid w:val="002E0F8E"/>
    <w:rsid w:val="002E1037"/>
    <w:rsid w:val="002E1A62"/>
    <w:rsid w:val="002E3B01"/>
    <w:rsid w:val="002E3DB2"/>
    <w:rsid w:val="002E431D"/>
    <w:rsid w:val="002E4B96"/>
    <w:rsid w:val="002E4E6D"/>
    <w:rsid w:val="002E4EEE"/>
    <w:rsid w:val="002E571C"/>
    <w:rsid w:val="002E6666"/>
    <w:rsid w:val="002E6D03"/>
    <w:rsid w:val="002E7AF9"/>
    <w:rsid w:val="002E7EBC"/>
    <w:rsid w:val="002F04F1"/>
    <w:rsid w:val="002F0603"/>
    <w:rsid w:val="002F07CD"/>
    <w:rsid w:val="002F0AF1"/>
    <w:rsid w:val="002F0ECF"/>
    <w:rsid w:val="002F1057"/>
    <w:rsid w:val="002F10D4"/>
    <w:rsid w:val="002F1150"/>
    <w:rsid w:val="002F1633"/>
    <w:rsid w:val="002F1E4F"/>
    <w:rsid w:val="002F23F6"/>
    <w:rsid w:val="002F28DB"/>
    <w:rsid w:val="002F31AB"/>
    <w:rsid w:val="002F31FE"/>
    <w:rsid w:val="002F342F"/>
    <w:rsid w:val="002F3C41"/>
    <w:rsid w:val="002F43D3"/>
    <w:rsid w:val="002F44F7"/>
    <w:rsid w:val="002F4924"/>
    <w:rsid w:val="002F5389"/>
    <w:rsid w:val="002F6557"/>
    <w:rsid w:val="002F6955"/>
    <w:rsid w:val="002F6C3C"/>
    <w:rsid w:val="002F71C2"/>
    <w:rsid w:val="002F7386"/>
    <w:rsid w:val="002F7854"/>
    <w:rsid w:val="002F7DC7"/>
    <w:rsid w:val="0030048C"/>
    <w:rsid w:val="00300CAF"/>
    <w:rsid w:val="00300D4F"/>
    <w:rsid w:val="00301466"/>
    <w:rsid w:val="00301AE2"/>
    <w:rsid w:val="00302261"/>
    <w:rsid w:val="00302472"/>
    <w:rsid w:val="0030351E"/>
    <w:rsid w:val="0030400B"/>
    <w:rsid w:val="0030432D"/>
    <w:rsid w:val="003043A5"/>
    <w:rsid w:val="0030450B"/>
    <w:rsid w:val="00304BD2"/>
    <w:rsid w:val="0030513A"/>
    <w:rsid w:val="003054CA"/>
    <w:rsid w:val="00305A7C"/>
    <w:rsid w:val="00306241"/>
    <w:rsid w:val="00306ADD"/>
    <w:rsid w:val="00306DD8"/>
    <w:rsid w:val="003076AE"/>
    <w:rsid w:val="003078C1"/>
    <w:rsid w:val="00307A26"/>
    <w:rsid w:val="00307E49"/>
    <w:rsid w:val="00307E59"/>
    <w:rsid w:val="0031028A"/>
    <w:rsid w:val="00310833"/>
    <w:rsid w:val="00310853"/>
    <w:rsid w:val="00310A39"/>
    <w:rsid w:val="00310C3B"/>
    <w:rsid w:val="00311169"/>
    <w:rsid w:val="00311250"/>
    <w:rsid w:val="003113C3"/>
    <w:rsid w:val="0031140A"/>
    <w:rsid w:val="00311487"/>
    <w:rsid w:val="003118F2"/>
    <w:rsid w:val="00312025"/>
    <w:rsid w:val="00312223"/>
    <w:rsid w:val="00312531"/>
    <w:rsid w:val="0031293B"/>
    <w:rsid w:val="00312C86"/>
    <w:rsid w:val="003130FF"/>
    <w:rsid w:val="00313227"/>
    <w:rsid w:val="00313282"/>
    <w:rsid w:val="00313598"/>
    <w:rsid w:val="003135A4"/>
    <w:rsid w:val="0031395C"/>
    <w:rsid w:val="00313D4B"/>
    <w:rsid w:val="00313EF4"/>
    <w:rsid w:val="003146B0"/>
    <w:rsid w:val="003147A4"/>
    <w:rsid w:val="00314B19"/>
    <w:rsid w:val="003157AE"/>
    <w:rsid w:val="00315929"/>
    <w:rsid w:val="0031605E"/>
    <w:rsid w:val="003165CF"/>
    <w:rsid w:val="0031727B"/>
    <w:rsid w:val="00317480"/>
    <w:rsid w:val="00317838"/>
    <w:rsid w:val="00317AD1"/>
    <w:rsid w:val="00317B87"/>
    <w:rsid w:val="00317E41"/>
    <w:rsid w:val="00317F2F"/>
    <w:rsid w:val="00317F3A"/>
    <w:rsid w:val="00320582"/>
    <w:rsid w:val="003208B9"/>
    <w:rsid w:val="00320AFA"/>
    <w:rsid w:val="00320E4B"/>
    <w:rsid w:val="00320FD0"/>
    <w:rsid w:val="00321109"/>
    <w:rsid w:val="003213E2"/>
    <w:rsid w:val="00321A28"/>
    <w:rsid w:val="003220ED"/>
    <w:rsid w:val="00322210"/>
    <w:rsid w:val="00322598"/>
    <w:rsid w:val="00322B3D"/>
    <w:rsid w:val="00323250"/>
    <w:rsid w:val="00323DE0"/>
    <w:rsid w:val="00323EBD"/>
    <w:rsid w:val="003249A1"/>
    <w:rsid w:val="00324AA2"/>
    <w:rsid w:val="00325126"/>
    <w:rsid w:val="0032532B"/>
    <w:rsid w:val="0032536E"/>
    <w:rsid w:val="00326370"/>
    <w:rsid w:val="003265B8"/>
    <w:rsid w:val="00326D3B"/>
    <w:rsid w:val="00327C0B"/>
    <w:rsid w:val="00330752"/>
    <w:rsid w:val="0033095C"/>
    <w:rsid w:val="00330ABB"/>
    <w:rsid w:val="00331608"/>
    <w:rsid w:val="003326DF"/>
    <w:rsid w:val="003327D9"/>
    <w:rsid w:val="00332871"/>
    <w:rsid w:val="00332CBC"/>
    <w:rsid w:val="00332D53"/>
    <w:rsid w:val="0033337C"/>
    <w:rsid w:val="00333AA0"/>
    <w:rsid w:val="00333FA9"/>
    <w:rsid w:val="00334435"/>
    <w:rsid w:val="0033467E"/>
    <w:rsid w:val="00334749"/>
    <w:rsid w:val="0033480D"/>
    <w:rsid w:val="00334AF5"/>
    <w:rsid w:val="00334B2B"/>
    <w:rsid w:val="00334D48"/>
    <w:rsid w:val="00335374"/>
    <w:rsid w:val="0033552B"/>
    <w:rsid w:val="003356AE"/>
    <w:rsid w:val="003363B5"/>
    <w:rsid w:val="003364F4"/>
    <w:rsid w:val="003367C9"/>
    <w:rsid w:val="00336F71"/>
    <w:rsid w:val="0033719E"/>
    <w:rsid w:val="00340247"/>
    <w:rsid w:val="00340612"/>
    <w:rsid w:val="00340C70"/>
    <w:rsid w:val="003418D0"/>
    <w:rsid w:val="00341DA0"/>
    <w:rsid w:val="00341DBD"/>
    <w:rsid w:val="00341EC5"/>
    <w:rsid w:val="0034277E"/>
    <w:rsid w:val="003428E6"/>
    <w:rsid w:val="00342BBA"/>
    <w:rsid w:val="00342DC1"/>
    <w:rsid w:val="00343731"/>
    <w:rsid w:val="00343792"/>
    <w:rsid w:val="00343CE9"/>
    <w:rsid w:val="003444BC"/>
    <w:rsid w:val="00344A5F"/>
    <w:rsid w:val="0034561F"/>
    <w:rsid w:val="00345651"/>
    <w:rsid w:val="0034569D"/>
    <w:rsid w:val="003459CB"/>
    <w:rsid w:val="00345AA4"/>
    <w:rsid w:val="0034651D"/>
    <w:rsid w:val="00346B38"/>
    <w:rsid w:val="00346EF8"/>
    <w:rsid w:val="003472B6"/>
    <w:rsid w:val="00347865"/>
    <w:rsid w:val="003478C4"/>
    <w:rsid w:val="00347AE1"/>
    <w:rsid w:val="00350000"/>
    <w:rsid w:val="003504F4"/>
    <w:rsid w:val="003505AB"/>
    <w:rsid w:val="003508F7"/>
    <w:rsid w:val="0035114A"/>
    <w:rsid w:val="003513DD"/>
    <w:rsid w:val="00351719"/>
    <w:rsid w:val="00351B0C"/>
    <w:rsid w:val="00351FCA"/>
    <w:rsid w:val="0035207F"/>
    <w:rsid w:val="0035213A"/>
    <w:rsid w:val="00352A14"/>
    <w:rsid w:val="00352D91"/>
    <w:rsid w:val="0035315A"/>
    <w:rsid w:val="00353519"/>
    <w:rsid w:val="00353BBB"/>
    <w:rsid w:val="00353F70"/>
    <w:rsid w:val="003541BB"/>
    <w:rsid w:val="003545CD"/>
    <w:rsid w:val="00354969"/>
    <w:rsid w:val="00354B13"/>
    <w:rsid w:val="00354BFB"/>
    <w:rsid w:val="00354C9E"/>
    <w:rsid w:val="00355230"/>
    <w:rsid w:val="003552FB"/>
    <w:rsid w:val="003556C6"/>
    <w:rsid w:val="003557DB"/>
    <w:rsid w:val="00355BAA"/>
    <w:rsid w:val="00356173"/>
    <w:rsid w:val="00357EF0"/>
    <w:rsid w:val="00360089"/>
    <w:rsid w:val="0036025E"/>
    <w:rsid w:val="00360B38"/>
    <w:rsid w:val="00360C60"/>
    <w:rsid w:val="003614C3"/>
    <w:rsid w:val="0036176B"/>
    <w:rsid w:val="00361A6F"/>
    <w:rsid w:val="00361CD5"/>
    <w:rsid w:val="00362288"/>
    <w:rsid w:val="00362431"/>
    <w:rsid w:val="00362811"/>
    <w:rsid w:val="0036284B"/>
    <w:rsid w:val="00362B29"/>
    <w:rsid w:val="00362C31"/>
    <w:rsid w:val="00362DE3"/>
    <w:rsid w:val="00363A6F"/>
    <w:rsid w:val="00363D0F"/>
    <w:rsid w:val="00364B4D"/>
    <w:rsid w:val="00365865"/>
    <w:rsid w:val="003660B9"/>
    <w:rsid w:val="003662F6"/>
    <w:rsid w:val="003667DD"/>
    <w:rsid w:val="00366DE0"/>
    <w:rsid w:val="0036795D"/>
    <w:rsid w:val="003700DC"/>
    <w:rsid w:val="003701EE"/>
    <w:rsid w:val="0037072B"/>
    <w:rsid w:val="00370736"/>
    <w:rsid w:val="00370947"/>
    <w:rsid w:val="00370A1A"/>
    <w:rsid w:val="00370F6E"/>
    <w:rsid w:val="003711D9"/>
    <w:rsid w:val="00371A1C"/>
    <w:rsid w:val="00371C4F"/>
    <w:rsid w:val="00371E84"/>
    <w:rsid w:val="00371F26"/>
    <w:rsid w:val="00371F4F"/>
    <w:rsid w:val="003720A1"/>
    <w:rsid w:val="0037228E"/>
    <w:rsid w:val="00372362"/>
    <w:rsid w:val="00372654"/>
    <w:rsid w:val="0037275B"/>
    <w:rsid w:val="0037298E"/>
    <w:rsid w:val="00372A42"/>
    <w:rsid w:val="00372A98"/>
    <w:rsid w:val="00372C32"/>
    <w:rsid w:val="00372F89"/>
    <w:rsid w:val="00373BC3"/>
    <w:rsid w:val="00373C71"/>
    <w:rsid w:val="00373DFE"/>
    <w:rsid w:val="00373F23"/>
    <w:rsid w:val="00373FC2"/>
    <w:rsid w:val="0037400C"/>
    <w:rsid w:val="00374138"/>
    <w:rsid w:val="00374F0F"/>
    <w:rsid w:val="00375640"/>
    <w:rsid w:val="003759A0"/>
    <w:rsid w:val="00376A3E"/>
    <w:rsid w:val="0037760F"/>
    <w:rsid w:val="00377D40"/>
    <w:rsid w:val="00377DEE"/>
    <w:rsid w:val="00380FC7"/>
    <w:rsid w:val="0038100D"/>
    <w:rsid w:val="003814B6"/>
    <w:rsid w:val="00381B9D"/>
    <w:rsid w:val="003825EF"/>
    <w:rsid w:val="003829EF"/>
    <w:rsid w:val="00383210"/>
    <w:rsid w:val="0038383B"/>
    <w:rsid w:val="00384439"/>
    <w:rsid w:val="003844F6"/>
    <w:rsid w:val="00384502"/>
    <w:rsid w:val="00385BD8"/>
    <w:rsid w:val="003866E4"/>
    <w:rsid w:val="003868E4"/>
    <w:rsid w:val="00386990"/>
    <w:rsid w:val="003874AC"/>
    <w:rsid w:val="00387920"/>
    <w:rsid w:val="00390566"/>
    <w:rsid w:val="003905D1"/>
    <w:rsid w:val="0039093D"/>
    <w:rsid w:val="00390C46"/>
    <w:rsid w:val="00390DEE"/>
    <w:rsid w:val="00391129"/>
    <w:rsid w:val="003912E7"/>
    <w:rsid w:val="0039142D"/>
    <w:rsid w:val="003917FB"/>
    <w:rsid w:val="00391D19"/>
    <w:rsid w:val="0039206D"/>
    <w:rsid w:val="00392769"/>
    <w:rsid w:val="003929B4"/>
    <w:rsid w:val="00392D08"/>
    <w:rsid w:val="00392DAC"/>
    <w:rsid w:val="00393958"/>
    <w:rsid w:val="00394574"/>
    <w:rsid w:val="00394B45"/>
    <w:rsid w:val="00394E05"/>
    <w:rsid w:val="00395689"/>
    <w:rsid w:val="003958BF"/>
    <w:rsid w:val="00395C1A"/>
    <w:rsid w:val="00396343"/>
    <w:rsid w:val="00396437"/>
    <w:rsid w:val="003968D4"/>
    <w:rsid w:val="003974E9"/>
    <w:rsid w:val="003A04CE"/>
    <w:rsid w:val="003A0793"/>
    <w:rsid w:val="003A0937"/>
    <w:rsid w:val="003A1BD4"/>
    <w:rsid w:val="003A1ED4"/>
    <w:rsid w:val="003A214D"/>
    <w:rsid w:val="003A2FAF"/>
    <w:rsid w:val="003A394B"/>
    <w:rsid w:val="003A4461"/>
    <w:rsid w:val="003A4925"/>
    <w:rsid w:val="003A4AD4"/>
    <w:rsid w:val="003A4C22"/>
    <w:rsid w:val="003A4E84"/>
    <w:rsid w:val="003A4F70"/>
    <w:rsid w:val="003A51AE"/>
    <w:rsid w:val="003A5B84"/>
    <w:rsid w:val="003A5E91"/>
    <w:rsid w:val="003A6D84"/>
    <w:rsid w:val="003A7184"/>
    <w:rsid w:val="003A71DA"/>
    <w:rsid w:val="003A7739"/>
    <w:rsid w:val="003A7977"/>
    <w:rsid w:val="003A7E2C"/>
    <w:rsid w:val="003B0154"/>
    <w:rsid w:val="003B0681"/>
    <w:rsid w:val="003B0CBB"/>
    <w:rsid w:val="003B0CBD"/>
    <w:rsid w:val="003B10B6"/>
    <w:rsid w:val="003B1881"/>
    <w:rsid w:val="003B1904"/>
    <w:rsid w:val="003B1E53"/>
    <w:rsid w:val="003B1EE4"/>
    <w:rsid w:val="003B1F4E"/>
    <w:rsid w:val="003B21E0"/>
    <w:rsid w:val="003B24C2"/>
    <w:rsid w:val="003B2BF3"/>
    <w:rsid w:val="003B3162"/>
    <w:rsid w:val="003B3903"/>
    <w:rsid w:val="003B47A5"/>
    <w:rsid w:val="003B485E"/>
    <w:rsid w:val="003B4924"/>
    <w:rsid w:val="003B502C"/>
    <w:rsid w:val="003B5613"/>
    <w:rsid w:val="003B5BC1"/>
    <w:rsid w:val="003B5D3B"/>
    <w:rsid w:val="003B6AD3"/>
    <w:rsid w:val="003B6AFB"/>
    <w:rsid w:val="003B6C88"/>
    <w:rsid w:val="003B75CC"/>
    <w:rsid w:val="003B7D6F"/>
    <w:rsid w:val="003C077E"/>
    <w:rsid w:val="003C1255"/>
    <w:rsid w:val="003C130B"/>
    <w:rsid w:val="003C1366"/>
    <w:rsid w:val="003C1B69"/>
    <w:rsid w:val="003C1EC7"/>
    <w:rsid w:val="003C209F"/>
    <w:rsid w:val="003C20AA"/>
    <w:rsid w:val="003C25CC"/>
    <w:rsid w:val="003C27DD"/>
    <w:rsid w:val="003C3114"/>
    <w:rsid w:val="003C3614"/>
    <w:rsid w:val="003C3744"/>
    <w:rsid w:val="003C3CFA"/>
    <w:rsid w:val="003C3EC1"/>
    <w:rsid w:val="003C40B0"/>
    <w:rsid w:val="003C4449"/>
    <w:rsid w:val="003C540E"/>
    <w:rsid w:val="003C554B"/>
    <w:rsid w:val="003C5760"/>
    <w:rsid w:val="003C651C"/>
    <w:rsid w:val="003C67E6"/>
    <w:rsid w:val="003C71B7"/>
    <w:rsid w:val="003C7625"/>
    <w:rsid w:val="003C7D69"/>
    <w:rsid w:val="003C7F84"/>
    <w:rsid w:val="003D0571"/>
    <w:rsid w:val="003D0F10"/>
    <w:rsid w:val="003D110E"/>
    <w:rsid w:val="003D1310"/>
    <w:rsid w:val="003D1AFB"/>
    <w:rsid w:val="003D24D5"/>
    <w:rsid w:val="003D2B49"/>
    <w:rsid w:val="003D319C"/>
    <w:rsid w:val="003D33C6"/>
    <w:rsid w:val="003D3836"/>
    <w:rsid w:val="003D3877"/>
    <w:rsid w:val="003D3B26"/>
    <w:rsid w:val="003D3D2D"/>
    <w:rsid w:val="003D3F06"/>
    <w:rsid w:val="003D4733"/>
    <w:rsid w:val="003D4F0E"/>
    <w:rsid w:val="003D4FB9"/>
    <w:rsid w:val="003D58A6"/>
    <w:rsid w:val="003D5CB4"/>
    <w:rsid w:val="003D5D2F"/>
    <w:rsid w:val="003D6103"/>
    <w:rsid w:val="003D6816"/>
    <w:rsid w:val="003D688B"/>
    <w:rsid w:val="003D69A0"/>
    <w:rsid w:val="003D6A35"/>
    <w:rsid w:val="003D7438"/>
    <w:rsid w:val="003D7F75"/>
    <w:rsid w:val="003E0E7D"/>
    <w:rsid w:val="003E227E"/>
    <w:rsid w:val="003E2444"/>
    <w:rsid w:val="003E2634"/>
    <w:rsid w:val="003E297A"/>
    <w:rsid w:val="003E2B32"/>
    <w:rsid w:val="003E30D3"/>
    <w:rsid w:val="003E3426"/>
    <w:rsid w:val="003E3EE5"/>
    <w:rsid w:val="003E44F0"/>
    <w:rsid w:val="003E4B2F"/>
    <w:rsid w:val="003E4B71"/>
    <w:rsid w:val="003E5477"/>
    <w:rsid w:val="003E58AD"/>
    <w:rsid w:val="003E5AFE"/>
    <w:rsid w:val="003E5D00"/>
    <w:rsid w:val="003E6887"/>
    <w:rsid w:val="003E6932"/>
    <w:rsid w:val="003E71C4"/>
    <w:rsid w:val="003E7D92"/>
    <w:rsid w:val="003F0950"/>
    <w:rsid w:val="003F0E7B"/>
    <w:rsid w:val="003F0FAB"/>
    <w:rsid w:val="003F1177"/>
    <w:rsid w:val="003F12CC"/>
    <w:rsid w:val="003F1D9D"/>
    <w:rsid w:val="003F1E31"/>
    <w:rsid w:val="003F2D60"/>
    <w:rsid w:val="003F2DF2"/>
    <w:rsid w:val="003F2E43"/>
    <w:rsid w:val="003F2EC4"/>
    <w:rsid w:val="003F3FA5"/>
    <w:rsid w:val="003F4AE7"/>
    <w:rsid w:val="003F4E6D"/>
    <w:rsid w:val="003F5C57"/>
    <w:rsid w:val="003F5DBB"/>
    <w:rsid w:val="003F640F"/>
    <w:rsid w:val="003F6C68"/>
    <w:rsid w:val="003F6D86"/>
    <w:rsid w:val="003F7077"/>
    <w:rsid w:val="003F76F6"/>
    <w:rsid w:val="003F7823"/>
    <w:rsid w:val="00400262"/>
    <w:rsid w:val="0040034C"/>
    <w:rsid w:val="004003FE"/>
    <w:rsid w:val="00400614"/>
    <w:rsid w:val="00400BC2"/>
    <w:rsid w:val="00400C88"/>
    <w:rsid w:val="004018A7"/>
    <w:rsid w:val="004027B2"/>
    <w:rsid w:val="00402ABE"/>
    <w:rsid w:val="00402F2F"/>
    <w:rsid w:val="00403179"/>
    <w:rsid w:val="00403199"/>
    <w:rsid w:val="0040382E"/>
    <w:rsid w:val="00403B17"/>
    <w:rsid w:val="00404DD6"/>
    <w:rsid w:val="00405259"/>
    <w:rsid w:val="0040560B"/>
    <w:rsid w:val="0040628B"/>
    <w:rsid w:val="00407FAB"/>
    <w:rsid w:val="00410408"/>
    <w:rsid w:val="004105D9"/>
    <w:rsid w:val="00410883"/>
    <w:rsid w:val="00410A68"/>
    <w:rsid w:val="00410C24"/>
    <w:rsid w:val="00411108"/>
    <w:rsid w:val="00411AE7"/>
    <w:rsid w:val="00411F28"/>
    <w:rsid w:val="004122A2"/>
    <w:rsid w:val="00412897"/>
    <w:rsid w:val="0041299B"/>
    <w:rsid w:val="00412F2B"/>
    <w:rsid w:val="0041342F"/>
    <w:rsid w:val="004135D2"/>
    <w:rsid w:val="0041434E"/>
    <w:rsid w:val="004145C0"/>
    <w:rsid w:val="00414612"/>
    <w:rsid w:val="00414C6D"/>
    <w:rsid w:val="00414C7F"/>
    <w:rsid w:val="004152EE"/>
    <w:rsid w:val="004155A2"/>
    <w:rsid w:val="00415B9D"/>
    <w:rsid w:val="00415CAE"/>
    <w:rsid w:val="00415CEF"/>
    <w:rsid w:val="00417286"/>
    <w:rsid w:val="00417A2E"/>
    <w:rsid w:val="00417BF2"/>
    <w:rsid w:val="00417F51"/>
    <w:rsid w:val="00420128"/>
    <w:rsid w:val="00420C8E"/>
    <w:rsid w:val="0042107A"/>
    <w:rsid w:val="0042124B"/>
    <w:rsid w:val="004219F8"/>
    <w:rsid w:val="00421B6C"/>
    <w:rsid w:val="004225D4"/>
    <w:rsid w:val="00422EB7"/>
    <w:rsid w:val="004234D6"/>
    <w:rsid w:val="00424330"/>
    <w:rsid w:val="00424675"/>
    <w:rsid w:val="00424A8E"/>
    <w:rsid w:val="00424E94"/>
    <w:rsid w:val="0042543C"/>
    <w:rsid w:val="004255B7"/>
    <w:rsid w:val="00425E70"/>
    <w:rsid w:val="00425FA0"/>
    <w:rsid w:val="00425FC2"/>
    <w:rsid w:val="00426021"/>
    <w:rsid w:val="00426548"/>
    <w:rsid w:val="004269C1"/>
    <w:rsid w:val="004270AF"/>
    <w:rsid w:val="004272A4"/>
    <w:rsid w:val="00427A22"/>
    <w:rsid w:val="00427B25"/>
    <w:rsid w:val="00427B70"/>
    <w:rsid w:val="004302D3"/>
    <w:rsid w:val="004303D2"/>
    <w:rsid w:val="00430C07"/>
    <w:rsid w:val="00430D31"/>
    <w:rsid w:val="00430E1E"/>
    <w:rsid w:val="004310C4"/>
    <w:rsid w:val="0043148E"/>
    <w:rsid w:val="0043203F"/>
    <w:rsid w:val="00432BFF"/>
    <w:rsid w:val="00432DB8"/>
    <w:rsid w:val="00433775"/>
    <w:rsid w:val="00433BDA"/>
    <w:rsid w:val="00433DBD"/>
    <w:rsid w:val="0043404C"/>
    <w:rsid w:val="00434A13"/>
    <w:rsid w:val="00434D31"/>
    <w:rsid w:val="00434DCD"/>
    <w:rsid w:val="00434ECB"/>
    <w:rsid w:val="00435E71"/>
    <w:rsid w:val="004362BC"/>
    <w:rsid w:val="0043677D"/>
    <w:rsid w:val="0043728A"/>
    <w:rsid w:val="004379B2"/>
    <w:rsid w:val="004409DD"/>
    <w:rsid w:val="00440B6E"/>
    <w:rsid w:val="00440E4E"/>
    <w:rsid w:val="0044149F"/>
    <w:rsid w:val="004414A5"/>
    <w:rsid w:val="00441606"/>
    <w:rsid w:val="00441A9C"/>
    <w:rsid w:val="00441CF5"/>
    <w:rsid w:val="00441FCB"/>
    <w:rsid w:val="00443801"/>
    <w:rsid w:val="00443F03"/>
    <w:rsid w:val="00444096"/>
    <w:rsid w:val="0044456C"/>
    <w:rsid w:val="0044500C"/>
    <w:rsid w:val="004453F3"/>
    <w:rsid w:val="004456B0"/>
    <w:rsid w:val="00445C8D"/>
    <w:rsid w:val="00445E68"/>
    <w:rsid w:val="00445FAD"/>
    <w:rsid w:val="004460F4"/>
    <w:rsid w:val="004464EF"/>
    <w:rsid w:val="004465BE"/>
    <w:rsid w:val="00446851"/>
    <w:rsid w:val="00446C95"/>
    <w:rsid w:val="00446FF7"/>
    <w:rsid w:val="0044713A"/>
    <w:rsid w:val="004471D7"/>
    <w:rsid w:val="004473F6"/>
    <w:rsid w:val="00447820"/>
    <w:rsid w:val="00447D5D"/>
    <w:rsid w:val="00447DDE"/>
    <w:rsid w:val="00450494"/>
    <w:rsid w:val="00450934"/>
    <w:rsid w:val="00450DCA"/>
    <w:rsid w:val="00450EEF"/>
    <w:rsid w:val="0045134F"/>
    <w:rsid w:val="004514B4"/>
    <w:rsid w:val="004515C9"/>
    <w:rsid w:val="004527A4"/>
    <w:rsid w:val="00452DEB"/>
    <w:rsid w:val="0045327D"/>
    <w:rsid w:val="004539B3"/>
    <w:rsid w:val="00453AC6"/>
    <w:rsid w:val="00453B8C"/>
    <w:rsid w:val="00454243"/>
    <w:rsid w:val="004544A1"/>
    <w:rsid w:val="00454BA7"/>
    <w:rsid w:val="00455619"/>
    <w:rsid w:val="0045611C"/>
    <w:rsid w:val="0045611F"/>
    <w:rsid w:val="00457B0A"/>
    <w:rsid w:val="00457B39"/>
    <w:rsid w:val="00457BF6"/>
    <w:rsid w:val="00457DCD"/>
    <w:rsid w:val="0046007E"/>
    <w:rsid w:val="0046019C"/>
    <w:rsid w:val="00460DF1"/>
    <w:rsid w:val="00461A8E"/>
    <w:rsid w:val="00461ABE"/>
    <w:rsid w:val="004621D3"/>
    <w:rsid w:val="004621E3"/>
    <w:rsid w:val="0046269A"/>
    <w:rsid w:val="00462B21"/>
    <w:rsid w:val="0046313A"/>
    <w:rsid w:val="00463C69"/>
    <w:rsid w:val="00464556"/>
    <w:rsid w:val="00464943"/>
    <w:rsid w:val="0046545D"/>
    <w:rsid w:val="00465836"/>
    <w:rsid w:val="00465F08"/>
    <w:rsid w:val="004661E5"/>
    <w:rsid w:val="00466338"/>
    <w:rsid w:val="004665A5"/>
    <w:rsid w:val="004667F3"/>
    <w:rsid w:val="004668D3"/>
    <w:rsid w:val="00466A8F"/>
    <w:rsid w:val="00466BAD"/>
    <w:rsid w:val="004671B9"/>
    <w:rsid w:val="00467438"/>
    <w:rsid w:val="004674A7"/>
    <w:rsid w:val="00467538"/>
    <w:rsid w:val="00467CFA"/>
    <w:rsid w:val="00467E35"/>
    <w:rsid w:val="00470197"/>
    <w:rsid w:val="00470593"/>
    <w:rsid w:val="00470E8A"/>
    <w:rsid w:val="0047146F"/>
    <w:rsid w:val="00471D69"/>
    <w:rsid w:val="0047399B"/>
    <w:rsid w:val="00473AA5"/>
    <w:rsid w:val="00473E60"/>
    <w:rsid w:val="00474507"/>
    <w:rsid w:val="0047469A"/>
    <w:rsid w:val="004749F5"/>
    <w:rsid w:val="00474CEB"/>
    <w:rsid w:val="00475262"/>
    <w:rsid w:val="004757EE"/>
    <w:rsid w:val="00475BFB"/>
    <w:rsid w:val="00475CC1"/>
    <w:rsid w:val="00476401"/>
    <w:rsid w:val="0047679B"/>
    <w:rsid w:val="00476911"/>
    <w:rsid w:val="004772CC"/>
    <w:rsid w:val="004773C8"/>
    <w:rsid w:val="00477440"/>
    <w:rsid w:val="00477716"/>
    <w:rsid w:val="00480407"/>
    <w:rsid w:val="0048065D"/>
    <w:rsid w:val="00481B89"/>
    <w:rsid w:val="00481D5A"/>
    <w:rsid w:val="00481D85"/>
    <w:rsid w:val="00481E6B"/>
    <w:rsid w:val="00481FAD"/>
    <w:rsid w:val="00482147"/>
    <w:rsid w:val="004823C3"/>
    <w:rsid w:val="0048252D"/>
    <w:rsid w:val="0048254F"/>
    <w:rsid w:val="004828B2"/>
    <w:rsid w:val="00482E08"/>
    <w:rsid w:val="00482F46"/>
    <w:rsid w:val="00483249"/>
    <w:rsid w:val="004834C3"/>
    <w:rsid w:val="00483FA0"/>
    <w:rsid w:val="004841AC"/>
    <w:rsid w:val="0048461F"/>
    <w:rsid w:val="00484656"/>
    <w:rsid w:val="00484E3A"/>
    <w:rsid w:val="00485234"/>
    <w:rsid w:val="004856F2"/>
    <w:rsid w:val="00485D51"/>
    <w:rsid w:val="00485F87"/>
    <w:rsid w:val="00486084"/>
    <w:rsid w:val="004866D9"/>
    <w:rsid w:val="00487198"/>
    <w:rsid w:val="00487335"/>
    <w:rsid w:val="00487690"/>
    <w:rsid w:val="004906CE"/>
    <w:rsid w:val="00490B57"/>
    <w:rsid w:val="00490B97"/>
    <w:rsid w:val="00490CCC"/>
    <w:rsid w:val="00490DCC"/>
    <w:rsid w:val="00492142"/>
    <w:rsid w:val="00492811"/>
    <w:rsid w:val="00493025"/>
    <w:rsid w:val="00493099"/>
    <w:rsid w:val="00493C7D"/>
    <w:rsid w:val="00494362"/>
    <w:rsid w:val="0049438F"/>
    <w:rsid w:val="004943E9"/>
    <w:rsid w:val="004946F8"/>
    <w:rsid w:val="0049498D"/>
    <w:rsid w:val="004949F3"/>
    <w:rsid w:val="004956EB"/>
    <w:rsid w:val="00495DBD"/>
    <w:rsid w:val="00495EAB"/>
    <w:rsid w:val="00495F9B"/>
    <w:rsid w:val="00495FDC"/>
    <w:rsid w:val="00496319"/>
    <w:rsid w:val="0049634D"/>
    <w:rsid w:val="00496376"/>
    <w:rsid w:val="0049698D"/>
    <w:rsid w:val="00496B42"/>
    <w:rsid w:val="00496C56"/>
    <w:rsid w:val="00497316"/>
    <w:rsid w:val="00497532"/>
    <w:rsid w:val="004979E6"/>
    <w:rsid w:val="00497F79"/>
    <w:rsid w:val="004A0947"/>
    <w:rsid w:val="004A0A6E"/>
    <w:rsid w:val="004A1608"/>
    <w:rsid w:val="004A306C"/>
    <w:rsid w:val="004A30D9"/>
    <w:rsid w:val="004A4F04"/>
    <w:rsid w:val="004A52B1"/>
    <w:rsid w:val="004A6A65"/>
    <w:rsid w:val="004A75FE"/>
    <w:rsid w:val="004A7724"/>
    <w:rsid w:val="004A7873"/>
    <w:rsid w:val="004A78CC"/>
    <w:rsid w:val="004A7FFD"/>
    <w:rsid w:val="004B05F6"/>
    <w:rsid w:val="004B1799"/>
    <w:rsid w:val="004B1839"/>
    <w:rsid w:val="004B1AAB"/>
    <w:rsid w:val="004B1B50"/>
    <w:rsid w:val="004B1E21"/>
    <w:rsid w:val="004B2045"/>
    <w:rsid w:val="004B26EA"/>
    <w:rsid w:val="004B2C15"/>
    <w:rsid w:val="004B319A"/>
    <w:rsid w:val="004B32B1"/>
    <w:rsid w:val="004B3BC2"/>
    <w:rsid w:val="004B4092"/>
    <w:rsid w:val="004B43E8"/>
    <w:rsid w:val="004B4B23"/>
    <w:rsid w:val="004B5079"/>
    <w:rsid w:val="004B571B"/>
    <w:rsid w:val="004B5881"/>
    <w:rsid w:val="004B5BB8"/>
    <w:rsid w:val="004B609D"/>
    <w:rsid w:val="004B60F5"/>
    <w:rsid w:val="004B62EA"/>
    <w:rsid w:val="004B6803"/>
    <w:rsid w:val="004B6CA6"/>
    <w:rsid w:val="004B71B9"/>
    <w:rsid w:val="004B73BE"/>
    <w:rsid w:val="004B743E"/>
    <w:rsid w:val="004B74BA"/>
    <w:rsid w:val="004B7A6A"/>
    <w:rsid w:val="004B7C46"/>
    <w:rsid w:val="004C04B3"/>
    <w:rsid w:val="004C0B06"/>
    <w:rsid w:val="004C0D43"/>
    <w:rsid w:val="004C1CA9"/>
    <w:rsid w:val="004C1D3C"/>
    <w:rsid w:val="004C2153"/>
    <w:rsid w:val="004C2259"/>
    <w:rsid w:val="004C235C"/>
    <w:rsid w:val="004C24F5"/>
    <w:rsid w:val="004C251D"/>
    <w:rsid w:val="004C322A"/>
    <w:rsid w:val="004C38BF"/>
    <w:rsid w:val="004C39CF"/>
    <w:rsid w:val="004C3EE4"/>
    <w:rsid w:val="004C53C7"/>
    <w:rsid w:val="004C5B44"/>
    <w:rsid w:val="004C60F3"/>
    <w:rsid w:val="004C66A8"/>
    <w:rsid w:val="004C7302"/>
    <w:rsid w:val="004C764B"/>
    <w:rsid w:val="004C77BE"/>
    <w:rsid w:val="004C798D"/>
    <w:rsid w:val="004C7C38"/>
    <w:rsid w:val="004C7D5C"/>
    <w:rsid w:val="004D1571"/>
    <w:rsid w:val="004D18D6"/>
    <w:rsid w:val="004D1A6C"/>
    <w:rsid w:val="004D1D96"/>
    <w:rsid w:val="004D296A"/>
    <w:rsid w:val="004D2A84"/>
    <w:rsid w:val="004D3100"/>
    <w:rsid w:val="004D3851"/>
    <w:rsid w:val="004D3E12"/>
    <w:rsid w:val="004D44CF"/>
    <w:rsid w:val="004D4561"/>
    <w:rsid w:val="004D53D8"/>
    <w:rsid w:val="004D5863"/>
    <w:rsid w:val="004D5C06"/>
    <w:rsid w:val="004D60E5"/>
    <w:rsid w:val="004D66B1"/>
    <w:rsid w:val="004D6C44"/>
    <w:rsid w:val="004D7813"/>
    <w:rsid w:val="004D7C11"/>
    <w:rsid w:val="004D7E1C"/>
    <w:rsid w:val="004D7E40"/>
    <w:rsid w:val="004D7FA1"/>
    <w:rsid w:val="004E1716"/>
    <w:rsid w:val="004E1AA8"/>
    <w:rsid w:val="004E1B99"/>
    <w:rsid w:val="004E20FC"/>
    <w:rsid w:val="004E2447"/>
    <w:rsid w:val="004E24FD"/>
    <w:rsid w:val="004E3233"/>
    <w:rsid w:val="004E357D"/>
    <w:rsid w:val="004E395E"/>
    <w:rsid w:val="004E439F"/>
    <w:rsid w:val="004E54A5"/>
    <w:rsid w:val="004E57A5"/>
    <w:rsid w:val="004E5B3F"/>
    <w:rsid w:val="004E5CEF"/>
    <w:rsid w:val="004E5DAE"/>
    <w:rsid w:val="004E66DB"/>
    <w:rsid w:val="004E6C9F"/>
    <w:rsid w:val="004E7418"/>
    <w:rsid w:val="004E74C0"/>
    <w:rsid w:val="004F0082"/>
    <w:rsid w:val="004F025C"/>
    <w:rsid w:val="004F02DA"/>
    <w:rsid w:val="004F06A0"/>
    <w:rsid w:val="004F0711"/>
    <w:rsid w:val="004F0BC9"/>
    <w:rsid w:val="004F0D0B"/>
    <w:rsid w:val="004F15E8"/>
    <w:rsid w:val="004F1745"/>
    <w:rsid w:val="004F1EF8"/>
    <w:rsid w:val="004F227F"/>
    <w:rsid w:val="004F25C4"/>
    <w:rsid w:val="004F35CF"/>
    <w:rsid w:val="004F3C95"/>
    <w:rsid w:val="004F3E23"/>
    <w:rsid w:val="004F4284"/>
    <w:rsid w:val="004F4475"/>
    <w:rsid w:val="004F493A"/>
    <w:rsid w:val="004F4CA6"/>
    <w:rsid w:val="004F4D3B"/>
    <w:rsid w:val="004F506C"/>
    <w:rsid w:val="004F50F4"/>
    <w:rsid w:val="004F53AB"/>
    <w:rsid w:val="004F565F"/>
    <w:rsid w:val="004F62AA"/>
    <w:rsid w:val="004F65B3"/>
    <w:rsid w:val="004F6E3A"/>
    <w:rsid w:val="004F7968"/>
    <w:rsid w:val="004F7DFD"/>
    <w:rsid w:val="004F7E03"/>
    <w:rsid w:val="00500086"/>
    <w:rsid w:val="00500106"/>
    <w:rsid w:val="0050018F"/>
    <w:rsid w:val="00500272"/>
    <w:rsid w:val="0050131D"/>
    <w:rsid w:val="0050214C"/>
    <w:rsid w:val="005022B5"/>
    <w:rsid w:val="005030B2"/>
    <w:rsid w:val="005031A3"/>
    <w:rsid w:val="00503603"/>
    <w:rsid w:val="0050396E"/>
    <w:rsid w:val="00503CE9"/>
    <w:rsid w:val="00503D56"/>
    <w:rsid w:val="00503EEE"/>
    <w:rsid w:val="005041E7"/>
    <w:rsid w:val="00504725"/>
    <w:rsid w:val="005049F8"/>
    <w:rsid w:val="00504BD9"/>
    <w:rsid w:val="00504CD6"/>
    <w:rsid w:val="005052B5"/>
    <w:rsid w:val="005058FB"/>
    <w:rsid w:val="0050613F"/>
    <w:rsid w:val="005062AA"/>
    <w:rsid w:val="005063E8"/>
    <w:rsid w:val="00506B69"/>
    <w:rsid w:val="00506D05"/>
    <w:rsid w:val="00506E25"/>
    <w:rsid w:val="0050755F"/>
    <w:rsid w:val="00507694"/>
    <w:rsid w:val="00507742"/>
    <w:rsid w:val="00507F02"/>
    <w:rsid w:val="00510E89"/>
    <w:rsid w:val="00511BF2"/>
    <w:rsid w:val="00512A91"/>
    <w:rsid w:val="00512E65"/>
    <w:rsid w:val="00513389"/>
    <w:rsid w:val="00513D1A"/>
    <w:rsid w:val="00513DAA"/>
    <w:rsid w:val="00513E37"/>
    <w:rsid w:val="00515D1F"/>
    <w:rsid w:val="00515D4B"/>
    <w:rsid w:val="00516761"/>
    <w:rsid w:val="00516FB9"/>
    <w:rsid w:val="005200B1"/>
    <w:rsid w:val="00520572"/>
    <w:rsid w:val="0052085F"/>
    <w:rsid w:val="00520998"/>
    <w:rsid w:val="00520B93"/>
    <w:rsid w:val="00521276"/>
    <w:rsid w:val="00521377"/>
    <w:rsid w:val="00521C6B"/>
    <w:rsid w:val="00522040"/>
    <w:rsid w:val="005220AC"/>
    <w:rsid w:val="0052216A"/>
    <w:rsid w:val="0052225D"/>
    <w:rsid w:val="005232E7"/>
    <w:rsid w:val="0052383D"/>
    <w:rsid w:val="00523EEA"/>
    <w:rsid w:val="0052575B"/>
    <w:rsid w:val="00525B6C"/>
    <w:rsid w:val="005260FD"/>
    <w:rsid w:val="00526589"/>
    <w:rsid w:val="005266ED"/>
    <w:rsid w:val="0052687F"/>
    <w:rsid w:val="00526889"/>
    <w:rsid w:val="00527C04"/>
    <w:rsid w:val="005304F7"/>
    <w:rsid w:val="00530AC1"/>
    <w:rsid w:val="005311BE"/>
    <w:rsid w:val="0053129E"/>
    <w:rsid w:val="005313AA"/>
    <w:rsid w:val="00531639"/>
    <w:rsid w:val="00532A52"/>
    <w:rsid w:val="00532D36"/>
    <w:rsid w:val="00533EE5"/>
    <w:rsid w:val="00534911"/>
    <w:rsid w:val="00534930"/>
    <w:rsid w:val="00534E28"/>
    <w:rsid w:val="0053542C"/>
    <w:rsid w:val="0053594B"/>
    <w:rsid w:val="00535C00"/>
    <w:rsid w:val="00535D62"/>
    <w:rsid w:val="00535DD3"/>
    <w:rsid w:val="0053636D"/>
    <w:rsid w:val="005367EA"/>
    <w:rsid w:val="00536B5B"/>
    <w:rsid w:val="005377FD"/>
    <w:rsid w:val="00537A69"/>
    <w:rsid w:val="00537D63"/>
    <w:rsid w:val="005406BA"/>
    <w:rsid w:val="00540E6C"/>
    <w:rsid w:val="00541964"/>
    <w:rsid w:val="005419C8"/>
    <w:rsid w:val="00541B0B"/>
    <w:rsid w:val="005421B6"/>
    <w:rsid w:val="00542DE3"/>
    <w:rsid w:val="005434E9"/>
    <w:rsid w:val="00543AAD"/>
    <w:rsid w:val="00543C8F"/>
    <w:rsid w:val="00544143"/>
    <w:rsid w:val="0054418D"/>
    <w:rsid w:val="00544C71"/>
    <w:rsid w:val="00544DAA"/>
    <w:rsid w:val="005453AD"/>
    <w:rsid w:val="00545D54"/>
    <w:rsid w:val="00546323"/>
    <w:rsid w:val="005466AE"/>
    <w:rsid w:val="005468DF"/>
    <w:rsid w:val="0054694E"/>
    <w:rsid w:val="00546C40"/>
    <w:rsid w:val="00546DB0"/>
    <w:rsid w:val="00547F11"/>
    <w:rsid w:val="00550297"/>
    <w:rsid w:val="00550DB2"/>
    <w:rsid w:val="00550FB8"/>
    <w:rsid w:val="00550FBD"/>
    <w:rsid w:val="0055115A"/>
    <w:rsid w:val="005516CD"/>
    <w:rsid w:val="00551A34"/>
    <w:rsid w:val="00552448"/>
    <w:rsid w:val="005526C7"/>
    <w:rsid w:val="00553129"/>
    <w:rsid w:val="0055315B"/>
    <w:rsid w:val="00553820"/>
    <w:rsid w:val="005542EE"/>
    <w:rsid w:val="005544DD"/>
    <w:rsid w:val="005545F6"/>
    <w:rsid w:val="00554B8F"/>
    <w:rsid w:val="005551F7"/>
    <w:rsid w:val="00555455"/>
    <w:rsid w:val="00555999"/>
    <w:rsid w:val="00556863"/>
    <w:rsid w:val="00556D16"/>
    <w:rsid w:val="005575FC"/>
    <w:rsid w:val="005577FC"/>
    <w:rsid w:val="0056012F"/>
    <w:rsid w:val="005607AA"/>
    <w:rsid w:val="00560ABC"/>
    <w:rsid w:val="00561436"/>
    <w:rsid w:val="00561723"/>
    <w:rsid w:val="00561741"/>
    <w:rsid w:val="005617FA"/>
    <w:rsid w:val="00561B81"/>
    <w:rsid w:val="00561BEB"/>
    <w:rsid w:val="00562A6A"/>
    <w:rsid w:val="00562D73"/>
    <w:rsid w:val="00562D76"/>
    <w:rsid w:val="00562F7C"/>
    <w:rsid w:val="00563E06"/>
    <w:rsid w:val="005648CA"/>
    <w:rsid w:val="00564B1E"/>
    <w:rsid w:val="00565839"/>
    <w:rsid w:val="00565AD0"/>
    <w:rsid w:val="00566163"/>
    <w:rsid w:val="00566A07"/>
    <w:rsid w:val="00566E51"/>
    <w:rsid w:val="0056737A"/>
    <w:rsid w:val="00567CC6"/>
    <w:rsid w:val="00567FFE"/>
    <w:rsid w:val="00570713"/>
    <w:rsid w:val="00570A52"/>
    <w:rsid w:val="00570D90"/>
    <w:rsid w:val="00570E86"/>
    <w:rsid w:val="00571AD6"/>
    <w:rsid w:val="00572112"/>
    <w:rsid w:val="00572942"/>
    <w:rsid w:val="00572F4B"/>
    <w:rsid w:val="005731EF"/>
    <w:rsid w:val="00573503"/>
    <w:rsid w:val="005736BD"/>
    <w:rsid w:val="00573BF1"/>
    <w:rsid w:val="0057402B"/>
    <w:rsid w:val="0057412E"/>
    <w:rsid w:val="005746A8"/>
    <w:rsid w:val="00574B2D"/>
    <w:rsid w:val="005761D0"/>
    <w:rsid w:val="0057670E"/>
    <w:rsid w:val="00576E3F"/>
    <w:rsid w:val="00576EA0"/>
    <w:rsid w:val="00577463"/>
    <w:rsid w:val="005775DC"/>
    <w:rsid w:val="00577FA2"/>
    <w:rsid w:val="00580263"/>
    <w:rsid w:val="00580345"/>
    <w:rsid w:val="0058073E"/>
    <w:rsid w:val="0058089F"/>
    <w:rsid w:val="00580A36"/>
    <w:rsid w:val="00580ED5"/>
    <w:rsid w:val="00581138"/>
    <w:rsid w:val="00581314"/>
    <w:rsid w:val="00581392"/>
    <w:rsid w:val="00581AEC"/>
    <w:rsid w:val="00581FA6"/>
    <w:rsid w:val="00582442"/>
    <w:rsid w:val="0058361F"/>
    <w:rsid w:val="00583E78"/>
    <w:rsid w:val="005849D7"/>
    <w:rsid w:val="00584B6C"/>
    <w:rsid w:val="00585334"/>
    <w:rsid w:val="00585974"/>
    <w:rsid w:val="00585C98"/>
    <w:rsid w:val="00585F20"/>
    <w:rsid w:val="005860B3"/>
    <w:rsid w:val="005867D4"/>
    <w:rsid w:val="00586C7F"/>
    <w:rsid w:val="00586E11"/>
    <w:rsid w:val="005877CF"/>
    <w:rsid w:val="00590D68"/>
    <w:rsid w:val="005913BD"/>
    <w:rsid w:val="00591406"/>
    <w:rsid w:val="0059197D"/>
    <w:rsid w:val="00591A3B"/>
    <w:rsid w:val="00591E67"/>
    <w:rsid w:val="0059231F"/>
    <w:rsid w:val="00593065"/>
    <w:rsid w:val="0059323D"/>
    <w:rsid w:val="005934DF"/>
    <w:rsid w:val="00593590"/>
    <w:rsid w:val="00593D9A"/>
    <w:rsid w:val="0059453F"/>
    <w:rsid w:val="00594918"/>
    <w:rsid w:val="00594986"/>
    <w:rsid w:val="00595724"/>
    <w:rsid w:val="00595A8F"/>
    <w:rsid w:val="00596785"/>
    <w:rsid w:val="00596B9C"/>
    <w:rsid w:val="00596BBC"/>
    <w:rsid w:val="005975F9"/>
    <w:rsid w:val="005978F3"/>
    <w:rsid w:val="005979EA"/>
    <w:rsid w:val="00597DAE"/>
    <w:rsid w:val="00597E18"/>
    <w:rsid w:val="005A003A"/>
    <w:rsid w:val="005A00CB"/>
    <w:rsid w:val="005A067D"/>
    <w:rsid w:val="005A0775"/>
    <w:rsid w:val="005A0895"/>
    <w:rsid w:val="005A0BCC"/>
    <w:rsid w:val="005A0C47"/>
    <w:rsid w:val="005A0CA4"/>
    <w:rsid w:val="005A0EE3"/>
    <w:rsid w:val="005A0F40"/>
    <w:rsid w:val="005A0FE0"/>
    <w:rsid w:val="005A1B3B"/>
    <w:rsid w:val="005A1C01"/>
    <w:rsid w:val="005A23FA"/>
    <w:rsid w:val="005A244B"/>
    <w:rsid w:val="005A3353"/>
    <w:rsid w:val="005A33AF"/>
    <w:rsid w:val="005A3C99"/>
    <w:rsid w:val="005A4184"/>
    <w:rsid w:val="005A4267"/>
    <w:rsid w:val="005A48F2"/>
    <w:rsid w:val="005A51A1"/>
    <w:rsid w:val="005A534D"/>
    <w:rsid w:val="005A587F"/>
    <w:rsid w:val="005A6487"/>
    <w:rsid w:val="005A69B3"/>
    <w:rsid w:val="005A6CA5"/>
    <w:rsid w:val="005A6F36"/>
    <w:rsid w:val="005A7AF6"/>
    <w:rsid w:val="005A7FEC"/>
    <w:rsid w:val="005B11E8"/>
    <w:rsid w:val="005B1C9A"/>
    <w:rsid w:val="005B2088"/>
    <w:rsid w:val="005B2BC2"/>
    <w:rsid w:val="005B2F78"/>
    <w:rsid w:val="005B327C"/>
    <w:rsid w:val="005B36CE"/>
    <w:rsid w:val="005B3979"/>
    <w:rsid w:val="005B39A6"/>
    <w:rsid w:val="005B3C6B"/>
    <w:rsid w:val="005B3CE7"/>
    <w:rsid w:val="005B3FAD"/>
    <w:rsid w:val="005B3FAF"/>
    <w:rsid w:val="005B48D5"/>
    <w:rsid w:val="005B4F88"/>
    <w:rsid w:val="005B502C"/>
    <w:rsid w:val="005B5444"/>
    <w:rsid w:val="005B56A9"/>
    <w:rsid w:val="005B6346"/>
    <w:rsid w:val="005B6DA7"/>
    <w:rsid w:val="005B75E6"/>
    <w:rsid w:val="005B7A8E"/>
    <w:rsid w:val="005C0707"/>
    <w:rsid w:val="005C085B"/>
    <w:rsid w:val="005C0A60"/>
    <w:rsid w:val="005C12EB"/>
    <w:rsid w:val="005C1373"/>
    <w:rsid w:val="005C1757"/>
    <w:rsid w:val="005C18D3"/>
    <w:rsid w:val="005C23E2"/>
    <w:rsid w:val="005C246E"/>
    <w:rsid w:val="005C3301"/>
    <w:rsid w:val="005C3705"/>
    <w:rsid w:val="005C381E"/>
    <w:rsid w:val="005C3A00"/>
    <w:rsid w:val="005C3AC2"/>
    <w:rsid w:val="005C3BCD"/>
    <w:rsid w:val="005C3FB3"/>
    <w:rsid w:val="005C535B"/>
    <w:rsid w:val="005C59E4"/>
    <w:rsid w:val="005C5CA0"/>
    <w:rsid w:val="005C5D12"/>
    <w:rsid w:val="005C5D95"/>
    <w:rsid w:val="005C6239"/>
    <w:rsid w:val="005C6AED"/>
    <w:rsid w:val="005C7084"/>
    <w:rsid w:val="005C7806"/>
    <w:rsid w:val="005C797E"/>
    <w:rsid w:val="005C7B61"/>
    <w:rsid w:val="005D08D0"/>
    <w:rsid w:val="005D08F4"/>
    <w:rsid w:val="005D0955"/>
    <w:rsid w:val="005D0D04"/>
    <w:rsid w:val="005D0E66"/>
    <w:rsid w:val="005D116F"/>
    <w:rsid w:val="005D16D7"/>
    <w:rsid w:val="005D1F00"/>
    <w:rsid w:val="005D2613"/>
    <w:rsid w:val="005D29F6"/>
    <w:rsid w:val="005D2F20"/>
    <w:rsid w:val="005D3469"/>
    <w:rsid w:val="005D356B"/>
    <w:rsid w:val="005D3743"/>
    <w:rsid w:val="005D3A2C"/>
    <w:rsid w:val="005D3EDB"/>
    <w:rsid w:val="005D40B6"/>
    <w:rsid w:val="005D4E59"/>
    <w:rsid w:val="005D54A9"/>
    <w:rsid w:val="005D56DD"/>
    <w:rsid w:val="005D571F"/>
    <w:rsid w:val="005D5A11"/>
    <w:rsid w:val="005D602E"/>
    <w:rsid w:val="005D6616"/>
    <w:rsid w:val="005D6DE8"/>
    <w:rsid w:val="005D75FF"/>
    <w:rsid w:val="005D769E"/>
    <w:rsid w:val="005D7981"/>
    <w:rsid w:val="005D7B47"/>
    <w:rsid w:val="005D7D30"/>
    <w:rsid w:val="005E0233"/>
    <w:rsid w:val="005E0D0D"/>
    <w:rsid w:val="005E1611"/>
    <w:rsid w:val="005E20AA"/>
    <w:rsid w:val="005E312D"/>
    <w:rsid w:val="005E32DD"/>
    <w:rsid w:val="005E3A30"/>
    <w:rsid w:val="005E3A6E"/>
    <w:rsid w:val="005E3A9F"/>
    <w:rsid w:val="005E3AA7"/>
    <w:rsid w:val="005E3ECB"/>
    <w:rsid w:val="005E3F3E"/>
    <w:rsid w:val="005E4118"/>
    <w:rsid w:val="005E4DE2"/>
    <w:rsid w:val="005E4DF3"/>
    <w:rsid w:val="005E5D97"/>
    <w:rsid w:val="005E5EE8"/>
    <w:rsid w:val="005E611D"/>
    <w:rsid w:val="005E62FF"/>
    <w:rsid w:val="005E66C7"/>
    <w:rsid w:val="005E6DB6"/>
    <w:rsid w:val="005E742D"/>
    <w:rsid w:val="005E7AE3"/>
    <w:rsid w:val="005F001B"/>
    <w:rsid w:val="005F066A"/>
    <w:rsid w:val="005F0E7E"/>
    <w:rsid w:val="005F10EB"/>
    <w:rsid w:val="005F1203"/>
    <w:rsid w:val="005F13B8"/>
    <w:rsid w:val="005F13FC"/>
    <w:rsid w:val="005F1581"/>
    <w:rsid w:val="005F2685"/>
    <w:rsid w:val="005F2AFE"/>
    <w:rsid w:val="005F2DE9"/>
    <w:rsid w:val="005F3362"/>
    <w:rsid w:val="005F3477"/>
    <w:rsid w:val="005F395B"/>
    <w:rsid w:val="005F3AD8"/>
    <w:rsid w:val="005F3F8D"/>
    <w:rsid w:val="005F408B"/>
    <w:rsid w:val="005F4399"/>
    <w:rsid w:val="005F4CB2"/>
    <w:rsid w:val="005F4F91"/>
    <w:rsid w:val="005F4FD9"/>
    <w:rsid w:val="005F51BF"/>
    <w:rsid w:val="005F5E03"/>
    <w:rsid w:val="005F6269"/>
    <w:rsid w:val="005F6795"/>
    <w:rsid w:val="005F69D9"/>
    <w:rsid w:val="005F7AD4"/>
    <w:rsid w:val="0060017E"/>
    <w:rsid w:val="00600335"/>
    <w:rsid w:val="00600C3C"/>
    <w:rsid w:val="00601252"/>
    <w:rsid w:val="006016EE"/>
    <w:rsid w:val="00601BE6"/>
    <w:rsid w:val="00601FFB"/>
    <w:rsid w:val="0060251A"/>
    <w:rsid w:val="006028A1"/>
    <w:rsid w:val="0060396C"/>
    <w:rsid w:val="00604276"/>
    <w:rsid w:val="00604288"/>
    <w:rsid w:val="0060431D"/>
    <w:rsid w:val="00604819"/>
    <w:rsid w:val="00604E87"/>
    <w:rsid w:val="00605507"/>
    <w:rsid w:val="006065B4"/>
    <w:rsid w:val="00606AC1"/>
    <w:rsid w:val="0061099D"/>
    <w:rsid w:val="00611A5E"/>
    <w:rsid w:val="00611A87"/>
    <w:rsid w:val="00612457"/>
    <w:rsid w:val="006124BC"/>
    <w:rsid w:val="00612FAB"/>
    <w:rsid w:val="00613464"/>
    <w:rsid w:val="00613827"/>
    <w:rsid w:val="00613C03"/>
    <w:rsid w:val="00613F35"/>
    <w:rsid w:val="0061440C"/>
    <w:rsid w:val="00616833"/>
    <w:rsid w:val="00616EF0"/>
    <w:rsid w:val="00616F89"/>
    <w:rsid w:val="00617012"/>
    <w:rsid w:val="00617015"/>
    <w:rsid w:val="006172DF"/>
    <w:rsid w:val="00620A16"/>
    <w:rsid w:val="00620D29"/>
    <w:rsid w:val="0062128A"/>
    <w:rsid w:val="006212EC"/>
    <w:rsid w:val="006219BF"/>
    <w:rsid w:val="00621C0C"/>
    <w:rsid w:val="00622BFA"/>
    <w:rsid w:val="00624B60"/>
    <w:rsid w:val="00624E6B"/>
    <w:rsid w:val="00624EF0"/>
    <w:rsid w:val="00624FDB"/>
    <w:rsid w:val="0062509C"/>
    <w:rsid w:val="006251F0"/>
    <w:rsid w:val="006255AC"/>
    <w:rsid w:val="006259D7"/>
    <w:rsid w:val="00626936"/>
    <w:rsid w:val="00626C2B"/>
    <w:rsid w:val="00626E78"/>
    <w:rsid w:val="00627128"/>
    <w:rsid w:val="0063018D"/>
    <w:rsid w:val="00630F45"/>
    <w:rsid w:val="006310F0"/>
    <w:rsid w:val="0063148D"/>
    <w:rsid w:val="006314FB"/>
    <w:rsid w:val="00631EAB"/>
    <w:rsid w:val="006322F4"/>
    <w:rsid w:val="006329D2"/>
    <w:rsid w:val="00632A3C"/>
    <w:rsid w:val="00632C9A"/>
    <w:rsid w:val="00632CD6"/>
    <w:rsid w:val="00632F18"/>
    <w:rsid w:val="00634884"/>
    <w:rsid w:val="00634E83"/>
    <w:rsid w:val="006357BB"/>
    <w:rsid w:val="00635CB2"/>
    <w:rsid w:val="006367BF"/>
    <w:rsid w:val="00636D29"/>
    <w:rsid w:val="006373F1"/>
    <w:rsid w:val="006379ED"/>
    <w:rsid w:val="00637AEE"/>
    <w:rsid w:val="00637F57"/>
    <w:rsid w:val="006400BA"/>
    <w:rsid w:val="00640207"/>
    <w:rsid w:val="00640984"/>
    <w:rsid w:val="006409B8"/>
    <w:rsid w:val="00641212"/>
    <w:rsid w:val="006412C3"/>
    <w:rsid w:val="00641632"/>
    <w:rsid w:val="00641793"/>
    <w:rsid w:val="0064248D"/>
    <w:rsid w:val="006425BE"/>
    <w:rsid w:val="00643887"/>
    <w:rsid w:val="0064537E"/>
    <w:rsid w:val="00645CAC"/>
    <w:rsid w:val="00645F06"/>
    <w:rsid w:val="006462DE"/>
    <w:rsid w:val="00646629"/>
    <w:rsid w:val="006470F1"/>
    <w:rsid w:val="00647B4A"/>
    <w:rsid w:val="00647E2A"/>
    <w:rsid w:val="00650BA8"/>
    <w:rsid w:val="00651625"/>
    <w:rsid w:val="00651983"/>
    <w:rsid w:val="00651DD5"/>
    <w:rsid w:val="0065214B"/>
    <w:rsid w:val="00652164"/>
    <w:rsid w:val="00652174"/>
    <w:rsid w:val="0065329D"/>
    <w:rsid w:val="00653704"/>
    <w:rsid w:val="00653841"/>
    <w:rsid w:val="00653A41"/>
    <w:rsid w:val="00653FCB"/>
    <w:rsid w:val="006540EA"/>
    <w:rsid w:val="0065428A"/>
    <w:rsid w:val="006548C3"/>
    <w:rsid w:val="006554EC"/>
    <w:rsid w:val="00655884"/>
    <w:rsid w:val="006561A9"/>
    <w:rsid w:val="00656E9F"/>
    <w:rsid w:val="00657045"/>
    <w:rsid w:val="006578D3"/>
    <w:rsid w:val="00657DCA"/>
    <w:rsid w:val="006601CD"/>
    <w:rsid w:val="00660E09"/>
    <w:rsid w:val="00660F6F"/>
    <w:rsid w:val="006613CE"/>
    <w:rsid w:val="0066168A"/>
    <w:rsid w:val="006616E1"/>
    <w:rsid w:val="0066186C"/>
    <w:rsid w:val="00662173"/>
    <w:rsid w:val="00662344"/>
    <w:rsid w:val="006626B1"/>
    <w:rsid w:val="00663596"/>
    <w:rsid w:val="00663884"/>
    <w:rsid w:val="00663B2F"/>
    <w:rsid w:val="00663DCF"/>
    <w:rsid w:val="0066452D"/>
    <w:rsid w:val="0066481A"/>
    <w:rsid w:val="0066490D"/>
    <w:rsid w:val="00664B94"/>
    <w:rsid w:val="00664C3C"/>
    <w:rsid w:val="00664ECC"/>
    <w:rsid w:val="00665397"/>
    <w:rsid w:val="00665938"/>
    <w:rsid w:val="00665BD4"/>
    <w:rsid w:val="00665F26"/>
    <w:rsid w:val="006663D3"/>
    <w:rsid w:val="0066661E"/>
    <w:rsid w:val="00666A8B"/>
    <w:rsid w:val="00666B91"/>
    <w:rsid w:val="00666D69"/>
    <w:rsid w:val="00666F33"/>
    <w:rsid w:val="00667550"/>
    <w:rsid w:val="00667560"/>
    <w:rsid w:val="006676B4"/>
    <w:rsid w:val="00667BD1"/>
    <w:rsid w:val="00667E78"/>
    <w:rsid w:val="00670557"/>
    <w:rsid w:val="006707B7"/>
    <w:rsid w:val="00670E7E"/>
    <w:rsid w:val="006710F3"/>
    <w:rsid w:val="0067181B"/>
    <w:rsid w:val="006719B9"/>
    <w:rsid w:val="00671E10"/>
    <w:rsid w:val="00671EF6"/>
    <w:rsid w:val="006725B3"/>
    <w:rsid w:val="00672FF1"/>
    <w:rsid w:val="006730A6"/>
    <w:rsid w:val="006733E9"/>
    <w:rsid w:val="006738C5"/>
    <w:rsid w:val="00673DD4"/>
    <w:rsid w:val="00674133"/>
    <w:rsid w:val="00674617"/>
    <w:rsid w:val="006746AD"/>
    <w:rsid w:val="006747FB"/>
    <w:rsid w:val="00674D23"/>
    <w:rsid w:val="00675490"/>
    <w:rsid w:val="006756DF"/>
    <w:rsid w:val="00675A4B"/>
    <w:rsid w:val="006760BC"/>
    <w:rsid w:val="006768C3"/>
    <w:rsid w:val="00676C1C"/>
    <w:rsid w:val="00676D5C"/>
    <w:rsid w:val="00677457"/>
    <w:rsid w:val="0068093E"/>
    <w:rsid w:val="0068143A"/>
    <w:rsid w:val="00681626"/>
    <w:rsid w:val="00681DE3"/>
    <w:rsid w:val="00681F49"/>
    <w:rsid w:val="00682655"/>
    <w:rsid w:val="00682C66"/>
    <w:rsid w:val="00683606"/>
    <w:rsid w:val="0068392B"/>
    <w:rsid w:val="00683B98"/>
    <w:rsid w:val="006841C2"/>
    <w:rsid w:val="00685215"/>
    <w:rsid w:val="0068534F"/>
    <w:rsid w:val="00685818"/>
    <w:rsid w:val="00685875"/>
    <w:rsid w:val="006864B6"/>
    <w:rsid w:val="00686928"/>
    <w:rsid w:val="00686BEF"/>
    <w:rsid w:val="00686C6B"/>
    <w:rsid w:val="0068715C"/>
    <w:rsid w:val="00690432"/>
    <w:rsid w:val="00690A7F"/>
    <w:rsid w:val="00690E1F"/>
    <w:rsid w:val="00690F6A"/>
    <w:rsid w:val="006914F3"/>
    <w:rsid w:val="0069152C"/>
    <w:rsid w:val="006916B2"/>
    <w:rsid w:val="00691776"/>
    <w:rsid w:val="006918A9"/>
    <w:rsid w:val="00692180"/>
    <w:rsid w:val="00692313"/>
    <w:rsid w:val="006924BE"/>
    <w:rsid w:val="006933BD"/>
    <w:rsid w:val="006937DC"/>
    <w:rsid w:val="006939DE"/>
    <w:rsid w:val="00693A72"/>
    <w:rsid w:val="0069401D"/>
    <w:rsid w:val="00694A0B"/>
    <w:rsid w:val="00694C1B"/>
    <w:rsid w:val="00694E7C"/>
    <w:rsid w:val="00695248"/>
    <w:rsid w:val="0069559A"/>
    <w:rsid w:val="006956F5"/>
    <w:rsid w:val="00695898"/>
    <w:rsid w:val="00695E0A"/>
    <w:rsid w:val="006961CD"/>
    <w:rsid w:val="006966F8"/>
    <w:rsid w:val="00696765"/>
    <w:rsid w:val="00696923"/>
    <w:rsid w:val="00696EBE"/>
    <w:rsid w:val="00697151"/>
    <w:rsid w:val="00697426"/>
    <w:rsid w:val="00697617"/>
    <w:rsid w:val="0069778A"/>
    <w:rsid w:val="00697AA6"/>
    <w:rsid w:val="00697CF7"/>
    <w:rsid w:val="00697DA2"/>
    <w:rsid w:val="00697EA0"/>
    <w:rsid w:val="006A02EE"/>
    <w:rsid w:val="006A0C4D"/>
    <w:rsid w:val="006A0D8D"/>
    <w:rsid w:val="006A1523"/>
    <w:rsid w:val="006A1593"/>
    <w:rsid w:val="006A2682"/>
    <w:rsid w:val="006A2BE7"/>
    <w:rsid w:val="006A3BB8"/>
    <w:rsid w:val="006A42F7"/>
    <w:rsid w:val="006A4602"/>
    <w:rsid w:val="006A48E4"/>
    <w:rsid w:val="006A4C5F"/>
    <w:rsid w:val="006A5290"/>
    <w:rsid w:val="006A5A2F"/>
    <w:rsid w:val="006A5CF5"/>
    <w:rsid w:val="006A5E69"/>
    <w:rsid w:val="006A64FF"/>
    <w:rsid w:val="006A6698"/>
    <w:rsid w:val="006A66E3"/>
    <w:rsid w:val="006A6C79"/>
    <w:rsid w:val="006A6E7F"/>
    <w:rsid w:val="006A720B"/>
    <w:rsid w:val="006A73EC"/>
    <w:rsid w:val="006A74E5"/>
    <w:rsid w:val="006A76AD"/>
    <w:rsid w:val="006B0564"/>
    <w:rsid w:val="006B11C7"/>
    <w:rsid w:val="006B148D"/>
    <w:rsid w:val="006B15AA"/>
    <w:rsid w:val="006B2CA7"/>
    <w:rsid w:val="006B2EAB"/>
    <w:rsid w:val="006B32AD"/>
    <w:rsid w:val="006B3688"/>
    <w:rsid w:val="006B3802"/>
    <w:rsid w:val="006B3BB4"/>
    <w:rsid w:val="006B4E7E"/>
    <w:rsid w:val="006B4FED"/>
    <w:rsid w:val="006B55B7"/>
    <w:rsid w:val="006B59DC"/>
    <w:rsid w:val="006B6714"/>
    <w:rsid w:val="006B6C20"/>
    <w:rsid w:val="006B6E0B"/>
    <w:rsid w:val="006B717B"/>
    <w:rsid w:val="006B7A42"/>
    <w:rsid w:val="006B7C44"/>
    <w:rsid w:val="006C00FF"/>
    <w:rsid w:val="006C0469"/>
    <w:rsid w:val="006C0AD6"/>
    <w:rsid w:val="006C179B"/>
    <w:rsid w:val="006C1F3C"/>
    <w:rsid w:val="006C2114"/>
    <w:rsid w:val="006C21FC"/>
    <w:rsid w:val="006C2728"/>
    <w:rsid w:val="006C2889"/>
    <w:rsid w:val="006C324C"/>
    <w:rsid w:val="006C3ACF"/>
    <w:rsid w:val="006C3F13"/>
    <w:rsid w:val="006C3F97"/>
    <w:rsid w:val="006C436F"/>
    <w:rsid w:val="006C4562"/>
    <w:rsid w:val="006C5982"/>
    <w:rsid w:val="006C5AA9"/>
    <w:rsid w:val="006C5CD8"/>
    <w:rsid w:val="006C6A4A"/>
    <w:rsid w:val="006C72DF"/>
    <w:rsid w:val="006C76D6"/>
    <w:rsid w:val="006C7BB9"/>
    <w:rsid w:val="006C7C65"/>
    <w:rsid w:val="006D0697"/>
    <w:rsid w:val="006D0B3D"/>
    <w:rsid w:val="006D0C4F"/>
    <w:rsid w:val="006D0E2B"/>
    <w:rsid w:val="006D1156"/>
    <w:rsid w:val="006D1F71"/>
    <w:rsid w:val="006D2470"/>
    <w:rsid w:val="006D2C08"/>
    <w:rsid w:val="006D2C1B"/>
    <w:rsid w:val="006D319A"/>
    <w:rsid w:val="006D360F"/>
    <w:rsid w:val="006D3F6A"/>
    <w:rsid w:val="006D3FD8"/>
    <w:rsid w:val="006D42EB"/>
    <w:rsid w:val="006D462E"/>
    <w:rsid w:val="006D478F"/>
    <w:rsid w:val="006D4D0B"/>
    <w:rsid w:val="006D4FB1"/>
    <w:rsid w:val="006D51B0"/>
    <w:rsid w:val="006D5824"/>
    <w:rsid w:val="006D6199"/>
    <w:rsid w:val="006D6C84"/>
    <w:rsid w:val="006D7519"/>
    <w:rsid w:val="006E0BBC"/>
    <w:rsid w:val="006E0ED8"/>
    <w:rsid w:val="006E17ED"/>
    <w:rsid w:val="006E1E91"/>
    <w:rsid w:val="006E2884"/>
    <w:rsid w:val="006E2FB9"/>
    <w:rsid w:val="006E3270"/>
    <w:rsid w:val="006E342A"/>
    <w:rsid w:val="006E395D"/>
    <w:rsid w:val="006E3C86"/>
    <w:rsid w:val="006E3D08"/>
    <w:rsid w:val="006E4BE1"/>
    <w:rsid w:val="006E5152"/>
    <w:rsid w:val="006E536B"/>
    <w:rsid w:val="006E5754"/>
    <w:rsid w:val="006E5EEA"/>
    <w:rsid w:val="006E5EEF"/>
    <w:rsid w:val="006E61E4"/>
    <w:rsid w:val="006E6767"/>
    <w:rsid w:val="006E6829"/>
    <w:rsid w:val="006E68A2"/>
    <w:rsid w:val="006E6957"/>
    <w:rsid w:val="006E7400"/>
    <w:rsid w:val="006E7A06"/>
    <w:rsid w:val="006F0057"/>
    <w:rsid w:val="006F01CF"/>
    <w:rsid w:val="006F080C"/>
    <w:rsid w:val="006F0D71"/>
    <w:rsid w:val="006F14BF"/>
    <w:rsid w:val="006F15BF"/>
    <w:rsid w:val="006F1F01"/>
    <w:rsid w:val="006F2054"/>
    <w:rsid w:val="006F20E4"/>
    <w:rsid w:val="006F2422"/>
    <w:rsid w:val="006F257A"/>
    <w:rsid w:val="006F2B3F"/>
    <w:rsid w:val="006F2F6A"/>
    <w:rsid w:val="006F2F72"/>
    <w:rsid w:val="006F3071"/>
    <w:rsid w:val="006F30FF"/>
    <w:rsid w:val="006F3960"/>
    <w:rsid w:val="006F3AFC"/>
    <w:rsid w:val="006F3BBD"/>
    <w:rsid w:val="006F3F37"/>
    <w:rsid w:val="006F4014"/>
    <w:rsid w:val="006F4F61"/>
    <w:rsid w:val="006F51F5"/>
    <w:rsid w:val="006F5568"/>
    <w:rsid w:val="006F5A7B"/>
    <w:rsid w:val="006F61CA"/>
    <w:rsid w:val="006F6C53"/>
    <w:rsid w:val="006F758E"/>
    <w:rsid w:val="0070044D"/>
    <w:rsid w:val="007007C6"/>
    <w:rsid w:val="00700C53"/>
    <w:rsid w:val="00700EB0"/>
    <w:rsid w:val="0070115D"/>
    <w:rsid w:val="007018B5"/>
    <w:rsid w:val="00701A0B"/>
    <w:rsid w:val="00702D9A"/>
    <w:rsid w:val="00703929"/>
    <w:rsid w:val="00703ADA"/>
    <w:rsid w:val="007041A7"/>
    <w:rsid w:val="0070476F"/>
    <w:rsid w:val="007051D0"/>
    <w:rsid w:val="007059C1"/>
    <w:rsid w:val="00705B42"/>
    <w:rsid w:val="00705C4F"/>
    <w:rsid w:val="00705D78"/>
    <w:rsid w:val="00706361"/>
    <w:rsid w:val="00707996"/>
    <w:rsid w:val="00707E36"/>
    <w:rsid w:val="00710679"/>
    <w:rsid w:val="0071089C"/>
    <w:rsid w:val="007110EF"/>
    <w:rsid w:val="00711180"/>
    <w:rsid w:val="007112B2"/>
    <w:rsid w:val="00711360"/>
    <w:rsid w:val="00711AC2"/>
    <w:rsid w:val="0071226A"/>
    <w:rsid w:val="0071298A"/>
    <w:rsid w:val="007129D7"/>
    <w:rsid w:val="00712E5E"/>
    <w:rsid w:val="00712FFE"/>
    <w:rsid w:val="00713B09"/>
    <w:rsid w:val="00714D50"/>
    <w:rsid w:val="007158A0"/>
    <w:rsid w:val="00716030"/>
    <w:rsid w:val="00716483"/>
    <w:rsid w:val="00717317"/>
    <w:rsid w:val="0071786A"/>
    <w:rsid w:val="00717E07"/>
    <w:rsid w:val="0072046E"/>
    <w:rsid w:val="0072055D"/>
    <w:rsid w:val="00720ABA"/>
    <w:rsid w:val="00720D92"/>
    <w:rsid w:val="007213BB"/>
    <w:rsid w:val="00721867"/>
    <w:rsid w:val="00721E67"/>
    <w:rsid w:val="00722386"/>
    <w:rsid w:val="00722B36"/>
    <w:rsid w:val="00723C26"/>
    <w:rsid w:val="00723D51"/>
    <w:rsid w:val="00724124"/>
    <w:rsid w:val="00724179"/>
    <w:rsid w:val="007242CB"/>
    <w:rsid w:val="00724A4E"/>
    <w:rsid w:val="00724BB2"/>
    <w:rsid w:val="00724D53"/>
    <w:rsid w:val="00724FF0"/>
    <w:rsid w:val="00725053"/>
    <w:rsid w:val="007251E8"/>
    <w:rsid w:val="0072580C"/>
    <w:rsid w:val="00725BB8"/>
    <w:rsid w:val="0072656F"/>
    <w:rsid w:val="007270EF"/>
    <w:rsid w:val="007271E9"/>
    <w:rsid w:val="0072746A"/>
    <w:rsid w:val="007275D9"/>
    <w:rsid w:val="007278A4"/>
    <w:rsid w:val="00727C81"/>
    <w:rsid w:val="00727C8D"/>
    <w:rsid w:val="00730BE1"/>
    <w:rsid w:val="00731330"/>
    <w:rsid w:val="00731D3A"/>
    <w:rsid w:val="0073202A"/>
    <w:rsid w:val="007323AE"/>
    <w:rsid w:val="007329F7"/>
    <w:rsid w:val="00732D04"/>
    <w:rsid w:val="00732D55"/>
    <w:rsid w:val="00734008"/>
    <w:rsid w:val="00734032"/>
    <w:rsid w:val="007342CE"/>
    <w:rsid w:val="007347DC"/>
    <w:rsid w:val="0073493C"/>
    <w:rsid w:val="00734C85"/>
    <w:rsid w:val="00734EE6"/>
    <w:rsid w:val="00734F36"/>
    <w:rsid w:val="00735169"/>
    <w:rsid w:val="00735252"/>
    <w:rsid w:val="00735673"/>
    <w:rsid w:val="00735860"/>
    <w:rsid w:val="0073587D"/>
    <w:rsid w:val="00736436"/>
    <w:rsid w:val="00736B3F"/>
    <w:rsid w:val="00736D2B"/>
    <w:rsid w:val="007370A6"/>
    <w:rsid w:val="0073737C"/>
    <w:rsid w:val="0074059A"/>
    <w:rsid w:val="00740D3D"/>
    <w:rsid w:val="00741671"/>
    <w:rsid w:val="00741D38"/>
    <w:rsid w:val="00741E90"/>
    <w:rsid w:val="0074237F"/>
    <w:rsid w:val="0074250E"/>
    <w:rsid w:val="007426C0"/>
    <w:rsid w:val="00742CB5"/>
    <w:rsid w:val="00743B0B"/>
    <w:rsid w:val="00744622"/>
    <w:rsid w:val="00744C48"/>
    <w:rsid w:val="0074506C"/>
    <w:rsid w:val="007452A2"/>
    <w:rsid w:val="00746C54"/>
    <w:rsid w:val="00747422"/>
    <w:rsid w:val="00747470"/>
    <w:rsid w:val="00747750"/>
    <w:rsid w:val="007505DE"/>
    <w:rsid w:val="0075074E"/>
    <w:rsid w:val="00750A67"/>
    <w:rsid w:val="00751C92"/>
    <w:rsid w:val="00751C98"/>
    <w:rsid w:val="0075206D"/>
    <w:rsid w:val="00752256"/>
    <w:rsid w:val="00752656"/>
    <w:rsid w:val="00752F71"/>
    <w:rsid w:val="00753088"/>
    <w:rsid w:val="0075360B"/>
    <w:rsid w:val="00753881"/>
    <w:rsid w:val="00755561"/>
    <w:rsid w:val="00755FE3"/>
    <w:rsid w:val="00757100"/>
    <w:rsid w:val="00757619"/>
    <w:rsid w:val="0075794C"/>
    <w:rsid w:val="00757C47"/>
    <w:rsid w:val="00760221"/>
    <w:rsid w:val="0076026A"/>
    <w:rsid w:val="007602F9"/>
    <w:rsid w:val="00760874"/>
    <w:rsid w:val="00760D28"/>
    <w:rsid w:val="00760DDF"/>
    <w:rsid w:val="00760E8F"/>
    <w:rsid w:val="00760E9D"/>
    <w:rsid w:val="00760EF8"/>
    <w:rsid w:val="00761888"/>
    <w:rsid w:val="00762AC5"/>
    <w:rsid w:val="00762EEB"/>
    <w:rsid w:val="007631CA"/>
    <w:rsid w:val="0076352B"/>
    <w:rsid w:val="0076353A"/>
    <w:rsid w:val="00763B43"/>
    <w:rsid w:val="00763FF3"/>
    <w:rsid w:val="007649DE"/>
    <w:rsid w:val="00764A3C"/>
    <w:rsid w:val="007655FA"/>
    <w:rsid w:val="00766D2D"/>
    <w:rsid w:val="00766E95"/>
    <w:rsid w:val="007673E0"/>
    <w:rsid w:val="0076772E"/>
    <w:rsid w:val="007678AB"/>
    <w:rsid w:val="00767988"/>
    <w:rsid w:val="00767A30"/>
    <w:rsid w:val="00767D9E"/>
    <w:rsid w:val="00770313"/>
    <w:rsid w:val="00770747"/>
    <w:rsid w:val="00770869"/>
    <w:rsid w:val="00770959"/>
    <w:rsid w:val="00770AA8"/>
    <w:rsid w:val="0077136D"/>
    <w:rsid w:val="007714F9"/>
    <w:rsid w:val="00772007"/>
    <w:rsid w:val="0077200E"/>
    <w:rsid w:val="007721F3"/>
    <w:rsid w:val="007726EB"/>
    <w:rsid w:val="00772AA7"/>
    <w:rsid w:val="00772C85"/>
    <w:rsid w:val="00772DE3"/>
    <w:rsid w:val="007730D3"/>
    <w:rsid w:val="00773A46"/>
    <w:rsid w:val="00773F6C"/>
    <w:rsid w:val="00774090"/>
    <w:rsid w:val="007746CB"/>
    <w:rsid w:val="00774970"/>
    <w:rsid w:val="00774A3B"/>
    <w:rsid w:val="00774C42"/>
    <w:rsid w:val="00774DAD"/>
    <w:rsid w:val="00774F58"/>
    <w:rsid w:val="00775BB7"/>
    <w:rsid w:val="0077612C"/>
    <w:rsid w:val="007764D8"/>
    <w:rsid w:val="00776A45"/>
    <w:rsid w:val="00776A99"/>
    <w:rsid w:val="00776BBE"/>
    <w:rsid w:val="00777891"/>
    <w:rsid w:val="00777C03"/>
    <w:rsid w:val="00777DAE"/>
    <w:rsid w:val="00780044"/>
    <w:rsid w:val="0078025C"/>
    <w:rsid w:val="00780532"/>
    <w:rsid w:val="00780539"/>
    <w:rsid w:val="00780D88"/>
    <w:rsid w:val="00781D4D"/>
    <w:rsid w:val="00781D63"/>
    <w:rsid w:val="00782014"/>
    <w:rsid w:val="0078233A"/>
    <w:rsid w:val="00782800"/>
    <w:rsid w:val="00782E1B"/>
    <w:rsid w:val="007835AB"/>
    <w:rsid w:val="0078361E"/>
    <w:rsid w:val="00783D1A"/>
    <w:rsid w:val="00784D6D"/>
    <w:rsid w:val="00784E7F"/>
    <w:rsid w:val="00784E98"/>
    <w:rsid w:val="00785647"/>
    <w:rsid w:val="0078650A"/>
    <w:rsid w:val="00786803"/>
    <w:rsid w:val="00786870"/>
    <w:rsid w:val="00786DE3"/>
    <w:rsid w:val="007875F4"/>
    <w:rsid w:val="00787B22"/>
    <w:rsid w:val="00787BA1"/>
    <w:rsid w:val="00787CB6"/>
    <w:rsid w:val="007901A5"/>
    <w:rsid w:val="00790567"/>
    <w:rsid w:val="0079058D"/>
    <w:rsid w:val="007906DD"/>
    <w:rsid w:val="00790B98"/>
    <w:rsid w:val="00790CF3"/>
    <w:rsid w:val="00791084"/>
    <w:rsid w:val="007915E6"/>
    <w:rsid w:val="00791CFD"/>
    <w:rsid w:val="00792BA2"/>
    <w:rsid w:val="007931AE"/>
    <w:rsid w:val="00793659"/>
    <w:rsid w:val="007936A4"/>
    <w:rsid w:val="00794052"/>
    <w:rsid w:val="007942C0"/>
    <w:rsid w:val="007945E6"/>
    <w:rsid w:val="007955C0"/>
    <w:rsid w:val="0079576D"/>
    <w:rsid w:val="007957CA"/>
    <w:rsid w:val="007957CF"/>
    <w:rsid w:val="00795896"/>
    <w:rsid w:val="007959E5"/>
    <w:rsid w:val="007967B5"/>
    <w:rsid w:val="007969B4"/>
    <w:rsid w:val="00796F91"/>
    <w:rsid w:val="00797091"/>
    <w:rsid w:val="0079720F"/>
    <w:rsid w:val="00797348"/>
    <w:rsid w:val="00797A0C"/>
    <w:rsid w:val="007A010A"/>
    <w:rsid w:val="007A0301"/>
    <w:rsid w:val="007A0C5E"/>
    <w:rsid w:val="007A145F"/>
    <w:rsid w:val="007A1E62"/>
    <w:rsid w:val="007A1EA8"/>
    <w:rsid w:val="007A1EB6"/>
    <w:rsid w:val="007A2351"/>
    <w:rsid w:val="007A263A"/>
    <w:rsid w:val="007A2B9B"/>
    <w:rsid w:val="007A320D"/>
    <w:rsid w:val="007A395A"/>
    <w:rsid w:val="007A3AEA"/>
    <w:rsid w:val="007A43AB"/>
    <w:rsid w:val="007A4D33"/>
    <w:rsid w:val="007A4D62"/>
    <w:rsid w:val="007A4E39"/>
    <w:rsid w:val="007A5024"/>
    <w:rsid w:val="007A555A"/>
    <w:rsid w:val="007A5A85"/>
    <w:rsid w:val="007A5BD4"/>
    <w:rsid w:val="007A6DEA"/>
    <w:rsid w:val="007A7933"/>
    <w:rsid w:val="007B06B6"/>
    <w:rsid w:val="007B1162"/>
    <w:rsid w:val="007B13CE"/>
    <w:rsid w:val="007B178F"/>
    <w:rsid w:val="007B186F"/>
    <w:rsid w:val="007B1A16"/>
    <w:rsid w:val="007B1A42"/>
    <w:rsid w:val="007B1E7E"/>
    <w:rsid w:val="007B215D"/>
    <w:rsid w:val="007B2261"/>
    <w:rsid w:val="007B22CA"/>
    <w:rsid w:val="007B2903"/>
    <w:rsid w:val="007B3C33"/>
    <w:rsid w:val="007B4170"/>
    <w:rsid w:val="007B41DB"/>
    <w:rsid w:val="007B54AB"/>
    <w:rsid w:val="007B59B4"/>
    <w:rsid w:val="007B5C5D"/>
    <w:rsid w:val="007B5EFC"/>
    <w:rsid w:val="007B6C39"/>
    <w:rsid w:val="007B7233"/>
    <w:rsid w:val="007B7C4B"/>
    <w:rsid w:val="007B7E95"/>
    <w:rsid w:val="007B7EAB"/>
    <w:rsid w:val="007C0728"/>
    <w:rsid w:val="007C1334"/>
    <w:rsid w:val="007C14A0"/>
    <w:rsid w:val="007C1652"/>
    <w:rsid w:val="007C2AF6"/>
    <w:rsid w:val="007C3932"/>
    <w:rsid w:val="007C3992"/>
    <w:rsid w:val="007C3A3C"/>
    <w:rsid w:val="007C42AB"/>
    <w:rsid w:val="007C51C2"/>
    <w:rsid w:val="007C5BC5"/>
    <w:rsid w:val="007C6AFA"/>
    <w:rsid w:val="007C6E26"/>
    <w:rsid w:val="007C6E5E"/>
    <w:rsid w:val="007C6FF9"/>
    <w:rsid w:val="007C7615"/>
    <w:rsid w:val="007C76B7"/>
    <w:rsid w:val="007C780A"/>
    <w:rsid w:val="007C79A5"/>
    <w:rsid w:val="007D0018"/>
    <w:rsid w:val="007D057A"/>
    <w:rsid w:val="007D078F"/>
    <w:rsid w:val="007D0A95"/>
    <w:rsid w:val="007D0C26"/>
    <w:rsid w:val="007D1209"/>
    <w:rsid w:val="007D1A28"/>
    <w:rsid w:val="007D1A59"/>
    <w:rsid w:val="007D1AF1"/>
    <w:rsid w:val="007D1CA7"/>
    <w:rsid w:val="007D1EBF"/>
    <w:rsid w:val="007D236B"/>
    <w:rsid w:val="007D2589"/>
    <w:rsid w:val="007D2D0A"/>
    <w:rsid w:val="007D2D82"/>
    <w:rsid w:val="007D3201"/>
    <w:rsid w:val="007D3259"/>
    <w:rsid w:val="007D35AF"/>
    <w:rsid w:val="007D3B55"/>
    <w:rsid w:val="007D3FA5"/>
    <w:rsid w:val="007D4585"/>
    <w:rsid w:val="007D45AE"/>
    <w:rsid w:val="007D48A1"/>
    <w:rsid w:val="007D5105"/>
    <w:rsid w:val="007D517C"/>
    <w:rsid w:val="007D540D"/>
    <w:rsid w:val="007D577D"/>
    <w:rsid w:val="007D5E93"/>
    <w:rsid w:val="007D6F7D"/>
    <w:rsid w:val="007D767E"/>
    <w:rsid w:val="007D7779"/>
    <w:rsid w:val="007D7BB9"/>
    <w:rsid w:val="007D7F07"/>
    <w:rsid w:val="007E039F"/>
    <w:rsid w:val="007E06C2"/>
    <w:rsid w:val="007E17AB"/>
    <w:rsid w:val="007E1B51"/>
    <w:rsid w:val="007E1BCF"/>
    <w:rsid w:val="007E1D56"/>
    <w:rsid w:val="007E2783"/>
    <w:rsid w:val="007E335B"/>
    <w:rsid w:val="007E45F3"/>
    <w:rsid w:val="007E4809"/>
    <w:rsid w:val="007E495C"/>
    <w:rsid w:val="007E4ABF"/>
    <w:rsid w:val="007E54B2"/>
    <w:rsid w:val="007E5D99"/>
    <w:rsid w:val="007E650B"/>
    <w:rsid w:val="007E6A58"/>
    <w:rsid w:val="007E6B21"/>
    <w:rsid w:val="007E7180"/>
    <w:rsid w:val="007E7338"/>
    <w:rsid w:val="007E7E76"/>
    <w:rsid w:val="007F0D40"/>
    <w:rsid w:val="007F0D50"/>
    <w:rsid w:val="007F0DB0"/>
    <w:rsid w:val="007F221F"/>
    <w:rsid w:val="007F2443"/>
    <w:rsid w:val="007F24AF"/>
    <w:rsid w:val="007F25FD"/>
    <w:rsid w:val="007F27D6"/>
    <w:rsid w:val="007F293A"/>
    <w:rsid w:val="007F3260"/>
    <w:rsid w:val="007F3305"/>
    <w:rsid w:val="007F3396"/>
    <w:rsid w:val="007F3784"/>
    <w:rsid w:val="007F4079"/>
    <w:rsid w:val="007F4565"/>
    <w:rsid w:val="007F53B1"/>
    <w:rsid w:val="007F56A0"/>
    <w:rsid w:val="007F5E5F"/>
    <w:rsid w:val="007F5F8F"/>
    <w:rsid w:val="007F623F"/>
    <w:rsid w:val="007F666E"/>
    <w:rsid w:val="007F6C33"/>
    <w:rsid w:val="007F7107"/>
    <w:rsid w:val="007F7446"/>
    <w:rsid w:val="007F76C6"/>
    <w:rsid w:val="007F7B20"/>
    <w:rsid w:val="00800844"/>
    <w:rsid w:val="008008A8"/>
    <w:rsid w:val="00800AFA"/>
    <w:rsid w:val="00800FD1"/>
    <w:rsid w:val="0080164B"/>
    <w:rsid w:val="00801E61"/>
    <w:rsid w:val="00802886"/>
    <w:rsid w:val="008035CF"/>
    <w:rsid w:val="00803616"/>
    <w:rsid w:val="008048F9"/>
    <w:rsid w:val="00804E81"/>
    <w:rsid w:val="00805E27"/>
    <w:rsid w:val="008069F6"/>
    <w:rsid w:val="008075F0"/>
    <w:rsid w:val="00807944"/>
    <w:rsid w:val="00807EBE"/>
    <w:rsid w:val="00807FC5"/>
    <w:rsid w:val="00810D51"/>
    <w:rsid w:val="00811188"/>
    <w:rsid w:val="008122BD"/>
    <w:rsid w:val="00812D0A"/>
    <w:rsid w:val="00813808"/>
    <w:rsid w:val="00813C04"/>
    <w:rsid w:val="00813D1F"/>
    <w:rsid w:val="00813D5E"/>
    <w:rsid w:val="008147D5"/>
    <w:rsid w:val="00814F37"/>
    <w:rsid w:val="00814FFB"/>
    <w:rsid w:val="0081559A"/>
    <w:rsid w:val="0081561D"/>
    <w:rsid w:val="00816459"/>
    <w:rsid w:val="00816854"/>
    <w:rsid w:val="0081697A"/>
    <w:rsid w:val="00817179"/>
    <w:rsid w:val="008177BF"/>
    <w:rsid w:val="00817B07"/>
    <w:rsid w:val="00817B39"/>
    <w:rsid w:val="00817DF9"/>
    <w:rsid w:val="0082025A"/>
    <w:rsid w:val="008205B3"/>
    <w:rsid w:val="00820725"/>
    <w:rsid w:val="00820DB4"/>
    <w:rsid w:val="00820E63"/>
    <w:rsid w:val="00820F90"/>
    <w:rsid w:val="00821041"/>
    <w:rsid w:val="008226F1"/>
    <w:rsid w:val="008228AF"/>
    <w:rsid w:val="00822927"/>
    <w:rsid w:val="00822B00"/>
    <w:rsid w:val="00822E3F"/>
    <w:rsid w:val="0082304E"/>
    <w:rsid w:val="00823818"/>
    <w:rsid w:val="0082402F"/>
    <w:rsid w:val="00824037"/>
    <w:rsid w:val="008240C5"/>
    <w:rsid w:val="0082467B"/>
    <w:rsid w:val="008248FD"/>
    <w:rsid w:val="00824CF3"/>
    <w:rsid w:val="00824E6D"/>
    <w:rsid w:val="008256A3"/>
    <w:rsid w:val="00825890"/>
    <w:rsid w:val="00825B6A"/>
    <w:rsid w:val="00826290"/>
    <w:rsid w:val="00826705"/>
    <w:rsid w:val="00826ACC"/>
    <w:rsid w:val="008271D7"/>
    <w:rsid w:val="0082759A"/>
    <w:rsid w:val="008275C3"/>
    <w:rsid w:val="00827605"/>
    <w:rsid w:val="00827654"/>
    <w:rsid w:val="00827A93"/>
    <w:rsid w:val="0083019D"/>
    <w:rsid w:val="00830BAA"/>
    <w:rsid w:val="0083145F"/>
    <w:rsid w:val="00832167"/>
    <w:rsid w:val="00832B35"/>
    <w:rsid w:val="00832DEC"/>
    <w:rsid w:val="00833579"/>
    <w:rsid w:val="00833782"/>
    <w:rsid w:val="0083381A"/>
    <w:rsid w:val="008350D6"/>
    <w:rsid w:val="00835B20"/>
    <w:rsid w:val="00835B28"/>
    <w:rsid w:val="00835C0A"/>
    <w:rsid w:val="00835DD0"/>
    <w:rsid w:val="00836125"/>
    <w:rsid w:val="00836727"/>
    <w:rsid w:val="00836DA5"/>
    <w:rsid w:val="00836EE8"/>
    <w:rsid w:val="008374B5"/>
    <w:rsid w:val="008378BE"/>
    <w:rsid w:val="00837948"/>
    <w:rsid w:val="00837F91"/>
    <w:rsid w:val="00840F82"/>
    <w:rsid w:val="00841535"/>
    <w:rsid w:val="00841707"/>
    <w:rsid w:val="00841A1C"/>
    <w:rsid w:val="00841CBD"/>
    <w:rsid w:val="0084276E"/>
    <w:rsid w:val="0084284B"/>
    <w:rsid w:val="0084285B"/>
    <w:rsid w:val="00842B25"/>
    <w:rsid w:val="00842F38"/>
    <w:rsid w:val="00844234"/>
    <w:rsid w:val="008444A2"/>
    <w:rsid w:val="00844B9B"/>
    <w:rsid w:val="00844C00"/>
    <w:rsid w:val="00844CD0"/>
    <w:rsid w:val="00845004"/>
    <w:rsid w:val="00845B74"/>
    <w:rsid w:val="00845F25"/>
    <w:rsid w:val="008466F6"/>
    <w:rsid w:val="00846E2D"/>
    <w:rsid w:val="00846EC5"/>
    <w:rsid w:val="0084719F"/>
    <w:rsid w:val="0084726A"/>
    <w:rsid w:val="008505D8"/>
    <w:rsid w:val="008509E6"/>
    <w:rsid w:val="00850B69"/>
    <w:rsid w:val="00850D73"/>
    <w:rsid w:val="008511E4"/>
    <w:rsid w:val="008513E0"/>
    <w:rsid w:val="0085176E"/>
    <w:rsid w:val="008520E4"/>
    <w:rsid w:val="0085211C"/>
    <w:rsid w:val="0085227C"/>
    <w:rsid w:val="00852315"/>
    <w:rsid w:val="0085297A"/>
    <w:rsid w:val="00852A57"/>
    <w:rsid w:val="00852BB6"/>
    <w:rsid w:val="00852D39"/>
    <w:rsid w:val="00852EEA"/>
    <w:rsid w:val="008530E0"/>
    <w:rsid w:val="0085361C"/>
    <w:rsid w:val="008536A5"/>
    <w:rsid w:val="0085386A"/>
    <w:rsid w:val="00853881"/>
    <w:rsid w:val="00853CC5"/>
    <w:rsid w:val="008544BD"/>
    <w:rsid w:val="008544E0"/>
    <w:rsid w:val="00854967"/>
    <w:rsid w:val="00855307"/>
    <w:rsid w:val="00855D20"/>
    <w:rsid w:val="00856B8A"/>
    <w:rsid w:val="00860BB6"/>
    <w:rsid w:val="0086156A"/>
    <w:rsid w:val="00861708"/>
    <w:rsid w:val="0086176F"/>
    <w:rsid w:val="00861849"/>
    <w:rsid w:val="00861EB7"/>
    <w:rsid w:val="00862882"/>
    <w:rsid w:val="00862B1C"/>
    <w:rsid w:val="00862BAE"/>
    <w:rsid w:val="008630D1"/>
    <w:rsid w:val="008632E5"/>
    <w:rsid w:val="00864D87"/>
    <w:rsid w:val="0086526B"/>
    <w:rsid w:val="0086542B"/>
    <w:rsid w:val="008656EC"/>
    <w:rsid w:val="00865849"/>
    <w:rsid w:val="008659AB"/>
    <w:rsid w:val="008661F1"/>
    <w:rsid w:val="00866294"/>
    <w:rsid w:val="00866482"/>
    <w:rsid w:val="008667F0"/>
    <w:rsid w:val="0086685E"/>
    <w:rsid w:val="00866D53"/>
    <w:rsid w:val="00866E2C"/>
    <w:rsid w:val="008670A0"/>
    <w:rsid w:val="00867B50"/>
    <w:rsid w:val="00867F0E"/>
    <w:rsid w:val="008701DD"/>
    <w:rsid w:val="00870741"/>
    <w:rsid w:val="00870B76"/>
    <w:rsid w:val="00871282"/>
    <w:rsid w:val="0087169D"/>
    <w:rsid w:val="00871A12"/>
    <w:rsid w:val="008723E7"/>
    <w:rsid w:val="00872B93"/>
    <w:rsid w:val="008731E4"/>
    <w:rsid w:val="0087337C"/>
    <w:rsid w:val="0087353A"/>
    <w:rsid w:val="008737D4"/>
    <w:rsid w:val="00873D10"/>
    <w:rsid w:val="0087406B"/>
    <w:rsid w:val="00874E1E"/>
    <w:rsid w:val="00875435"/>
    <w:rsid w:val="0087543C"/>
    <w:rsid w:val="00875548"/>
    <w:rsid w:val="0087570E"/>
    <w:rsid w:val="00875773"/>
    <w:rsid w:val="00875B7E"/>
    <w:rsid w:val="0087624D"/>
    <w:rsid w:val="00876399"/>
    <w:rsid w:val="00876533"/>
    <w:rsid w:val="00876731"/>
    <w:rsid w:val="008769C7"/>
    <w:rsid w:val="008801D3"/>
    <w:rsid w:val="00880206"/>
    <w:rsid w:val="0088033C"/>
    <w:rsid w:val="00880A5C"/>
    <w:rsid w:val="008813E3"/>
    <w:rsid w:val="00881626"/>
    <w:rsid w:val="00881A2C"/>
    <w:rsid w:val="00882495"/>
    <w:rsid w:val="00882D9A"/>
    <w:rsid w:val="008831F2"/>
    <w:rsid w:val="00883414"/>
    <w:rsid w:val="008836DC"/>
    <w:rsid w:val="00883D3D"/>
    <w:rsid w:val="00885B2C"/>
    <w:rsid w:val="00885B2F"/>
    <w:rsid w:val="00886293"/>
    <w:rsid w:val="00886DE3"/>
    <w:rsid w:val="008870E0"/>
    <w:rsid w:val="008879A7"/>
    <w:rsid w:val="00887E60"/>
    <w:rsid w:val="00890EC5"/>
    <w:rsid w:val="008911BD"/>
    <w:rsid w:val="008914D9"/>
    <w:rsid w:val="00891545"/>
    <w:rsid w:val="008917A2"/>
    <w:rsid w:val="00892094"/>
    <w:rsid w:val="00892789"/>
    <w:rsid w:val="00892F32"/>
    <w:rsid w:val="00892FB7"/>
    <w:rsid w:val="008933FD"/>
    <w:rsid w:val="00893DA5"/>
    <w:rsid w:val="00893DE6"/>
    <w:rsid w:val="0089419C"/>
    <w:rsid w:val="00894D2C"/>
    <w:rsid w:val="00894E33"/>
    <w:rsid w:val="00895777"/>
    <w:rsid w:val="00896363"/>
    <w:rsid w:val="00896BB6"/>
    <w:rsid w:val="00896F2F"/>
    <w:rsid w:val="008970E0"/>
    <w:rsid w:val="008975CA"/>
    <w:rsid w:val="00897F87"/>
    <w:rsid w:val="008A0792"/>
    <w:rsid w:val="008A094B"/>
    <w:rsid w:val="008A09F0"/>
    <w:rsid w:val="008A0B3F"/>
    <w:rsid w:val="008A0C72"/>
    <w:rsid w:val="008A12D9"/>
    <w:rsid w:val="008A18A2"/>
    <w:rsid w:val="008A1B02"/>
    <w:rsid w:val="008A1DDD"/>
    <w:rsid w:val="008A24D1"/>
    <w:rsid w:val="008A25CF"/>
    <w:rsid w:val="008A2827"/>
    <w:rsid w:val="008A28B4"/>
    <w:rsid w:val="008A2996"/>
    <w:rsid w:val="008A3045"/>
    <w:rsid w:val="008A3104"/>
    <w:rsid w:val="008A3145"/>
    <w:rsid w:val="008A32ED"/>
    <w:rsid w:val="008A3325"/>
    <w:rsid w:val="008A36D8"/>
    <w:rsid w:val="008A375B"/>
    <w:rsid w:val="008A37E4"/>
    <w:rsid w:val="008A3882"/>
    <w:rsid w:val="008A3A55"/>
    <w:rsid w:val="008A4083"/>
    <w:rsid w:val="008A4179"/>
    <w:rsid w:val="008A44C4"/>
    <w:rsid w:val="008A4540"/>
    <w:rsid w:val="008A4C32"/>
    <w:rsid w:val="008A4DBE"/>
    <w:rsid w:val="008A4EAB"/>
    <w:rsid w:val="008A4F9B"/>
    <w:rsid w:val="008A64B2"/>
    <w:rsid w:val="008A6790"/>
    <w:rsid w:val="008A6E94"/>
    <w:rsid w:val="008A7101"/>
    <w:rsid w:val="008A76FA"/>
    <w:rsid w:val="008A7CF9"/>
    <w:rsid w:val="008A7F2C"/>
    <w:rsid w:val="008B044A"/>
    <w:rsid w:val="008B05AB"/>
    <w:rsid w:val="008B0978"/>
    <w:rsid w:val="008B0A2F"/>
    <w:rsid w:val="008B11FC"/>
    <w:rsid w:val="008B138E"/>
    <w:rsid w:val="008B14C8"/>
    <w:rsid w:val="008B15D6"/>
    <w:rsid w:val="008B1848"/>
    <w:rsid w:val="008B1BF7"/>
    <w:rsid w:val="008B2308"/>
    <w:rsid w:val="008B2398"/>
    <w:rsid w:val="008B328C"/>
    <w:rsid w:val="008B32A9"/>
    <w:rsid w:val="008B3492"/>
    <w:rsid w:val="008B365C"/>
    <w:rsid w:val="008B3A90"/>
    <w:rsid w:val="008B3C5C"/>
    <w:rsid w:val="008B4084"/>
    <w:rsid w:val="008B43ED"/>
    <w:rsid w:val="008B4788"/>
    <w:rsid w:val="008B4B40"/>
    <w:rsid w:val="008B4E27"/>
    <w:rsid w:val="008B64AE"/>
    <w:rsid w:val="008B6AB8"/>
    <w:rsid w:val="008B71C5"/>
    <w:rsid w:val="008B78CD"/>
    <w:rsid w:val="008B79C4"/>
    <w:rsid w:val="008B7A44"/>
    <w:rsid w:val="008B7CCC"/>
    <w:rsid w:val="008C007A"/>
    <w:rsid w:val="008C0520"/>
    <w:rsid w:val="008C0E32"/>
    <w:rsid w:val="008C1138"/>
    <w:rsid w:val="008C2078"/>
    <w:rsid w:val="008C26DF"/>
    <w:rsid w:val="008C2764"/>
    <w:rsid w:val="008C2990"/>
    <w:rsid w:val="008C3252"/>
    <w:rsid w:val="008C3793"/>
    <w:rsid w:val="008C423E"/>
    <w:rsid w:val="008C45D1"/>
    <w:rsid w:val="008C5376"/>
    <w:rsid w:val="008C55CB"/>
    <w:rsid w:val="008C5626"/>
    <w:rsid w:val="008C5A65"/>
    <w:rsid w:val="008C5C84"/>
    <w:rsid w:val="008C5F32"/>
    <w:rsid w:val="008C6052"/>
    <w:rsid w:val="008C636A"/>
    <w:rsid w:val="008C66A2"/>
    <w:rsid w:val="008C66EA"/>
    <w:rsid w:val="008C67BC"/>
    <w:rsid w:val="008C68E8"/>
    <w:rsid w:val="008C6AB4"/>
    <w:rsid w:val="008C7769"/>
    <w:rsid w:val="008D0261"/>
    <w:rsid w:val="008D0278"/>
    <w:rsid w:val="008D0DF3"/>
    <w:rsid w:val="008D15B5"/>
    <w:rsid w:val="008D16C3"/>
    <w:rsid w:val="008D1CF5"/>
    <w:rsid w:val="008D1EE0"/>
    <w:rsid w:val="008D203C"/>
    <w:rsid w:val="008D23C7"/>
    <w:rsid w:val="008D2786"/>
    <w:rsid w:val="008D3049"/>
    <w:rsid w:val="008D32A7"/>
    <w:rsid w:val="008D3AC0"/>
    <w:rsid w:val="008D3BAF"/>
    <w:rsid w:val="008D3DC0"/>
    <w:rsid w:val="008D4584"/>
    <w:rsid w:val="008D4BAB"/>
    <w:rsid w:val="008D4FAA"/>
    <w:rsid w:val="008D5950"/>
    <w:rsid w:val="008D5D5B"/>
    <w:rsid w:val="008D6193"/>
    <w:rsid w:val="008D666D"/>
    <w:rsid w:val="008D6676"/>
    <w:rsid w:val="008D6847"/>
    <w:rsid w:val="008D6DDA"/>
    <w:rsid w:val="008D7072"/>
    <w:rsid w:val="008D72DF"/>
    <w:rsid w:val="008D789B"/>
    <w:rsid w:val="008D7F45"/>
    <w:rsid w:val="008E002C"/>
    <w:rsid w:val="008E067A"/>
    <w:rsid w:val="008E0BAA"/>
    <w:rsid w:val="008E0EF5"/>
    <w:rsid w:val="008E0F94"/>
    <w:rsid w:val="008E1108"/>
    <w:rsid w:val="008E1633"/>
    <w:rsid w:val="008E18BB"/>
    <w:rsid w:val="008E1BF2"/>
    <w:rsid w:val="008E1D8E"/>
    <w:rsid w:val="008E1F85"/>
    <w:rsid w:val="008E20DE"/>
    <w:rsid w:val="008E492D"/>
    <w:rsid w:val="008E4EC9"/>
    <w:rsid w:val="008E5299"/>
    <w:rsid w:val="008E5832"/>
    <w:rsid w:val="008E585A"/>
    <w:rsid w:val="008E593E"/>
    <w:rsid w:val="008E5FE4"/>
    <w:rsid w:val="008E6355"/>
    <w:rsid w:val="008E6445"/>
    <w:rsid w:val="008E661A"/>
    <w:rsid w:val="008E71E4"/>
    <w:rsid w:val="008E7BCC"/>
    <w:rsid w:val="008E7CC4"/>
    <w:rsid w:val="008F1CC4"/>
    <w:rsid w:val="008F20D6"/>
    <w:rsid w:val="008F2480"/>
    <w:rsid w:val="008F25BE"/>
    <w:rsid w:val="008F2B9C"/>
    <w:rsid w:val="008F3031"/>
    <w:rsid w:val="008F32AB"/>
    <w:rsid w:val="008F36E9"/>
    <w:rsid w:val="008F5B66"/>
    <w:rsid w:val="008F5EA4"/>
    <w:rsid w:val="008F64E7"/>
    <w:rsid w:val="008F6946"/>
    <w:rsid w:val="008F6993"/>
    <w:rsid w:val="008F70E6"/>
    <w:rsid w:val="008F7906"/>
    <w:rsid w:val="0090050C"/>
    <w:rsid w:val="009005E3"/>
    <w:rsid w:val="00900C9A"/>
    <w:rsid w:val="00900F2E"/>
    <w:rsid w:val="00900F88"/>
    <w:rsid w:val="00901194"/>
    <w:rsid w:val="0090165E"/>
    <w:rsid w:val="0090199E"/>
    <w:rsid w:val="00901FFE"/>
    <w:rsid w:val="009022AB"/>
    <w:rsid w:val="00902E8B"/>
    <w:rsid w:val="00903011"/>
    <w:rsid w:val="00903045"/>
    <w:rsid w:val="00903532"/>
    <w:rsid w:val="009035D9"/>
    <w:rsid w:val="00903B8C"/>
    <w:rsid w:val="00903D30"/>
    <w:rsid w:val="00903E57"/>
    <w:rsid w:val="009048FB"/>
    <w:rsid w:val="0090502F"/>
    <w:rsid w:val="009055A3"/>
    <w:rsid w:val="009055AD"/>
    <w:rsid w:val="00905D0D"/>
    <w:rsid w:val="00905D8C"/>
    <w:rsid w:val="009065D3"/>
    <w:rsid w:val="0090661C"/>
    <w:rsid w:val="00906699"/>
    <w:rsid w:val="009066E6"/>
    <w:rsid w:val="00906B8D"/>
    <w:rsid w:val="00906CAE"/>
    <w:rsid w:val="00906CB0"/>
    <w:rsid w:val="00906F71"/>
    <w:rsid w:val="00910AA6"/>
    <w:rsid w:val="00910D1A"/>
    <w:rsid w:val="00910EBB"/>
    <w:rsid w:val="0091120A"/>
    <w:rsid w:val="00911228"/>
    <w:rsid w:val="0091191D"/>
    <w:rsid w:val="00911B1A"/>
    <w:rsid w:val="00911DF6"/>
    <w:rsid w:val="0091288D"/>
    <w:rsid w:val="00912BB2"/>
    <w:rsid w:val="00912D67"/>
    <w:rsid w:val="009134B4"/>
    <w:rsid w:val="00913D72"/>
    <w:rsid w:val="00914155"/>
    <w:rsid w:val="0091579E"/>
    <w:rsid w:val="00915A05"/>
    <w:rsid w:val="009163AD"/>
    <w:rsid w:val="00916472"/>
    <w:rsid w:val="00916A61"/>
    <w:rsid w:val="00916E33"/>
    <w:rsid w:val="00917202"/>
    <w:rsid w:val="00917520"/>
    <w:rsid w:val="0091779C"/>
    <w:rsid w:val="00917E66"/>
    <w:rsid w:val="0092048C"/>
    <w:rsid w:val="00920811"/>
    <w:rsid w:val="009209CE"/>
    <w:rsid w:val="009215A9"/>
    <w:rsid w:val="009216B7"/>
    <w:rsid w:val="00922165"/>
    <w:rsid w:val="00922214"/>
    <w:rsid w:val="00922245"/>
    <w:rsid w:val="009224AF"/>
    <w:rsid w:val="00922D3E"/>
    <w:rsid w:val="00925A52"/>
    <w:rsid w:val="00926303"/>
    <w:rsid w:val="009263B4"/>
    <w:rsid w:val="009266D7"/>
    <w:rsid w:val="00926C90"/>
    <w:rsid w:val="00926FB1"/>
    <w:rsid w:val="009276E4"/>
    <w:rsid w:val="00927B11"/>
    <w:rsid w:val="009303AB"/>
    <w:rsid w:val="00930DC2"/>
    <w:rsid w:val="00930F12"/>
    <w:rsid w:val="0093128F"/>
    <w:rsid w:val="009314A8"/>
    <w:rsid w:val="00931592"/>
    <w:rsid w:val="0093241E"/>
    <w:rsid w:val="009328F6"/>
    <w:rsid w:val="00932970"/>
    <w:rsid w:val="00932EA2"/>
    <w:rsid w:val="00933C7E"/>
    <w:rsid w:val="00933E43"/>
    <w:rsid w:val="009344B7"/>
    <w:rsid w:val="009348C2"/>
    <w:rsid w:val="00934B0B"/>
    <w:rsid w:val="00934E9A"/>
    <w:rsid w:val="00935959"/>
    <w:rsid w:val="00935A8F"/>
    <w:rsid w:val="00936C37"/>
    <w:rsid w:val="00936F9B"/>
    <w:rsid w:val="009375CA"/>
    <w:rsid w:val="009376F8"/>
    <w:rsid w:val="00937C57"/>
    <w:rsid w:val="00937D1C"/>
    <w:rsid w:val="00941149"/>
    <w:rsid w:val="009412EE"/>
    <w:rsid w:val="009414AF"/>
    <w:rsid w:val="00941540"/>
    <w:rsid w:val="0094235A"/>
    <w:rsid w:val="00942423"/>
    <w:rsid w:val="00942EEF"/>
    <w:rsid w:val="00944132"/>
    <w:rsid w:val="00944280"/>
    <w:rsid w:val="0094450F"/>
    <w:rsid w:val="0094482B"/>
    <w:rsid w:val="00944DF6"/>
    <w:rsid w:val="0094507D"/>
    <w:rsid w:val="00945155"/>
    <w:rsid w:val="0094550D"/>
    <w:rsid w:val="00946ABD"/>
    <w:rsid w:val="00946B04"/>
    <w:rsid w:val="00946C84"/>
    <w:rsid w:val="00947176"/>
    <w:rsid w:val="00947AB3"/>
    <w:rsid w:val="00947B1F"/>
    <w:rsid w:val="0095016B"/>
    <w:rsid w:val="00950801"/>
    <w:rsid w:val="00950F10"/>
    <w:rsid w:val="00951236"/>
    <w:rsid w:val="009516CD"/>
    <w:rsid w:val="00951AC5"/>
    <w:rsid w:val="009523BF"/>
    <w:rsid w:val="009528D2"/>
    <w:rsid w:val="00952910"/>
    <w:rsid w:val="00952EC6"/>
    <w:rsid w:val="00953475"/>
    <w:rsid w:val="009534BE"/>
    <w:rsid w:val="009538F7"/>
    <w:rsid w:val="00953BDD"/>
    <w:rsid w:val="00953CAA"/>
    <w:rsid w:val="00954120"/>
    <w:rsid w:val="00955669"/>
    <w:rsid w:val="00957B55"/>
    <w:rsid w:val="00957EB9"/>
    <w:rsid w:val="009602A5"/>
    <w:rsid w:val="00960558"/>
    <w:rsid w:val="00961821"/>
    <w:rsid w:val="0096258E"/>
    <w:rsid w:val="00962927"/>
    <w:rsid w:val="00962DA6"/>
    <w:rsid w:val="00963BCC"/>
    <w:rsid w:val="00963D08"/>
    <w:rsid w:val="00964A1D"/>
    <w:rsid w:val="00964AF8"/>
    <w:rsid w:val="00964BD6"/>
    <w:rsid w:val="00964C40"/>
    <w:rsid w:val="00964C57"/>
    <w:rsid w:val="009651B4"/>
    <w:rsid w:val="00966377"/>
    <w:rsid w:val="009668F7"/>
    <w:rsid w:val="00967699"/>
    <w:rsid w:val="00967859"/>
    <w:rsid w:val="00967D22"/>
    <w:rsid w:val="00970C34"/>
    <w:rsid w:val="00970F6C"/>
    <w:rsid w:val="00971B5F"/>
    <w:rsid w:val="0097222A"/>
    <w:rsid w:val="00972836"/>
    <w:rsid w:val="00972E26"/>
    <w:rsid w:val="00972E91"/>
    <w:rsid w:val="0097332F"/>
    <w:rsid w:val="009735FB"/>
    <w:rsid w:val="00973C3B"/>
    <w:rsid w:val="0097445A"/>
    <w:rsid w:val="00974FE5"/>
    <w:rsid w:val="00975426"/>
    <w:rsid w:val="0097723D"/>
    <w:rsid w:val="00977365"/>
    <w:rsid w:val="009774D1"/>
    <w:rsid w:val="009779D1"/>
    <w:rsid w:val="00977C13"/>
    <w:rsid w:val="00980AE1"/>
    <w:rsid w:val="009821DE"/>
    <w:rsid w:val="009825D4"/>
    <w:rsid w:val="00982810"/>
    <w:rsid w:val="009828D0"/>
    <w:rsid w:val="00982D9B"/>
    <w:rsid w:val="0098361C"/>
    <w:rsid w:val="00983747"/>
    <w:rsid w:val="0098399E"/>
    <w:rsid w:val="00983A7A"/>
    <w:rsid w:val="0098473B"/>
    <w:rsid w:val="00984AA5"/>
    <w:rsid w:val="00984CEE"/>
    <w:rsid w:val="0098556F"/>
    <w:rsid w:val="00985E72"/>
    <w:rsid w:val="00986004"/>
    <w:rsid w:val="0098626E"/>
    <w:rsid w:val="0098640F"/>
    <w:rsid w:val="0098664B"/>
    <w:rsid w:val="009866CF"/>
    <w:rsid w:val="00986A02"/>
    <w:rsid w:val="00986FE7"/>
    <w:rsid w:val="00987613"/>
    <w:rsid w:val="0099022A"/>
    <w:rsid w:val="009906E0"/>
    <w:rsid w:val="0099075D"/>
    <w:rsid w:val="00990EF9"/>
    <w:rsid w:val="00990FA6"/>
    <w:rsid w:val="009913C1"/>
    <w:rsid w:val="00991B56"/>
    <w:rsid w:val="0099247D"/>
    <w:rsid w:val="00992A5A"/>
    <w:rsid w:val="00992BF7"/>
    <w:rsid w:val="00993A3E"/>
    <w:rsid w:val="00993B01"/>
    <w:rsid w:val="00993FAA"/>
    <w:rsid w:val="009940A6"/>
    <w:rsid w:val="00994173"/>
    <w:rsid w:val="009947C3"/>
    <w:rsid w:val="00994962"/>
    <w:rsid w:val="00994B95"/>
    <w:rsid w:val="00994F4B"/>
    <w:rsid w:val="0099504C"/>
    <w:rsid w:val="009952FB"/>
    <w:rsid w:val="009955A6"/>
    <w:rsid w:val="009956EA"/>
    <w:rsid w:val="00995CDE"/>
    <w:rsid w:val="00996475"/>
    <w:rsid w:val="00996882"/>
    <w:rsid w:val="00996909"/>
    <w:rsid w:val="00996C4F"/>
    <w:rsid w:val="009A0AA7"/>
    <w:rsid w:val="009A0C44"/>
    <w:rsid w:val="009A12CF"/>
    <w:rsid w:val="009A16F9"/>
    <w:rsid w:val="009A1A34"/>
    <w:rsid w:val="009A1CE0"/>
    <w:rsid w:val="009A1ED5"/>
    <w:rsid w:val="009A2533"/>
    <w:rsid w:val="009A2BB5"/>
    <w:rsid w:val="009A312F"/>
    <w:rsid w:val="009A355A"/>
    <w:rsid w:val="009A4097"/>
    <w:rsid w:val="009A4893"/>
    <w:rsid w:val="009A49C7"/>
    <w:rsid w:val="009A4DB4"/>
    <w:rsid w:val="009A4F56"/>
    <w:rsid w:val="009A5835"/>
    <w:rsid w:val="009A5D53"/>
    <w:rsid w:val="009A5F96"/>
    <w:rsid w:val="009A60E1"/>
    <w:rsid w:val="009A6FD0"/>
    <w:rsid w:val="009A70D6"/>
    <w:rsid w:val="009A745B"/>
    <w:rsid w:val="009A79A5"/>
    <w:rsid w:val="009A7ADF"/>
    <w:rsid w:val="009B00EB"/>
    <w:rsid w:val="009B01A7"/>
    <w:rsid w:val="009B076C"/>
    <w:rsid w:val="009B103E"/>
    <w:rsid w:val="009B11A2"/>
    <w:rsid w:val="009B1292"/>
    <w:rsid w:val="009B13DC"/>
    <w:rsid w:val="009B13FF"/>
    <w:rsid w:val="009B1476"/>
    <w:rsid w:val="009B156E"/>
    <w:rsid w:val="009B1ADF"/>
    <w:rsid w:val="009B2AA8"/>
    <w:rsid w:val="009B3224"/>
    <w:rsid w:val="009B342E"/>
    <w:rsid w:val="009B35A2"/>
    <w:rsid w:val="009B422F"/>
    <w:rsid w:val="009B4845"/>
    <w:rsid w:val="009B4877"/>
    <w:rsid w:val="009B4C74"/>
    <w:rsid w:val="009B5996"/>
    <w:rsid w:val="009B6260"/>
    <w:rsid w:val="009B797D"/>
    <w:rsid w:val="009B7AAB"/>
    <w:rsid w:val="009C0779"/>
    <w:rsid w:val="009C0D07"/>
    <w:rsid w:val="009C0E8B"/>
    <w:rsid w:val="009C1325"/>
    <w:rsid w:val="009C151C"/>
    <w:rsid w:val="009C196D"/>
    <w:rsid w:val="009C1EFD"/>
    <w:rsid w:val="009C2088"/>
    <w:rsid w:val="009C210C"/>
    <w:rsid w:val="009C242F"/>
    <w:rsid w:val="009C264B"/>
    <w:rsid w:val="009C2CB8"/>
    <w:rsid w:val="009C3659"/>
    <w:rsid w:val="009C440A"/>
    <w:rsid w:val="009C448C"/>
    <w:rsid w:val="009C4742"/>
    <w:rsid w:val="009C4939"/>
    <w:rsid w:val="009C5445"/>
    <w:rsid w:val="009C60DD"/>
    <w:rsid w:val="009C63B2"/>
    <w:rsid w:val="009C6466"/>
    <w:rsid w:val="009C74E0"/>
    <w:rsid w:val="009C75C2"/>
    <w:rsid w:val="009C7871"/>
    <w:rsid w:val="009C7E68"/>
    <w:rsid w:val="009D007F"/>
    <w:rsid w:val="009D01C0"/>
    <w:rsid w:val="009D0871"/>
    <w:rsid w:val="009D0E38"/>
    <w:rsid w:val="009D1424"/>
    <w:rsid w:val="009D1BDC"/>
    <w:rsid w:val="009D2A6F"/>
    <w:rsid w:val="009D2ECA"/>
    <w:rsid w:val="009D399A"/>
    <w:rsid w:val="009D3E60"/>
    <w:rsid w:val="009D4027"/>
    <w:rsid w:val="009D43FD"/>
    <w:rsid w:val="009D4B43"/>
    <w:rsid w:val="009D4DA6"/>
    <w:rsid w:val="009D4E75"/>
    <w:rsid w:val="009D5ADA"/>
    <w:rsid w:val="009D5D34"/>
    <w:rsid w:val="009D61FC"/>
    <w:rsid w:val="009D6829"/>
    <w:rsid w:val="009D6908"/>
    <w:rsid w:val="009D6DBC"/>
    <w:rsid w:val="009D6F53"/>
    <w:rsid w:val="009D70BA"/>
    <w:rsid w:val="009D753B"/>
    <w:rsid w:val="009D76DE"/>
    <w:rsid w:val="009E0125"/>
    <w:rsid w:val="009E0353"/>
    <w:rsid w:val="009E0593"/>
    <w:rsid w:val="009E070F"/>
    <w:rsid w:val="009E0D02"/>
    <w:rsid w:val="009E0E5A"/>
    <w:rsid w:val="009E11EA"/>
    <w:rsid w:val="009E12AA"/>
    <w:rsid w:val="009E13BE"/>
    <w:rsid w:val="009E1577"/>
    <w:rsid w:val="009E1B64"/>
    <w:rsid w:val="009E1DD4"/>
    <w:rsid w:val="009E1E9B"/>
    <w:rsid w:val="009E1F7E"/>
    <w:rsid w:val="009E23AD"/>
    <w:rsid w:val="009E23B0"/>
    <w:rsid w:val="009E39E2"/>
    <w:rsid w:val="009E3A34"/>
    <w:rsid w:val="009E5576"/>
    <w:rsid w:val="009E5ACA"/>
    <w:rsid w:val="009E5B85"/>
    <w:rsid w:val="009E5C88"/>
    <w:rsid w:val="009E5F14"/>
    <w:rsid w:val="009E67BC"/>
    <w:rsid w:val="009E6C86"/>
    <w:rsid w:val="009E6DC5"/>
    <w:rsid w:val="009E7164"/>
    <w:rsid w:val="009E734D"/>
    <w:rsid w:val="009E7381"/>
    <w:rsid w:val="009E780F"/>
    <w:rsid w:val="009E7B20"/>
    <w:rsid w:val="009E7CC8"/>
    <w:rsid w:val="009E7EAF"/>
    <w:rsid w:val="009F01DE"/>
    <w:rsid w:val="009F05FC"/>
    <w:rsid w:val="009F06CE"/>
    <w:rsid w:val="009F0760"/>
    <w:rsid w:val="009F0A1D"/>
    <w:rsid w:val="009F109D"/>
    <w:rsid w:val="009F167E"/>
    <w:rsid w:val="009F1F6C"/>
    <w:rsid w:val="009F20F4"/>
    <w:rsid w:val="009F22EB"/>
    <w:rsid w:val="009F274E"/>
    <w:rsid w:val="009F2B97"/>
    <w:rsid w:val="009F2CA1"/>
    <w:rsid w:val="009F31AE"/>
    <w:rsid w:val="009F3CE1"/>
    <w:rsid w:val="009F3D21"/>
    <w:rsid w:val="009F3E25"/>
    <w:rsid w:val="009F4D3E"/>
    <w:rsid w:val="009F4E41"/>
    <w:rsid w:val="009F5328"/>
    <w:rsid w:val="009F5631"/>
    <w:rsid w:val="009F5BE8"/>
    <w:rsid w:val="009F6418"/>
    <w:rsid w:val="009F6A33"/>
    <w:rsid w:val="009F7993"/>
    <w:rsid w:val="00A0016E"/>
    <w:rsid w:val="00A00357"/>
    <w:rsid w:val="00A00596"/>
    <w:rsid w:val="00A0089D"/>
    <w:rsid w:val="00A00D24"/>
    <w:rsid w:val="00A016FE"/>
    <w:rsid w:val="00A01C17"/>
    <w:rsid w:val="00A01C4C"/>
    <w:rsid w:val="00A01E20"/>
    <w:rsid w:val="00A020C5"/>
    <w:rsid w:val="00A023FB"/>
    <w:rsid w:val="00A02BA4"/>
    <w:rsid w:val="00A02E4E"/>
    <w:rsid w:val="00A03553"/>
    <w:rsid w:val="00A03606"/>
    <w:rsid w:val="00A03918"/>
    <w:rsid w:val="00A042AC"/>
    <w:rsid w:val="00A04361"/>
    <w:rsid w:val="00A044B5"/>
    <w:rsid w:val="00A04562"/>
    <w:rsid w:val="00A045DB"/>
    <w:rsid w:val="00A046DB"/>
    <w:rsid w:val="00A04F2C"/>
    <w:rsid w:val="00A05DC1"/>
    <w:rsid w:val="00A06C07"/>
    <w:rsid w:val="00A07723"/>
    <w:rsid w:val="00A079DA"/>
    <w:rsid w:val="00A07C35"/>
    <w:rsid w:val="00A07D58"/>
    <w:rsid w:val="00A07DE6"/>
    <w:rsid w:val="00A10115"/>
    <w:rsid w:val="00A10223"/>
    <w:rsid w:val="00A107F8"/>
    <w:rsid w:val="00A10CA2"/>
    <w:rsid w:val="00A11E58"/>
    <w:rsid w:val="00A1211E"/>
    <w:rsid w:val="00A12741"/>
    <w:rsid w:val="00A12780"/>
    <w:rsid w:val="00A12E74"/>
    <w:rsid w:val="00A13418"/>
    <w:rsid w:val="00A134A0"/>
    <w:rsid w:val="00A13AFF"/>
    <w:rsid w:val="00A13BFD"/>
    <w:rsid w:val="00A13C89"/>
    <w:rsid w:val="00A1445D"/>
    <w:rsid w:val="00A1453D"/>
    <w:rsid w:val="00A14A5E"/>
    <w:rsid w:val="00A14DA7"/>
    <w:rsid w:val="00A14E2D"/>
    <w:rsid w:val="00A15B02"/>
    <w:rsid w:val="00A15EE2"/>
    <w:rsid w:val="00A160A7"/>
    <w:rsid w:val="00A162DC"/>
    <w:rsid w:val="00A16594"/>
    <w:rsid w:val="00A16F04"/>
    <w:rsid w:val="00A16F0E"/>
    <w:rsid w:val="00A17ADC"/>
    <w:rsid w:val="00A17EEA"/>
    <w:rsid w:val="00A20154"/>
    <w:rsid w:val="00A20417"/>
    <w:rsid w:val="00A20EAD"/>
    <w:rsid w:val="00A21008"/>
    <w:rsid w:val="00A210EB"/>
    <w:rsid w:val="00A2172D"/>
    <w:rsid w:val="00A21D0B"/>
    <w:rsid w:val="00A22AF5"/>
    <w:rsid w:val="00A22B3E"/>
    <w:rsid w:val="00A22CA3"/>
    <w:rsid w:val="00A234C2"/>
    <w:rsid w:val="00A2367D"/>
    <w:rsid w:val="00A23704"/>
    <w:rsid w:val="00A244C5"/>
    <w:rsid w:val="00A249DE"/>
    <w:rsid w:val="00A24C27"/>
    <w:rsid w:val="00A24E3D"/>
    <w:rsid w:val="00A24EB8"/>
    <w:rsid w:val="00A25B1D"/>
    <w:rsid w:val="00A25EBB"/>
    <w:rsid w:val="00A263B8"/>
    <w:rsid w:val="00A264E0"/>
    <w:rsid w:val="00A2717A"/>
    <w:rsid w:val="00A278F6"/>
    <w:rsid w:val="00A27ACA"/>
    <w:rsid w:val="00A27ADA"/>
    <w:rsid w:val="00A27E48"/>
    <w:rsid w:val="00A30789"/>
    <w:rsid w:val="00A3079D"/>
    <w:rsid w:val="00A3142E"/>
    <w:rsid w:val="00A31547"/>
    <w:rsid w:val="00A318F6"/>
    <w:rsid w:val="00A31A6C"/>
    <w:rsid w:val="00A31C91"/>
    <w:rsid w:val="00A32B64"/>
    <w:rsid w:val="00A32E61"/>
    <w:rsid w:val="00A33077"/>
    <w:rsid w:val="00A33643"/>
    <w:rsid w:val="00A33874"/>
    <w:rsid w:val="00A33AAA"/>
    <w:rsid w:val="00A33EC0"/>
    <w:rsid w:val="00A34583"/>
    <w:rsid w:val="00A346BD"/>
    <w:rsid w:val="00A34A8D"/>
    <w:rsid w:val="00A34B31"/>
    <w:rsid w:val="00A359FD"/>
    <w:rsid w:val="00A35CD5"/>
    <w:rsid w:val="00A363B8"/>
    <w:rsid w:val="00A365AA"/>
    <w:rsid w:val="00A36C1B"/>
    <w:rsid w:val="00A37A66"/>
    <w:rsid w:val="00A37B6C"/>
    <w:rsid w:val="00A40711"/>
    <w:rsid w:val="00A41031"/>
    <w:rsid w:val="00A41B02"/>
    <w:rsid w:val="00A41B23"/>
    <w:rsid w:val="00A420E8"/>
    <w:rsid w:val="00A421A2"/>
    <w:rsid w:val="00A42719"/>
    <w:rsid w:val="00A432CB"/>
    <w:rsid w:val="00A4462B"/>
    <w:rsid w:val="00A4497D"/>
    <w:rsid w:val="00A44A80"/>
    <w:rsid w:val="00A46601"/>
    <w:rsid w:val="00A468FD"/>
    <w:rsid w:val="00A47A63"/>
    <w:rsid w:val="00A47B49"/>
    <w:rsid w:val="00A50497"/>
    <w:rsid w:val="00A50B24"/>
    <w:rsid w:val="00A50B40"/>
    <w:rsid w:val="00A50B7D"/>
    <w:rsid w:val="00A512C8"/>
    <w:rsid w:val="00A519EB"/>
    <w:rsid w:val="00A523EF"/>
    <w:rsid w:val="00A52D0E"/>
    <w:rsid w:val="00A53AA4"/>
    <w:rsid w:val="00A53BB9"/>
    <w:rsid w:val="00A53BD4"/>
    <w:rsid w:val="00A54788"/>
    <w:rsid w:val="00A547B3"/>
    <w:rsid w:val="00A560AC"/>
    <w:rsid w:val="00A567A5"/>
    <w:rsid w:val="00A574C5"/>
    <w:rsid w:val="00A57F09"/>
    <w:rsid w:val="00A600A6"/>
    <w:rsid w:val="00A6044F"/>
    <w:rsid w:val="00A61ABE"/>
    <w:rsid w:val="00A61EE1"/>
    <w:rsid w:val="00A6225A"/>
    <w:rsid w:val="00A62526"/>
    <w:rsid w:val="00A627D5"/>
    <w:rsid w:val="00A635DA"/>
    <w:rsid w:val="00A63886"/>
    <w:rsid w:val="00A6452F"/>
    <w:rsid w:val="00A64A8D"/>
    <w:rsid w:val="00A64AC3"/>
    <w:rsid w:val="00A64BC3"/>
    <w:rsid w:val="00A64C2C"/>
    <w:rsid w:val="00A64D09"/>
    <w:rsid w:val="00A64EA8"/>
    <w:rsid w:val="00A654C2"/>
    <w:rsid w:val="00A657B3"/>
    <w:rsid w:val="00A659D7"/>
    <w:rsid w:val="00A66196"/>
    <w:rsid w:val="00A661EB"/>
    <w:rsid w:val="00A66C8B"/>
    <w:rsid w:val="00A672A5"/>
    <w:rsid w:val="00A6735D"/>
    <w:rsid w:val="00A70F3E"/>
    <w:rsid w:val="00A7188B"/>
    <w:rsid w:val="00A71DFC"/>
    <w:rsid w:val="00A7223C"/>
    <w:rsid w:val="00A7242A"/>
    <w:rsid w:val="00A727AE"/>
    <w:rsid w:val="00A72CA7"/>
    <w:rsid w:val="00A72F90"/>
    <w:rsid w:val="00A73007"/>
    <w:rsid w:val="00A73051"/>
    <w:rsid w:val="00A7311B"/>
    <w:rsid w:val="00A73BAE"/>
    <w:rsid w:val="00A73E88"/>
    <w:rsid w:val="00A746F5"/>
    <w:rsid w:val="00A747F3"/>
    <w:rsid w:val="00A74D05"/>
    <w:rsid w:val="00A7510B"/>
    <w:rsid w:val="00A75907"/>
    <w:rsid w:val="00A7591D"/>
    <w:rsid w:val="00A76A2B"/>
    <w:rsid w:val="00A76B75"/>
    <w:rsid w:val="00A76EDF"/>
    <w:rsid w:val="00A77713"/>
    <w:rsid w:val="00A778EC"/>
    <w:rsid w:val="00A7792C"/>
    <w:rsid w:val="00A80446"/>
    <w:rsid w:val="00A80744"/>
    <w:rsid w:val="00A80864"/>
    <w:rsid w:val="00A810F3"/>
    <w:rsid w:val="00A816ED"/>
    <w:rsid w:val="00A82722"/>
    <w:rsid w:val="00A82CD8"/>
    <w:rsid w:val="00A82D01"/>
    <w:rsid w:val="00A82E03"/>
    <w:rsid w:val="00A830A6"/>
    <w:rsid w:val="00A830BC"/>
    <w:rsid w:val="00A830E3"/>
    <w:rsid w:val="00A835F1"/>
    <w:rsid w:val="00A84E28"/>
    <w:rsid w:val="00A84EE6"/>
    <w:rsid w:val="00A84F57"/>
    <w:rsid w:val="00A8507D"/>
    <w:rsid w:val="00A85518"/>
    <w:rsid w:val="00A85ADA"/>
    <w:rsid w:val="00A85D2B"/>
    <w:rsid w:val="00A86866"/>
    <w:rsid w:val="00A868FB"/>
    <w:rsid w:val="00A86988"/>
    <w:rsid w:val="00A86F29"/>
    <w:rsid w:val="00A87268"/>
    <w:rsid w:val="00A87C91"/>
    <w:rsid w:val="00A9009B"/>
    <w:rsid w:val="00A90892"/>
    <w:rsid w:val="00A916B0"/>
    <w:rsid w:val="00A918A5"/>
    <w:rsid w:val="00A919FB"/>
    <w:rsid w:val="00A92F54"/>
    <w:rsid w:val="00A93552"/>
    <w:rsid w:val="00A94768"/>
    <w:rsid w:val="00A949F9"/>
    <w:rsid w:val="00A94DB8"/>
    <w:rsid w:val="00A954CC"/>
    <w:rsid w:val="00A95C11"/>
    <w:rsid w:val="00A95D26"/>
    <w:rsid w:val="00A95E9C"/>
    <w:rsid w:val="00A9705F"/>
    <w:rsid w:val="00A974D4"/>
    <w:rsid w:val="00A978DE"/>
    <w:rsid w:val="00A97F85"/>
    <w:rsid w:val="00AA02A3"/>
    <w:rsid w:val="00AA02E5"/>
    <w:rsid w:val="00AA0314"/>
    <w:rsid w:val="00AA06D7"/>
    <w:rsid w:val="00AA0888"/>
    <w:rsid w:val="00AA1131"/>
    <w:rsid w:val="00AA1D50"/>
    <w:rsid w:val="00AA2136"/>
    <w:rsid w:val="00AA2288"/>
    <w:rsid w:val="00AA2647"/>
    <w:rsid w:val="00AA2DDD"/>
    <w:rsid w:val="00AA2E11"/>
    <w:rsid w:val="00AA2F73"/>
    <w:rsid w:val="00AA3385"/>
    <w:rsid w:val="00AA3A8E"/>
    <w:rsid w:val="00AA42FA"/>
    <w:rsid w:val="00AA4B68"/>
    <w:rsid w:val="00AA5776"/>
    <w:rsid w:val="00AA5E04"/>
    <w:rsid w:val="00AA60F2"/>
    <w:rsid w:val="00AA6342"/>
    <w:rsid w:val="00AA646E"/>
    <w:rsid w:val="00AA65DD"/>
    <w:rsid w:val="00AA6608"/>
    <w:rsid w:val="00AA6CD4"/>
    <w:rsid w:val="00AA71A8"/>
    <w:rsid w:val="00AB0086"/>
    <w:rsid w:val="00AB0F2F"/>
    <w:rsid w:val="00AB13C8"/>
    <w:rsid w:val="00AB16D8"/>
    <w:rsid w:val="00AB28B7"/>
    <w:rsid w:val="00AB2AAF"/>
    <w:rsid w:val="00AB3492"/>
    <w:rsid w:val="00AB3738"/>
    <w:rsid w:val="00AB3D4B"/>
    <w:rsid w:val="00AB4803"/>
    <w:rsid w:val="00AB485F"/>
    <w:rsid w:val="00AB527C"/>
    <w:rsid w:val="00AB5630"/>
    <w:rsid w:val="00AB6244"/>
    <w:rsid w:val="00AB628A"/>
    <w:rsid w:val="00AB778B"/>
    <w:rsid w:val="00AB7825"/>
    <w:rsid w:val="00AB7DAE"/>
    <w:rsid w:val="00AB7FCF"/>
    <w:rsid w:val="00AC1326"/>
    <w:rsid w:val="00AC2141"/>
    <w:rsid w:val="00AC278D"/>
    <w:rsid w:val="00AC29B6"/>
    <w:rsid w:val="00AC2AB2"/>
    <w:rsid w:val="00AC2C77"/>
    <w:rsid w:val="00AC2DC7"/>
    <w:rsid w:val="00AC3AEF"/>
    <w:rsid w:val="00AC4F4F"/>
    <w:rsid w:val="00AC5179"/>
    <w:rsid w:val="00AC5297"/>
    <w:rsid w:val="00AC5653"/>
    <w:rsid w:val="00AC57AC"/>
    <w:rsid w:val="00AC5C91"/>
    <w:rsid w:val="00AC5CC0"/>
    <w:rsid w:val="00AC5DE0"/>
    <w:rsid w:val="00AC649D"/>
    <w:rsid w:val="00AC6F22"/>
    <w:rsid w:val="00AC6F2E"/>
    <w:rsid w:val="00AC72A2"/>
    <w:rsid w:val="00AC76CF"/>
    <w:rsid w:val="00AC78D2"/>
    <w:rsid w:val="00AD0047"/>
    <w:rsid w:val="00AD0DFC"/>
    <w:rsid w:val="00AD1486"/>
    <w:rsid w:val="00AD2094"/>
    <w:rsid w:val="00AD290B"/>
    <w:rsid w:val="00AD2A08"/>
    <w:rsid w:val="00AD2B39"/>
    <w:rsid w:val="00AD3509"/>
    <w:rsid w:val="00AD3D6D"/>
    <w:rsid w:val="00AD4145"/>
    <w:rsid w:val="00AD4845"/>
    <w:rsid w:val="00AD4950"/>
    <w:rsid w:val="00AD4EAA"/>
    <w:rsid w:val="00AD5104"/>
    <w:rsid w:val="00AD5149"/>
    <w:rsid w:val="00AD5638"/>
    <w:rsid w:val="00AD5817"/>
    <w:rsid w:val="00AD6398"/>
    <w:rsid w:val="00AD6ADC"/>
    <w:rsid w:val="00AD6D70"/>
    <w:rsid w:val="00AD6E3B"/>
    <w:rsid w:val="00AD6ED3"/>
    <w:rsid w:val="00AD7426"/>
    <w:rsid w:val="00AD7A42"/>
    <w:rsid w:val="00AD7FD9"/>
    <w:rsid w:val="00AE0154"/>
    <w:rsid w:val="00AE0662"/>
    <w:rsid w:val="00AE12B9"/>
    <w:rsid w:val="00AE12FE"/>
    <w:rsid w:val="00AE16AE"/>
    <w:rsid w:val="00AE1975"/>
    <w:rsid w:val="00AE1C78"/>
    <w:rsid w:val="00AE21E7"/>
    <w:rsid w:val="00AE22CC"/>
    <w:rsid w:val="00AE2671"/>
    <w:rsid w:val="00AE294F"/>
    <w:rsid w:val="00AE3251"/>
    <w:rsid w:val="00AE39A0"/>
    <w:rsid w:val="00AE4343"/>
    <w:rsid w:val="00AE56FF"/>
    <w:rsid w:val="00AE61C6"/>
    <w:rsid w:val="00AE6DB1"/>
    <w:rsid w:val="00AE6DBA"/>
    <w:rsid w:val="00AE72F2"/>
    <w:rsid w:val="00AE790A"/>
    <w:rsid w:val="00AE796E"/>
    <w:rsid w:val="00AE7CF9"/>
    <w:rsid w:val="00AE7F9C"/>
    <w:rsid w:val="00AF0C37"/>
    <w:rsid w:val="00AF122E"/>
    <w:rsid w:val="00AF1EA2"/>
    <w:rsid w:val="00AF2112"/>
    <w:rsid w:val="00AF220D"/>
    <w:rsid w:val="00AF25B3"/>
    <w:rsid w:val="00AF27A2"/>
    <w:rsid w:val="00AF399F"/>
    <w:rsid w:val="00AF3CEE"/>
    <w:rsid w:val="00AF3F00"/>
    <w:rsid w:val="00AF413D"/>
    <w:rsid w:val="00AF4372"/>
    <w:rsid w:val="00AF4681"/>
    <w:rsid w:val="00AF4760"/>
    <w:rsid w:val="00AF47D1"/>
    <w:rsid w:val="00AF4D88"/>
    <w:rsid w:val="00AF4E70"/>
    <w:rsid w:val="00AF56EA"/>
    <w:rsid w:val="00AF61B9"/>
    <w:rsid w:val="00AF6645"/>
    <w:rsid w:val="00AF6811"/>
    <w:rsid w:val="00AF704D"/>
    <w:rsid w:val="00AF7404"/>
    <w:rsid w:val="00AF7450"/>
    <w:rsid w:val="00AF7A59"/>
    <w:rsid w:val="00B0062B"/>
    <w:rsid w:val="00B00C4A"/>
    <w:rsid w:val="00B00E1B"/>
    <w:rsid w:val="00B017EF"/>
    <w:rsid w:val="00B027DC"/>
    <w:rsid w:val="00B029B4"/>
    <w:rsid w:val="00B03007"/>
    <w:rsid w:val="00B031CB"/>
    <w:rsid w:val="00B0320D"/>
    <w:rsid w:val="00B037F9"/>
    <w:rsid w:val="00B03AAA"/>
    <w:rsid w:val="00B03B71"/>
    <w:rsid w:val="00B045D9"/>
    <w:rsid w:val="00B04844"/>
    <w:rsid w:val="00B048C0"/>
    <w:rsid w:val="00B04E35"/>
    <w:rsid w:val="00B057FD"/>
    <w:rsid w:val="00B058FA"/>
    <w:rsid w:val="00B05F3E"/>
    <w:rsid w:val="00B061D0"/>
    <w:rsid w:val="00B066FC"/>
    <w:rsid w:val="00B06A35"/>
    <w:rsid w:val="00B06D09"/>
    <w:rsid w:val="00B10F19"/>
    <w:rsid w:val="00B11644"/>
    <w:rsid w:val="00B11649"/>
    <w:rsid w:val="00B11861"/>
    <w:rsid w:val="00B13696"/>
    <w:rsid w:val="00B13E3E"/>
    <w:rsid w:val="00B13E61"/>
    <w:rsid w:val="00B1482F"/>
    <w:rsid w:val="00B16601"/>
    <w:rsid w:val="00B16C68"/>
    <w:rsid w:val="00B17364"/>
    <w:rsid w:val="00B1789A"/>
    <w:rsid w:val="00B17EC1"/>
    <w:rsid w:val="00B208D1"/>
    <w:rsid w:val="00B2108C"/>
    <w:rsid w:val="00B217D9"/>
    <w:rsid w:val="00B21977"/>
    <w:rsid w:val="00B2225F"/>
    <w:rsid w:val="00B2272B"/>
    <w:rsid w:val="00B227EF"/>
    <w:rsid w:val="00B22B60"/>
    <w:rsid w:val="00B23A83"/>
    <w:rsid w:val="00B23D4D"/>
    <w:rsid w:val="00B241DD"/>
    <w:rsid w:val="00B24407"/>
    <w:rsid w:val="00B247EE"/>
    <w:rsid w:val="00B2499E"/>
    <w:rsid w:val="00B24EC5"/>
    <w:rsid w:val="00B2512F"/>
    <w:rsid w:val="00B253B4"/>
    <w:rsid w:val="00B25DED"/>
    <w:rsid w:val="00B26C76"/>
    <w:rsid w:val="00B27105"/>
    <w:rsid w:val="00B271C1"/>
    <w:rsid w:val="00B27B5C"/>
    <w:rsid w:val="00B3040B"/>
    <w:rsid w:val="00B30650"/>
    <w:rsid w:val="00B307B3"/>
    <w:rsid w:val="00B30EB3"/>
    <w:rsid w:val="00B3110A"/>
    <w:rsid w:val="00B3151D"/>
    <w:rsid w:val="00B31D28"/>
    <w:rsid w:val="00B321C8"/>
    <w:rsid w:val="00B328AC"/>
    <w:rsid w:val="00B329A6"/>
    <w:rsid w:val="00B32AE5"/>
    <w:rsid w:val="00B32B25"/>
    <w:rsid w:val="00B331D7"/>
    <w:rsid w:val="00B3375E"/>
    <w:rsid w:val="00B33B74"/>
    <w:rsid w:val="00B33C12"/>
    <w:rsid w:val="00B33F75"/>
    <w:rsid w:val="00B3414B"/>
    <w:rsid w:val="00B347E2"/>
    <w:rsid w:val="00B34AEF"/>
    <w:rsid w:val="00B34E48"/>
    <w:rsid w:val="00B35022"/>
    <w:rsid w:val="00B35339"/>
    <w:rsid w:val="00B35E02"/>
    <w:rsid w:val="00B36733"/>
    <w:rsid w:val="00B368EA"/>
    <w:rsid w:val="00B36AF6"/>
    <w:rsid w:val="00B377C4"/>
    <w:rsid w:val="00B4056B"/>
    <w:rsid w:val="00B40AC1"/>
    <w:rsid w:val="00B4144D"/>
    <w:rsid w:val="00B41500"/>
    <w:rsid w:val="00B41A96"/>
    <w:rsid w:val="00B41CA4"/>
    <w:rsid w:val="00B41E0A"/>
    <w:rsid w:val="00B4209B"/>
    <w:rsid w:val="00B420B4"/>
    <w:rsid w:val="00B42129"/>
    <w:rsid w:val="00B42906"/>
    <w:rsid w:val="00B42E82"/>
    <w:rsid w:val="00B434A7"/>
    <w:rsid w:val="00B43AAD"/>
    <w:rsid w:val="00B43C40"/>
    <w:rsid w:val="00B44848"/>
    <w:rsid w:val="00B44D4D"/>
    <w:rsid w:val="00B45567"/>
    <w:rsid w:val="00B45958"/>
    <w:rsid w:val="00B45B0F"/>
    <w:rsid w:val="00B46224"/>
    <w:rsid w:val="00B46B10"/>
    <w:rsid w:val="00B46D7F"/>
    <w:rsid w:val="00B4727B"/>
    <w:rsid w:val="00B4732F"/>
    <w:rsid w:val="00B478A6"/>
    <w:rsid w:val="00B47A07"/>
    <w:rsid w:val="00B500BD"/>
    <w:rsid w:val="00B50391"/>
    <w:rsid w:val="00B5076F"/>
    <w:rsid w:val="00B51950"/>
    <w:rsid w:val="00B51E84"/>
    <w:rsid w:val="00B52056"/>
    <w:rsid w:val="00B52275"/>
    <w:rsid w:val="00B526B1"/>
    <w:rsid w:val="00B526DE"/>
    <w:rsid w:val="00B53788"/>
    <w:rsid w:val="00B5389E"/>
    <w:rsid w:val="00B53A2F"/>
    <w:rsid w:val="00B53CB1"/>
    <w:rsid w:val="00B53DEA"/>
    <w:rsid w:val="00B556D8"/>
    <w:rsid w:val="00B5610C"/>
    <w:rsid w:val="00B56A24"/>
    <w:rsid w:val="00B56C6E"/>
    <w:rsid w:val="00B56E0F"/>
    <w:rsid w:val="00B574FF"/>
    <w:rsid w:val="00B577DE"/>
    <w:rsid w:val="00B57CC5"/>
    <w:rsid w:val="00B57D20"/>
    <w:rsid w:val="00B601E6"/>
    <w:rsid w:val="00B60ED7"/>
    <w:rsid w:val="00B61211"/>
    <w:rsid w:val="00B614CB"/>
    <w:rsid w:val="00B6196B"/>
    <w:rsid w:val="00B61CFC"/>
    <w:rsid w:val="00B62395"/>
    <w:rsid w:val="00B63042"/>
    <w:rsid w:val="00B634DD"/>
    <w:rsid w:val="00B634F9"/>
    <w:rsid w:val="00B63905"/>
    <w:rsid w:val="00B6442D"/>
    <w:rsid w:val="00B64699"/>
    <w:rsid w:val="00B647CD"/>
    <w:rsid w:val="00B65411"/>
    <w:rsid w:val="00B65B9B"/>
    <w:rsid w:val="00B6667A"/>
    <w:rsid w:val="00B675F2"/>
    <w:rsid w:val="00B67A96"/>
    <w:rsid w:val="00B67A9F"/>
    <w:rsid w:val="00B67AE6"/>
    <w:rsid w:val="00B67E5A"/>
    <w:rsid w:val="00B7025B"/>
    <w:rsid w:val="00B7028C"/>
    <w:rsid w:val="00B70C8C"/>
    <w:rsid w:val="00B713D5"/>
    <w:rsid w:val="00B71D50"/>
    <w:rsid w:val="00B72083"/>
    <w:rsid w:val="00B72129"/>
    <w:rsid w:val="00B72976"/>
    <w:rsid w:val="00B72C07"/>
    <w:rsid w:val="00B72E5C"/>
    <w:rsid w:val="00B72ED8"/>
    <w:rsid w:val="00B7303D"/>
    <w:rsid w:val="00B733BF"/>
    <w:rsid w:val="00B73501"/>
    <w:rsid w:val="00B7363F"/>
    <w:rsid w:val="00B738E3"/>
    <w:rsid w:val="00B73A57"/>
    <w:rsid w:val="00B73E99"/>
    <w:rsid w:val="00B74656"/>
    <w:rsid w:val="00B74875"/>
    <w:rsid w:val="00B74C3E"/>
    <w:rsid w:val="00B74FEE"/>
    <w:rsid w:val="00B755F3"/>
    <w:rsid w:val="00B75A93"/>
    <w:rsid w:val="00B762A0"/>
    <w:rsid w:val="00B76CF6"/>
    <w:rsid w:val="00B77026"/>
    <w:rsid w:val="00B77507"/>
    <w:rsid w:val="00B77E0C"/>
    <w:rsid w:val="00B77F6E"/>
    <w:rsid w:val="00B80387"/>
    <w:rsid w:val="00B80BCE"/>
    <w:rsid w:val="00B80C97"/>
    <w:rsid w:val="00B813FC"/>
    <w:rsid w:val="00B81A4F"/>
    <w:rsid w:val="00B822D1"/>
    <w:rsid w:val="00B82BE1"/>
    <w:rsid w:val="00B83650"/>
    <w:rsid w:val="00B83A07"/>
    <w:rsid w:val="00B83F37"/>
    <w:rsid w:val="00B8426B"/>
    <w:rsid w:val="00B8432D"/>
    <w:rsid w:val="00B849A5"/>
    <w:rsid w:val="00B84B02"/>
    <w:rsid w:val="00B852E6"/>
    <w:rsid w:val="00B8536D"/>
    <w:rsid w:val="00B8538C"/>
    <w:rsid w:val="00B8542B"/>
    <w:rsid w:val="00B85759"/>
    <w:rsid w:val="00B85AAC"/>
    <w:rsid w:val="00B863AA"/>
    <w:rsid w:val="00B868F1"/>
    <w:rsid w:val="00B87378"/>
    <w:rsid w:val="00B87D1A"/>
    <w:rsid w:val="00B87E4E"/>
    <w:rsid w:val="00B90506"/>
    <w:rsid w:val="00B90CA2"/>
    <w:rsid w:val="00B91113"/>
    <w:rsid w:val="00B91164"/>
    <w:rsid w:val="00B91534"/>
    <w:rsid w:val="00B91BE0"/>
    <w:rsid w:val="00B91D24"/>
    <w:rsid w:val="00B91DBA"/>
    <w:rsid w:val="00B91E84"/>
    <w:rsid w:val="00B92047"/>
    <w:rsid w:val="00B920D2"/>
    <w:rsid w:val="00B92184"/>
    <w:rsid w:val="00B926C2"/>
    <w:rsid w:val="00B928DE"/>
    <w:rsid w:val="00B92ADC"/>
    <w:rsid w:val="00B92E68"/>
    <w:rsid w:val="00B92F53"/>
    <w:rsid w:val="00B93307"/>
    <w:rsid w:val="00B93A7A"/>
    <w:rsid w:val="00B93F07"/>
    <w:rsid w:val="00B94487"/>
    <w:rsid w:val="00B94ABF"/>
    <w:rsid w:val="00B94E60"/>
    <w:rsid w:val="00B94FA3"/>
    <w:rsid w:val="00B95798"/>
    <w:rsid w:val="00B95844"/>
    <w:rsid w:val="00B95958"/>
    <w:rsid w:val="00B95960"/>
    <w:rsid w:val="00B9669F"/>
    <w:rsid w:val="00B967B3"/>
    <w:rsid w:val="00B9715A"/>
    <w:rsid w:val="00B971EB"/>
    <w:rsid w:val="00B9776C"/>
    <w:rsid w:val="00B97771"/>
    <w:rsid w:val="00B97B24"/>
    <w:rsid w:val="00B97DA1"/>
    <w:rsid w:val="00BA0082"/>
    <w:rsid w:val="00BA1041"/>
    <w:rsid w:val="00BA157F"/>
    <w:rsid w:val="00BA18F5"/>
    <w:rsid w:val="00BA1E26"/>
    <w:rsid w:val="00BA2137"/>
    <w:rsid w:val="00BA329C"/>
    <w:rsid w:val="00BA3471"/>
    <w:rsid w:val="00BA379A"/>
    <w:rsid w:val="00BA3B08"/>
    <w:rsid w:val="00BA3B2F"/>
    <w:rsid w:val="00BA3EB9"/>
    <w:rsid w:val="00BA3F95"/>
    <w:rsid w:val="00BA3FE0"/>
    <w:rsid w:val="00BA472B"/>
    <w:rsid w:val="00BA4FF5"/>
    <w:rsid w:val="00BA5176"/>
    <w:rsid w:val="00BA5499"/>
    <w:rsid w:val="00BA5976"/>
    <w:rsid w:val="00BA5A09"/>
    <w:rsid w:val="00BA5B14"/>
    <w:rsid w:val="00BA66D4"/>
    <w:rsid w:val="00BA7BB5"/>
    <w:rsid w:val="00BA7BE8"/>
    <w:rsid w:val="00BB016A"/>
    <w:rsid w:val="00BB0A29"/>
    <w:rsid w:val="00BB1569"/>
    <w:rsid w:val="00BB189E"/>
    <w:rsid w:val="00BB19A0"/>
    <w:rsid w:val="00BB1A35"/>
    <w:rsid w:val="00BB2AE4"/>
    <w:rsid w:val="00BB3E3A"/>
    <w:rsid w:val="00BB4D60"/>
    <w:rsid w:val="00BB54A8"/>
    <w:rsid w:val="00BB5D79"/>
    <w:rsid w:val="00BB5E6B"/>
    <w:rsid w:val="00BB626A"/>
    <w:rsid w:val="00BB62D5"/>
    <w:rsid w:val="00BB6B97"/>
    <w:rsid w:val="00BB6C1A"/>
    <w:rsid w:val="00BB6E77"/>
    <w:rsid w:val="00BB7353"/>
    <w:rsid w:val="00BB7793"/>
    <w:rsid w:val="00BB7B25"/>
    <w:rsid w:val="00BB7C05"/>
    <w:rsid w:val="00BC081E"/>
    <w:rsid w:val="00BC0AE2"/>
    <w:rsid w:val="00BC0E94"/>
    <w:rsid w:val="00BC18D1"/>
    <w:rsid w:val="00BC358A"/>
    <w:rsid w:val="00BC360A"/>
    <w:rsid w:val="00BC3816"/>
    <w:rsid w:val="00BC3C0A"/>
    <w:rsid w:val="00BC4BBA"/>
    <w:rsid w:val="00BC4DD7"/>
    <w:rsid w:val="00BC5109"/>
    <w:rsid w:val="00BC5183"/>
    <w:rsid w:val="00BC53BF"/>
    <w:rsid w:val="00BC582B"/>
    <w:rsid w:val="00BC5E1E"/>
    <w:rsid w:val="00BC64F5"/>
    <w:rsid w:val="00BC657B"/>
    <w:rsid w:val="00BC671D"/>
    <w:rsid w:val="00BC6BAC"/>
    <w:rsid w:val="00BC7720"/>
    <w:rsid w:val="00BD0862"/>
    <w:rsid w:val="00BD0D03"/>
    <w:rsid w:val="00BD0EEC"/>
    <w:rsid w:val="00BD0FE6"/>
    <w:rsid w:val="00BD1080"/>
    <w:rsid w:val="00BD1888"/>
    <w:rsid w:val="00BD1F01"/>
    <w:rsid w:val="00BD34D4"/>
    <w:rsid w:val="00BD479F"/>
    <w:rsid w:val="00BD4D7A"/>
    <w:rsid w:val="00BD4E04"/>
    <w:rsid w:val="00BD4EA3"/>
    <w:rsid w:val="00BD5121"/>
    <w:rsid w:val="00BD5486"/>
    <w:rsid w:val="00BD577D"/>
    <w:rsid w:val="00BD5B65"/>
    <w:rsid w:val="00BD5FD4"/>
    <w:rsid w:val="00BD616A"/>
    <w:rsid w:val="00BD66F1"/>
    <w:rsid w:val="00BD6D89"/>
    <w:rsid w:val="00BD6DBB"/>
    <w:rsid w:val="00BD7820"/>
    <w:rsid w:val="00BD7AD4"/>
    <w:rsid w:val="00BE025F"/>
    <w:rsid w:val="00BE044B"/>
    <w:rsid w:val="00BE08AE"/>
    <w:rsid w:val="00BE09F1"/>
    <w:rsid w:val="00BE0B9F"/>
    <w:rsid w:val="00BE1340"/>
    <w:rsid w:val="00BE1588"/>
    <w:rsid w:val="00BE230D"/>
    <w:rsid w:val="00BE2782"/>
    <w:rsid w:val="00BE28AE"/>
    <w:rsid w:val="00BE2981"/>
    <w:rsid w:val="00BE29A6"/>
    <w:rsid w:val="00BE2D77"/>
    <w:rsid w:val="00BE3ACC"/>
    <w:rsid w:val="00BE3D5E"/>
    <w:rsid w:val="00BE3F7A"/>
    <w:rsid w:val="00BE4334"/>
    <w:rsid w:val="00BE44B0"/>
    <w:rsid w:val="00BE4526"/>
    <w:rsid w:val="00BE4A25"/>
    <w:rsid w:val="00BE4D28"/>
    <w:rsid w:val="00BE513C"/>
    <w:rsid w:val="00BE5A6D"/>
    <w:rsid w:val="00BE5FC5"/>
    <w:rsid w:val="00BE63E3"/>
    <w:rsid w:val="00BE6C49"/>
    <w:rsid w:val="00BE6F4E"/>
    <w:rsid w:val="00BE6FA8"/>
    <w:rsid w:val="00BE7066"/>
    <w:rsid w:val="00BE72FD"/>
    <w:rsid w:val="00BE77BF"/>
    <w:rsid w:val="00BE7D09"/>
    <w:rsid w:val="00BF00B9"/>
    <w:rsid w:val="00BF024C"/>
    <w:rsid w:val="00BF0437"/>
    <w:rsid w:val="00BF0C24"/>
    <w:rsid w:val="00BF15D0"/>
    <w:rsid w:val="00BF1B14"/>
    <w:rsid w:val="00BF1C1F"/>
    <w:rsid w:val="00BF2758"/>
    <w:rsid w:val="00BF2CEA"/>
    <w:rsid w:val="00BF523A"/>
    <w:rsid w:val="00BF525A"/>
    <w:rsid w:val="00BF568B"/>
    <w:rsid w:val="00BF5CBC"/>
    <w:rsid w:val="00BF61FE"/>
    <w:rsid w:val="00BF6379"/>
    <w:rsid w:val="00BF6BB7"/>
    <w:rsid w:val="00BF750C"/>
    <w:rsid w:val="00BF7C92"/>
    <w:rsid w:val="00C0001D"/>
    <w:rsid w:val="00C0010B"/>
    <w:rsid w:val="00C00CFE"/>
    <w:rsid w:val="00C00E3A"/>
    <w:rsid w:val="00C0107A"/>
    <w:rsid w:val="00C01136"/>
    <w:rsid w:val="00C011A2"/>
    <w:rsid w:val="00C0171B"/>
    <w:rsid w:val="00C01F58"/>
    <w:rsid w:val="00C020BE"/>
    <w:rsid w:val="00C028B9"/>
    <w:rsid w:val="00C02DE2"/>
    <w:rsid w:val="00C03194"/>
    <w:rsid w:val="00C034BB"/>
    <w:rsid w:val="00C03DB4"/>
    <w:rsid w:val="00C040C9"/>
    <w:rsid w:val="00C042A8"/>
    <w:rsid w:val="00C0484A"/>
    <w:rsid w:val="00C04B47"/>
    <w:rsid w:val="00C04C65"/>
    <w:rsid w:val="00C04E7C"/>
    <w:rsid w:val="00C05BEC"/>
    <w:rsid w:val="00C0600C"/>
    <w:rsid w:val="00C064A4"/>
    <w:rsid w:val="00C070C1"/>
    <w:rsid w:val="00C075DA"/>
    <w:rsid w:val="00C1022F"/>
    <w:rsid w:val="00C106BA"/>
    <w:rsid w:val="00C10936"/>
    <w:rsid w:val="00C10EA1"/>
    <w:rsid w:val="00C1107A"/>
    <w:rsid w:val="00C1179A"/>
    <w:rsid w:val="00C11998"/>
    <w:rsid w:val="00C124FF"/>
    <w:rsid w:val="00C12772"/>
    <w:rsid w:val="00C12776"/>
    <w:rsid w:val="00C127A1"/>
    <w:rsid w:val="00C132BC"/>
    <w:rsid w:val="00C1391B"/>
    <w:rsid w:val="00C1454F"/>
    <w:rsid w:val="00C14820"/>
    <w:rsid w:val="00C14C21"/>
    <w:rsid w:val="00C14CD2"/>
    <w:rsid w:val="00C152DE"/>
    <w:rsid w:val="00C15764"/>
    <w:rsid w:val="00C1587C"/>
    <w:rsid w:val="00C15DA2"/>
    <w:rsid w:val="00C1603D"/>
    <w:rsid w:val="00C163CC"/>
    <w:rsid w:val="00C16F0F"/>
    <w:rsid w:val="00C1763A"/>
    <w:rsid w:val="00C17A53"/>
    <w:rsid w:val="00C17C2A"/>
    <w:rsid w:val="00C17DAE"/>
    <w:rsid w:val="00C20124"/>
    <w:rsid w:val="00C20690"/>
    <w:rsid w:val="00C208E4"/>
    <w:rsid w:val="00C20ADB"/>
    <w:rsid w:val="00C20B7B"/>
    <w:rsid w:val="00C20FC2"/>
    <w:rsid w:val="00C21CCD"/>
    <w:rsid w:val="00C22094"/>
    <w:rsid w:val="00C220C6"/>
    <w:rsid w:val="00C225F6"/>
    <w:rsid w:val="00C24001"/>
    <w:rsid w:val="00C24383"/>
    <w:rsid w:val="00C24C48"/>
    <w:rsid w:val="00C254FB"/>
    <w:rsid w:val="00C25AA8"/>
    <w:rsid w:val="00C25F8C"/>
    <w:rsid w:val="00C263CC"/>
    <w:rsid w:val="00C264E3"/>
    <w:rsid w:val="00C26672"/>
    <w:rsid w:val="00C26F47"/>
    <w:rsid w:val="00C2795A"/>
    <w:rsid w:val="00C27AA8"/>
    <w:rsid w:val="00C27E52"/>
    <w:rsid w:val="00C27FDB"/>
    <w:rsid w:val="00C30075"/>
    <w:rsid w:val="00C30420"/>
    <w:rsid w:val="00C305BF"/>
    <w:rsid w:val="00C308C8"/>
    <w:rsid w:val="00C3111B"/>
    <w:rsid w:val="00C31357"/>
    <w:rsid w:val="00C314A4"/>
    <w:rsid w:val="00C314CF"/>
    <w:rsid w:val="00C315A2"/>
    <w:rsid w:val="00C31867"/>
    <w:rsid w:val="00C31B1A"/>
    <w:rsid w:val="00C32A6D"/>
    <w:rsid w:val="00C32BC6"/>
    <w:rsid w:val="00C3333C"/>
    <w:rsid w:val="00C34DE4"/>
    <w:rsid w:val="00C34ED1"/>
    <w:rsid w:val="00C359E9"/>
    <w:rsid w:val="00C36A04"/>
    <w:rsid w:val="00C36BFB"/>
    <w:rsid w:val="00C3777E"/>
    <w:rsid w:val="00C379CB"/>
    <w:rsid w:val="00C40CCC"/>
    <w:rsid w:val="00C40D80"/>
    <w:rsid w:val="00C41855"/>
    <w:rsid w:val="00C41AD7"/>
    <w:rsid w:val="00C42AA3"/>
    <w:rsid w:val="00C42D8E"/>
    <w:rsid w:val="00C432CA"/>
    <w:rsid w:val="00C4409A"/>
    <w:rsid w:val="00C44C60"/>
    <w:rsid w:val="00C44C78"/>
    <w:rsid w:val="00C45578"/>
    <w:rsid w:val="00C45AAE"/>
    <w:rsid w:val="00C45BBA"/>
    <w:rsid w:val="00C46138"/>
    <w:rsid w:val="00C464F0"/>
    <w:rsid w:val="00C46EFC"/>
    <w:rsid w:val="00C470AE"/>
    <w:rsid w:val="00C4769B"/>
    <w:rsid w:val="00C50BC6"/>
    <w:rsid w:val="00C50BEE"/>
    <w:rsid w:val="00C5109F"/>
    <w:rsid w:val="00C510BB"/>
    <w:rsid w:val="00C511D7"/>
    <w:rsid w:val="00C512EC"/>
    <w:rsid w:val="00C51D26"/>
    <w:rsid w:val="00C523EA"/>
    <w:rsid w:val="00C52451"/>
    <w:rsid w:val="00C52557"/>
    <w:rsid w:val="00C52BF7"/>
    <w:rsid w:val="00C53899"/>
    <w:rsid w:val="00C5435D"/>
    <w:rsid w:val="00C546E5"/>
    <w:rsid w:val="00C548B7"/>
    <w:rsid w:val="00C54E0A"/>
    <w:rsid w:val="00C5506A"/>
    <w:rsid w:val="00C5560D"/>
    <w:rsid w:val="00C5578B"/>
    <w:rsid w:val="00C557F6"/>
    <w:rsid w:val="00C55F1A"/>
    <w:rsid w:val="00C55F65"/>
    <w:rsid w:val="00C56341"/>
    <w:rsid w:val="00C568C6"/>
    <w:rsid w:val="00C56A39"/>
    <w:rsid w:val="00C571DA"/>
    <w:rsid w:val="00C57220"/>
    <w:rsid w:val="00C5786D"/>
    <w:rsid w:val="00C57BFF"/>
    <w:rsid w:val="00C60ACA"/>
    <w:rsid w:val="00C60D41"/>
    <w:rsid w:val="00C61069"/>
    <w:rsid w:val="00C612A0"/>
    <w:rsid w:val="00C612E3"/>
    <w:rsid w:val="00C613F8"/>
    <w:rsid w:val="00C61659"/>
    <w:rsid w:val="00C61A91"/>
    <w:rsid w:val="00C61B66"/>
    <w:rsid w:val="00C637C0"/>
    <w:rsid w:val="00C63BCF"/>
    <w:rsid w:val="00C64009"/>
    <w:rsid w:val="00C64504"/>
    <w:rsid w:val="00C64CAB"/>
    <w:rsid w:val="00C64E21"/>
    <w:rsid w:val="00C65010"/>
    <w:rsid w:val="00C6521A"/>
    <w:rsid w:val="00C65D35"/>
    <w:rsid w:val="00C65E32"/>
    <w:rsid w:val="00C65FB3"/>
    <w:rsid w:val="00C660C8"/>
    <w:rsid w:val="00C660DB"/>
    <w:rsid w:val="00C6624C"/>
    <w:rsid w:val="00C6654A"/>
    <w:rsid w:val="00C66C79"/>
    <w:rsid w:val="00C66E68"/>
    <w:rsid w:val="00C67CB3"/>
    <w:rsid w:val="00C67E3A"/>
    <w:rsid w:val="00C67FF9"/>
    <w:rsid w:val="00C7078E"/>
    <w:rsid w:val="00C70795"/>
    <w:rsid w:val="00C711A8"/>
    <w:rsid w:val="00C715C5"/>
    <w:rsid w:val="00C71608"/>
    <w:rsid w:val="00C71789"/>
    <w:rsid w:val="00C7343C"/>
    <w:rsid w:val="00C7348F"/>
    <w:rsid w:val="00C737A5"/>
    <w:rsid w:val="00C73ABD"/>
    <w:rsid w:val="00C73F72"/>
    <w:rsid w:val="00C7448C"/>
    <w:rsid w:val="00C7460D"/>
    <w:rsid w:val="00C7484E"/>
    <w:rsid w:val="00C749FA"/>
    <w:rsid w:val="00C74D65"/>
    <w:rsid w:val="00C75687"/>
    <w:rsid w:val="00C7596B"/>
    <w:rsid w:val="00C75ADD"/>
    <w:rsid w:val="00C76B7C"/>
    <w:rsid w:val="00C76D38"/>
    <w:rsid w:val="00C76D59"/>
    <w:rsid w:val="00C76FAA"/>
    <w:rsid w:val="00C77B4B"/>
    <w:rsid w:val="00C77D16"/>
    <w:rsid w:val="00C77D61"/>
    <w:rsid w:val="00C77D8C"/>
    <w:rsid w:val="00C80245"/>
    <w:rsid w:val="00C809C1"/>
    <w:rsid w:val="00C80B5F"/>
    <w:rsid w:val="00C80F54"/>
    <w:rsid w:val="00C80FB7"/>
    <w:rsid w:val="00C81066"/>
    <w:rsid w:val="00C81194"/>
    <w:rsid w:val="00C8125F"/>
    <w:rsid w:val="00C82011"/>
    <w:rsid w:val="00C82674"/>
    <w:rsid w:val="00C82947"/>
    <w:rsid w:val="00C83687"/>
    <w:rsid w:val="00C83810"/>
    <w:rsid w:val="00C83F83"/>
    <w:rsid w:val="00C84961"/>
    <w:rsid w:val="00C85751"/>
    <w:rsid w:val="00C85759"/>
    <w:rsid w:val="00C85973"/>
    <w:rsid w:val="00C85B08"/>
    <w:rsid w:val="00C860FF"/>
    <w:rsid w:val="00C86367"/>
    <w:rsid w:val="00C864F8"/>
    <w:rsid w:val="00C86B62"/>
    <w:rsid w:val="00C86C9B"/>
    <w:rsid w:val="00C86E0F"/>
    <w:rsid w:val="00C87CD1"/>
    <w:rsid w:val="00C87E8A"/>
    <w:rsid w:val="00C901F3"/>
    <w:rsid w:val="00C90549"/>
    <w:rsid w:val="00C90D9F"/>
    <w:rsid w:val="00C90FA7"/>
    <w:rsid w:val="00C914D1"/>
    <w:rsid w:val="00C91524"/>
    <w:rsid w:val="00C91D82"/>
    <w:rsid w:val="00C92264"/>
    <w:rsid w:val="00C92694"/>
    <w:rsid w:val="00C92B37"/>
    <w:rsid w:val="00C92E92"/>
    <w:rsid w:val="00C92EB9"/>
    <w:rsid w:val="00C92EEC"/>
    <w:rsid w:val="00C9353A"/>
    <w:rsid w:val="00C9461B"/>
    <w:rsid w:val="00C94646"/>
    <w:rsid w:val="00C94732"/>
    <w:rsid w:val="00C94CEF"/>
    <w:rsid w:val="00C952F9"/>
    <w:rsid w:val="00C95973"/>
    <w:rsid w:val="00C96AB1"/>
    <w:rsid w:val="00C9729C"/>
    <w:rsid w:val="00C97A9E"/>
    <w:rsid w:val="00C97C16"/>
    <w:rsid w:val="00CA0261"/>
    <w:rsid w:val="00CA02C4"/>
    <w:rsid w:val="00CA04CF"/>
    <w:rsid w:val="00CA066C"/>
    <w:rsid w:val="00CA0B4D"/>
    <w:rsid w:val="00CA10A3"/>
    <w:rsid w:val="00CA166A"/>
    <w:rsid w:val="00CA250B"/>
    <w:rsid w:val="00CA256C"/>
    <w:rsid w:val="00CA299F"/>
    <w:rsid w:val="00CA4AC3"/>
    <w:rsid w:val="00CA4B20"/>
    <w:rsid w:val="00CA528C"/>
    <w:rsid w:val="00CA5EDA"/>
    <w:rsid w:val="00CA5F1E"/>
    <w:rsid w:val="00CA5FD1"/>
    <w:rsid w:val="00CA65B0"/>
    <w:rsid w:val="00CA6EE8"/>
    <w:rsid w:val="00CA79DD"/>
    <w:rsid w:val="00CA7C9C"/>
    <w:rsid w:val="00CB0155"/>
    <w:rsid w:val="00CB0801"/>
    <w:rsid w:val="00CB09EC"/>
    <w:rsid w:val="00CB0C8F"/>
    <w:rsid w:val="00CB0FE5"/>
    <w:rsid w:val="00CB13B7"/>
    <w:rsid w:val="00CB192E"/>
    <w:rsid w:val="00CB251B"/>
    <w:rsid w:val="00CB3245"/>
    <w:rsid w:val="00CB3268"/>
    <w:rsid w:val="00CB32FA"/>
    <w:rsid w:val="00CB35EB"/>
    <w:rsid w:val="00CB3E29"/>
    <w:rsid w:val="00CB4BF2"/>
    <w:rsid w:val="00CB4D2A"/>
    <w:rsid w:val="00CB5238"/>
    <w:rsid w:val="00CB550E"/>
    <w:rsid w:val="00CB55B9"/>
    <w:rsid w:val="00CB59B9"/>
    <w:rsid w:val="00CB669F"/>
    <w:rsid w:val="00CB68D7"/>
    <w:rsid w:val="00CB77D0"/>
    <w:rsid w:val="00CC033B"/>
    <w:rsid w:val="00CC0353"/>
    <w:rsid w:val="00CC0711"/>
    <w:rsid w:val="00CC075F"/>
    <w:rsid w:val="00CC0AB1"/>
    <w:rsid w:val="00CC0B12"/>
    <w:rsid w:val="00CC1085"/>
    <w:rsid w:val="00CC144F"/>
    <w:rsid w:val="00CC1FB0"/>
    <w:rsid w:val="00CC2142"/>
    <w:rsid w:val="00CC27F6"/>
    <w:rsid w:val="00CC2A4E"/>
    <w:rsid w:val="00CC2D78"/>
    <w:rsid w:val="00CC2E6A"/>
    <w:rsid w:val="00CC2ED5"/>
    <w:rsid w:val="00CC2F99"/>
    <w:rsid w:val="00CC328A"/>
    <w:rsid w:val="00CC3DB2"/>
    <w:rsid w:val="00CC4065"/>
    <w:rsid w:val="00CC4503"/>
    <w:rsid w:val="00CC460B"/>
    <w:rsid w:val="00CC47E1"/>
    <w:rsid w:val="00CC4814"/>
    <w:rsid w:val="00CC4ADC"/>
    <w:rsid w:val="00CC51CE"/>
    <w:rsid w:val="00CC5320"/>
    <w:rsid w:val="00CC542C"/>
    <w:rsid w:val="00CC5D36"/>
    <w:rsid w:val="00CC635E"/>
    <w:rsid w:val="00CC6AB4"/>
    <w:rsid w:val="00CC6EB1"/>
    <w:rsid w:val="00CC6EB9"/>
    <w:rsid w:val="00CC6F43"/>
    <w:rsid w:val="00CC737B"/>
    <w:rsid w:val="00CC750A"/>
    <w:rsid w:val="00CC7A73"/>
    <w:rsid w:val="00CC7CB5"/>
    <w:rsid w:val="00CC7FC7"/>
    <w:rsid w:val="00CD0051"/>
    <w:rsid w:val="00CD057A"/>
    <w:rsid w:val="00CD081A"/>
    <w:rsid w:val="00CD0CA1"/>
    <w:rsid w:val="00CD0F17"/>
    <w:rsid w:val="00CD1555"/>
    <w:rsid w:val="00CD1B53"/>
    <w:rsid w:val="00CD1DA0"/>
    <w:rsid w:val="00CD2338"/>
    <w:rsid w:val="00CD2477"/>
    <w:rsid w:val="00CD27B5"/>
    <w:rsid w:val="00CD28EE"/>
    <w:rsid w:val="00CD2C8E"/>
    <w:rsid w:val="00CD331B"/>
    <w:rsid w:val="00CD3C5E"/>
    <w:rsid w:val="00CD4C29"/>
    <w:rsid w:val="00CD4EFB"/>
    <w:rsid w:val="00CD5215"/>
    <w:rsid w:val="00CD5232"/>
    <w:rsid w:val="00CD584B"/>
    <w:rsid w:val="00CD5926"/>
    <w:rsid w:val="00CD5BE6"/>
    <w:rsid w:val="00CD6030"/>
    <w:rsid w:val="00CD68B8"/>
    <w:rsid w:val="00CD7708"/>
    <w:rsid w:val="00CD7A1E"/>
    <w:rsid w:val="00CE05B7"/>
    <w:rsid w:val="00CE072A"/>
    <w:rsid w:val="00CE0F59"/>
    <w:rsid w:val="00CE1C07"/>
    <w:rsid w:val="00CE1E4D"/>
    <w:rsid w:val="00CE2210"/>
    <w:rsid w:val="00CE2698"/>
    <w:rsid w:val="00CE26BE"/>
    <w:rsid w:val="00CE2B8A"/>
    <w:rsid w:val="00CE3857"/>
    <w:rsid w:val="00CE393E"/>
    <w:rsid w:val="00CE49C6"/>
    <w:rsid w:val="00CE5320"/>
    <w:rsid w:val="00CE5DDA"/>
    <w:rsid w:val="00CE6062"/>
    <w:rsid w:val="00CE6B98"/>
    <w:rsid w:val="00CE7627"/>
    <w:rsid w:val="00CF0301"/>
    <w:rsid w:val="00CF09A9"/>
    <w:rsid w:val="00CF11BB"/>
    <w:rsid w:val="00CF1907"/>
    <w:rsid w:val="00CF2577"/>
    <w:rsid w:val="00CF2AE6"/>
    <w:rsid w:val="00CF338B"/>
    <w:rsid w:val="00CF39B9"/>
    <w:rsid w:val="00CF3A54"/>
    <w:rsid w:val="00CF4D2D"/>
    <w:rsid w:val="00CF584B"/>
    <w:rsid w:val="00CF5A20"/>
    <w:rsid w:val="00CF5F32"/>
    <w:rsid w:val="00CF601E"/>
    <w:rsid w:val="00CF6870"/>
    <w:rsid w:val="00CF6ADB"/>
    <w:rsid w:val="00CF6B80"/>
    <w:rsid w:val="00CF6CCE"/>
    <w:rsid w:val="00CF6E1D"/>
    <w:rsid w:val="00CF6F28"/>
    <w:rsid w:val="00CF6F89"/>
    <w:rsid w:val="00CF7539"/>
    <w:rsid w:val="00CF7985"/>
    <w:rsid w:val="00CF7FC8"/>
    <w:rsid w:val="00D000D6"/>
    <w:rsid w:val="00D00986"/>
    <w:rsid w:val="00D00E87"/>
    <w:rsid w:val="00D01396"/>
    <w:rsid w:val="00D01867"/>
    <w:rsid w:val="00D01903"/>
    <w:rsid w:val="00D01CC8"/>
    <w:rsid w:val="00D023C2"/>
    <w:rsid w:val="00D02B26"/>
    <w:rsid w:val="00D02D1D"/>
    <w:rsid w:val="00D02DF6"/>
    <w:rsid w:val="00D03446"/>
    <w:rsid w:val="00D03607"/>
    <w:rsid w:val="00D0385B"/>
    <w:rsid w:val="00D03A70"/>
    <w:rsid w:val="00D03F4B"/>
    <w:rsid w:val="00D04951"/>
    <w:rsid w:val="00D04BA2"/>
    <w:rsid w:val="00D04C63"/>
    <w:rsid w:val="00D04D9A"/>
    <w:rsid w:val="00D05256"/>
    <w:rsid w:val="00D05A3E"/>
    <w:rsid w:val="00D05D35"/>
    <w:rsid w:val="00D0642F"/>
    <w:rsid w:val="00D069F5"/>
    <w:rsid w:val="00D06BD0"/>
    <w:rsid w:val="00D07280"/>
    <w:rsid w:val="00D0741E"/>
    <w:rsid w:val="00D0750A"/>
    <w:rsid w:val="00D07755"/>
    <w:rsid w:val="00D07925"/>
    <w:rsid w:val="00D079E7"/>
    <w:rsid w:val="00D07AD8"/>
    <w:rsid w:val="00D07F02"/>
    <w:rsid w:val="00D1053B"/>
    <w:rsid w:val="00D108F0"/>
    <w:rsid w:val="00D11075"/>
    <w:rsid w:val="00D11799"/>
    <w:rsid w:val="00D11FD9"/>
    <w:rsid w:val="00D12DDA"/>
    <w:rsid w:val="00D1369F"/>
    <w:rsid w:val="00D14061"/>
    <w:rsid w:val="00D1417A"/>
    <w:rsid w:val="00D14C94"/>
    <w:rsid w:val="00D14E03"/>
    <w:rsid w:val="00D156D2"/>
    <w:rsid w:val="00D1570A"/>
    <w:rsid w:val="00D15A9A"/>
    <w:rsid w:val="00D15BEA"/>
    <w:rsid w:val="00D15E44"/>
    <w:rsid w:val="00D15EE7"/>
    <w:rsid w:val="00D16B67"/>
    <w:rsid w:val="00D16B90"/>
    <w:rsid w:val="00D17248"/>
    <w:rsid w:val="00D17277"/>
    <w:rsid w:val="00D17384"/>
    <w:rsid w:val="00D1751F"/>
    <w:rsid w:val="00D17955"/>
    <w:rsid w:val="00D17A41"/>
    <w:rsid w:val="00D204E1"/>
    <w:rsid w:val="00D20869"/>
    <w:rsid w:val="00D20BBD"/>
    <w:rsid w:val="00D2126B"/>
    <w:rsid w:val="00D215A5"/>
    <w:rsid w:val="00D21A0F"/>
    <w:rsid w:val="00D21B15"/>
    <w:rsid w:val="00D21DF8"/>
    <w:rsid w:val="00D21EE9"/>
    <w:rsid w:val="00D21FAB"/>
    <w:rsid w:val="00D220D0"/>
    <w:rsid w:val="00D2243B"/>
    <w:rsid w:val="00D224E7"/>
    <w:rsid w:val="00D23173"/>
    <w:rsid w:val="00D23203"/>
    <w:rsid w:val="00D23852"/>
    <w:rsid w:val="00D244AA"/>
    <w:rsid w:val="00D24758"/>
    <w:rsid w:val="00D256B6"/>
    <w:rsid w:val="00D2599A"/>
    <w:rsid w:val="00D25C6B"/>
    <w:rsid w:val="00D25DFD"/>
    <w:rsid w:val="00D25FB4"/>
    <w:rsid w:val="00D26A34"/>
    <w:rsid w:val="00D26EC8"/>
    <w:rsid w:val="00D2722E"/>
    <w:rsid w:val="00D275AF"/>
    <w:rsid w:val="00D27616"/>
    <w:rsid w:val="00D30438"/>
    <w:rsid w:val="00D304FD"/>
    <w:rsid w:val="00D305D6"/>
    <w:rsid w:val="00D31168"/>
    <w:rsid w:val="00D318A2"/>
    <w:rsid w:val="00D31900"/>
    <w:rsid w:val="00D3192E"/>
    <w:rsid w:val="00D32057"/>
    <w:rsid w:val="00D32A97"/>
    <w:rsid w:val="00D32B6B"/>
    <w:rsid w:val="00D32CD5"/>
    <w:rsid w:val="00D33063"/>
    <w:rsid w:val="00D33235"/>
    <w:rsid w:val="00D3354E"/>
    <w:rsid w:val="00D33B3F"/>
    <w:rsid w:val="00D3404C"/>
    <w:rsid w:val="00D3428C"/>
    <w:rsid w:val="00D342E0"/>
    <w:rsid w:val="00D34C82"/>
    <w:rsid w:val="00D35398"/>
    <w:rsid w:val="00D354B5"/>
    <w:rsid w:val="00D357D5"/>
    <w:rsid w:val="00D35937"/>
    <w:rsid w:val="00D35D52"/>
    <w:rsid w:val="00D35D60"/>
    <w:rsid w:val="00D36553"/>
    <w:rsid w:val="00D36819"/>
    <w:rsid w:val="00D36C48"/>
    <w:rsid w:val="00D37C41"/>
    <w:rsid w:val="00D37DA2"/>
    <w:rsid w:val="00D40491"/>
    <w:rsid w:val="00D40783"/>
    <w:rsid w:val="00D40ED8"/>
    <w:rsid w:val="00D41EC2"/>
    <w:rsid w:val="00D4344A"/>
    <w:rsid w:val="00D43501"/>
    <w:rsid w:val="00D43E01"/>
    <w:rsid w:val="00D442C7"/>
    <w:rsid w:val="00D442EE"/>
    <w:rsid w:val="00D447B1"/>
    <w:rsid w:val="00D44A0B"/>
    <w:rsid w:val="00D44DA1"/>
    <w:rsid w:val="00D4552C"/>
    <w:rsid w:val="00D459B7"/>
    <w:rsid w:val="00D45ECB"/>
    <w:rsid w:val="00D46038"/>
    <w:rsid w:val="00D46D0D"/>
    <w:rsid w:val="00D47093"/>
    <w:rsid w:val="00D4722B"/>
    <w:rsid w:val="00D4790C"/>
    <w:rsid w:val="00D47A99"/>
    <w:rsid w:val="00D47FBB"/>
    <w:rsid w:val="00D5052E"/>
    <w:rsid w:val="00D506BA"/>
    <w:rsid w:val="00D50C43"/>
    <w:rsid w:val="00D50E28"/>
    <w:rsid w:val="00D518C5"/>
    <w:rsid w:val="00D51DEF"/>
    <w:rsid w:val="00D523BD"/>
    <w:rsid w:val="00D531FE"/>
    <w:rsid w:val="00D53C34"/>
    <w:rsid w:val="00D53D51"/>
    <w:rsid w:val="00D541A5"/>
    <w:rsid w:val="00D5492C"/>
    <w:rsid w:val="00D55748"/>
    <w:rsid w:val="00D557C4"/>
    <w:rsid w:val="00D55E63"/>
    <w:rsid w:val="00D56002"/>
    <w:rsid w:val="00D5637E"/>
    <w:rsid w:val="00D566DB"/>
    <w:rsid w:val="00D57440"/>
    <w:rsid w:val="00D57886"/>
    <w:rsid w:val="00D57A81"/>
    <w:rsid w:val="00D57FBC"/>
    <w:rsid w:val="00D6114B"/>
    <w:rsid w:val="00D6147A"/>
    <w:rsid w:val="00D6199D"/>
    <w:rsid w:val="00D61A65"/>
    <w:rsid w:val="00D61F13"/>
    <w:rsid w:val="00D62AAD"/>
    <w:rsid w:val="00D62EC2"/>
    <w:rsid w:val="00D631BF"/>
    <w:rsid w:val="00D63333"/>
    <w:rsid w:val="00D63B6C"/>
    <w:rsid w:val="00D64107"/>
    <w:rsid w:val="00D645DB"/>
    <w:rsid w:val="00D64DD2"/>
    <w:rsid w:val="00D64E6E"/>
    <w:rsid w:val="00D6548F"/>
    <w:rsid w:val="00D655D6"/>
    <w:rsid w:val="00D65E75"/>
    <w:rsid w:val="00D66123"/>
    <w:rsid w:val="00D662C0"/>
    <w:rsid w:val="00D662D3"/>
    <w:rsid w:val="00D6662E"/>
    <w:rsid w:val="00D66B6A"/>
    <w:rsid w:val="00D66B84"/>
    <w:rsid w:val="00D66F6E"/>
    <w:rsid w:val="00D67646"/>
    <w:rsid w:val="00D67927"/>
    <w:rsid w:val="00D67BD6"/>
    <w:rsid w:val="00D67CB5"/>
    <w:rsid w:val="00D70F3B"/>
    <w:rsid w:val="00D7124E"/>
    <w:rsid w:val="00D717DF"/>
    <w:rsid w:val="00D71F2A"/>
    <w:rsid w:val="00D7212C"/>
    <w:rsid w:val="00D727DA"/>
    <w:rsid w:val="00D72A88"/>
    <w:rsid w:val="00D72AF4"/>
    <w:rsid w:val="00D72E5E"/>
    <w:rsid w:val="00D72EB5"/>
    <w:rsid w:val="00D72F1E"/>
    <w:rsid w:val="00D73B92"/>
    <w:rsid w:val="00D7414E"/>
    <w:rsid w:val="00D74531"/>
    <w:rsid w:val="00D75218"/>
    <w:rsid w:val="00D754AA"/>
    <w:rsid w:val="00D75662"/>
    <w:rsid w:val="00D7605C"/>
    <w:rsid w:val="00D761FF"/>
    <w:rsid w:val="00D76250"/>
    <w:rsid w:val="00D7635C"/>
    <w:rsid w:val="00D76624"/>
    <w:rsid w:val="00D7682D"/>
    <w:rsid w:val="00D76847"/>
    <w:rsid w:val="00D76E4B"/>
    <w:rsid w:val="00D7737E"/>
    <w:rsid w:val="00D77531"/>
    <w:rsid w:val="00D77722"/>
    <w:rsid w:val="00D77C83"/>
    <w:rsid w:val="00D77E3E"/>
    <w:rsid w:val="00D77F1B"/>
    <w:rsid w:val="00D80654"/>
    <w:rsid w:val="00D8173E"/>
    <w:rsid w:val="00D8189D"/>
    <w:rsid w:val="00D81A95"/>
    <w:rsid w:val="00D82017"/>
    <w:rsid w:val="00D829A6"/>
    <w:rsid w:val="00D83081"/>
    <w:rsid w:val="00D835C0"/>
    <w:rsid w:val="00D83929"/>
    <w:rsid w:val="00D83B6A"/>
    <w:rsid w:val="00D854D1"/>
    <w:rsid w:val="00D85DC8"/>
    <w:rsid w:val="00D86104"/>
    <w:rsid w:val="00D86921"/>
    <w:rsid w:val="00D86B0B"/>
    <w:rsid w:val="00D86E26"/>
    <w:rsid w:val="00D87071"/>
    <w:rsid w:val="00D876F6"/>
    <w:rsid w:val="00D87C96"/>
    <w:rsid w:val="00D90E45"/>
    <w:rsid w:val="00D91A3E"/>
    <w:rsid w:val="00D91FB7"/>
    <w:rsid w:val="00D91FFC"/>
    <w:rsid w:val="00D92C14"/>
    <w:rsid w:val="00D92D56"/>
    <w:rsid w:val="00D93005"/>
    <w:rsid w:val="00D93223"/>
    <w:rsid w:val="00D93690"/>
    <w:rsid w:val="00D93882"/>
    <w:rsid w:val="00D9389B"/>
    <w:rsid w:val="00D93DAE"/>
    <w:rsid w:val="00D944F9"/>
    <w:rsid w:val="00D948AC"/>
    <w:rsid w:val="00D94A61"/>
    <w:rsid w:val="00D94F1B"/>
    <w:rsid w:val="00D95253"/>
    <w:rsid w:val="00D95282"/>
    <w:rsid w:val="00D9542C"/>
    <w:rsid w:val="00D957ED"/>
    <w:rsid w:val="00D95A5A"/>
    <w:rsid w:val="00D95D05"/>
    <w:rsid w:val="00D95F9E"/>
    <w:rsid w:val="00D9617A"/>
    <w:rsid w:val="00D9637A"/>
    <w:rsid w:val="00D96710"/>
    <w:rsid w:val="00D96C5A"/>
    <w:rsid w:val="00D96D68"/>
    <w:rsid w:val="00D96F4B"/>
    <w:rsid w:val="00D974A2"/>
    <w:rsid w:val="00D97FFB"/>
    <w:rsid w:val="00DA04F4"/>
    <w:rsid w:val="00DA096A"/>
    <w:rsid w:val="00DA0C0C"/>
    <w:rsid w:val="00DA0E16"/>
    <w:rsid w:val="00DA10FE"/>
    <w:rsid w:val="00DA1192"/>
    <w:rsid w:val="00DA13A9"/>
    <w:rsid w:val="00DA1751"/>
    <w:rsid w:val="00DA1BC0"/>
    <w:rsid w:val="00DA2E35"/>
    <w:rsid w:val="00DA2E8D"/>
    <w:rsid w:val="00DA3288"/>
    <w:rsid w:val="00DA3C01"/>
    <w:rsid w:val="00DA3CC0"/>
    <w:rsid w:val="00DA4365"/>
    <w:rsid w:val="00DA4416"/>
    <w:rsid w:val="00DA4557"/>
    <w:rsid w:val="00DA4563"/>
    <w:rsid w:val="00DA45B5"/>
    <w:rsid w:val="00DA45E3"/>
    <w:rsid w:val="00DA54DF"/>
    <w:rsid w:val="00DA550F"/>
    <w:rsid w:val="00DA57C3"/>
    <w:rsid w:val="00DA58D2"/>
    <w:rsid w:val="00DA6591"/>
    <w:rsid w:val="00DA7E56"/>
    <w:rsid w:val="00DA7EC7"/>
    <w:rsid w:val="00DB0828"/>
    <w:rsid w:val="00DB0899"/>
    <w:rsid w:val="00DB0D4A"/>
    <w:rsid w:val="00DB1074"/>
    <w:rsid w:val="00DB135E"/>
    <w:rsid w:val="00DB17B6"/>
    <w:rsid w:val="00DB1887"/>
    <w:rsid w:val="00DB1BA6"/>
    <w:rsid w:val="00DB2C5F"/>
    <w:rsid w:val="00DB2F1B"/>
    <w:rsid w:val="00DB35F4"/>
    <w:rsid w:val="00DB3E2A"/>
    <w:rsid w:val="00DB3F4F"/>
    <w:rsid w:val="00DB526D"/>
    <w:rsid w:val="00DB5993"/>
    <w:rsid w:val="00DB5CE5"/>
    <w:rsid w:val="00DB5D4C"/>
    <w:rsid w:val="00DB642C"/>
    <w:rsid w:val="00DB6610"/>
    <w:rsid w:val="00DB7275"/>
    <w:rsid w:val="00DB73CF"/>
    <w:rsid w:val="00DB74B7"/>
    <w:rsid w:val="00DB75F2"/>
    <w:rsid w:val="00DC0D9F"/>
    <w:rsid w:val="00DC1283"/>
    <w:rsid w:val="00DC1BF1"/>
    <w:rsid w:val="00DC2224"/>
    <w:rsid w:val="00DC2DE8"/>
    <w:rsid w:val="00DC33F5"/>
    <w:rsid w:val="00DC3CAD"/>
    <w:rsid w:val="00DC4025"/>
    <w:rsid w:val="00DC429E"/>
    <w:rsid w:val="00DC4849"/>
    <w:rsid w:val="00DC4F62"/>
    <w:rsid w:val="00DC50D7"/>
    <w:rsid w:val="00DC520D"/>
    <w:rsid w:val="00DC522A"/>
    <w:rsid w:val="00DC5290"/>
    <w:rsid w:val="00DC54AB"/>
    <w:rsid w:val="00DC5922"/>
    <w:rsid w:val="00DC5A83"/>
    <w:rsid w:val="00DC5F5D"/>
    <w:rsid w:val="00DC65C4"/>
    <w:rsid w:val="00DC683F"/>
    <w:rsid w:val="00DC69D6"/>
    <w:rsid w:val="00DC6CD6"/>
    <w:rsid w:val="00DC70D0"/>
    <w:rsid w:val="00DC7B2C"/>
    <w:rsid w:val="00DC7D89"/>
    <w:rsid w:val="00DC7F31"/>
    <w:rsid w:val="00DC7F77"/>
    <w:rsid w:val="00DD02DF"/>
    <w:rsid w:val="00DD07BE"/>
    <w:rsid w:val="00DD0B08"/>
    <w:rsid w:val="00DD0B1E"/>
    <w:rsid w:val="00DD0E1C"/>
    <w:rsid w:val="00DD0E7A"/>
    <w:rsid w:val="00DD1EE5"/>
    <w:rsid w:val="00DD2839"/>
    <w:rsid w:val="00DD285A"/>
    <w:rsid w:val="00DD3E0B"/>
    <w:rsid w:val="00DD434E"/>
    <w:rsid w:val="00DD4EE7"/>
    <w:rsid w:val="00DD515A"/>
    <w:rsid w:val="00DD63C3"/>
    <w:rsid w:val="00DD6CF4"/>
    <w:rsid w:val="00DD6DFE"/>
    <w:rsid w:val="00DD6E94"/>
    <w:rsid w:val="00DD7232"/>
    <w:rsid w:val="00DD78CD"/>
    <w:rsid w:val="00DD7AAD"/>
    <w:rsid w:val="00DD7ACD"/>
    <w:rsid w:val="00DD7CED"/>
    <w:rsid w:val="00DE00EE"/>
    <w:rsid w:val="00DE0443"/>
    <w:rsid w:val="00DE0AC4"/>
    <w:rsid w:val="00DE119A"/>
    <w:rsid w:val="00DE1295"/>
    <w:rsid w:val="00DE23F3"/>
    <w:rsid w:val="00DE2E61"/>
    <w:rsid w:val="00DE3693"/>
    <w:rsid w:val="00DE392B"/>
    <w:rsid w:val="00DE395D"/>
    <w:rsid w:val="00DE3EA9"/>
    <w:rsid w:val="00DE3FB4"/>
    <w:rsid w:val="00DE465B"/>
    <w:rsid w:val="00DE46AA"/>
    <w:rsid w:val="00DE4724"/>
    <w:rsid w:val="00DE53F8"/>
    <w:rsid w:val="00DE575E"/>
    <w:rsid w:val="00DE5E9D"/>
    <w:rsid w:val="00DE6192"/>
    <w:rsid w:val="00DE6813"/>
    <w:rsid w:val="00DE798C"/>
    <w:rsid w:val="00DE7B13"/>
    <w:rsid w:val="00DE7D47"/>
    <w:rsid w:val="00DE7EB1"/>
    <w:rsid w:val="00DE7FC5"/>
    <w:rsid w:val="00DF073A"/>
    <w:rsid w:val="00DF077F"/>
    <w:rsid w:val="00DF0935"/>
    <w:rsid w:val="00DF0A23"/>
    <w:rsid w:val="00DF0DE1"/>
    <w:rsid w:val="00DF0E3C"/>
    <w:rsid w:val="00DF0F50"/>
    <w:rsid w:val="00DF10DF"/>
    <w:rsid w:val="00DF1222"/>
    <w:rsid w:val="00DF128E"/>
    <w:rsid w:val="00DF1327"/>
    <w:rsid w:val="00DF1343"/>
    <w:rsid w:val="00DF17AA"/>
    <w:rsid w:val="00DF196C"/>
    <w:rsid w:val="00DF1CEF"/>
    <w:rsid w:val="00DF1D9C"/>
    <w:rsid w:val="00DF1DBE"/>
    <w:rsid w:val="00DF1FFC"/>
    <w:rsid w:val="00DF20F8"/>
    <w:rsid w:val="00DF2E50"/>
    <w:rsid w:val="00DF36F0"/>
    <w:rsid w:val="00DF3C39"/>
    <w:rsid w:val="00DF3CD5"/>
    <w:rsid w:val="00DF3E11"/>
    <w:rsid w:val="00DF3E5C"/>
    <w:rsid w:val="00DF4698"/>
    <w:rsid w:val="00DF47CA"/>
    <w:rsid w:val="00DF518E"/>
    <w:rsid w:val="00DF5336"/>
    <w:rsid w:val="00DF5B05"/>
    <w:rsid w:val="00DF61A5"/>
    <w:rsid w:val="00DF6276"/>
    <w:rsid w:val="00DF629A"/>
    <w:rsid w:val="00DF6477"/>
    <w:rsid w:val="00DF6541"/>
    <w:rsid w:val="00DF6A5C"/>
    <w:rsid w:val="00DF6D57"/>
    <w:rsid w:val="00DF6F37"/>
    <w:rsid w:val="00DF722D"/>
    <w:rsid w:val="00DF7BC3"/>
    <w:rsid w:val="00DF7FF2"/>
    <w:rsid w:val="00E0048C"/>
    <w:rsid w:val="00E012AD"/>
    <w:rsid w:val="00E0166E"/>
    <w:rsid w:val="00E01B48"/>
    <w:rsid w:val="00E021B0"/>
    <w:rsid w:val="00E0285A"/>
    <w:rsid w:val="00E03614"/>
    <w:rsid w:val="00E0505F"/>
    <w:rsid w:val="00E050EC"/>
    <w:rsid w:val="00E05637"/>
    <w:rsid w:val="00E0612B"/>
    <w:rsid w:val="00E06173"/>
    <w:rsid w:val="00E06287"/>
    <w:rsid w:val="00E10AAB"/>
    <w:rsid w:val="00E10F1B"/>
    <w:rsid w:val="00E1187D"/>
    <w:rsid w:val="00E119BE"/>
    <w:rsid w:val="00E12ADB"/>
    <w:rsid w:val="00E12E4B"/>
    <w:rsid w:val="00E1318A"/>
    <w:rsid w:val="00E134F0"/>
    <w:rsid w:val="00E13C4C"/>
    <w:rsid w:val="00E13DAA"/>
    <w:rsid w:val="00E14B77"/>
    <w:rsid w:val="00E153A0"/>
    <w:rsid w:val="00E154C7"/>
    <w:rsid w:val="00E15B55"/>
    <w:rsid w:val="00E15D24"/>
    <w:rsid w:val="00E1680E"/>
    <w:rsid w:val="00E168C1"/>
    <w:rsid w:val="00E1763C"/>
    <w:rsid w:val="00E200A3"/>
    <w:rsid w:val="00E20117"/>
    <w:rsid w:val="00E202C2"/>
    <w:rsid w:val="00E20521"/>
    <w:rsid w:val="00E20A03"/>
    <w:rsid w:val="00E21116"/>
    <w:rsid w:val="00E216EE"/>
    <w:rsid w:val="00E21C16"/>
    <w:rsid w:val="00E21E88"/>
    <w:rsid w:val="00E21E8F"/>
    <w:rsid w:val="00E21E98"/>
    <w:rsid w:val="00E22694"/>
    <w:rsid w:val="00E226BC"/>
    <w:rsid w:val="00E22A49"/>
    <w:rsid w:val="00E233D8"/>
    <w:rsid w:val="00E23426"/>
    <w:rsid w:val="00E24551"/>
    <w:rsid w:val="00E2474E"/>
    <w:rsid w:val="00E24BCB"/>
    <w:rsid w:val="00E25FB9"/>
    <w:rsid w:val="00E2635E"/>
    <w:rsid w:val="00E276D2"/>
    <w:rsid w:val="00E27E75"/>
    <w:rsid w:val="00E27FC8"/>
    <w:rsid w:val="00E300BE"/>
    <w:rsid w:val="00E30373"/>
    <w:rsid w:val="00E30398"/>
    <w:rsid w:val="00E308CC"/>
    <w:rsid w:val="00E30E9B"/>
    <w:rsid w:val="00E310BA"/>
    <w:rsid w:val="00E3132F"/>
    <w:rsid w:val="00E316EB"/>
    <w:rsid w:val="00E31B49"/>
    <w:rsid w:val="00E32884"/>
    <w:rsid w:val="00E328DB"/>
    <w:rsid w:val="00E328E2"/>
    <w:rsid w:val="00E3292B"/>
    <w:rsid w:val="00E333EF"/>
    <w:rsid w:val="00E335E9"/>
    <w:rsid w:val="00E33A14"/>
    <w:rsid w:val="00E33AA1"/>
    <w:rsid w:val="00E33D38"/>
    <w:rsid w:val="00E33FA6"/>
    <w:rsid w:val="00E34055"/>
    <w:rsid w:val="00E343C2"/>
    <w:rsid w:val="00E34445"/>
    <w:rsid w:val="00E34662"/>
    <w:rsid w:val="00E34873"/>
    <w:rsid w:val="00E349AB"/>
    <w:rsid w:val="00E34B7A"/>
    <w:rsid w:val="00E352E6"/>
    <w:rsid w:val="00E35454"/>
    <w:rsid w:val="00E359AE"/>
    <w:rsid w:val="00E35E1A"/>
    <w:rsid w:val="00E37213"/>
    <w:rsid w:val="00E375A6"/>
    <w:rsid w:val="00E37D58"/>
    <w:rsid w:val="00E37F35"/>
    <w:rsid w:val="00E37FAB"/>
    <w:rsid w:val="00E4000B"/>
    <w:rsid w:val="00E40150"/>
    <w:rsid w:val="00E40288"/>
    <w:rsid w:val="00E40A25"/>
    <w:rsid w:val="00E40C1D"/>
    <w:rsid w:val="00E4113C"/>
    <w:rsid w:val="00E41DCF"/>
    <w:rsid w:val="00E42576"/>
    <w:rsid w:val="00E42CD8"/>
    <w:rsid w:val="00E42F9D"/>
    <w:rsid w:val="00E4306C"/>
    <w:rsid w:val="00E43600"/>
    <w:rsid w:val="00E43645"/>
    <w:rsid w:val="00E439AC"/>
    <w:rsid w:val="00E4496C"/>
    <w:rsid w:val="00E44DAE"/>
    <w:rsid w:val="00E45083"/>
    <w:rsid w:val="00E450FF"/>
    <w:rsid w:val="00E4515C"/>
    <w:rsid w:val="00E45AAF"/>
    <w:rsid w:val="00E45DE0"/>
    <w:rsid w:val="00E46060"/>
    <w:rsid w:val="00E46A77"/>
    <w:rsid w:val="00E472EE"/>
    <w:rsid w:val="00E47502"/>
    <w:rsid w:val="00E4775F"/>
    <w:rsid w:val="00E47DBC"/>
    <w:rsid w:val="00E50072"/>
    <w:rsid w:val="00E505F7"/>
    <w:rsid w:val="00E50C24"/>
    <w:rsid w:val="00E51857"/>
    <w:rsid w:val="00E51912"/>
    <w:rsid w:val="00E51C30"/>
    <w:rsid w:val="00E521C4"/>
    <w:rsid w:val="00E525A6"/>
    <w:rsid w:val="00E52836"/>
    <w:rsid w:val="00E52B78"/>
    <w:rsid w:val="00E52B96"/>
    <w:rsid w:val="00E52F60"/>
    <w:rsid w:val="00E52F8C"/>
    <w:rsid w:val="00E530C9"/>
    <w:rsid w:val="00E537E2"/>
    <w:rsid w:val="00E54604"/>
    <w:rsid w:val="00E54E44"/>
    <w:rsid w:val="00E5590E"/>
    <w:rsid w:val="00E55BCD"/>
    <w:rsid w:val="00E55FE4"/>
    <w:rsid w:val="00E5686B"/>
    <w:rsid w:val="00E5688A"/>
    <w:rsid w:val="00E56AAA"/>
    <w:rsid w:val="00E57044"/>
    <w:rsid w:val="00E571B6"/>
    <w:rsid w:val="00E57876"/>
    <w:rsid w:val="00E61754"/>
    <w:rsid w:val="00E61A83"/>
    <w:rsid w:val="00E6251B"/>
    <w:rsid w:val="00E6390A"/>
    <w:rsid w:val="00E6390D"/>
    <w:rsid w:val="00E646B6"/>
    <w:rsid w:val="00E64E7C"/>
    <w:rsid w:val="00E6545C"/>
    <w:rsid w:val="00E66B63"/>
    <w:rsid w:val="00E66F19"/>
    <w:rsid w:val="00E67128"/>
    <w:rsid w:val="00E67189"/>
    <w:rsid w:val="00E67B5A"/>
    <w:rsid w:val="00E67CF8"/>
    <w:rsid w:val="00E7060C"/>
    <w:rsid w:val="00E70A42"/>
    <w:rsid w:val="00E70B53"/>
    <w:rsid w:val="00E70CFD"/>
    <w:rsid w:val="00E7118E"/>
    <w:rsid w:val="00E7124A"/>
    <w:rsid w:val="00E7144F"/>
    <w:rsid w:val="00E715EE"/>
    <w:rsid w:val="00E71F33"/>
    <w:rsid w:val="00E720DC"/>
    <w:rsid w:val="00E72614"/>
    <w:rsid w:val="00E7274E"/>
    <w:rsid w:val="00E7278A"/>
    <w:rsid w:val="00E7286D"/>
    <w:rsid w:val="00E72989"/>
    <w:rsid w:val="00E72DBB"/>
    <w:rsid w:val="00E732FE"/>
    <w:rsid w:val="00E735DC"/>
    <w:rsid w:val="00E736D4"/>
    <w:rsid w:val="00E74372"/>
    <w:rsid w:val="00E74418"/>
    <w:rsid w:val="00E74605"/>
    <w:rsid w:val="00E74633"/>
    <w:rsid w:val="00E74CE0"/>
    <w:rsid w:val="00E74FA5"/>
    <w:rsid w:val="00E75802"/>
    <w:rsid w:val="00E75ECB"/>
    <w:rsid w:val="00E7611B"/>
    <w:rsid w:val="00E7621F"/>
    <w:rsid w:val="00E76B71"/>
    <w:rsid w:val="00E76B87"/>
    <w:rsid w:val="00E76E60"/>
    <w:rsid w:val="00E770EA"/>
    <w:rsid w:val="00E7725A"/>
    <w:rsid w:val="00E80090"/>
    <w:rsid w:val="00E805EE"/>
    <w:rsid w:val="00E812ED"/>
    <w:rsid w:val="00E813B2"/>
    <w:rsid w:val="00E8172D"/>
    <w:rsid w:val="00E827F6"/>
    <w:rsid w:val="00E8296F"/>
    <w:rsid w:val="00E82C7E"/>
    <w:rsid w:val="00E82EAF"/>
    <w:rsid w:val="00E830A7"/>
    <w:rsid w:val="00E83A11"/>
    <w:rsid w:val="00E83A5E"/>
    <w:rsid w:val="00E83B7D"/>
    <w:rsid w:val="00E83C4B"/>
    <w:rsid w:val="00E84002"/>
    <w:rsid w:val="00E84B2B"/>
    <w:rsid w:val="00E856B9"/>
    <w:rsid w:val="00E85D29"/>
    <w:rsid w:val="00E85DAA"/>
    <w:rsid w:val="00E863E4"/>
    <w:rsid w:val="00E864F6"/>
    <w:rsid w:val="00E866BB"/>
    <w:rsid w:val="00E86F8D"/>
    <w:rsid w:val="00E87562"/>
    <w:rsid w:val="00E878D3"/>
    <w:rsid w:val="00E8790D"/>
    <w:rsid w:val="00E900B2"/>
    <w:rsid w:val="00E9015B"/>
    <w:rsid w:val="00E91A09"/>
    <w:rsid w:val="00E91F6A"/>
    <w:rsid w:val="00E922A0"/>
    <w:rsid w:val="00E924AE"/>
    <w:rsid w:val="00E92548"/>
    <w:rsid w:val="00E92573"/>
    <w:rsid w:val="00E92763"/>
    <w:rsid w:val="00E927C9"/>
    <w:rsid w:val="00E92CE3"/>
    <w:rsid w:val="00E92DE3"/>
    <w:rsid w:val="00E92F24"/>
    <w:rsid w:val="00E93687"/>
    <w:rsid w:val="00E936A9"/>
    <w:rsid w:val="00E93A16"/>
    <w:rsid w:val="00E94264"/>
    <w:rsid w:val="00E944F9"/>
    <w:rsid w:val="00E945F3"/>
    <w:rsid w:val="00E94A37"/>
    <w:rsid w:val="00E952B1"/>
    <w:rsid w:val="00E954CA"/>
    <w:rsid w:val="00E95E99"/>
    <w:rsid w:val="00E95F45"/>
    <w:rsid w:val="00E965CA"/>
    <w:rsid w:val="00E96E50"/>
    <w:rsid w:val="00E97CBB"/>
    <w:rsid w:val="00EA04CE"/>
    <w:rsid w:val="00EA0A22"/>
    <w:rsid w:val="00EA0B7B"/>
    <w:rsid w:val="00EA11A2"/>
    <w:rsid w:val="00EA122E"/>
    <w:rsid w:val="00EA2033"/>
    <w:rsid w:val="00EA2859"/>
    <w:rsid w:val="00EA2C3B"/>
    <w:rsid w:val="00EA2F64"/>
    <w:rsid w:val="00EA3548"/>
    <w:rsid w:val="00EA3743"/>
    <w:rsid w:val="00EA436F"/>
    <w:rsid w:val="00EA4454"/>
    <w:rsid w:val="00EA48F2"/>
    <w:rsid w:val="00EA4FE1"/>
    <w:rsid w:val="00EA5199"/>
    <w:rsid w:val="00EA547C"/>
    <w:rsid w:val="00EA5987"/>
    <w:rsid w:val="00EA59E4"/>
    <w:rsid w:val="00EA5A6C"/>
    <w:rsid w:val="00EA6ABA"/>
    <w:rsid w:val="00EA6E33"/>
    <w:rsid w:val="00EA729C"/>
    <w:rsid w:val="00EA7577"/>
    <w:rsid w:val="00EA75B7"/>
    <w:rsid w:val="00EA7634"/>
    <w:rsid w:val="00EA7A9D"/>
    <w:rsid w:val="00EA7B18"/>
    <w:rsid w:val="00EA7B58"/>
    <w:rsid w:val="00EB071E"/>
    <w:rsid w:val="00EB0B3C"/>
    <w:rsid w:val="00EB1A34"/>
    <w:rsid w:val="00EB2199"/>
    <w:rsid w:val="00EB25B0"/>
    <w:rsid w:val="00EB311C"/>
    <w:rsid w:val="00EB37D6"/>
    <w:rsid w:val="00EB3841"/>
    <w:rsid w:val="00EB42D8"/>
    <w:rsid w:val="00EB44A8"/>
    <w:rsid w:val="00EB4F30"/>
    <w:rsid w:val="00EB5773"/>
    <w:rsid w:val="00EB5B85"/>
    <w:rsid w:val="00EB5DC0"/>
    <w:rsid w:val="00EB6337"/>
    <w:rsid w:val="00EB65F8"/>
    <w:rsid w:val="00EB6634"/>
    <w:rsid w:val="00EB6638"/>
    <w:rsid w:val="00EB6659"/>
    <w:rsid w:val="00EB6879"/>
    <w:rsid w:val="00EB74D3"/>
    <w:rsid w:val="00EB78DA"/>
    <w:rsid w:val="00EC0504"/>
    <w:rsid w:val="00EC0674"/>
    <w:rsid w:val="00EC06F3"/>
    <w:rsid w:val="00EC0A76"/>
    <w:rsid w:val="00EC0D6C"/>
    <w:rsid w:val="00EC116B"/>
    <w:rsid w:val="00EC156D"/>
    <w:rsid w:val="00EC173A"/>
    <w:rsid w:val="00EC2012"/>
    <w:rsid w:val="00EC2604"/>
    <w:rsid w:val="00EC2B67"/>
    <w:rsid w:val="00EC2D50"/>
    <w:rsid w:val="00EC34D3"/>
    <w:rsid w:val="00EC37C5"/>
    <w:rsid w:val="00EC3DED"/>
    <w:rsid w:val="00EC4287"/>
    <w:rsid w:val="00EC4359"/>
    <w:rsid w:val="00EC4458"/>
    <w:rsid w:val="00EC4715"/>
    <w:rsid w:val="00EC4F6F"/>
    <w:rsid w:val="00EC548B"/>
    <w:rsid w:val="00EC59B2"/>
    <w:rsid w:val="00EC5BAE"/>
    <w:rsid w:val="00EC5DCC"/>
    <w:rsid w:val="00EC677F"/>
    <w:rsid w:val="00EC6857"/>
    <w:rsid w:val="00EC68D0"/>
    <w:rsid w:val="00EC6B96"/>
    <w:rsid w:val="00EC7077"/>
    <w:rsid w:val="00EC7689"/>
    <w:rsid w:val="00EC7B4F"/>
    <w:rsid w:val="00ED1235"/>
    <w:rsid w:val="00ED193B"/>
    <w:rsid w:val="00ED1A79"/>
    <w:rsid w:val="00ED1C4E"/>
    <w:rsid w:val="00ED2019"/>
    <w:rsid w:val="00ED24D0"/>
    <w:rsid w:val="00ED2DA1"/>
    <w:rsid w:val="00ED3824"/>
    <w:rsid w:val="00ED3F64"/>
    <w:rsid w:val="00ED3FDD"/>
    <w:rsid w:val="00ED418F"/>
    <w:rsid w:val="00ED4329"/>
    <w:rsid w:val="00ED4537"/>
    <w:rsid w:val="00ED493C"/>
    <w:rsid w:val="00ED495A"/>
    <w:rsid w:val="00ED4975"/>
    <w:rsid w:val="00ED4D79"/>
    <w:rsid w:val="00ED50FA"/>
    <w:rsid w:val="00ED5140"/>
    <w:rsid w:val="00ED5594"/>
    <w:rsid w:val="00ED5A41"/>
    <w:rsid w:val="00ED5AB4"/>
    <w:rsid w:val="00ED621C"/>
    <w:rsid w:val="00ED6BA5"/>
    <w:rsid w:val="00ED6E99"/>
    <w:rsid w:val="00ED70F5"/>
    <w:rsid w:val="00ED76F7"/>
    <w:rsid w:val="00EE0080"/>
    <w:rsid w:val="00EE06C0"/>
    <w:rsid w:val="00EE0811"/>
    <w:rsid w:val="00EE0C44"/>
    <w:rsid w:val="00EE0E1C"/>
    <w:rsid w:val="00EE1714"/>
    <w:rsid w:val="00EE1FDF"/>
    <w:rsid w:val="00EE212E"/>
    <w:rsid w:val="00EE2132"/>
    <w:rsid w:val="00EE21B3"/>
    <w:rsid w:val="00EE23EB"/>
    <w:rsid w:val="00EE26DF"/>
    <w:rsid w:val="00EE280F"/>
    <w:rsid w:val="00EE2B03"/>
    <w:rsid w:val="00EE2CD4"/>
    <w:rsid w:val="00EE2FF3"/>
    <w:rsid w:val="00EE389B"/>
    <w:rsid w:val="00EE3F3D"/>
    <w:rsid w:val="00EE3F48"/>
    <w:rsid w:val="00EE4C21"/>
    <w:rsid w:val="00EE523F"/>
    <w:rsid w:val="00EE5356"/>
    <w:rsid w:val="00EE5557"/>
    <w:rsid w:val="00EE56D7"/>
    <w:rsid w:val="00EE5DBD"/>
    <w:rsid w:val="00EE6B2B"/>
    <w:rsid w:val="00EE71B2"/>
    <w:rsid w:val="00EE7852"/>
    <w:rsid w:val="00EF07AA"/>
    <w:rsid w:val="00EF1351"/>
    <w:rsid w:val="00EF16CD"/>
    <w:rsid w:val="00EF16FB"/>
    <w:rsid w:val="00EF170D"/>
    <w:rsid w:val="00EF1765"/>
    <w:rsid w:val="00EF17C4"/>
    <w:rsid w:val="00EF188C"/>
    <w:rsid w:val="00EF18ED"/>
    <w:rsid w:val="00EF226A"/>
    <w:rsid w:val="00EF2386"/>
    <w:rsid w:val="00EF2C2B"/>
    <w:rsid w:val="00EF2C40"/>
    <w:rsid w:val="00EF2E4B"/>
    <w:rsid w:val="00EF3D10"/>
    <w:rsid w:val="00EF3D39"/>
    <w:rsid w:val="00EF3E21"/>
    <w:rsid w:val="00EF3E89"/>
    <w:rsid w:val="00EF4C40"/>
    <w:rsid w:val="00EF4E99"/>
    <w:rsid w:val="00EF52F6"/>
    <w:rsid w:val="00EF5950"/>
    <w:rsid w:val="00EF597C"/>
    <w:rsid w:val="00EF5F12"/>
    <w:rsid w:val="00EF62D7"/>
    <w:rsid w:val="00EF6C16"/>
    <w:rsid w:val="00EF6CA5"/>
    <w:rsid w:val="00F00219"/>
    <w:rsid w:val="00F002DB"/>
    <w:rsid w:val="00F00904"/>
    <w:rsid w:val="00F02641"/>
    <w:rsid w:val="00F0341E"/>
    <w:rsid w:val="00F03860"/>
    <w:rsid w:val="00F03E7F"/>
    <w:rsid w:val="00F0445E"/>
    <w:rsid w:val="00F04805"/>
    <w:rsid w:val="00F05381"/>
    <w:rsid w:val="00F058A6"/>
    <w:rsid w:val="00F07328"/>
    <w:rsid w:val="00F07D8D"/>
    <w:rsid w:val="00F10354"/>
    <w:rsid w:val="00F10A5D"/>
    <w:rsid w:val="00F10D43"/>
    <w:rsid w:val="00F10F0C"/>
    <w:rsid w:val="00F11531"/>
    <w:rsid w:val="00F11938"/>
    <w:rsid w:val="00F1199B"/>
    <w:rsid w:val="00F11E54"/>
    <w:rsid w:val="00F126BA"/>
    <w:rsid w:val="00F12AAA"/>
    <w:rsid w:val="00F132D9"/>
    <w:rsid w:val="00F13D9C"/>
    <w:rsid w:val="00F13F22"/>
    <w:rsid w:val="00F148ED"/>
    <w:rsid w:val="00F14B07"/>
    <w:rsid w:val="00F14B99"/>
    <w:rsid w:val="00F14C89"/>
    <w:rsid w:val="00F14F86"/>
    <w:rsid w:val="00F15090"/>
    <w:rsid w:val="00F159CE"/>
    <w:rsid w:val="00F15D34"/>
    <w:rsid w:val="00F16243"/>
    <w:rsid w:val="00F164E4"/>
    <w:rsid w:val="00F169F1"/>
    <w:rsid w:val="00F16C12"/>
    <w:rsid w:val="00F16ED1"/>
    <w:rsid w:val="00F17101"/>
    <w:rsid w:val="00F17340"/>
    <w:rsid w:val="00F177BF"/>
    <w:rsid w:val="00F20606"/>
    <w:rsid w:val="00F21440"/>
    <w:rsid w:val="00F2160D"/>
    <w:rsid w:val="00F216F3"/>
    <w:rsid w:val="00F219F3"/>
    <w:rsid w:val="00F21B48"/>
    <w:rsid w:val="00F21B68"/>
    <w:rsid w:val="00F221D5"/>
    <w:rsid w:val="00F222F5"/>
    <w:rsid w:val="00F22AA6"/>
    <w:rsid w:val="00F22AC7"/>
    <w:rsid w:val="00F22D8E"/>
    <w:rsid w:val="00F23825"/>
    <w:rsid w:val="00F23AD7"/>
    <w:rsid w:val="00F242B6"/>
    <w:rsid w:val="00F24FEB"/>
    <w:rsid w:val="00F25403"/>
    <w:rsid w:val="00F25611"/>
    <w:rsid w:val="00F25F33"/>
    <w:rsid w:val="00F26056"/>
    <w:rsid w:val="00F265EA"/>
    <w:rsid w:val="00F2676A"/>
    <w:rsid w:val="00F26925"/>
    <w:rsid w:val="00F26DCB"/>
    <w:rsid w:val="00F27D90"/>
    <w:rsid w:val="00F30779"/>
    <w:rsid w:val="00F308F2"/>
    <w:rsid w:val="00F30915"/>
    <w:rsid w:val="00F31513"/>
    <w:rsid w:val="00F31795"/>
    <w:rsid w:val="00F318D0"/>
    <w:rsid w:val="00F31985"/>
    <w:rsid w:val="00F323AA"/>
    <w:rsid w:val="00F32947"/>
    <w:rsid w:val="00F32B79"/>
    <w:rsid w:val="00F32DAF"/>
    <w:rsid w:val="00F33170"/>
    <w:rsid w:val="00F331D9"/>
    <w:rsid w:val="00F335AF"/>
    <w:rsid w:val="00F33BF0"/>
    <w:rsid w:val="00F3435B"/>
    <w:rsid w:val="00F345D3"/>
    <w:rsid w:val="00F34C25"/>
    <w:rsid w:val="00F352F6"/>
    <w:rsid w:val="00F35470"/>
    <w:rsid w:val="00F35641"/>
    <w:rsid w:val="00F35AF7"/>
    <w:rsid w:val="00F35BB8"/>
    <w:rsid w:val="00F35FB4"/>
    <w:rsid w:val="00F3626F"/>
    <w:rsid w:val="00F363E4"/>
    <w:rsid w:val="00F36F37"/>
    <w:rsid w:val="00F37D86"/>
    <w:rsid w:val="00F40084"/>
    <w:rsid w:val="00F40257"/>
    <w:rsid w:val="00F40992"/>
    <w:rsid w:val="00F40CDB"/>
    <w:rsid w:val="00F417B6"/>
    <w:rsid w:val="00F418FF"/>
    <w:rsid w:val="00F41B90"/>
    <w:rsid w:val="00F4237B"/>
    <w:rsid w:val="00F426B1"/>
    <w:rsid w:val="00F42865"/>
    <w:rsid w:val="00F43368"/>
    <w:rsid w:val="00F43604"/>
    <w:rsid w:val="00F43DCA"/>
    <w:rsid w:val="00F44064"/>
    <w:rsid w:val="00F4438D"/>
    <w:rsid w:val="00F446E1"/>
    <w:rsid w:val="00F44937"/>
    <w:rsid w:val="00F44D71"/>
    <w:rsid w:val="00F44F3C"/>
    <w:rsid w:val="00F4533D"/>
    <w:rsid w:val="00F45415"/>
    <w:rsid w:val="00F4579F"/>
    <w:rsid w:val="00F4585A"/>
    <w:rsid w:val="00F45ADA"/>
    <w:rsid w:val="00F463F8"/>
    <w:rsid w:val="00F46510"/>
    <w:rsid w:val="00F4658E"/>
    <w:rsid w:val="00F46869"/>
    <w:rsid w:val="00F46E7E"/>
    <w:rsid w:val="00F471A1"/>
    <w:rsid w:val="00F47423"/>
    <w:rsid w:val="00F5061E"/>
    <w:rsid w:val="00F50C16"/>
    <w:rsid w:val="00F50E91"/>
    <w:rsid w:val="00F50F9E"/>
    <w:rsid w:val="00F51244"/>
    <w:rsid w:val="00F51255"/>
    <w:rsid w:val="00F51545"/>
    <w:rsid w:val="00F51890"/>
    <w:rsid w:val="00F51B0E"/>
    <w:rsid w:val="00F51BAD"/>
    <w:rsid w:val="00F51D4E"/>
    <w:rsid w:val="00F52131"/>
    <w:rsid w:val="00F524C1"/>
    <w:rsid w:val="00F52BA9"/>
    <w:rsid w:val="00F54641"/>
    <w:rsid w:val="00F54DA7"/>
    <w:rsid w:val="00F558EC"/>
    <w:rsid w:val="00F56870"/>
    <w:rsid w:val="00F569E6"/>
    <w:rsid w:val="00F57A54"/>
    <w:rsid w:val="00F6152F"/>
    <w:rsid w:val="00F61B12"/>
    <w:rsid w:val="00F61C4B"/>
    <w:rsid w:val="00F61E1A"/>
    <w:rsid w:val="00F6205F"/>
    <w:rsid w:val="00F62094"/>
    <w:rsid w:val="00F6223C"/>
    <w:rsid w:val="00F62406"/>
    <w:rsid w:val="00F62610"/>
    <w:rsid w:val="00F62D7E"/>
    <w:rsid w:val="00F635D8"/>
    <w:rsid w:val="00F6421C"/>
    <w:rsid w:val="00F64C8B"/>
    <w:rsid w:val="00F64F0B"/>
    <w:rsid w:val="00F64F33"/>
    <w:rsid w:val="00F6538E"/>
    <w:rsid w:val="00F657EC"/>
    <w:rsid w:val="00F65FAC"/>
    <w:rsid w:val="00F66118"/>
    <w:rsid w:val="00F66A4A"/>
    <w:rsid w:val="00F673F2"/>
    <w:rsid w:val="00F67525"/>
    <w:rsid w:val="00F6791F"/>
    <w:rsid w:val="00F679EA"/>
    <w:rsid w:val="00F67B43"/>
    <w:rsid w:val="00F67EC1"/>
    <w:rsid w:val="00F67F5E"/>
    <w:rsid w:val="00F70089"/>
    <w:rsid w:val="00F70CA6"/>
    <w:rsid w:val="00F715D2"/>
    <w:rsid w:val="00F71A87"/>
    <w:rsid w:val="00F71ACA"/>
    <w:rsid w:val="00F71C47"/>
    <w:rsid w:val="00F7220D"/>
    <w:rsid w:val="00F72DF0"/>
    <w:rsid w:val="00F72F96"/>
    <w:rsid w:val="00F7360A"/>
    <w:rsid w:val="00F73810"/>
    <w:rsid w:val="00F739EF"/>
    <w:rsid w:val="00F74481"/>
    <w:rsid w:val="00F74B73"/>
    <w:rsid w:val="00F7536D"/>
    <w:rsid w:val="00F756A3"/>
    <w:rsid w:val="00F75962"/>
    <w:rsid w:val="00F75FF9"/>
    <w:rsid w:val="00F76FDE"/>
    <w:rsid w:val="00F773AD"/>
    <w:rsid w:val="00F77404"/>
    <w:rsid w:val="00F7754D"/>
    <w:rsid w:val="00F775A7"/>
    <w:rsid w:val="00F77CBE"/>
    <w:rsid w:val="00F77EFD"/>
    <w:rsid w:val="00F80331"/>
    <w:rsid w:val="00F80A1D"/>
    <w:rsid w:val="00F81B3E"/>
    <w:rsid w:val="00F81BA7"/>
    <w:rsid w:val="00F82199"/>
    <w:rsid w:val="00F82BE5"/>
    <w:rsid w:val="00F82CED"/>
    <w:rsid w:val="00F83083"/>
    <w:rsid w:val="00F8318E"/>
    <w:rsid w:val="00F833CE"/>
    <w:rsid w:val="00F83746"/>
    <w:rsid w:val="00F83C00"/>
    <w:rsid w:val="00F83E42"/>
    <w:rsid w:val="00F84240"/>
    <w:rsid w:val="00F84722"/>
    <w:rsid w:val="00F84913"/>
    <w:rsid w:val="00F84ACC"/>
    <w:rsid w:val="00F84DBE"/>
    <w:rsid w:val="00F85C66"/>
    <w:rsid w:val="00F861A8"/>
    <w:rsid w:val="00F86D79"/>
    <w:rsid w:val="00F870B2"/>
    <w:rsid w:val="00F877E9"/>
    <w:rsid w:val="00F878A4"/>
    <w:rsid w:val="00F879A5"/>
    <w:rsid w:val="00F903D7"/>
    <w:rsid w:val="00F906F0"/>
    <w:rsid w:val="00F90B86"/>
    <w:rsid w:val="00F90E39"/>
    <w:rsid w:val="00F90E55"/>
    <w:rsid w:val="00F91213"/>
    <w:rsid w:val="00F912AF"/>
    <w:rsid w:val="00F91A4D"/>
    <w:rsid w:val="00F921C6"/>
    <w:rsid w:val="00F9360E"/>
    <w:rsid w:val="00F937CC"/>
    <w:rsid w:val="00F946A5"/>
    <w:rsid w:val="00F946D0"/>
    <w:rsid w:val="00F94A64"/>
    <w:rsid w:val="00F951C7"/>
    <w:rsid w:val="00F959BB"/>
    <w:rsid w:val="00F967B2"/>
    <w:rsid w:val="00F96CBD"/>
    <w:rsid w:val="00F96F76"/>
    <w:rsid w:val="00F97577"/>
    <w:rsid w:val="00F97B54"/>
    <w:rsid w:val="00F97C46"/>
    <w:rsid w:val="00F97DA4"/>
    <w:rsid w:val="00FA025E"/>
    <w:rsid w:val="00FA07B6"/>
    <w:rsid w:val="00FA16F2"/>
    <w:rsid w:val="00FA1FD9"/>
    <w:rsid w:val="00FA22A3"/>
    <w:rsid w:val="00FA2E09"/>
    <w:rsid w:val="00FA2F4C"/>
    <w:rsid w:val="00FA3833"/>
    <w:rsid w:val="00FA419D"/>
    <w:rsid w:val="00FA45F9"/>
    <w:rsid w:val="00FA49C7"/>
    <w:rsid w:val="00FA4B83"/>
    <w:rsid w:val="00FA5A3E"/>
    <w:rsid w:val="00FA5CD9"/>
    <w:rsid w:val="00FA5D6F"/>
    <w:rsid w:val="00FA6395"/>
    <w:rsid w:val="00FA692D"/>
    <w:rsid w:val="00FA6E25"/>
    <w:rsid w:val="00FA7362"/>
    <w:rsid w:val="00FA7450"/>
    <w:rsid w:val="00FA7890"/>
    <w:rsid w:val="00FA7E30"/>
    <w:rsid w:val="00FA7EA5"/>
    <w:rsid w:val="00FB051B"/>
    <w:rsid w:val="00FB10C7"/>
    <w:rsid w:val="00FB17C9"/>
    <w:rsid w:val="00FB19ED"/>
    <w:rsid w:val="00FB32BF"/>
    <w:rsid w:val="00FB32CA"/>
    <w:rsid w:val="00FB3772"/>
    <w:rsid w:val="00FB37E1"/>
    <w:rsid w:val="00FB3F0A"/>
    <w:rsid w:val="00FB456C"/>
    <w:rsid w:val="00FB477A"/>
    <w:rsid w:val="00FB47D8"/>
    <w:rsid w:val="00FB5264"/>
    <w:rsid w:val="00FB5332"/>
    <w:rsid w:val="00FB58BA"/>
    <w:rsid w:val="00FB62E9"/>
    <w:rsid w:val="00FB65CA"/>
    <w:rsid w:val="00FB7BA3"/>
    <w:rsid w:val="00FC02C7"/>
    <w:rsid w:val="00FC032B"/>
    <w:rsid w:val="00FC050F"/>
    <w:rsid w:val="00FC0C31"/>
    <w:rsid w:val="00FC0C72"/>
    <w:rsid w:val="00FC11A2"/>
    <w:rsid w:val="00FC15B6"/>
    <w:rsid w:val="00FC1670"/>
    <w:rsid w:val="00FC180C"/>
    <w:rsid w:val="00FC1986"/>
    <w:rsid w:val="00FC1A4F"/>
    <w:rsid w:val="00FC2676"/>
    <w:rsid w:val="00FC271C"/>
    <w:rsid w:val="00FC2F4D"/>
    <w:rsid w:val="00FC308F"/>
    <w:rsid w:val="00FC3248"/>
    <w:rsid w:val="00FC3588"/>
    <w:rsid w:val="00FC36B5"/>
    <w:rsid w:val="00FC37D8"/>
    <w:rsid w:val="00FC3BD2"/>
    <w:rsid w:val="00FC42A1"/>
    <w:rsid w:val="00FC42E5"/>
    <w:rsid w:val="00FC49D0"/>
    <w:rsid w:val="00FC5277"/>
    <w:rsid w:val="00FC5606"/>
    <w:rsid w:val="00FC66EA"/>
    <w:rsid w:val="00FC6FF7"/>
    <w:rsid w:val="00FC713F"/>
    <w:rsid w:val="00FC778E"/>
    <w:rsid w:val="00FC7E07"/>
    <w:rsid w:val="00FD0712"/>
    <w:rsid w:val="00FD0897"/>
    <w:rsid w:val="00FD0B30"/>
    <w:rsid w:val="00FD0BB6"/>
    <w:rsid w:val="00FD0DEF"/>
    <w:rsid w:val="00FD0EA7"/>
    <w:rsid w:val="00FD11AC"/>
    <w:rsid w:val="00FD1302"/>
    <w:rsid w:val="00FD1491"/>
    <w:rsid w:val="00FD1E2D"/>
    <w:rsid w:val="00FD1FA5"/>
    <w:rsid w:val="00FD22BE"/>
    <w:rsid w:val="00FD2542"/>
    <w:rsid w:val="00FD29E0"/>
    <w:rsid w:val="00FD3260"/>
    <w:rsid w:val="00FD358E"/>
    <w:rsid w:val="00FD3D25"/>
    <w:rsid w:val="00FD4413"/>
    <w:rsid w:val="00FD53F2"/>
    <w:rsid w:val="00FD596A"/>
    <w:rsid w:val="00FD6C61"/>
    <w:rsid w:val="00FD6E47"/>
    <w:rsid w:val="00FD725F"/>
    <w:rsid w:val="00FD78F9"/>
    <w:rsid w:val="00FD7ADA"/>
    <w:rsid w:val="00FD7B90"/>
    <w:rsid w:val="00FD7F47"/>
    <w:rsid w:val="00FE0A36"/>
    <w:rsid w:val="00FE1039"/>
    <w:rsid w:val="00FE1883"/>
    <w:rsid w:val="00FE1C51"/>
    <w:rsid w:val="00FE25B0"/>
    <w:rsid w:val="00FE2699"/>
    <w:rsid w:val="00FE27AA"/>
    <w:rsid w:val="00FE2B59"/>
    <w:rsid w:val="00FE2C10"/>
    <w:rsid w:val="00FE2F77"/>
    <w:rsid w:val="00FE3668"/>
    <w:rsid w:val="00FE3A94"/>
    <w:rsid w:val="00FE3D2F"/>
    <w:rsid w:val="00FE4305"/>
    <w:rsid w:val="00FE45F5"/>
    <w:rsid w:val="00FE52DC"/>
    <w:rsid w:val="00FE56B7"/>
    <w:rsid w:val="00FE5A9C"/>
    <w:rsid w:val="00FE5D9E"/>
    <w:rsid w:val="00FE704D"/>
    <w:rsid w:val="00FE7406"/>
    <w:rsid w:val="00FE74BC"/>
    <w:rsid w:val="00FE7717"/>
    <w:rsid w:val="00FE78F8"/>
    <w:rsid w:val="00FE79F3"/>
    <w:rsid w:val="00FE7B37"/>
    <w:rsid w:val="00FE7BE0"/>
    <w:rsid w:val="00FE7D9F"/>
    <w:rsid w:val="00FF017F"/>
    <w:rsid w:val="00FF0576"/>
    <w:rsid w:val="00FF0B67"/>
    <w:rsid w:val="00FF2916"/>
    <w:rsid w:val="00FF387D"/>
    <w:rsid w:val="00FF3E60"/>
    <w:rsid w:val="00FF3E77"/>
    <w:rsid w:val="00FF41C3"/>
    <w:rsid w:val="00FF4805"/>
    <w:rsid w:val="00FF4A64"/>
    <w:rsid w:val="00FF5D2A"/>
    <w:rsid w:val="00FF6581"/>
    <w:rsid w:val="00FF7028"/>
    <w:rsid w:val="00FF7531"/>
    <w:rsid w:val="00FF7606"/>
  </w:rsids>
  <m:mathPr>
    <m:mathFont m:val="Cambria Math"/>
    <m:brkBin m:val="before"/>
    <m:brkBinSub m:val="--"/>
    <m:smallFrac m:val="0"/>
    <m:dispDef/>
    <m:lMargin m:val="0"/>
    <m:rMargin m:val="0"/>
    <m:defJc m:val="centerGroup"/>
    <m:wrapIndent m:val="1440"/>
    <m:intLim m:val="subSup"/>
    <m:naryLim m:val="undOvr"/>
  </m:mathPr>
  <w:themeFontLang w:val="es-C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C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3A3D"/>
    <w:pPr>
      <w:jc w:val="both"/>
    </w:pPr>
  </w:style>
  <w:style w:type="paragraph" w:styleId="Ttulo1">
    <w:name w:val="heading 1"/>
    <w:basedOn w:val="Normal"/>
    <w:next w:val="Normal"/>
    <w:link w:val="Ttulo1Car"/>
    <w:uiPriority w:val="9"/>
    <w:qFormat/>
    <w:rsid w:val="007B2261"/>
    <w:pPr>
      <w:keepNext/>
      <w:keepLines/>
      <w:spacing w:before="480" w:after="0"/>
      <w:outlineLvl w:val="0"/>
    </w:pPr>
    <w:rPr>
      <w:rFonts w:ascii="Arial" w:eastAsiaTheme="majorEastAsia" w:hAnsi="Arial" w:cstheme="majorBidi"/>
      <w:b/>
      <w:bCs/>
      <w:sz w:val="28"/>
      <w:szCs w:val="28"/>
    </w:rPr>
  </w:style>
  <w:style w:type="paragraph" w:styleId="Ttulo2">
    <w:name w:val="heading 2"/>
    <w:basedOn w:val="Normal"/>
    <w:next w:val="Normal"/>
    <w:link w:val="Ttulo2Car"/>
    <w:uiPriority w:val="9"/>
    <w:unhideWhenUsed/>
    <w:qFormat/>
    <w:rsid w:val="00CF11BB"/>
    <w:pPr>
      <w:keepNext/>
      <w:keepLines/>
      <w:spacing w:before="200" w:after="0"/>
      <w:outlineLvl w:val="1"/>
    </w:pPr>
    <w:rPr>
      <w:rFonts w:ascii="Arial" w:eastAsiaTheme="majorEastAsia" w:hAnsi="Arial" w:cstheme="majorBidi"/>
      <w:b/>
      <w:bCs/>
      <w:color w:val="000000" w:themeColor="text1"/>
      <w:sz w:val="24"/>
      <w:szCs w:val="26"/>
    </w:rPr>
  </w:style>
  <w:style w:type="paragraph" w:styleId="Ttulo3">
    <w:name w:val="heading 3"/>
    <w:basedOn w:val="Normal"/>
    <w:next w:val="Normal"/>
    <w:link w:val="Ttulo3Car"/>
    <w:uiPriority w:val="9"/>
    <w:unhideWhenUsed/>
    <w:qFormat/>
    <w:rsid w:val="00B73E99"/>
    <w:pPr>
      <w:keepNext/>
      <w:keepLines/>
      <w:spacing w:before="120" w:after="120"/>
      <w:outlineLvl w:val="2"/>
    </w:pPr>
    <w:rPr>
      <w:rFonts w:eastAsiaTheme="majorEastAsia" w:cstheme="majorBidi"/>
      <w:b/>
      <w:bCs/>
      <w:color w:val="000000" w:themeColor="text1"/>
    </w:rPr>
  </w:style>
  <w:style w:type="paragraph" w:styleId="Ttulo4">
    <w:name w:val="heading 4"/>
    <w:basedOn w:val="Normal"/>
    <w:next w:val="Normal"/>
    <w:link w:val="Ttulo4Car"/>
    <w:uiPriority w:val="9"/>
    <w:unhideWhenUsed/>
    <w:qFormat/>
    <w:rsid w:val="002726FB"/>
    <w:pPr>
      <w:keepNext/>
      <w:keepLines/>
      <w:spacing w:before="200" w:after="0"/>
      <w:outlineLvl w:val="3"/>
    </w:pPr>
    <w:rPr>
      <w:rFonts w:eastAsiaTheme="majorEastAsia" w:cstheme="majorBidi"/>
      <w:b/>
      <w:bCs/>
      <w:iCs/>
      <w:u w:val="single"/>
    </w:rPr>
  </w:style>
  <w:style w:type="paragraph" w:styleId="Ttulo5">
    <w:name w:val="heading 5"/>
    <w:basedOn w:val="Normal"/>
    <w:next w:val="Normal"/>
    <w:link w:val="Ttulo5Car"/>
    <w:uiPriority w:val="9"/>
    <w:unhideWhenUsed/>
    <w:qFormat/>
    <w:rsid w:val="002726FB"/>
    <w:pPr>
      <w:keepNext/>
      <w:keepLines/>
      <w:spacing w:before="200" w:after="0"/>
      <w:outlineLvl w:val="4"/>
    </w:pPr>
    <w:rPr>
      <w:rFonts w:eastAsiaTheme="majorEastAsia" w:cstheme="majorBidi"/>
      <w:b/>
      <w:i/>
    </w:rPr>
  </w:style>
  <w:style w:type="paragraph" w:styleId="Ttulo6">
    <w:name w:val="heading 6"/>
    <w:basedOn w:val="Normal"/>
    <w:next w:val="Normal"/>
    <w:link w:val="Ttulo6Car"/>
    <w:uiPriority w:val="9"/>
    <w:semiHidden/>
    <w:unhideWhenUsed/>
    <w:qFormat/>
    <w:rsid w:val="005E3F3E"/>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5E3F3E"/>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5E3F3E"/>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ar"/>
    <w:uiPriority w:val="9"/>
    <w:semiHidden/>
    <w:unhideWhenUsed/>
    <w:qFormat/>
    <w:rsid w:val="005E3F3E"/>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B2261"/>
    <w:rPr>
      <w:rFonts w:ascii="Arial" w:eastAsiaTheme="majorEastAsia" w:hAnsi="Arial" w:cstheme="majorBidi"/>
      <w:b/>
      <w:bCs/>
      <w:sz w:val="28"/>
      <w:szCs w:val="28"/>
    </w:rPr>
  </w:style>
  <w:style w:type="character" w:customStyle="1" w:styleId="Ttulo2Car">
    <w:name w:val="Título 2 Car"/>
    <w:basedOn w:val="Fuentedeprrafopredeter"/>
    <w:link w:val="Ttulo2"/>
    <w:uiPriority w:val="9"/>
    <w:rsid w:val="00CF11BB"/>
    <w:rPr>
      <w:rFonts w:ascii="Arial" w:eastAsiaTheme="majorEastAsia" w:hAnsi="Arial" w:cstheme="majorBidi"/>
      <w:b/>
      <w:bCs/>
      <w:color w:val="000000" w:themeColor="text1"/>
      <w:sz w:val="24"/>
      <w:szCs w:val="26"/>
    </w:rPr>
  </w:style>
  <w:style w:type="character" w:customStyle="1" w:styleId="Ttulo3Car">
    <w:name w:val="Título 3 Car"/>
    <w:basedOn w:val="Fuentedeprrafopredeter"/>
    <w:link w:val="Ttulo3"/>
    <w:uiPriority w:val="9"/>
    <w:rsid w:val="00B73E99"/>
    <w:rPr>
      <w:rFonts w:eastAsiaTheme="majorEastAsia" w:cstheme="majorBidi"/>
      <w:b/>
      <w:bCs/>
      <w:color w:val="000000" w:themeColor="text1"/>
    </w:rPr>
  </w:style>
  <w:style w:type="character" w:customStyle="1" w:styleId="Ttulo4Car">
    <w:name w:val="Título 4 Car"/>
    <w:basedOn w:val="Fuentedeprrafopredeter"/>
    <w:link w:val="Ttulo4"/>
    <w:uiPriority w:val="9"/>
    <w:rsid w:val="002726FB"/>
    <w:rPr>
      <w:rFonts w:eastAsiaTheme="majorEastAsia" w:cstheme="majorBidi"/>
      <w:b/>
      <w:bCs/>
      <w:iCs/>
      <w:u w:val="single"/>
    </w:rPr>
  </w:style>
  <w:style w:type="character" w:customStyle="1" w:styleId="Ttulo5Car">
    <w:name w:val="Título 5 Car"/>
    <w:basedOn w:val="Fuentedeprrafopredeter"/>
    <w:link w:val="Ttulo5"/>
    <w:uiPriority w:val="9"/>
    <w:rsid w:val="002726FB"/>
    <w:rPr>
      <w:rFonts w:eastAsiaTheme="majorEastAsia" w:cstheme="majorBidi"/>
      <w:b/>
      <w:i/>
    </w:rPr>
  </w:style>
  <w:style w:type="character" w:customStyle="1" w:styleId="Ttulo6Car">
    <w:name w:val="Título 6 Car"/>
    <w:basedOn w:val="Fuentedeprrafopredeter"/>
    <w:link w:val="Ttulo6"/>
    <w:uiPriority w:val="9"/>
    <w:semiHidden/>
    <w:rsid w:val="005E3F3E"/>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5E3F3E"/>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5E3F3E"/>
    <w:rPr>
      <w:rFonts w:asciiTheme="majorHAnsi" w:eastAsiaTheme="majorEastAsia" w:hAnsiTheme="majorHAnsi" w:cstheme="majorBidi"/>
      <w:color w:val="404040" w:themeColor="text1" w:themeTint="BF"/>
      <w:sz w:val="20"/>
      <w:szCs w:val="20"/>
    </w:rPr>
  </w:style>
  <w:style w:type="character" w:customStyle="1" w:styleId="Ttulo9Car">
    <w:name w:val="Título 9 Car"/>
    <w:basedOn w:val="Fuentedeprrafopredeter"/>
    <w:link w:val="Ttulo9"/>
    <w:uiPriority w:val="9"/>
    <w:semiHidden/>
    <w:rsid w:val="005E3F3E"/>
    <w:rPr>
      <w:rFonts w:asciiTheme="majorHAnsi" w:eastAsiaTheme="majorEastAsia" w:hAnsiTheme="majorHAnsi" w:cstheme="majorBidi"/>
      <w:i/>
      <w:iCs/>
      <w:color w:val="404040" w:themeColor="text1" w:themeTint="BF"/>
      <w:sz w:val="20"/>
      <w:szCs w:val="20"/>
    </w:rPr>
  </w:style>
  <w:style w:type="paragraph" w:styleId="Prrafodelista">
    <w:name w:val="List Paragraph"/>
    <w:basedOn w:val="Normal"/>
    <w:uiPriority w:val="34"/>
    <w:qFormat/>
    <w:rsid w:val="00E5686B"/>
    <w:pPr>
      <w:ind w:left="720"/>
      <w:contextualSpacing/>
    </w:pPr>
  </w:style>
  <w:style w:type="character" w:styleId="Hipervnculo">
    <w:name w:val="Hyperlink"/>
    <w:basedOn w:val="Fuentedeprrafopredeter"/>
    <w:uiPriority w:val="99"/>
    <w:unhideWhenUsed/>
    <w:rsid w:val="002E431D"/>
    <w:rPr>
      <w:color w:val="0000FF" w:themeColor="hyperlink"/>
      <w:u w:val="single"/>
    </w:rPr>
  </w:style>
  <w:style w:type="table" w:styleId="Tablaconcuadrcula">
    <w:name w:val="Table Grid"/>
    <w:basedOn w:val="Tablanormal"/>
    <w:uiPriority w:val="59"/>
    <w:rsid w:val="0020363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FC180C"/>
    <w:pPr>
      <w:spacing w:before="100" w:beforeAutospacing="1" w:after="100" w:afterAutospacing="1" w:line="240" w:lineRule="auto"/>
    </w:pPr>
    <w:rPr>
      <w:rFonts w:ascii="Times New Roman" w:eastAsiaTheme="minorEastAsia" w:hAnsi="Times New Roman" w:cs="Times New Roman"/>
      <w:sz w:val="24"/>
      <w:szCs w:val="24"/>
      <w:lang w:eastAsia="es-CL"/>
    </w:rPr>
  </w:style>
  <w:style w:type="character" w:customStyle="1" w:styleId="apple-converted-space">
    <w:name w:val="apple-converted-space"/>
    <w:basedOn w:val="Fuentedeprrafopredeter"/>
    <w:rsid w:val="00445E68"/>
  </w:style>
  <w:style w:type="paragraph" w:styleId="Encabezado">
    <w:name w:val="header"/>
    <w:basedOn w:val="Normal"/>
    <w:link w:val="EncabezadoCar"/>
    <w:uiPriority w:val="99"/>
    <w:unhideWhenUsed/>
    <w:rsid w:val="0066168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6168A"/>
  </w:style>
  <w:style w:type="paragraph" w:styleId="Piedepgina">
    <w:name w:val="footer"/>
    <w:basedOn w:val="Normal"/>
    <w:link w:val="PiedepginaCar"/>
    <w:uiPriority w:val="99"/>
    <w:unhideWhenUsed/>
    <w:rsid w:val="0066168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6168A"/>
  </w:style>
  <w:style w:type="character" w:styleId="Refdenotaalpie">
    <w:name w:val="footnote reference"/>
    <w:basedOn w:val="Fuentedeprrafopredeter"/>
    <w:semiHidden/>
    <w:rsid w:val="006B7A42"/>
    <w:rPr>
      <w:sz w:val="20"/>
      <w:vertAlign w:val="superscript"/>
    </w:rPr>
  </w:style>
  <w:style w:type="paragraph" w:customStyle="1" w:styleId="OT">
    <w:name w:val="OT"/>
    <w:basedOn w:val="Normal"/>
    <w:rsid w:val="00147D8F"/>
    <w:pPr>
      <w:spacing w:before="60" w:after="60" w:line="240" w:lineRule="auto"/>
    </w:pPr>
    <w:rPr>
      <w:rFonts w:ascii="Times New Roman" w:eastAsia="Times New Roman" w:hAnsi="Times New Roman" w:cs="Times New Roman"/>
      <w:sz w:val="20"/>
      <w:szCs w:val="20"/>
      <w:lang w:eastAsia="es-ES"/>
    </w:rPr>
  </w:style>
  <w:style w:type="paragraph" w:customStyle="1" w:styleId="Titulo2OT">
    <w:name w:val="Titulo 2 OT"/>
    <w:basedOn w:val="OT"/>
    <w:next w:val="OT"/>
    <w:rsid w:val="00F861A8"/>
    <w:pPr>
      <w:keepNext/>
      <w:keepLines/>
      <w:numPr>
        <w:ilvl w:val="12"/>
      </w:numPr>
      <w:spacing w:before="240" w:after="120"/>
    </w:pPr>
    <w:rPr>
      <w:b/>
      <w:smallCaps/>
      <w:sz w:val="22"/>
    </w:rPr>
  </w:style>
  <w:style w:type="paragraph" w:styleId="TtulodeTDC">
    <w:name w:val="TOC Heading"/>
    <w:basedOn w:val="Ttulo1"/>
    <w:next w:val="Normal"/>
    <w:uiPriority w:val="39"/>
    <w:unhideWhenUsed/>
    <w:qFormat/>
    <w:rsid w:val="0037228E"/>
    <w:pPr>
      <w:outlineLvl w:val="9"/>
    </w:pPr>
    <w:rPr>
      <w:rFonts w:asciiTheme="majorHAnsi" w:hAnsiTheme="majorHAnsi"/>
      <w:color w:val="365F91" w:themeColor="accent1" w:themeShade="BF"/>
      <w:lang w:eastAsia="es-CL"/>
    </w:rPr>
  </w:style>
  <w:style w:type="paragraph" w:styleId="TDC1">
    <w:name w:val="toc 1"/>
    <w:basedOn w:val="Normal"/>
    <w:next w:val="Normal"/>
    <w:autoRedefine/>
    <w:uiPriority w:val="39"/>
    <w:unhideWhenUsed/>
    <w:rsid w:val="0037228E"/>
    <w:pPr>
      <w:spacing w:after="100"/>
    </w:pPr>
  </w:style>
  <w:style w:type="paragraph" w:styleId="TDC2">
    <w:name w:val="toc 2"/>
    <w:basedOn w:val="Normal"/>
    <w:next w:val="Normal"/>
    <w:autoRedefine/>
    <w:uiPriority w:val="39"/>
    <w:unhideWhenUsed/>
    <w:rsid w:val="0037228E"/>
    <w:pPr>
      <w:spacing w:after="100"/>
      <w:ind w:left="220"/>
    </w:pPr>
  </w:style>
  <w:style w:type="paragraph" w:styleId="TDC3">
    <w:name w:val="toc 3"/>
    <w:basedOn w:val="Normal"/>
    <w:next w:val="Normal"/>
    <w:autoRedefine/>
    <w:uiPriority w:val="39"/>
    <w:unhideWhenUsed/>
    <w:rsid w:val="0037228E"/>
    <w:pPr>
      <w:spacing w:after="100"/>
      <w:ind w:left="440"/>
    </w:pPr>
  </w:style>
  <w:style w:type="paragraph" w:styleId="Textodeglobo">
    <w:name w:val="Balloon Text"/>
    <w:basedOn w:val="Normal"/>
    <w:link w:val="TextodegloboCar"/>
    <w:uiPriority w:val="99"/>
    <w:semiHidden/>
    <w:unhideWhenUsed/>
    <w:rsid w:val="0037228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7228E"/>
    <w:rPr>
      <w:rFonts w:ascii="Tahoma" w:hAnsi="Tahoma" w:cs="Tahoma"/>
      <w:sz w:val="16"/>
      <w:szCs w:val="16"/>
    </w:rPr>
  </w:style>
  <w:style w:type="paragraph" w:styleId="Textonotapie">
    <w:name w:val="footnote text"/>
    <w:basedOn w:val="Normal"/>
    <w:link w:val="TextonotapieCar"/>
    <w:uiPriority w:val="99"/>
    <w:semiHidden/>
    <w:unhideWhenUsed/>
    <w:rsid w:val="007E7180"/>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7E7180"/>
    <w:rPr>
      <w:sz w:val="20"/>
      <w:szCs w:val="20"/>
    </w:rPr>
  </w:style>
  <w:style w:type="paragraph" w:styleId="Sinespaciado">
    <w:name w:val="No Spacing"/>
    <w:uiPriority w:val="1"/>
    <w:qFormat/>
    <w:rsid w:val="008F6993"/>
    <w:pPr>
      <w:spacing w:after="0" w:line="240" w:lineRule="auto"/>
    </w:pPr>
  </w:style>
  <w:style w:type="paragraph" w:customStyle="1" w:styleId="VietaSimboloOT">
    <w:name w:val="Viñeta Simbolo OT"/>
    <w:basedOn w:val="OT"/>
    <w:rsid w:val="009A4893"/>
    <w:pPr>
      <w:spacing w:before="0" w:after="0"/>
      <w:ind w:left="255" w:hanging="170"/>
    </w:pPr>
  </w:style>
  <w:style w:type="paragraph" w:customStyle="1" w:styleId="FuenteCuadroOT">
    <w:name w:val="Fuente Cuadro OT"/>
    <w:basedOn w:val="OT"/>
    <w:rsid w:val="009A4893"/>
    <w:pPr>
      <w:numPr>
        <w:numId w:val="20"/>
      </w:numPr>
      <w:tabs>
        <w:tab w:val="clear" w:pos="360"/>
      </w:tabs>
      <w:spacing w:before="40" w:after="40"/>
      <w:ind w:left="0" w:firstLine="0"/>
    </w:pPr>
    <w:rPr>
      <w:position w:val="6"/>
      <w:sz w:val="16"/>
    </w:rPr>
  </w:style>
  <w:style w:type="table" w:styleId="Sombreadoclaro-nfasis1">
    <w:name w:val="Light Shading Accent 1"/>
    <w:basedOn w:val="Tablanormal"/>
    <w:uiPriority w:val="60"/>
    <w:rsid w:val="00495DBD"/>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
    <w:name w:val="Light Shading"/>
    <w:basedOn w:val="Tablanormal"/>
    <w:uiPriority w:val="60"/>
    <w:rsid w:val="00495DBD"/>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Standard">
    <w:name w:val="Standard"/>
    <w:rsid w:val="00571AD6"/>
    <w:pPr>
      <w:widowControl w:val="0"/>
      <w:suppressAutoHyphens/>
      <w:autoSpaceDN w:val="0"/>
      <w:spacing w:after="0" w:line="240" w:lineRule="auto"/>
      <w:textAlignment w:val="baseline"/>
    </w:pPr>
    <w:rPr>
      <w:rFonts w:ascii="Times New Roman" w:eastAsia="SimSun" w:hAnsi="Times New Roman" w:cs="Mangal"/>
      <w:kern w:val="3"/>
      <w:sz w:val="24"/>
      <w:szCs w:val="24"/>
      <w:lang w:val="es-MX" w:eastAsia="zh-CN" w:bidi="hi-IN"/>
    </w:rPr>
  </w:style>
  <w:style w:type="character" w:styleId="Hipervnculovisitado">
    <w:name w:val="FollowedHyperlink"/>
    <w:basedOn w:val="Fuentedeprrafopredeter"/>
    <w:uiPriority w:val="99"/>
    <w:semiHidden/>
    <w:unhideWhenUsed/>
    <w:rsid w:val="00513DAA"/>
    <w:rPr>
      <w:color w:val="800080" w:themeColor="followedHyperlink"/>
      <w:u w:val="single"/>
    </w:rPr>
  </w:style>
  <w:style w:type="table" w:styleId="Sombreadoclaro-nfasis5">
    <w:name w:val="Light Shading Accent 5"/>
    <w:basedOn w:val="Tablanormal"/>
    <w:uiPriority w:val="60"/>
    <w:rsid w:val="000A32CC"/>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character" w:styleId="Refdecomentario">
    <w:name w:val="annotation reference"/>
    <w:basedOn w:val="Fuentedeprrafopredeter"/>
    <w:uiPriority w:val="99"/>
    <w:semiHidden/>
    <w:unhideWhenUsed/>
    <w:rsid w:val="000100A6"/>
    <w:rPr>
      <w:sz w:val="16"/>
      <w:szCs w:val="16"/>
    </w:rPr>
  </w:style>
  <w:style w:type="paragraph" w:styleId="Textocomentario">
    <w:name w:val="annotation text"/>
    <w:basedOn w:val="Normal"/>
    <w:link w:val="TextocomentarioCar"/>
    <w:unhideWhenUsed/>
    <w:rsid w:val="000100A6"/>
    <w:pPr>
      <w:spacing w:line="240" w:lineRule="auto"/>
    </w:pPr>
    <w:rPr>
      <w:sz w:val="20"/>
      <w:szCs w:val="20"/>
    </w:rPr>
  </w:style>
  <w:style w:type="character" w:customStyle="1" w:styleId="TextocomentarioCar">
    <w:name w:val="Texto comentario Car"/>
    <w:basedOn w:val="Fuentedeprrafopredeter"/>
    <w:link w:val="Textocomentario"/>
    <w:rsid w:val="000100A6"/>
    <w:rPr>
      <w:sz w:val="20"/>
      <w:szCs w:val="20"/>
    </w:rPr>
  </w:style>
  <w:style w:type="paragraph" w:styleId="Asuntodelcomentario">
    <w:name w:val="annotation subject"/>
    <w:basedOn w:val="Textocomentario"/>
    <w:next w:val="Textocomentario"/>
    <w:link w:val="AsuntodelcomentarioCar"/>
    <w:uiPriority w:val="99"/>
    <w:semiHidden/>
    <w:unhideWhenUsed/>
    <w:rsid w:val="000100A6"/>
    <w:rPr>
      <w:b/>
      <w:bCs/>
    </w:rPr>
  </w:style>
  <w:style w:type="character" w:customStyle="1" w:styleId="AsuntodelcomentarioCar">
    <w:name w:val="Asunto del comentario Car"/>
    <w:basedOn w:val="TextocomentarioCar"/>
    <w:link w:val="Asuntodelcomentario"/>
    <w:uiPriority w:val="99"/>
    <w:semiHidden/>
    <w:rsid w:val="000100A6"/>
    <w:rPr>
      <w:b/>
      <w:bCs/>
      <w:sz w:val="20"/>
      <w:szCs w:val="20"/>
    </w:rPr>
  </w:style>
  <w:style w:type="table" w:customStyle="1" w:styleId="Tablaconcuadrcula1">
    <w:name w:val="Tabla con cuadrícula1"/>
    <w:basedOn w:val="Tablanormal"/>
    <w:next w:val="Tablaconcuadrcula"/>
    <w:uiPriority w:val="59"/>
    <w:rsid w:val="006F556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notaalfinal">
    <w:name w:val="endnote text"/>
    <w:basedOn w:val="Normal"/>
    <w:link w:val="TextonotaalfinalCar"/>
    <w:uiPriority w:val="99"/>
    <w:semiHidden/>
    <w:unhideWhenUsed/>
    <w:rsid w:val="00637F57"/>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637F57"/>
    <w:rPr>
      <w:sz w:val="20"/>
      <w:szCs w:val="20"/>
    </w:rPr>
  </w:style>
  <w:style w:type="character" w:styleId="Refdenotaalfinal">
    <w:name w:val="endnote reference"/>
    <w:basedOn w:val="Fuentedeprrafopredeter"/>
    <w:uiPriority w:val="99"/>
    <w:semiHidden/>
    <w:unhideWhenUsed/>
    <w:rsid w:val="00637F57"/>
    <w:rPr>
      <w:vertAlign w:val="superscript"/>
    </w:rPr>
  </w:style>
  <w:style w:type="table" w:styleId="Listaclara-nfasis1">
    <w:name w:val="Light List Accent 1"/>
    <w:basedOn w:val="Tablanormal"/>
    <w:uiPriority w:val="61"/>
    <w:rsid w:val="00134F96"/>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Sombreadomedio1">
    <w:name w:val="Medium Shading 1"/>
    <w:basedOn w:val="Tablanormal"/>
    <w:uiPriority w:val="63"/>
    <w:rsid w:val="004C7C38"/>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Lines="0" w:before="0" w:beforeAutospacing="0" w:afterLines="0" w:after="0" w:afterAutospacing="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character" w:styleId="nfasis">
    <w:name w:val="Emphasis"/>
    <w:basedOn w:val="Fuentedeprrafopredeter"/>
    <w:uiPriority w:val="20"/>
    <w:qFormat/>
    <w:rsid w:val="00B44D4D"/>
    <w:rPr>
      <w:i/>
      <w:iCs/>
    </w:rPr>
  </w:style>
  <w:style w:type="character" w:customStyle="1" w:styleId="nlmcontrib">
    <w:name w:val="nlm_contrib"/>
    <w:basedOn w:val="Fuentedeprrafopredeter"/>
    <w:rsid w:val="00B44D4D"/>
  </w:style>
  <w:style w:type="character" w:customStyle="1" w:styleId="nlmyear">
    <w:name w:val="nlm_year"/>
    <w:basedOn w:val="Fuentedeprrafopredeter"/>
    <w:rsid w:val="00B44D4D"/>
  </w:style>
  <w:style w:type="character" w:customStyle="1" w:styleId="bookmetatitles">
    <w:name w:val="bookmetatitles"/>
    <w:basedOn w:val="Fuentedeprrafopredeter"/>
    <w:rsid w:val="00B44D4D"/>
  </w:style>
  <w:style w:type="character" w:customStyle="1" w:styleId="il">
    <w:name w:val="il"/>
    <w:basedOn w:val="Fuentedeprrafopredeter"/>
    <w:rsid w:val="00EB311C"/>
  </w:style>
  <w:style w:type="paragraph" w:customStyle="1" w:styleId="TablaAnexo">
    <w:name w:val="Tabla Anexo"/>
    <w:basedOn w:val="Normal"/>
    <w:next w:val="Normal"/>
    <w:autoRedefine/>
    <w:rsid w:val="00E7274E"/>
    <w:pPr>
      <w:numPr>
        <w:numId w:val="39"/>
      </w:numPr>
      <w:spacing w:after="0" w:line="240" w:lineRule="auto"/>
      <w:jc w:val="center"/>
    </w:pPr>
    <w:rPr>
      <w:rFonts w:ascii="Arial" w:eastAsia="Times New Roman" w:hAnsi="Arial" w:cs="Times New Roman"/>
      <w:b/>
      <w:szCs w:val="20"/>
      <w:lang w:val="es-ES_tradnl" w:eastAsia="es-ES"/>
    </w:rPr>
  </w:style>
  <w:style w:type="paragraph" w:styleId="HTMLconformatoprevio">
    <w:name w:val="HTML Preformatted"/>
    <w:basedOn w:val="Normal"/>
    <w:link w:val="HTMLconformatoprevioCar"/>
    <w:uiPriority w:val="99"/>
    <w:semiHidden/>
    <w:unhideWhenUsed/>
    <w:rsid w:val="00937C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pPr>
    <w:rPr>
      <w:rFonts w:ascii="Courier New" w:eastAsia="Times New Roman" w:hAnsi="Courier New" w:cs="Courier New"/>
      <w:sz w:val="20"/>
      <w:szCs w:val="20"/>
      <w:lang w:eastAsia="es-CL"/>
    </w:rPr>
  </w:style>
  <w:style w:type="character" w:customStyle="1" w:styleId="HTMLconformatoprevioCar">
    <w:name w:val="HTML con formato previo Car"/>
    <w:basedOn w:val="Fuentedeprrafopredeter"/>
    <w:link w:val="HTMLconformatoprevio"/>
    <w:uiPriority w:val="99"/>
    <w:semiHidden/>
    <w:rsid w:val="00937C57"/>
    <w:rPr>
      <w:rFonts w:ascii="Courier New" w:eastAsia="Times New Roman" w:hAnsi="Courier New" w:cs="Courier New"/>
      <w:sz w:val="20"/>
      <w:szCs w:val="20"/>
      <w:lang w:eastAsia="es-CL"/>
    </w:rPr>
  </w:style>
  <w:style w:type="character" w:customStyle="1" w:styleId="citationref">
    <w:name w:val="citationref"/>
    <w:basedOn w:val="Fuentedeprrafopredeter"/>
    <w:rsid w:val="005A33AF"/>
  </w:style>
  <w:style w:type="paragraph" w:styleId="Epgrafe">
    <w:name w:val="caption"/>
    <w:basedOn w:val="Normal"/>
    <w:next w:val="Normal"/>
    <w:uiPriority w:val="35"/>
    <w:unhideWhenUsed/>
    <w:qFormat/>
    <w:rsid w:val="00725053"/>
    <w:pPr>
      <w:spacing w:line="240" w:lineRule="auto"/>
    </w:pPr>
    <w:rPr>
      <w:b/>
      <w:bCs/>
      <w:color w:val="4F81BD" w:themeColor="accent1"/>
      <w:sz w:val="18"/>
      <w:szCs w:val="18"/>
    </w:rPr>
  </w:style>
  <w:style w:type="paragraph" w:styleId="Bibliografa">
    <w:name w:val="Bibliography"/>
    <w:basedOn w:val="Normal"/>
    <w:next w:val="Normal"/>
    <w:uiPriority w:val="37"/>
    <w:unhideWhenUsed/>
    <w:rsid w:val="005E5EE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C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3A3D"/>
    <w:pPr>
      <w:jc w:val="both"/>
    </w:pPr>
  </w:style>
  <w:style w:type="paragraph" w:styleId="Ttulo1">
    <w:name w:val="heading 1"/>
    <w:basedOn w:val="Normal"/>
    <w:next w:val="Normal"/>
    <w:link w:val="Ttulo1Car"/>
    <w:uiPriority w:val="9"/>
    <w:qFormat/>
    <w:rsid w:val="007B2261"/>
    <w:pPr>
      <w:keepNext/>
      <w:keepLines/>
      <w:spacing w:before="480" w:after="0"/>
      <w:outlineLvl w:val="0"/>
    </w:pPr>
    <w:rPr>
      <w:rFonts w:ascii="Arial" w:eastAsiaTheme="majorEastAsia" w:hAnsi="Arial" w:cstheme="majorBidi"/>
      <w:b/>
      <w:bCs/>
      <w:sz w:val="28"/>
      <w:szCs w:val="28"/>
    </w:rPr>
  </w:style>
  <w:style w:type="paragraph" w:styleId="Ttulo2">
    <w:name w:val="heading 2"/>
    <w:basedOn w:val="Normal"/>
    <w:next w:val="Normal"/>
    <w:link w:val="Ttulo2Car"/>
    <w:uiPriority w:val="9"/>
    <w:unhideWhenUsed/>
    <w:qFormat/>
    <w:rsid w:val="00CF11BB"/>
    <w:pPr>
      <w:keepNext/>
      <w:keepLines/>
      <w:spacing w:before="200" w:after="0"/>
      <w:outlineLvl w:val="1"/>
    </w:pPr>
    <w:rPr>
      <w:rFonts w:ascii="Arial" w:eastAsiaTheme="majorEastAsia" w:hAnsi="Arial" w:cstheme="majorBidi"/>
      <w:b/>
      <w:bCs/>
      <w:color w:val="000000" w:themeColor="text1"/>
      <w:sz w:val="24"/>
      <w:szCs w:val="26"/>
    </w:rPr>
  </w:style>
  <w:style w:type="paragraph" w:styleId="Ttulo3">
    <w:name w:val="heading 3"/>
    <w:basedOn w:val="Normal"/>
    <w:next w:val="Normal"/>
    <w:link w:val="Ttulo3Car"/>
    <w:uiPriority w:val="9"/>
    <w:unhideWhenUsed/>
    <w:qFormat/>
    <w:rsid w:val="00B73E99"/>
    <w:pPr>
      <w:keepNext/>
      <w:keepLines/>
      <w:spacing w:before="120" w:after="120"/>
      <w:outlineLvl w:val="2"/>
    </w:pPr>
    <w:rPr>
      <w:rFonts w:eastAsiaTheme="majorEastAsia" w:cstheme="majorBidi"/>
      <w:b/>
      <w:bCs/>
      <w:color w:val="000000" w:themeColor="text1"/>
    </w:rPr>
  </w:style>
  <w:style w:type="paragraph" w:styleId="Ttulo4">
    <w:name w:val="heading 4"/>
    <w:basedOn w:val="Normal"/>
    <w:next w:val="Normal"/>
    <w:link w:val="Ttulo4Car"/>
    <w:uiPriority w:val="9"/>
    <w:unhideWhenUsed/>
    <w:qFormat/>
    <w:rsid w:val="002726FB"/>
    <w:pPr>
      <w:keepNext/>
      <w:keepLines/>
      <w:spacing w:before="200" w:after="0"/>
      <w:outlineLvl w:val="3"/>
    </w:pPr>
    <w:rPr>
      <w:rFonts w:eastAsiaTheme="majorEastAsia" w:cstheme="majorBidi"/>
      <w:b/>
      <w:bCs/>
      <w:iCs/>
      <w:u w:val="single"/>
    </w:rPr>
  </w:style>
  <w:style w:type="paragraph" w:styleId="Ttulo5">
    <w:name w:val="heading 5"/>
    <w:basedOn w:val="Normal"/>
    <w:next w:val="Normal"/>
    <w:link w:val="Ttulo5Car"/>
    <w:uiPriority w:val="9"/>
    <w:unhideWhenUsed/>
    <w:qFormat/>
    <w:rsid w:val="002726FB"/>
    <w:pPr>
      <w:keepNext/>
      <w:keepLines/>
      <w:spacing w:before="200" w:after="0"/>
      <w:outlineLvl w:val="4"/>
    </w:pPr>
    <w:rPr>
      <w:rFonts w:eastAsiaTheme="majorEastAsia" w:cstheme="majorBidi"/>
      <w:b/>
      <w:i/>
    </w:rPr>
  </w:style>
  <w:style w:type="paragraph" w:styleId="Ttulo6">
    <w:name w:val="heading 6"/>
    <w:basedOn w:val="Normal"/>
    <w:next w:val="Normal"/>
    <w:link w:val="Ttulo6Car"/>
    <w:uiPriority w:val="9"/>
    <w:semiHidden/>
    <w:unhideWhenUsed/>
    <w:qFormat/>
    <w:rsid w:val="005E3F3E"/>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5E3F3E"/>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5E3F3E"/>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ar"/>
    <w:uiPriority w:val="9"/>
    <w:semiHidden/>
    <w:unhideWhenUsed/>
    <w:qFormat/>
    <w:rsid w:val="005E3F3E"/>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B2261"/>
    <w:rPr>
      <w:rFonts w:ascii="Arial" w:eastAsiaTheme="majorEastAsia" w:hAnsi="Arial" w:cstheme="majorBidi"/>
      <w:b/>
      <w:bCs/>
      <w:sz w:val="28"/>
      <w:szCs w:val="28"/>
    </w:rPr>
  </w:style>
  <w:style w:type="character" w:customStyle="1" w:styleId="Ttulo2Car">
    <w:name w:val="Título 2 Car"/>
    <w:basedOn w:val="Fuentedeprrafopredeter"/>
    <w:link w:val="Ttulo2"/>
    <w:uiPriority w:val="9"/>
    <w:rsid w:val="00CF11BB"/>
    <w:rPr>
      <w:rFonts w:ascii="Arial" w:eastAsiaTheme="majorEastAsia" w:hAnsi="Arial" w:cstheme="majorBidi"/>
      <w:b/>
      <w:bCs/>
      <w:color w:val="000000" w:themeColor="text1"/>
      <w:sz w:val="24"/>
      <w:szCs w:val="26"/>
    </w:rPr>
  </w:style>
  <w:style w:type="character" w:customStyle="1" w:styleId="Ttulo3Car">
    <w:name w:val="Título 3 Car"/>
    <w:basedOn w:val="Fuentedeprrafopredeter"/>
    <w:link w:val="Ttulo3"/>
    <w:uiPriority w:val="9"/>
    <w:rsid w:val="00B73E99"/>
    <w:rPr>
      <w:rFonts w:eastAsiaTheme="majorEastAsia" w:cstheme="majorBidi"/>
      <w:b/>
      <w:bCs/>
      <w:color w:val="000000" w:themeColor="text1"/>
    </w:rPr>
  </w:style>
  <w:style w:type="character" w:customStyle="1" w:styleId="Ttulo4Car">
    <w:name w:val="Título 4 Car"/>
    <w:basedOn w:val="Fuentedeprrafopredeter"/>
    <w:link w:val="Ttulo4"/>
    <w:uiPriority w:val="9"/>
    <w:rsid w:val="002726FB"/>
    <w:rPr>
      <w:rFonts w:eastAsiaTheme="majorEastAsia" w:cstheme="majorBidi"/>
      <w:b/>
      <w:bCs/>
      <w:iCs/>
      <w:u w:val="single"/>
    </w:rPr>
  </w:style>
  <w:style w:type="character" w:customStyle="1" w:styleId="Ttulo5Car">
    <w:name w:val="Título 5 Car"/>
    <w:basedOn w:val="Fuentedeprrafopredeter"/>
    <w:link w:val="Ttulo5"/>
    <w:uiPriority w:val="9"/>
    <w:rsid w:val="002726FB"/>
    <w:rPr>
      <w:rFonts w:eastAsiaTheme="majorEastAsia" w:cstheme="majorBidi"/>
      <w:b/>
      <w:i/>
    </w:rPr>
  </w:style>
  <w:style w:type="character" w:customStyle="1" w:styleId="Ttulo6Car">
    <w:name w:val="Título 6 Car"/>
    <w:basedOn w:val="Fuentedeprrafopredeter"/>
    <w:link w:val="Ttulo6"/>
    <w:uiPriority w:val="9"/>
    <w:semiHidden/>
    <w:rsid w:val="005E3F3E"/>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5E3F3E"/>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5E3F3E"/>
    <w:rPr>
      <w:rFonts w:asciiTheme="majorHAnsi" w:eastAsiaTheme="majorEastAsia" w:hAnsiTheme="majorHAnsi" w:cstheme="majorBidi"/>
      <w:color w:val="404040" w:themeColor="text1" w:themeTint="BF"/>
      <w:sz w:val="20"/>
      <w:szCs w:val="20"/>
    </w:rPr>
  </w:style>
  <w:style w:type="character" w:customStyle="1" w:styleId="Ttulo9Car">
    <w:name w:val="Título 9 Car"/>
    <w:basedOn w:val="Fuentedeprrafopredeter"/>
    <w:link w:val="Ttulo9"/>
    <w:uiPriority w:val="9"/>
    <w:semiHidden/>
    <w:rsid w:val="005E3F3E"/>
    <w:rPr>
      <w:rFonts w:asciiTheme="majorHAnsi" w:eastAsiaTheme="majorEastAsia" w:hAnsiTheme="majorHAnsi" w:cstheme="majorBidi"/>
      <w:i/>
      <w:iCs/>
      <w:color w:val="404040" w:themeColor="text1" w:themeTint="BF"/>
      <w:sz w:val="20"/>
      <w:szCs w:val="20"/>
    </w:rPr>
  </w:style>
  <w:style w:type="paragraph" w:styleId="Prrafodelista">
    <w:name w:val="List Paragraph"/>
    <w:basedOn w:val="Normal"/>
    <w:uiPriority w:val="34"/>
    <w:qFormat/>
    <w:rsid w:val="00E5686B"/>
    <w:pPr>
      <w:ind w:left="720"/>
      <w:contextualSpacing/>
    </w:pPr>
  </w:style>
  <w:style w:type="character" w:styleId="Hipervnculo">
    <w:name w:val="Hyperlink"/>
    <w:basedOn w:val="Fuentedeprrafopredeter"/>
    <w:uiPriority w:val="99"/>
    <w:unhideWhenUsed/>
    <w:rsid w:val="002E431D"/>
    <w:rPr>
      <w:color w:val="0000FF" w:themeColor="hyperlink"/>
      <w:u w:val="single"/>
    </w:rPr>
  </w:style>
  <w:style w:type="table" w:styleId="Tablaconcuadrcula">
    <w:name w:val="Table Grid"/>
    <w:basedOn w:val="Tablanormal"/>
    <w:uiPriority w:val="59"/>
    <w:rsid w:val="0020363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FC180C"/>
    <w:pPr>
      <w:spacing w:before="100" w:beforeAutospacing="1" w:after="100" w:afterAutospacing="1" w:line="240" w:lineRule="auto"/>
    </w:pPr>
    <w:rPr>
      <w:rFonts w:ascii="Times New Roman" w:eastAsiaTheme="minorEastAsia" w:hAnsi="Times New Roman" w:cs="Times New Roman"/>
      <w:sz w:val="24"/>
      <w:szCs w:val="24"/>
      <w:lang w:eastAsia="es-CL"/>
    </w:rPr>
  </w:style>
  <w:style w:type="character" w:customStyle="1" w:styleId="apple-converted-space">
    <w:name w:val="apple-converted-space"/>
    <w:basedOn w:val="Fuentedeprrafopredeter"/>
    <w:rsid w:val="00445E68"/>
  </w:style>
  <w:style w:type="paragraph" w:styleId="Encabezado">
    <w:name w:val="header"/>
    <w:basedOn w:val="Normal"/>
    <w:link w:val="EncabezadoCar"/>
    <w:uiPriority w:val="99"/>
    <w:unhideWhenUsed/>
    <w:rsid w:val="0066168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6168A"/>
  </w:style>
  <w:style w:type="paragraph" w:styleId="Piedepgina">
    <w:name w:val="footer"/>
    <w:basedOn w:val="Normal"/>
    <w:link w:val="PiedepginaCar"/>
    <w:uiPriority w:val="99"/>
    <w:unhideWhenUsed/>
    <w:rsid w:val="0066168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6168A"/>
  </w:style>
  <w:style w:type="character" w:styleId="Refdenotaalpie">
    <w:name w:val="footnote reference"/>
    <w:basedOn w:val="Fuentedeprrafopredeter"/>
    <w:semiHidden/>
    <w:rsid w:val="006B7A42"/>
    <w:rPr>
      <w:sz w:val="20"/>
      <w:vertAlign w:val="superscript"/>
    </w:rPr>
  </w:style>
  <w:style w:type="paragraph" w:customStyle="1" w:styleId="OT">
    <w:name w:val="OT"/>
    <w:basedOn w:val="Normal"/>
    <w:rsid w:val="00147D8F"/>
    <w:pPr>
      <w:spacing w:before="60" w:after="60" w:line="240" w:lineRule="auto"/>
    </w:pPr>
    <w:rPr>
      <w:rFonts w:ascii="Times New Roman" w:eastAsia="Times New Roman" w:hAnsi="Times New Roman" w:cs="Times New Roman"/>
      <w:sz w:val="20"/>
      <w:szCs w:val="20"/>
      <w:lang w:eastAsia="es-ES"/>
    </w:rPr>
  </w:style>
  <w:style w:type="paragraph" w:customStyle="1" w:styleId="Titulo2OT">
    <w:name w:val="Titulo 2 OT"/>
    <w:basedOn w:val="OT"/>
    <w:next w:val="OT"/>
    <w:rsid w:val="00F861A8"/>
    <w:pPr>
      <w:keepNext/>
      <w:keepLines/>
      <w:numPr>
        <w:ilvl w:val="12"/>
      </w:numPr>
      <w:spacing w:before="240" w:after="120"/>
    </w:pPr>
    <w:rPr>
      <w:b/>
      <w:smallCaps/>
      <w:sz w:val="22"/>
    </w:rPr>
  </w:style>
  <w:style w:type="paragraph" w:styleId="TtulodeTDC">
    <w:name w:val="TOC Heading"/>
    <w:basedOn w:val="Ttulo1"/>
    <w:next w:val="Normal"/>
    <w:uiPriority w:val="39"/>
    <w:unhideWhenUsed/>
    <w:qFormat/>
    <w:rsid w:val="0037228E"/>
    <w:pPr>
      <w:outlineLvl w:val="9"/>
    </w:pPr>
    <w:rPr>
      <w:rFonts w:asciiTheme="majorHAnsi" w:hAnsiTheme="majorHAnsi"/>
      <w:color w:val="365F91" w:themeColor="accent1" w:themeShade="BF"/>
      <w:lang w:eastAsia="es-CL"/>
    </w:rPr>
  </w:style>
  <w:style w:type="paragraph" w:styleId="TDC1">
    <w:name w:val="toc 1"/>
    <w:basedOn w:val="Normal"/>
    <w:next w:val="Normal"/>
    <w:autoRedefine/>
    <w:uiPriority w:val="39"/>
    <w:unhideWhenUsed/>
    <w:rsid w:val="0037228E"/>
    <w:pPr>
      <w:spacing w:after="100"/>
    </w:pPr>
  </w:style>
  <w:style w:type="paragraph" w:styleId="TDC2">
    <w:name w:val="toc 2"/>
    <w:basedOn w:val="Normal"/>
    <w:next w:val="Normal"/>
    <w:autoRedefine/>
    <w:uiPriority w:val="39"/>
    <w:unhideWhenUsed/>
    <w:rsid w:val="0037228E"/>
    <w:pPr>
      <w:spacing w:after="100"/>
      <w:ind w:left="220"/>
    </w:pPr>
  </w:style>
  <w:style w:type="paragraph" w:styleId="TDC3">
    <w:name w:val="toc 3"/>
    <w:basedOn w:val="Normal"/>
    <w:next w:val="Normal"/>
    <w:autoRedefine/>
    <w:uiPriority w:val="39"/>
    <w:unhideWhenUsed/>
    <w:rsid w:val="0037228E"/>
    <w:pPr>
      <w:spacing w:after="100"/>
      <w:ind w:left="440"/>
    </w:pPr>
  </w:style>
  <w:style w:type="paragraph" w:styleId="Textodeglobo">
    <w:name w:val="Balloon Text"/>
    <w:basedOn w:val="Normal"/>
    <w:link w:val="TextodegloboCar"/>
    <w:uiPriority w:val="99"/>
    <w:semiHidden/>
    <w:unhideWhenUsed/>
    <w:rsid w:val="0037228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7228E"/>
    <w:rPr>
      <w:rFonts w:ascii="Tahoma" w:hAnsi="Tahoma" w:cs="Tahoma"/>
      <w:sz w:val="16"/>
      <w:szCs w:val="16"/>
    </w:rPr>
  </w:style>
  <w:style w:type="paragraph" w:styleId="Textonotapie">
    <w:name w:val="footnote text"/>
    <w:basedOn w:val="Normal"/>
    <w:link w:val="TextonotapieCar"/>
    <w:uiPriority w:val="99"/>
    <w:semiHidden/>
    <w:unhideWhenUsed/>
    <w:rsid w:val="007E7180"/>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7E7180"/>
    <w:rPr>
      <w:sz w:val="20"/>
      <w:szCs w:val="20"/>
    </w:rPr>
  </w:style>
  <w:style w:type="paragraph" w:styleId="Sinespaciado">
    <w:name w:val="No Spacing"/>
    <w:uiPriority w:val="1"/>
    <w:qFormat/>
    <w:rsid w:val="008F6993"/>
    <w:pPr>
      <w:spacing w:after="0" w:line="240" w:lineRule="auto"/>
    </w:pPr>
  </w:style>
  <w:style w:type="paragraph" w:customStyle="1" w:styleId="VietaSimboloOT">
    <w:name w:val="Viñeta Simbolo OT"/>
    <w:basedOn w:val="OT"/>
    <w:rsid w:val="009A4893"/>
    <w:pPr>
      <w:spacing w:before="0" w:after="0"/>
      <w:ind w:left="255" w:hanging="170"/>
    </w:pPr>
  </w:style>
  <w:style w:type="paragraph" w:customStyle="1" w:styleId="FuenteCuadroOT">
    <w:name w:val="Fuente Cuadro OT"/>
    <w:basedOn w:val="OT"/>
    <w:rsid w:val="009A4893"/>
    <w:pPr>
      <w:numPr>
        <w:numId w:val="20"/>
      </w:numPr>
      <w:tabs>
        <w:tab w:val="clear" w:pos="360"/>
      </w:tabs>
      <w:spacing w:before="40" w:after="40"/>
      <w:ind w:left="0" w:firstLine="0"/>
    </w:pPr>
    <w:rPr>
      <w:position w:val="6"/>
      <w:sz w:val="16"/>
    </w:rPr>
  </w:style>
  <w:style w:type="table" w:styleId="Sombreadoclaro-nfasis1">
    <w:name w:val="Light Shading Accent 1"/>
    <w:basedOn w:val="Tablanormal"/>
    <w:uiPriority w:val="60"/>
    <w:rsid w:val="00495DBD"/>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
    <w:name w:val="Light Shading"/>
    <w:basedOn w:val="Tablanormal"/>
    <w:uiPriority w:val="60"/>
    <w:rsid w:val="00495DBD"/>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Standard">
    <w:name w:val="Standard"/>
    <w:rsid w:val="00571AD6"/>
    <w:pPr>
      <w:widowControl w:val="0"/>
      <w:suppressAutoHyphens/>
      <w:autoSpaceDN w:val="0"/>
      <w:spacing w:after="0" w:line="240" w:lineRule="auto"/>
      <w:textAlignment w:val="baseline"/>
    </w:pPr>
    <w:rPr>
      <w:rFonts w:ascii="Times New Roman" w:eastAsia="SimSun" w:hAnsi="Times New Roman" w:cs="Mangal"/>
      <w:kern w:val="3"/>
      <w:sz w:val="24"/>
      <w:szCs w:val="24"/>
      <w:lang w:val="es-MX" w:eastAsia="zh-CN" w:bidi="hi-IN"/>
    </w:rPr>
  </w:style>
  <w:style w:type="character" w:styleId="Hipervnculovisitado">
    <w:name w:val="FollowedHyperlink"/>
    <w:basedOn w:val="Fuentedeprrafopredeter"/>
    <w:uiPriority w:val="99"/>
    <w:semiHidden/>
    <w:unhideWhenUsed/>
    <w:rsid w:val="00513DAA"/>
    <w:rPr>
      <w:color w:val="800080" w:themeColor="followedHyperlink"/>
      <w:u w:val="single"/>
    </w:rPr>
  </w:style>
  <w:style w:type="table" w:styleId="Sombreadoclaro-nfasis5">
    <w:name w:val="Light Shading Accent 5"/>
    <w:basedOn w:val="Tablanormal"/>
    <w:uiPriority w:val="60"/>
    <w:rsid w:val="000A32CC"/>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character" w:styleId="Refdecomentario">
    <w:name w:val="annotation reference"/>
    <w:basedOn w:val="Fuentedeprrafopredeter"/>
    <w:uiPriority w:val="99"/>
    <w:semiHidden/>
    <w:unhideWhenUsed/>
    <w:rsid w:val="000100A6"/>
    <w:rPr>
      <w:sz w:val="16"/>
      <w:szCs w:val="16"/>
    </w:rPr>
  </w:style>
  <w:style w:type="paragraph" w:styleId="Textocomentario">
    <w:name w:val="annotation text"/>
    <w:basedOn w:val="Normal"/>
    <w:link w:val="TextocomentarioCar"/>
    <w:unhideWhenUsed/>
    <w:rsid w:val="000100A6"/>
    <w:pPr>
      <w:spacing w:line="240" w:lineRule="auto"/>
    </w:pPr>
    <w:rPr>
      <w:sz w:val="20"/>
      <w:szCs w:val="20"/>
    </w:rPr>
  </w:style>
  <w:style w:type="character" w:customStyle="1" w:styleId="TextocomentarioCar">
    <w:name w:val="Texto comentario Car"/>
    <w:basedOn w:val="Fuentedeprrafopredeter"/>
    <w:link w:val="Textocomentario"/>
    <w:rsid w:val="000100A6"/>
    <w:rPr>
      <w:sz w:val="20"/>
      <w:szCs w:val="20"/>
    </w:rPr>
  </w:style>
  <w:style w:type="paragraph" w:styleId="Asuntodelcomentario">
    <w:name w:val="annotation subject"/>
    <w:basedOn w:val="Textocomentario"/>
    <w:next w:val="Textocomentario"/>
    <w:link w:val="AsuntodelcomentarioCar"/>
    <w:uiPriority w:val="99"/>
    <w:semiHidden/>
    <w:unhideWhenUsed/>
    <w:rsid w:val="000100A6"/>
    <w:rPr>
      <w:b/>
      <w:bCs/>
    </w:rPr>
  </w:style>
  <w:style w:type="character" w:customStyle="1" w:styleId="AsuntodelcomentarioCar">
    <w:name w:val="Asunto del comentario Car"/>
    <w:basedOn w:val="TextocomentarioCar"/>
    <w:link w:val="Asuntodelcomentario"/>
    <w:uiPriority w:val="99"/>
    <w:semiHidden/>
    <w:rsid w:val="000100A6"/>
    <w:rPr>
      <w:b/>
      <w:bCs/>
      <w:sz w:val="20"/>
      <w:szCs w:val="20"/>
    </w:rPr>
  </w:style>
  <w:style w:type="table" w:customStyle="1" w:styleId="Tablaconcuadrcula1">
    <w:name w:val="Tabla con cuadrícula1"/>
    <w:basedOn w:val="Tablanormal"/>
    <w:next w:val="Tablaconcuadrcula"/>
    <w:uiPriority w:val="59"/>
    <w:rsid w:val="006F556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notaalfinal">
    <w:name w:val="endnote text"/>
    <w:basedOn w:val="Normal"/>
    <w:link w:val="TextonotaalfinalCar"/>
    <w:uiPriority w:val="99"/>
    <w:semiHidden/>
    <w:unhideWhenUsed/>
    <w:rsid w:val="00637F57"/>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637F57"/>
    <w:rPr>
      <w:sz w:val="20"/>
      <w:szCs w:val="20"/>
    </w:rPr>
  </w:style>
  <w:style w:type="character" w:styleId="Refdenotaalfinal">
    <w:name w:val="endnote reference"/>
    <w:basedOn w:val="Fuentedeprrafopredeter"/>
    <w:uiPriority w:val="99"/>
    <w:semiHidden/>
    <w:unhideWhenUsed/>
    <w:rsid w:val="00637F57"/>
    <w:rPr>
      <w:vertAlign w:val="superscript"/>
    </w:rPr>
  </w:style>
  <w:style w:type="table" w:styleId="Listaclara-nfasis1">
    <w:name w:val="Light List Accent 1"/>
    <w:basedOn w:val="Tablanormal"/>
    <w:uiPriority w:val="61"/>
    <w:rsid w:val="00134F96"/>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Sombreadomedio1">
    <w:name w:val="Medium Shading 1"/>
    <w:basedOn w:val="Tablanormal"/>
    <w:uiPriority w:val="63"/>
    <w:rsid w:val="004C7C38"/>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Lines="0" w:before="0" w:beforeAutospacing="0" w:afterLines="0" w:after="0" w:afterAutospacing="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character" w:styleId="nfasis">
    <w:name w:val="Emphasis"/>
    <w:basedOn w:val="Fuentedeprrafopredeter"/>
    <w:uiPriority w:val="20"/>
    <w:qFormat/>
    <w:rsid w:val="00B44D4D"/>
    <w:rPr>
      <w:i/>
      <w:iCs/>
    </w:rPr>
  </w:style>
  <w:style w:type="character" w:customStyle="1" w:styleId="nlmcontrib">
    <w:name w:val="nlm_contrib"/>
    <w:basedOn w:val="Fuentedeprrafopredeter"/>
    <w:rsid w:val="00B44D4D"/>
  </w:style>
  <w:style w:type="character" w:customStyle="1" w:styleId="nlmyear">
    <w:name w:val="nlm_year"/>
    <w:basedOn w:val="Fuentedeprrafopredeter"/>
    <w:rsid w:val="00B44D4D"/>
  </w:style>
  <w:style w:type="character" w:customStyle="1" w:styleId="bookmetatitles">
    <w:name w:val="bookmetatitles"/>
    <w:basedOn w:val="Fuentedeprrafopredeter"/>
    <w:rsid w:val="00B44D4D"/>
  </w:style>
  <w:style w:type="character" w:customStyle="1" w:styleId="il">
    <w:name w:val="il"/>
    <w:basedOn w:val="Fuentedeprrafopredeter"/>
    <w:rsid w:val="00EB311C"/>
  </w:style>
  <w:style w:type="paragraph" w:customStyle="1" w:styleId="TablaAnexo">
    <w:name w:val="Tabla Anexo"/>
    <w:basedOn w:val="Normal"/>
    <w:next w:val="Normal"/>
    <w:autoRedefine/>
    <w:rsid w:val="00E7274E"/>
    <w:pPr>
      <w:numPr>
        <w:numId w:val="39"/>
      </w:numPr>
      <w:spacing w:after="0" w:line="240" w:lineRule="auto"/>
      <w:jc w:val="center"/>
    </w:pPr>
    <w:rPr>
      <w:rFonts w:ascii="Arial" w:eastAsia="Times New Roman" w:hAnsi="Arial" w:cs="Times New Roman"/>
      <w:b/>
      <w:szCs w:val="20"/>
      <w:lang w:val="es-ES_tradnl" w:eastAsia="es-ES"/>
    </w:rPr>
  </w:style>
  <w:style w:type="paragraph" w:styleId="HTMLconformatoprevio">
    <w:name w:val="HTML Preformatted"/>
    <w:basedOn w:val="Normal"/>
    <w:link w:val="HTMLconformatoprevioCar"/>
    <w:uiPriority w:val="99"/>
    <w:semiHidden/>
    <w:unhideWhenUsed/>
    <w:rsid w:val="00937C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pPr>
    <w:rPr>
      <w:rFonts w:ascii="Courier New" w:eastAsia="Times New Roman" w:hAnsi="Courier New" w:cs="Courier New"/>
      <w:sz w:val="20"/>
      <w:szCs w:val="20"/>
      <w:lang w:eastAsia="es-CL"/>
    </w:rPr>
  </w:style>
  <w:style w:type="character" w:customStyle="1" w:styleId="HTMLconformatoprevioCar">
    <w:name w:val="HTML con formato previo Car"/>
    <w:basedOn w:val="Fuentedeprrafopredeter"/>
    <w:link w:val="HTMLconformatoprevio"/>
    <w:uiPriority w:val="99"/>
    <w:semiHidden/>
    <w:rsid w:val="00937C57"/>
    <w:rPr>
      <w:rFonts w:ascii="Courier New" w:eastAsia="Times New Roman" w:hAnsi="Courier New" w:cs="Courier New"/>
      <w:sz w:val="20"/>
      <w:szCs w:val="20"/>
      <w:lang w:eastAsia="es-CL"/>
    </w:rPr>
  </w:style>
  <w:style w:type="character" w:customStyle="1" w:styleId="citationref">
    <w:name w:val="citationref"/>
    <w:basedOn w:val="Fuentedeprrafopredeter"/>
    <w:rsid w:val="005A33AF"/>
  </w:style>
  <w:style w:type="paragraph" w:styleId="Epgrafe">
    <w:name w:val="caption"/>
    <w:basedOn w:val="Normal"/>
    <w:next w:val="Normal"/>
    <w:uiPriority w:val="35"/>
    <w:unhideWhenUsed/>
    <w:qFormat/>
    <w:rsid w:val="00725053"/>
    <w:pPr>
      <w:spacing w:line="240" w:lineRule="auto"/>
    </w:pPr>
    <w:rPr>
      <w:b/>
      <w:bCs/>
      <w:color w:val="4F81BD" w:themeColor="accent1"/>
      <w:sz w:val="18"/>
      <w:szCs w:val="18"/>
    </w:rPr>
  </w:style>
  <w:style w:type="paragraph" w:styleId="Bibliografa">
    <w:name w:val="Bibliography"/>
    <w:basedOn w:val="Normal"/>
    <w:next w:val="Normal"/>
    <w:uiPriority w:val="37"/>
    <w:unhideWhenUsed/>
    <w:rsid w:val="005E5E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83509">
      <w:bodyDiv w:val="1"/>
      <w:marLeft w:val="0"/>
      <w:marRight w:val="0"/>
      <w:marTop w:val="0"/>
      <w:marBottom w:val="0"/>
      <w:divBdr>
        <w:top w:val="none" w:sz="0" w:space="0" w:color="auto"/>
        <w:left w:val="none" w:sz="0" w:space="0" w:color="auto"/>
        <w:bottom w:val="none" w:sz="0" w:space="0" w:color="auto"/>
        <w:right w:val="none" w:sz="0" w:space="0" w:color="auto"/>
      </w:divBdr>
    </w:div>
    <w:div w:id="25953850">
      <w:bodyDiv w:val="1"/>
      <w:marLeft w:val="0"/>
      <w:marRight w:val="0"/>
      <w:marTop w:val="0"/>
      <w:marBottom w:val="0"/>
      <w:divBdr>
        <w:top w:val="none" w:sz="0" w:space="0" w:color="auto"/>
        <w:left w:val="none" w:sz="0" w:space="0" w:color="auto"/>
        <w:bottom w:val="none" w:sz="0" w:space="0" w:color="auto"/>
        <w:right w:val="none" w:sz="0" w:space="0" w:color="auto"/>
      </w:divBdr>
    </w:div>
    <w:div w:id="33626869">
      <w:bodyDiv w:val="1"/>
      <w:marLeft w:val="0"/>
      <w:marRight w:val="0"/>
      <w:marTop w:val="0"/>
      <w:marBottom w:val="0"/>
      <w:divBdr>
        <w:top w:val="none" w:sz="0" w:space="0" w:color="auto"/>
        <w:left w:val="none" w:sz="0" w:space="0" w:color="auto"/>
        <w:bottom w:val="none" w:sz="0" w:space="0" w:color="auto"/>
        <w:right w:val="none" w:sz="0" w:space="0" w:color="auto"/>
      </w:divBdr>
    </w:div>
    <w:div w:id="36860169">
      <w:bodyDiv w:val="1"/>
      <w:marLeft w:val="0"/>
      <w:marRight w:val="0"/>
      <w:marTop w:val="0"/>
      <w:marBottom w:val="0"/>
      <w:divBdr>
        <w:top w:val="none" w:sz="0" w:space="0" w:color="auto"/>
        <w:left w:val="none" w:sz="0" w:space="0" w:color="auto"/>
        <w:bottom w:val="none" w:sz="0" w:space="0" w:color="auto"/>
        <w:right w:val="none" w:sz="0" w:space="0" w:color="auto"/>
      </w:divBdr>
    </w:div>
    <w:div w:id="38670804">
      <w:bodyDiv w:val="1"/>
      <w:marLeft w:val="0"/>
      <w:marRight w:val="0"/>
      <w:marTop w:val="0"/>
      <w:marBottom w:val="0"/>
      <w:divBdr>
        <w:top w:val="none" w:sz="0" w:space="0" w:color="auto"/>
        <w:left w:val="none" w:sz="0" w:space="0" w:color="auto"/>
        <w:bottom w:val="none" w:sz="0" w:space="0" w:color="auto"/>
        <w:right w:val="none" w:sz="0" w:space="0" w:color="auto"/>
      </w:divBdr>
    </w:div>
    <w:div w:id="54083667">
      <w:bodyDiv w:val="1"/>
      <w:marLeft w:val="0"/>
      <w:marRight w:val="0"/>
      <w:marTop w:val="0"/>
      <w:marBottom w:val="0"/>
      <w:divBdr>
        <w:top w:val="none" w:sz="0" w:space="0" w:color="auto"/>
        <w:left w:val="none" w:sz="0" w:space="0" w:color="auto"/>
        <w:bottom w:val="none" w:sz="0" w:space="0" w:color="auto"/>
        <w:right w:val="none" w:sz="0" w:space="0" w:color="auto"/>
      </w:divBdr>
    </w:div>
    <w:div w:id="55977987">
      <w:bodyDiv w:val="1"/>
      <w:marLeft w:val="0"/>
      <w:marRight w:val="0"/>
      <w:marTop w:val="0"/>
      <w:marBottom w:val="0"/>
      <w:divBdr>
        <w:top w:val="none" w:sz="0" w:space="0" w:color="auto"/>
        <w:left w:val="none" w:sz="0" w:space="0" w:color="auto"/>
        <w:bottom w:val="none" w:sz="0" w:space="0" w:color="auto"/>
        <w:right w:val="none" w:sz="0" w:space="0" w:color="auto"/>
      </w:divBdr>
    </w:div>
    <w:div w:id="61758313">
      <w:bodyDiv w:val="1"/>
      <w:marLeft w:val="0"/>
      <w:marRight w:val="0"/>
      <w:marTop w:val="0"/>
      <w:marBottom w:val="0"/>
      <w:divBdr>
        <w:top w:val="none" w:sz="0" w:space="0" w:color="auto"/>
        <w:left w:val="none" w:sz="0" w:space="0" w:color="auto"/>
        <w:bottom w:val="none" w:sz="0" w:space="0" w:color="auto"/>
        <w:right w:val="none" w:sz="0" w:space="0" w:color="auto"/>
      </w:divBdr>
    </w:div>
    <w:div w:id="72289284">
      <w:bodyDiv w:val="1"/>
      <w:marLeft w:val="0"/>
      <w:marRight w:val="0"/>
      <w:marTop w:val="0"/>
      <w:marBottom w:val="0"/>
      <w:divBdr>
        <w:top w:val="none" w:sz="0" w:space="0" w:color="auto"/>
        <w:left w:val="none" w:sz="0" w:space="0" w:color="auto"/>
        <w:bottom w:val="none" w:sz="0" w:space="0" w:color="auto"/>
        <w:right w:val="none" w:sz="0" w:space="0" w:color="auto"/>
      </w:divBdr>
    </w:div>
    <w:div w:id="75321534">
      <w:bodyDiv w:val="1"/>
      <w:marLeft w:val="0"/>
      <w:marRight w:val="0"/>
      <w:marTop w:val="0"/>
      <w:marBottom w:val="0"/>
      <w:divBdr>
        <w:top w:val="none" w:sz="0" w:space="0" w:color="auto"/>
        <w:left w:val="none" w:sz="0" w:space="0" w:color="auto"/>
        <w:bottom w:val="none" w:sz="0" w:space="0" w:color="auto"/>
        <w:right w:val="none" w:sz="0" w:space="0" w:color="auto"/>
      </w:divBdr>
    </w:div>
    <w:div w:id="81879156">
      <w:bodyDiv w:val="1"/>
      <w:marLeft w:val="0"/>
      <w:marRight w:val="0"/>
      <w:marTop w:val="0"/>
      <w:marBottom w:val="0"/>
      <w:divBdr>
        <w:top w:val="none" w:sz="0" w:space="0" w:color="auto"/>
        <w:left w:val="none" w:sz="0" w:space="0" w:color="auto"/>
        <w:bottom w:val="none" w:sz="0" w:space="0" w:color="auto"/>
        <w:right w:val="none" w:sz="0" w:space="0" w:color="auto"/>
      </w:divBdr>
    </w:div>
    <w:div w:id="83844075">
      <w:bodyDiv w:val="1"/>
      <w:marLeft w:val="0"/>
      <w:marRight w:val="0"/>
      <w:marTop w:val="0"/>
      <w:marBottom w:val="0"/>
      <w:divBdr>
        <w:top w:val="none" w:sz="0" w:space="0" w:color="auto"/>
        <w:left w:val="none" w:sz="0" w:space="0" w:color="auto"/>
        <w:bottom w:val="none" w:sz="0" w:space="0" w:color="auto"/>
        <w:right w:val="none" w:sz="0" w:space="0" w:color="auto"/>
      </w:divBdr>
    </w:div>
    <w:div w:id="86004861">
      <w:bodyDiv w:val="1"/>
      <w:marLeft w:val="0"/>
      <w:marRight w:val="0"/>
      <w:marTop w:val="0"/>
      <w:marBottom w:val="0"/>
      <w:divBdr>
        <w:top w:val="none" w:sz="0" w:space="0" w:color="auto"/>
        <w:left w:val="none" w:sz="0" w:space="0" w:color="auto"/>
        <w:bottom w:val="none" w:sz="0" w:space="0" w:color="auto"/>
        <w:right w:val="none" w:sz="0" w:space="0" w:color="auto"/>
      </w:divBdr>
    </w:div>
    <w:div w:id="93593100">
      <w:bodyDiv w:val="1"/>
      <w:marLeft w:val="0"/>
      <w:marRight w:val="0"/>
      <w:marTop w:val="0"/>
      <w:marBottom w:val="0"/>
      <w:divBdr>
        <w:top w:val="none" w:sz="0" w:space="0" w:color="auto"/>
        <w:left w:val="none" w:sz="0" w:space="0" w:color="auto"/>
        <w:bottom w:val="none" w:sz="0" w:space="0" w:color="auto"/>
        <w:right w:val="none" w:sz="0" w:space="0" w:color="auto"/>
      </w:divBdr>
    </w:div>
    <w:div w:id="101805989">
      <w:bodyDiv w:val="1"/>
      <w:marLeft w:val="0"/>
      <w:marRight w:val="0"/>
      <w:marTop w:val="0"/>
      <w:marBottom w:val="0"/>
      <w:divBdr>
        <w:top w:val="none" w:sz="0" w:space="0" w:color="auto"/>
        <w:left w:val="none" w:sz="0" w:space="0" w:color="auto"/>
        <w:bottom w:val="none" w:sz="0" w:space="0" w:color="auto"/>
        <w:right w:val="none" w:sz="0" w:space="0" w:color="auto"/>
      </w:divBdr>
    </w:div>
    <w:div w:id="108932469">
      <w:bodyDiv w:val="1"/>
      <w:marLeft w:val="0"/>
      <w:marRight w:val="0"/>
      <w:marTop w:val="0"/>
      <w:marBottom w:val="0"/>
      <w:divBdr>
        <w:top w:val="none" w:sz="0" w:space="0" w:color="auto"/>
        <w:left w:val="none" w:sz="0" w:space="0" w:color="auto"/>
        <w:bottom w:val="none" w:sz="0" w:space="0" w:color="auto"/>
        <w:right w:val="none" w:sz="0" w:space="0" w:color="auto"/>
      </w:divBdr>
    </w:div>
    <w:div w:id="121265824">
      <w:bodyDiv w:val="1"/>
      <w:marLeft w:val="0"/>
      <w:marRight w:val="0"/>
      <w:marTop w:val="0"/>
      <w:marBottom w:val="0"/>
      <w:divBdr>
        <w:top w:val="none" w:sz="0" w:space="0" w:color="auto"/>
        <w:left w:val="none" w:sz="0" w:space="0" w:color="auto"/>
        <w:bottom w:val="none" w:sz="0" w:space="0" w:color="auto"/>
        <w:right w:val="none" w:sz="0" w:space="0" w:color="auto"/>
      </w:divBdr>
    </w:div>
    <w:div w:id="129322828">
      <w:bodyDiv w:val="1"/>
      <w:marLeft w:val="0"/>
      <w:marRight w:val="0"/>
      <w:marTop w:val="0"/>
      <w:marBottom w:val="0"/>
      <w:divBdr>
        <w:top w:val="none" w:sz="0" w:space="0" w:color="auto"/>
        <w:left w:val="none" w:sz="0" w:space="0" w:color="auto"/>
        <w:bottom w:val="none" w:sz="0" w:space="0" w:color="auto"/>
        <w:right w:val="none" w:sz="0" w:space="0" w:color="auto"/>
      </w:divBdr>
    </w:div>
    <w:div w:id="129324556">
      <w:bodyDiv w:val="1"/>
      <w:marLeft w:val="0"/>
      <w:marRight w:val="0"/>
      <w:marTop w:val="0"/>
      <w:marBottom w:val="0"/>
      <w:divBdr>
        <w:top w:val="none" w:sz="0" w:space="0" w:color="auto"/>
        <w:left w:val="none" w:sz="0" w:space="0" w:color="auto"/>
        <w:bottom w:val="none" w:sz="0" w:space="0" w:color="auto"/>
        <w:right w:val="none" w:sz="0" w:space="0" w:color="auto"/>
      </w:divBdr>
    </w:div>
    <w:div w:id="129447608">
      <w:bodyDiv w:val="1"/>
      <w:marLeft w:val="0"/>
      <w:marRight w:val="0"/>
      <w:marTop w:val="0"/>
      <w:marBottom w:val="0"/>
      <w:divBdr>
        <w:top w:val="none" w:sz="0" w:space="0" w:color="auto"/>
        <w:left w:val="none" w:sz="0" w:space="0" w:color="auto"/>
        <w:bottom w:val="none" w:sz="0" w:space="0" w:color="auto"/>
        <w:right w:val="none" w:sz="0" w:space="0" w:color="auto"/>
      </w:divBdr>
    </w:div>
    <w:div w:id="129979804">
      <w:bodyDiv w:val="1"/>
      <w:marLeft w:val="0"/>
      <w:marRight w:val="0"/>
      <w:marTop w:val="0"/>
      <w:marBottom w:val="0"/>
      <w:divBdr>
        <w:top w:val="none" w:sz="0" w:space="0" w:color="auto"/>
        <w:left w:val="none" w:sz="0" w:space="0" w:color="auto"/>
        <w:bottom w:val="none" w:sz="0" w:space="0" w:color="auto"/>
        <w:right w:val="none" w:sz="0" w:space="0" w:color="auto"/>
      </w:divBdr>
    </w:div>
    <w:div w:id="135682399">
      <w:bodyDiv w:val="1"/>
      <w:marLeft w:val="0"/>
      <w:marRight w:val="0"/>
      <w:marTop w:val="0"/>
      <w:marBottom w:val="0"/>
      <w:divBdr>
        <w:top w:val="none" w:sz="0" w:space="0" w:color="auto"/>
        <w:left w:val="none" w:sz="0" w:space="0" w:color="auto"/>
        <w:bottom w:val="none" w:sz="0" w:space="0" w:color="auto"/>
        <w:right w:val="none" w:sz="0" w:space="0" w:color="auto"/>
      </w:divBdr>
    </w:div>
    <w:div w:id="143396708">
      <w:bodyDiv w:val="1"/>
      <w:marLeft w:val="0"/>
      <w:marRight w:val="0"/>
      <w:marTop w:val="0"/>
      <w:marBottom w:val="0"/>
      <w:divBdr>
        <w:top w:val="none" w:sz="0" w:space="0" w:color="auto"/>
        <w:left w:val="none" w:sz="0" w:space="0" w:color="auto"/>
        <w:bottom w:val="none" w:sz="0" w:space="0" w:color="auto"/>
        <w:right w:val="none" w:sz="0" w:space="0" w:color="auto"/>
      </w:divBdr>
    </w:div>
    <w:div w:id="154803507">
      <w:bodyDiv w:val="1"/>
      <w:marLeft w:val="0"/>
      <w:marRight w:val="0"/>
      <w:marTop w:val="0"/>
      <w:marBottom w:val="0"/>
      <w:divBdr>
        <w:top w:val="none" w:sz="0" w:space="0" w:color="auto"/>
        <w:left w:val="none" w:sz="0" w:space="0" w:color="auto"/>
        <w:bottom w:val="none" w:sz="0" w:space="0" w:color="auto"/>
        <w:right w:val="none" w:sz="0" w:space="0" w:color="auto"/>
      </w:divBdr>
    </w:div>
    <w:div w:id="192888656">
      <w:bodyDiv w:val="1"/>
      <w:marLeft w:val="0"/>
      <w:marRight w:val="0"/>
      <w:marTop w:val="0"/>
      <w:marBottom w:val="0"/>
      <w:divBdr>
        <w:top w:val="none" w:sz="0" w:space="0" w:color="auto"/>
        <w:left w:val="none" w:sz="0" w:space="0" w:color="auto"/>
        <w:bottom w:val="none" w:sz="0" w:space="0" w:color="auto"/>
        <w:right w:val="none" w:sz="0" w:space="0" w:color="auto"/>
      </w:divBdr>
    </w:div>
    <w:div w:id="195237965">
      <w:bodyDiv w:val="1"/>
      <w:marLeft w:val="0"/>
      <w:marRight w:val="0"/>
      <w:marTop w:val="0"/>
      <w:marBottom w:val="0"/>
      <w:divBdr>
        <w:top w:val="none" w:sz="0" w:space="0" w:color="auto"/>
        <w:left w:val="none" w:sz="0" w:space="0" w:color="auto"/>
        <w:bottom w:val="none" w:sz="0" w:space="0" w:color="auto"/>
        <w:right w:val="none" w:sz="0" w:space="0" w:color="auto"/>
      </w:divBdr>
    </w:div>
    <w:div w:id="199516220">
      <w:bodyDiv w:val="1"/>
      <w:marLeft w:val="0"/>
      <w:marRight w:val="0"/>
      <w:marTop w:val="0"/>
      <w:marBottom w:val="0"/>
      <w:divBdr>
        <w:top w:val="none" w:sz="0" w:space="0" w:color="auto"/>
        <w:left w:val="none" w:sz="0" w:space="0" w:color="auto"/>
        <w:bottom w:val="none" w:sz="0" w:space="0" w:color="auto"/>
        <w:right w:val="none" w:sz="0" w:space="0" w:color="auto"/>
      </w:divBdr>
    </w:div>
    <w:div w:id="205921029">
      <w:bodyDiv w:val="1"/>
      <w:marLeft w:val="0"/>
      <w:marRight w:val="0"/>
      <w:marTop w:val="0"/>
      <w:marBottom w:val="0"/>
      <w:divBdr>
        <w:top w:val="none" w:sz="0" w:space="0" w:color="auto"/>
        <w:left w:val="none" w:sz="0" w:space="0" w:color="auto"/>
        <w:bottom w:val="none" w:sz="0" w:space="0" w:color="auto"/>
        <w:right w:val="none" w:sz="0" w:space="0" w:color="auto"/>
      </w:divBdr>
    </w:div>
    <w:div w:id="213396717">
      <w:bodyDiv w:val="1"/>
      <w:marLeft w:val="0"/>
      <w:marRight w:val="0"/>
      <w:marTop w:val="0"/>
      <w:marBottom w:val="0"/>
      <w:divBdr>
        <w:top w:val="none" w:sz="0" w:space="0" w:color="auto"/>
        <w:left w:val="none" w:sz="0" w:space="0" w:color="auto"/>
        <w:bottom w:val="none" w:sz="0" w:space="0" w:color="auto"/>
        <w:right w:val="none" w:sz="0" w:space="0" w:color="auto"/>
      </w:divBdr>
    </w:div>
    <w:div w:id="214316916">
      <w:bodyDiv w:val="1"/>
      <w:marLeft w:val="0"/>
      <w:marRight w:val="0"/>
      <w:marTop w:val="0"/>
      <w:marBottom w:val="0"/>
      <w:divBdr>
        <w:top w:val="none" w:sz="0" w:space="0" w:color="auto"/>
        <w:left w:val="none" w:sz="0" w:space="0" w:color="auto"/>
        <w:bottom w:val="none" w:sz="0" w:space="0" w:color="auto"/>
        <w:right w:val="none" w:sz="0" w:space="0" w:color="auto"/>
      </w:divBdr>
    </w:div>
    <w:div w:id="229851349">
      <w:bodyDiv w:val="1"/>
      <w:marLeft w:val="0"/>
      <w:marRight w:val="0"/>
      <w:marTop w:val="0"/>
      <w:marBottom w:val="0"/>
      <w:divBdr>
        <w:top w:val="none" w:sz="0" w:space="0" w:color="auto"/>
        <w:left w:val="none" w:sz="0" w:space="0" w:color="auto"/>
        <w:bottom w:val="none" w:sz="0" w:space="0" w:color="auto"/>
        <w:right w:val="none" w:sz="0" w:space="0" w:color="auto"/>
      </w:divBdr>
    </w:div>
    <w:div w:id="236332002">
      <w:bodyDiv w:val="1"/>
      <w:marLeft w:val="0"/>
      <w:marRight w:val="0"/>
      <w:marTop w:val="0"/>
      <w:marBottom w:val="0"/>
      <w:divBdr>
        <w:top w:val="none" w:sz="0" w:space="0" w:color="auto"/>
        <w:left w:val="none" w:sz="0" w:space="0" w:color="auto"/>
        <w:bottom w:val="none" w:sz="0" w:space="0" w:color="auto"/>
        <w:right w:val="none" w:sz="0" w:space="0" w:color="auto"/>
      </w:divBdr>
    </w:div>
    <w:div w:id="238684224">
      <w:bodyDiv w:val="1"/>
      <w:marLeft w:val="0"/>
      <w:marRight w:val="0"/>
      <w:marTop w:val="0"/>
      <w:marBottom w:val="0"/>
      <w:divBdr>
        <w:top w:val="none" w:sz="0" w:space="0" w:color="auto"/>
        <w:left w:val="none" w:sz="0" w:space="0" w:color="auto"/>
        <w:bottom w:val="none" w:sz="0" w:space="0" w:color="auto"/>
        <w:right w:val="none" w:sz="0" w:space="0" w:color="auto"/>
      </w:divBdr>
    </w:div>
    <w:div w:id="242491102">
      <w:bodyDiv w:val="1"/>
      <w:marLeft w:val="0"/>
      <w:marRight w:val="0"/>
      <w:marTop w:val="0"/>
      <w:marBottom w:val="0"/>
      <w:divBdr>
        <w:top w:val="none" w:sz="0" w:space="0" w:color="auto"/>
        <w:left w:val="none" w:sz="0" w:space="0" w:color="auto"/>
        <w:bottom w:val="none" w:sz="0" w:space="0" w:color="auto"/>
        <w:right w:val="none" w:sz="0" w:space="0" w:color="auto"/>
      </w:divBdr>
    </w:div>
    <w:div w:id="253125565">
      <w:bodyDiv w:val="1"/>
      <w:marLeft w:val="0"/>
      <w:marRight w:val="0"/>
      <w:marTop w:val="0"/>
      <w:marBottom w:val="0"/>
      <w:divBdr>
        <w:top w:val="none" w:sz="0" w:space="0" w:color="auto"/>
        <w:left w:val="none" w:sz="0" w:space="0" w:color="auto"/>
        <w:bottom w:val="none" w:sz="0" w:space="0" w:color="auto"/>
        <w:right w:val="none" w:sz="0" w:space="0" w:color="auto"/>
      </w:divBdr>
    </w:div>
    <w:div w:id="267860234">
      <w:bodyDiv w:val="1"/>
      <w:marLeft w:val="0"/>
      <w:marRight w:val="0"/>
      <w:marTop w:val="0"/>
      <w:marBottom w:val="0"/>
      <w:divBdr>
        <w:top w:val="none" w:sz="0" w:space="0" w:color="auto"/>
        <w:left w:val="none" w:sz="0" w:space="0" w:color="auto"/>
        <w:bottom w:val="none" w:sz="0" w:space="0" w:color="auto"/>
        <w:right w:val="none" w:sz="0" w:space="0" w:color="auto"/>
      </w:divBdr>
      <w:divsChild>
        <w:div w:id="86578475">
          <w:marLeft w:val="547"/>
          <w:marRight w:val="0"/>
          <w:marTop w:val="115"/>
          <w:marBottom w:val="0"/>
          <w:divBdr>
            <w:top w:val="none" w:sz="0" w:space="0" w:color="auto"/>
            <w:left w:val="none" w:sz="0" w:space="0" w:color="auto"/>
            <w:bottom w:val="none" w:sz="0" w:space="0" w:color="auto"/>
            <w:right w:val="none" w:sz="0" w:space="0" w:color="auto"/>
          </w:divBdr>
        </w:div>
      </w:divsChild>
    </w:div>
    <w:div w:id="273562811">
      <w:bodyDiv w:val="1"/>
      <w:marLeft w:val="0"/>
      <w:marRight w:val="0"/>
      <w:marTop w:val="0"/>
      <w:marBottom w:val="0"/>
      <w:divBdr>
        <w:top w:val="none" w:sz="0" w:space="0" w:color="auto"/>
        <w:left w:val="none" w:sz="0" w:space="0" w:color="auto"/>
        <w:bottom w:val="none" w:sz="0" w:space="0" w:color="auto"/>
        <w:right w:val="none" w:sz="0" w:space="0" w:color="auto"/>
      </w:divBdr>
    </w:div>
    <w:div w:id="278032561">
      <w:bodyDiv w:val="1"/>
      <w:marLeft w:val="0"/>
      <w:marRight w:val="0"/>
      <w:marTop w:val="0"/>
      <w:marBottom w:val="0"/>
      <w:divBdr>
        <w:top w:val="none" w:sz="0" w:space="0" w:color="auto"/>
        <w:left w:val="none" w:sz="0" w:space="0" w:color="auto"/>
        <w:bottom w:val="none" w:sz="0" w:space="0" w:color="auto"/>
        <w:right w:val="none" w:sz="0" w:space="0" w:color="auto"/>
      </w:divBdr>
    </w:div>
    <w:div w:id="286938539">
      <w:bodyDiv w:val="1"/>
      <w:marLeft w:val="0"/>
      <w:marRight w:val="0"/>
      <w:marTop w:val="0"/>
      <w:marBottom w:val="0"/>
      <w:divBdr>
        <w:top w:val="none" w:sz="0" w:space="0" w:color="auto"/>
        <w:left w:val="none" w:sz="0" w:space="0" w:color="auto"/>
        <w:bottom w:val="none" w:sz="0" w:space="0" w:color="auto"/>
        <w:right w:val="none" w:sz="0" w:space="0" w:color="auto"/>
      </w:divBdr>
    </w:div>
    <w:div w:id="289943707">
      <w:bodyDiv w:val="1"/>
      <w:marLeft w:val="0"/>
      <w:marRight w:val="0"/>
      <w:marTop w:val="0"/>
      <w:marBottom w:val="0"/>
      <w:divBdr>
        <w:top w:val="none" w:sz="0" w:space="0" w:color="auto"/>
        <w:left w:val="none" w:sz="0" w:space="0" w:color="auto"/>
        <w:bottom w:val="none" w:sz="0" w:space="0" w:color="auto"/>
        <w:right w:val="none" w:sz="0" w:space="0" w:color="auto"/>
      </w:divBdr>
    </w:div>
    <w:div w:id="294526806">
      <w:bodyDiv w:val="1"/>
      <w:marLeft w:val="0"/>
      <w:marRight w:val="0"/>
      <w:marTop w:val="0"/>
      <w:marBottom w:val="0"/>
      <w:divBdr>
        <w:top w:val="none" w:sz="0" w:space="0" w:color="auto"/>
        <w:left w:val="none" w:sz="0" w:space="0" w:color="auto"/>
        <w:bottom w:val="none" w:sz="0" w:space="0" w:color="auto"/>
        <w:right w:val="none" w:sz="0" w:space="0" w:color="auto"/>
      </w:divBdr>
    </w:div>
    <w:div w:id="300766418">
      <w:bodyDiv w:val="1"/>
      <w:marLeft w:val="0"/>
      <w:marRight w:val="0"/>
      <w:marTop w:val="0"/>
      <w:marBottom w:val="0"/>
      <w:divBdr>
        <w:top w:val="none" w:sz="0" w:space="0" w:color="auto"/>
        <w:left w:val="none" w:sz="0" w:space="0" w:color="auto"/>
        <w:bottom w:val="none" w:sz="0" w:space="0" w:color="auto"/>
        <w:right w:val="none" w:sz="0" w:space="0" w:color="auto"/>
      </w:divBdr>
    </w:div>
    <w:div w:id="302739892">
      <w:bodyDiv w:val="1"/>
      <w:marLeft w:val="0"/>
      <w:marRight w:val="0"/>
      <w:marTop w:val="0"/>
      <w:marBottom w:val="0"/>
      <w:divBdr>
        <w:top w:val="none" w:sz="0" w:space="0" w:color="auto"/>
        <w:left w:val="none" w:sz="0" w:space="0" w:color="auto"/>
        <w:bottom w:val="none" w:sz="0" w:space="0" w:color="auto"/>
        <w:right w:val="none" w:sz="0" w:space="0" w:color="auto"/>
      </w:divBdr>
    </w:div>
    <w:div w:id="306127839">
      <w:bodyDiv w:val="1"/>
      <w:marLeft w:val="0"/>
      <w:marRight w:val="0"/>
      <w:marTop w:val="0"/>
      <w:marBottom w:val="0"/>
      <w:divBdr>
        <w:top w:val="none" w:sz="0" w:space="0" w:color="auto"/>
        <w:left w:val="none" w:sz="0" w:space="0" w:color="auto"/>
        <w:bottom w:val="none" w:sz="0" w:space="0" w:color="auto"/>
        <w:right w:val="none" w:sz="0" w:space="0" w:color="auto"/>
      </w:divBdr>
    </w:div>
    <w:div w:id="309336391">
      <w:bodyDiv w:val="1"/>
      <w:marLeft w:val="0"/>
      <w:marRight w:val="0"/>
      <w:marTop w:val="0"/>
      <w:marBottom w:val="0"/>
      <w:divBdr>
        <w:top w:val="none" w:sz="0" w:space="0" w:color="auto"/>
        <w:left w:val="none" w:sz="0" w:space="0" w:color="auto"/>
        <w:bottom w:val="none" w:sz="0" w:space="0" w:color="auto"/>
        <w:right w:val="none" w:sz="0" w:space="0" w:color="auto"/>
      </w:divBdr>
    </w:div>
    <w:div w:id="312688147">
      <w:bodyDiv w:val="1"/>
      <w:marLeft w:val="0"/>
      <w:marRight w:val="0"/>
      <w:marTop w:val="0"/>
      <w:marBottom w:val="0"/>
      <w:divBdr>
        <w:top w:val="none" w:sz="0" w:space="0" w:color="auto"/>
        <w:left w:val="none" w:sz="0" w:space="0" w:color="auto"/>
        <w:bottom w:val="none" w:sz="0" w:space="0" w:color="auto"/>
        <w:right w:val="none" w:sz="0" w:space="0" w:color="auto"/>
      </w:divBdr>
    </w:div>
    <w:div w:id="314573305">
      <w:bodyDiv w:val="1"/>
      <w:marLeft w:val="0"/>
      <w:marRight w:val="0"/>
      <w:marTop w:val="0"/>
      <w:marBottom w:val="0"/>
      <w:divBdr>
        <w:top w:val="none" w:sz="0" w:space="0" w:color="auto"/>
        <w:left w:val="none" w:sz="0" w:space="0" w:color="auto"/>
        <w:bottom w:val="none" w:sz="0" w:space="0" w:color="auto"/>
        <w:right w:val="none" w:sz="0" w:space="0" w:color="auto"/>
      </w:divBdr>
    </w:div>
    <w:div w:id="320282646">
      <w:bodyDiv w:val="1"/>
      <w:marLeft w:val="0"/>
      <w:marRight w:val="0"/>
      <w:marTop w:val="0"/>
      <w:marBottom w:val="0"/>
      <w:divBdr>
        <w:top w:val="none" w:sz="0" w:space="0" w:color="auto"/>
        <w:left w:val="none" w:sz="0" w:space="0" w:color="auto"/>
        <w:bottom w:val="none" w:sz="0" w:space="0" w:color="auto"/>
        <w:right w:val="none" w:sz="0" w:space="0" w:color="auto"/>
      </w:divBdr>
    </w:div>
    <w:div w:id="320431898">
      <w:bodyDiv w:val="1"/>
      <w:marLeft w:val="0"/>
      <w:marRight w:val="0"/>
      <w:marTop w:val="0"/>
      <w:marBottom w:val="0"/>
      <w:divBdr>
        <w:top w:val="none" w:sz="0" w:space="0" w:color="auto"/>
        <w:left w:val="none" w:sz="0" w:space="0" w:color="auto"/>
        <w:bottom w:val="none" w:sz="0" w:space="0" w:color="auto"/>
        <w:right w:val="none" w:sz="0" w:space="0" w:color="auto"/>
      </w:divBdr>
    </w:div>
    <w:div w:id="325745141">
      <w:bodyDiv w:val="1"/>
      <w:marLeft w:val="0"/>
      <w:marRight w:val="0"/>
      <w:marTop w:val="0"/>
      <w:marBottom w:val="0"/>
      <w:divBdr>
        <w:top w:val="none" w:sz="0" w:space="0" w:color="auto"/>
        <w:left w:val="none" w:sz="0" w:space="0" w:color="auto"/>
        <w:bottom w:val="none" w:sz="0" w:space="0" w:color="auto"/>
        <w:right w:val="none" w:sz="0" w:space="0" w:color="auto"/>
      </w:divBdr>
    </w:div>
    <w:div w:id="327489188">
      <w:bodyDiv w:val="1"/>
      <w:marLeft w:val="0"/>
      <w:marRight w:val="0"/>
      <w:marTop w:val="0"/>
      <w:marBottom w:val="0"/>
      <w:divBdr>
        <w:top w:val="none" w:sz="0" w:space="0" w:color="auto"/>
        <w:left w:val="none" w:sz="0" w:space="0" w:color="auto"/>
        <w:bottom w:val="none" w:sz="0" w:space="0" w:color="auto"/>
        <w:right w:val="none" w:sz="0" w:space="0" w:color="auto"/>
      </w:divBdr>
    </w:div>
    <w:div w:id="328215135">
      <w:bodyDiv w:val="1"/>
      <w:marLeft w:val="0"/>
      <w:marRight w:val="0"/>
      <w:marTop w:val="0"/>
      <w:marBottom w:val="0"/>
      <w:divBdr>
        <w:top w:val="none" w:sz="0" w:space="0" w:color="auto"/>
        <w:left w:val="none" w:sz="0" w:space="0" w:color="auto"/>
        <w:bottom w:val="none" w:sz="0" w:space="0" w:color="auto"/>
        <w:right w:val="none" w:sz="0" w:space="0" w:color="auto"/>
      </w:divBdr>
      <w:divsChild>
        <w:div w:id="664550735">
          <w:marLeft w:val="1008"/>
          <w:marRight w:val="0"/>
          <w:marTop w:val="96"/>
          <w:marBottom w:val="0"/>
          <w:divBdr>
            <w:top w:val="none" w:sz="0" w:space="0" w:color="auto"/>
            <w:left w:val="none" w:sz="0" w:space="0" w:color="auto"/>
            <w:bottom w:val="none" w:sz="0" w:space="0" w:color="auto"/>
            <w:right w:val="none" w:sz="0" w:space="0" w:color="auto"/>
          </w:divBdr>
        </w:div>
        <w:div w:id="838352224">
          <w:marLeft w:val="547"/>
          <w:marRight w:val="0"/>
          <w:marTop w:val="106"/>
          <w:marBottom w:val="0"/>
          <w:divBdr>
            <w:top w:val="none" w:sz="0" w:space="0" w:color="auto"/>
            <w:left w:val="none" w:sz="0" w:space="0" w:color="auto"/>
            <w:bottom w:val="none" w:sz="0" w:space="0" w:color="auto"/>
            <w:right w:val="none" w:sz="0" w:space="0" w:color="auto"/>
          </w:divBdr>
        </w:div>
        <w:div w:id="913929408">
          <w:marLeft w:val="1008"/>
          <w:marRight w:val="0"/>
          <w:marTop w:val="96"/>
          <w:marBottom w:val="0"/>
          <w:divBdr>
            <w:top w:val="none" w:sz="0" w:space="0" w:color="auto"/>
            <w:left w:val="none" w:sz="0" w:space="0" w:color="auto"/>
            <w:bottom w:val="none" w:sz="0" w:space="0" w:color="auto"/>
            <w:right w:val="none" w:sz="0" w:space="0" w:color="auto"/>
          </w:divBdr>
        </w:div>
        <w:div w:id="1167864024">
          <w:marLeft w:val="547"/>
          <w:marRight w:val="0"/>
          <w:marTop w:val="106"/>
          <w:marBottom w:val="0"/>
          <w:divBdr>
            <w:top w:val="none" w:sz="0" w:space="0" w:color="auto"/>
            <w:left w:val="none" w:sz="0" w:space="0" w:color="auto"/>
            <w:bottom w:val="none" w:sz="0" w:space="0" w:color="auto"/>
            <w:right w:val="none" w:sz="0" w:space="0" w:color="auto"/>
          </w:divBdr>
        </w:div>
        <w:div w:id="1252547784">
          <w:marLeft w:val="1008"/>
          <w:marRight w:val="0"/>
          <w:marTop w:val="96"/>
          <w:marBottom w:val="0"/>
          <w:divBdr>
            <w:top w:val="none" w:sz="0" w:space="0" w:color="auto"/>
            <w:left w:val="none" w:sz="0" w:space="0" w:color="auto"/>
            <w:bottom w:val="none" w:sz="0" w:space="0" w:color="auto"/>
            <w:right w:val="none" w:sz="0" w:space="0" w:color="auto"/>
          </w:divBdr>
        </w:div>
        <w:div w:id="1840002560">
          <w:marLeft w:val="1008"/>
          <w:marRight w:val="0"/>
          <w:marTop w:val="96"/>
          <w:marBottom w:val="0"/>
          <w:divBdr>
            <w:top w:val="none" w:sz="0" w:space="0" w:color="auto"/>
            <w:left w:val="none" w:sz="0" w:space="0" w:color="auto"/>
            <w:bottom w:val="none" w:sz="0" w:space="0" w:color="auto"/>
            <w:right w:val="none" w:sz="0" w:space="0" w:color="auto"/>
          </w:divBdr>
        </w:div>
        <w:div w:id="2099060221">
          <w:marLeft w:val="1008"/>
          <w:marRight w:val="0"/>
          <w:marTop w:val="96"/>
          <w:marBottom w:val="0"/>
          <w:divBdr>
            <w:top w:val="none" w:sz="0" w:space="0" w:color="auto"/>
            <w:left w:val="none" w:sz="0" w:space="0" w:color="auto"/>
            <w:bottom w:val="none" w:sz="0" w:space="0" w:color="auto"/>
            <w:right w:val="none" w:sz="0" w:space="0" w:color="auto"/>
          </w:divBdr>
        </w:div>
        <w:div w:id="2105950932">
          <w:marLeft w:val="1008"/>
          <w:marRight w:val="0"/>
          <w:marTop w:val="96"/>
          <w:marBottom w:val="0"/>
          <w:divBdr>
            <w:top w:val="none" w:sz="0" w:space="0" w:color="auto"/>
            <w:left w:val="none" w:sz="0" w:space="0" w:color="auto"/>
            <w:bottom w:val="none" w:sz="0" w:space="0" w:color="auto"/>
            <w:right w:val="none" w:sz="0" w:space="0" w:color="auto"/>
          </w:divBdr>
        </w:div>
      </w:divsChild>
    </w:div>
    <w:div w:id="336201486">
      <w:bodyDiv w:val="1"/>
      <w:marLeft w:val="0"/>
      <w:marRight w:val="0"/>
      <w:marTop w:val="0"/>
      <w:marBottom w:val="0"/>
      <w:divBdr>
        <w:top w:val="none" w:sz="0" w:space="0" w:color="auto"/>
        <w:left w:val="none" w:sz="0" w:space="0" w:color="auto"/>
        <w:bottom w:val="none" w:sz="0" w:space="0" w:color="auto"/>
        <w:right w:val="none" w:sz="0" w:space="0" w:color="auto"/>
      </w:divBdr>
    </w:div>
    <w:div w:id="339234885">
      <w:bodyDiv w:val="1"/>
      <w:marLeft w:val="0"/>
      <w:marRight w:val="0"/>
      <w:marTop w:val="0"/>
      <w:marBottom w:val="0"/>
      <w:divBdr>
        <w:top w:val="none" w:sz="0" w:space="0" w:color="auto"/>
        <w:left w:val="none" w:sz="0" w:space="0" w:color="auto"/>
        <w:bottom w:val="none" w:sz="0" w:space="0" w:color="auto"/>
        <w:right w:val="none" w:sz="0" w:space="0" w:color="auto"/>
      </w:divBdr>
    </w:div>
    <w:div w:id="343480484">
      <w:bodyDiv w:val="1"/>
      <w:marLeft w:val="0"/>
      <w:marRight w:val="0"/>
      <w:marTop w:val="0"/>
      <w:marBottom w:val="0"/>
      <w:divBdr>
        <w:top w:val="none" w:sz="0" w:space="0" w:color="auto"/>
        <w:left w:val="none" w:sz="0" w:space="0" w:color="auto"/>
        <w:bottom w:val="none" w:sz="0" w:space="0" w:color="auto"/>
        <w:right w:val="none" w:sz="0" w:space="0" w:color="auto"/>
      </w:divBdr>
    </w:div>
    <w:div w:id="344751903">
      <w:bodyDiv w:val="1"/>
      <w:marLeft w:val="0"/>
      <w:marRight w:val="0"/>
      <w:marTop w:val="0"/>
      <w:marBottom w:val="0"/>
      <w:divBdr>
        <w:top w:val="none" w:sz="0" w:space="0" w:color="auto"/>
        <w:left w:val="none" w:sz="0" w:space="0" w:color="auto"/>
        <w:bottom w:val="none" w:sz="0" w:space="0" w:color="auto"/>
        <w:right w:val="none" w:sz="0" w:space="0" w:color="auto"/>
      </w:divBdr>
    </w:div>
    <w:div w:id="354044229">
      <w:bodyDiv w:val="1"/>
      <w:marLeft w:val="0"/>
      <w:marRight w:val="0"/>
      <w:marTop w:val="0"/>
      <w:marBottom w:val="0"/>
      <w:divBdr>
        <w:top w:val="none" w:sz="0" w:space="0" w:color="auto"/>
        <w:left w:val="none" w:sz="0" w:space="0" w:color="auto"/>
        <w:bottom w:val="none" w:sz="0" w:space="0" w:color="auto"/>
        <w:right w:val="none" w:sz="0" w:space="0" w:color="auto"/>
      </w:divBdr>
    </w:div>
    <w:div w:id="358509933">
      <w:bodyDiv w:val="1"/>
      <w:marLeft w:val="0"/>
      <w:marRight w:val="0"/>
      <w:marTop w:val="0"/>
      <w:marBottom w:val="0"/>
      <w:divBdr>
        <w:top w:val="none" w:sz="0" w:space="0" w:color="auto"/>
        <w:left w:val="none" w:sz="0" w:space="0" w:color="auto"/>
        <w:bottom w:val="none" w:sz="0" w:space="0" w:color="auto"/>
        <w:right w:val="none" w:sz="0" w:space="0" w:color="auto"/>
      </w:divBdr>
    </w:div>
    <w:div w:id="364328980">
      <w:bodyDiv w:val="1"/>
      <w:marLeft w:val="0"/>
      <w:marRight w:val="0"/>
      <w:marTop w:val="0"/>
      <w:marBottom w:val="0"/>
      <w:divBdr>
        <w:top w:val="none" w:sz="0" w:space="0" w:color="auto"/>
        <w:left w:val="none" w:sz="0" w:space="0" w:color="auto"/>
        <w:bottom w:val="none" w:sz="0" w:space="0" w:color="auto"/>
        <w:right w:val="none" w:sz="0" w:space="0" w:color="auto"/>
      </w:divBdr>
    </w:div>
    <w:div w:id="365760103">
      <w:bodyDiv w:val="1"/>
      <w:marLeft w:val="0"/>
      <w:marRight w:val="0"/>
      <w:marTop w:val="0"/>
      <w:marBottom w:val="0"/>
      <w:divBdr>
        <w:top w:val="none" w:sz="0" w:space="0" w:color="auto"/>
        <w:left w:val="none" w:sz="0" w:space="0" w:color="auto"/>
        <w:bottom w:val="none" w:sz="0" w:space="0" w:color="auto"/>
        <w:right w:val="none" w:sz="0" w:space="0" w:color="auto"/>
      </w:divBdr>
    </w:div>
    <w:div w:id="378750242">
      <w:bodyDiv w:val="1"/>
      <w:marLeft w:val="0"/>
      <w:marRight w:val="0"/>
      <w:marTop w:val="0"/>
      <w:marBottom w:val="0"/>
      <w:divBdr>
        <w:top w:val="none" w:sz="0" w:space="0" w:color="auto"/>
        <w:left w:val="none" w:sz="0" w:space="0" w:color="auto"/>
        <w:bottom w:val="none" w:sz="0" w:space="0" w:color="auto"/>
        <w:right w:val="none" w:sz="0" w:space="0" w:color="auto"/>
      </w:divBdr>
    </w:div>
    <w:div w:id="395977485">
      <w:bodyDiv w:val="1"/>
      <w:marLeft w:val="0"/>
      <w:marRight w:val="0"/>
      <w:marTop w:val="0"/>
      <w:marBottom w:val="0"/>
      <w:divBdr>
        <w:top w:val="none" w:sz="0" w:space="0" w:color="auto"/>
        <w:left w:val="none" w:sz="0" w:space="0" w:color="auto"/>
        <w:bottom w:val="none" w:sz="0" w:space="0" w:color="auto"/>
        <w:right w:val="none" w:sz="0" w:space="0" w:color="auto"/>
      </w:divBdr>
    </w:div>
    <w:div w:id="404298126">
      <w:bodyDiv w:val="1"/>
      <w:marLeft w:val="0"/>
      <w:marRight w:val="0"/>
      <w:marTop w:val="0"/>
      <w:marBottom w:val="0"/>
      <w:divBdr>
        <w:top w:val="none" w:sz="0" w:space="0" w:color="auto"/>
        <w:left w:val="none" w:sz="0" w:space="0" w:color="auto"/>
        <w:bottom w:val="none" w:sz="0" w:space="0" w:color="auto"/>
        <w:right w:val="none" w:sz="0" w:space="0" w:color="auto"/>
      </w:divBdr>
    </w:div>
    <w:div w:id="406001208">
      <w:bodyDiv w:val="1"/>
      <w:marLeft w:val="0"/>
      <w:marRight w:val="0"/>
      <w:marTop w:val="0"/>
      <w:marBottom w:val="0"/>
      <w:divBdr>
        <w:top w:val="none" w:sz="0" w:space="0" w:color="auto"/>
        <w:left w:val="none" w:sz="0" w:space="0" w:color="auto"/>
        <w:bottom w:val="none" w:sz="0" w:space="0" w:color="auto"/>
        <w:right w:val="none" w:sz="0" w:space="0" w:color="auto"/>
      </w:divBdr>
    </w:div>
    <w:div w:id="406265179">
      <w:bodyDiv w:val="1"/>
      <w:marLeft w:val="0"/>
      <w:marRight w:val="0"/>
      <w:marTop w:val="0"/>
      <w:marBottom w:val="0"/>
      <w:divBdr>
        <w:top w:val="none" w:sz="0" w:space="0" w:color="auto"/>
        <w:left w:val="none" w:sz="0" w:space="0" w:color="auto"/>
        <w:bottom w:val="none" w:sz="0" w:space="0" w:color="auto"/>
        <w:right w:val="none" w:sz="0" w:space="0" w:color="auto"/>
      </w:divBdr>
    </w:div>
    <w:div w:id="409885581">
      <w:bodyDiv w:val="1"/>
      <w:marLeft w:val="0"/>
      <w:marRight w:val="0"/>
      <w:marTop w:val="0"/>
      <w:marBottom w:val="0"/>
      <w:divBdr>
        <w:top w:val="none" w:sz="0" w:space="0" w:color="auto"/>
        <w:left w:val="none" w:sz="0" w:space="0" w:color="auto"/>
        <w:bottom w:val="none" w:sz="0" w:space="0" w:color="auto"/>
        <w:right w:val="none" w:sz="0" w:space="0" w:color="auto"/>
      </w:divBdr>
    </w:div>
    <w:div w:id="418019296">
      <w:bodyDiv w:val="1"/>
      <w:marLeft w:val="0"/>
      <w:marRight w:val="0"/>
      <w:marTop w:val="0"/>
      <w:marBottom w:val="0"/>
      <w:divBdr>
        <w:top w:val="none" w:sz="0" w:space="0" w:color="auto"/>
        <w:left w:val="none" w:sz="0" w:space="0" w:color="auto"/>
        <w:bottom w:val="none" w:sz="0" w:space="0" w:color="auto"/>
        <w:right w:val="none" w:sz="0" w:space="0" w:color="auto"/>
      </w:divBdr>
    </w:div>
    <w:div w:id="423839911">
      <w:bodyDiv w:val="1"/>
      <w:marLeft w:val="0"/>
      <w:marRight w:val="0"/>
      <w:marTop w:val="0"/>
      <w:marBottom w:val="0"/>
      <w:divBdr>
        <w:top w:val="none" w:sz="0" w:space="0" w:color="auto"/>
        <w:left w:val="none" w:sz="0" w:space="0" w:color="auto"/>
        <w:bottom w:val="none" w:sz="0" w:space="0" w:color="auto"/>
        <w:right w:val="none" w:sz="0" w:space="0" w:color="auto"/>
      </w:divBdr>
    </w:div>
    <w:div w:id="433748187">
      <w:bodyDiv w:val="1"/>
      <w:marLeft w:val="0"/>
      <w:marRight w:val="0"/>
      <w:marTop w:val="0"/>
      <w:marBottom w:val="0"/>
      <w:divBdr>
        <w:top w:val="none" w:sz="0" w:space="0" w:color="auto"/>
        <w:left w:val="none" w:sz="0" w:space="0" w:color="auto"/>
        <w:bottom w:val="none" w:sz="0" w:space="0" w:color="auto"/>
        <w:right w:val="none" w:sz="0" w:space="0" w:color="auto"/>
      </w:divBdr>
    </w:div>
    <w:div w:id="436215904">
      <w:bodyDiv w:val="1"/>
      <w:marLeft w:val="0"/>
      <w:marRight w:val="0"/>
      <w:marTop w:val="0"/>
      <w:marBottom w:val="0"/>
      <w:divBdr>
        <w:top w:val="none" w:sz="0" w:space="0" w:color="auto"/>
        <w:left w:val="none" w:sz="0" w:space="0" w:color="auto"/>
        <w:bottom w:val="none" w:sz="0" w:space="0" w:color="auto"/>
        <w:right w:val="none" w:sz="0" w:space="0" w:color="auto"/>
      </w:divBdr>
    </w:div>
    <w:div w:id="442771751">
      <w:bodyDiv w:val="1"/>
      <w:marLeft w:val="0"/>
      <w:marRight w:val="0"/>
      <w:marTop w:val="0"/>
      <w:marBottom w:val="0"/>
      <w:divBdr>
        <w:top w:val="none" w:sz="0" w:space="0" w:color="auto"/>
        <w:left w:val="none" w:sz="0" w:space="0" w:color="auto"/>
        <w:bottom w:val="none" w:sz="0" w:space="0" w:color="auto"/>
        <w:right w:val="none" w:sz="0" w:space="0" w:color="auto"/>
      </w:divBdr>
    </w:div>
    <w:div w:id="443427649">
      <w:bodyDiv w:val="1"/>
      <w:marLeft w:val="0"/>
      <w:marRight w:val="0"/>
      <w:marTop w:val="0"/>
      <w:marBottom w:val="0"/>
      <w:divBdr>
        <w:top w:val="none" w:sz="0" w:space="0" w:color="auto"/>
        <w:left w:val="none" w:sz="0" w:space="0" w:color="auto"/>
        <w:bottom w:val="none" w:sz="0" w:space="0" w:color="auto"/>
        <w:right w:val="none" w:sz="0" w:space="0" w:color="auto"/>
      </w:divBdr>
    </w:div>
    <w:div w:id="450442919">
      <w:bodyDiv w:val="1"/>
      <w:marLeft w:val="0"/>
      <w:marRight w:val="0"/>
      <w:marTop w:val="0"/>
      <w:marBottom w:val="0"/>
      <w:divBdr>
        <w:top w:val="none" w:sz="0" w:space="0" w:color="auto"/>
        <w:left w:val="none" w:sz="0" w:space="0" w:color="auto"/>
        <w:bottom w:val="none" w:sz="0" w:space="0" w:color="auto"/>
        <w:right w:val="none" w:sz="0" w:space="0" w:color="auto"/>
      </w:divBdr>
    </w:div>
    <w:div w:id="452290743">
      <w:bodyDiv w:val="1"/>
      <w:marLeft w:val="0"/>
      <w:marRight w:val="0"/>
      <w:marTop w:val="0"/>
      <w:marBottom w:val="0"/>
      <w:divBdr>
        <w:top w:val="none" w:sz="0" w:space="0" w:color="auto"/>
        <w:left w:val="none" w:sz="0" w:space="0" w:color="auto"/>
        <w:bottom w:val="none" w:sz="0" w:space="0" w:color="auto"/>
        <w:right w:val="none" w:sz="0" w:space="0" w:color="auto"/>
      </w:divBdr>
    </w:div>
    <w:div w:id="452403837">
      <w:bodyDiv w:val="1"/>
      <w:marLeft w:val="0"/>
      <w:marRight w:val="0"/>
      <w:marTop w:val="0"/>
      <w:marBottom w:val="0"/>
      <w:divBdr>
        <w:top w:val="none" w:sz="0" w:space="0" w:color="auto"/>
        <w:left w:val="none" w:sz="0" w:space="0" w:color="auto"/>
        <w:bottom w:val="none" w:sz="0" w:space="0" w:color="auto"/>
        <w:right w:val="none" w:sz="0" w:space="0" w:color="auto"/>
      </w:divBdr>
    </w:div>
    <w:div w:id="458768711">
      <w:bodyDiv w:val="1"/>
      <w:marLeft w:val="0"/>
      <w:marRight w:val="0"/>
      <w:marTop w:val="0"/>
      <w:marBottom w:val="0"/>
      <w:divBdr>
        <w:top w:val="none" w:sz="0" w:space="0" w:color="auto"/>
        <w:left w:val="none" w:sz="0" w:space="0" w:color="auto"/>
        <w:bottom w:val="none" w:sz="0" w:space="0" w:color="auto"/>
        <w:right w:val="none" w:sz="0" w:space="0" w:color="auto"/>
      </w:divBdr>
    </w:div>
    <w:div w:id="478888603">
      <w:bodyDiv w:val="1"/>
      <w:marLeft w:val="0"/>
      <w:marRight w:val="0"/>
      <w:marTop w:val="0"/>
      <w:marBottom w:val="0"/>
      <w:divBdr>
        <w:top w:val="none" w:sz="0" w:space="0" w:color="auto"/>
        <w:left w:val="none" w:sz="0" w:space="0" w:color="auto"/>
        <w:bottom w:val="none" w:sz="0" w:space="0" w:color="auto"/>
        <w:right w:val="none" w:sz="0" w:space="0" w:color="auto"/>
      </w:divBdr>
    </w:div>
    <w:div w:id="481195633">
      <w:bodyDiv w:val="1"/>
      <w:marLeft w:val="0"/>
      <w:marRight w:val="0"/>
      <w:marTop w:val="0"/>
      <w:marBottom w:val="0"/>
      <w:divBdr>
        <w:top w:val="none" w:sz="0" w:space="0" w:color="auto"/>
        <w:left w:val="none" w:sz="0" w:space="0" w:color="auto"/>
        <w:bottom w:val="none" w:sz="0" w:space="0" w:color="auto"/>
        <w:right w:val="none" w:sz="0" w:space="0" w:color="auto"/>
      </w:divBdr>
    </w:div>
    <w:div w:id="484665728">
      <w:bodyDiv w:val="1"/>
      <w:marLeft w:val="0"/>
      <w:marRight w:val="0"/>
      <w:marTop w:val="0"/>
      <w:marBottom w:val="0"/>
      <w:divBdr>
        <w:top w:val="none" w:sz="0" w:space="0" w:color="auto"/>
        <w:left w:val="none" w:sz="0" w:space="0" w:color="auto"/>
        <w:bottom w:val="none" w:sz="0" w:space="0" w:color="auto"/>
        <w:right w:val="none" w:sz="0" w:space="0" w:color="auto"/>
      </w:divBdr>
    </w:div>
    <w:div w:id="489293627">
      <w:bodyDiv w:val="1"/>
      <w:marLeft w:val="0"/>
      <w:marRight w:val="0"/>
      <w:marTop w:val="0"/>
      <w:marBottom w:val="0"/>
      <w:divBdr>
        <w:top w:val="none" w:sz="0" w:space="0" w:color="auto"/>
        <w:left w:val="none" w:sz="0" w:space="0" w:color="auto"/>
        <w:bottom w:val="none" w:sz="0" w:space="0" w:color="auto"/>
        <w:right w:val="none" w:sz="0" w:space="0" w:color="auto"/>
      </w:divBdr>
    </w:div>
    <w:div w:id="490173948">
      <w:bodyDiv w:val="1"/>
      <w:marLeft w:val="0"/>
      <w:marRight w:val="0"/>
      <w:marTop w:val="0"/>
      <w:marBottom w:val="0"/>
      <w:divBdr>
        <w:top w:val="none" w:sz="0" w:space="0" w:color="auto"/>
        <w:left w:val="none" w:sz="0" w:space="0" w:color="auto"/>
        <w:bottom w:val="none" w:sz="0" w:space="0" w:color="auto"/>
        <w:right w:val="none" w:sz="0" w:space="0" w:color="auto"/>
      </w:divBdr>
    </w:div>
    <w:div w:id="499277443">
      <w:bodyDiv w:val="1"/>
      <w:marLeft w:val="0"/>
      <w:marRight w:val="0"/>
      <w:marTop w:val="0"/>
      <w:marBottom w:val="0"/>
      <w:divBdr>
        <w:top w:val="none" w:sz="0" w:space="0" w:color="auto"/>
        <w:left w:val="none" w:sz="0" w:space="0" w:color="auto"/>
        <w:bottom w:val="none" w:sz="0" w:space="0" w:color="auto"/>
        <w:right w:val="none" w:sz="0" w:space="0" w:color="auto"/>
      </w:divBdr>
    </w:div>
    <w:div w:id="505286130">
      <w:bodyDiv w:val="1"/>
      <w:marLeft w:val="0"/>
      <w:marRight w:val="0"/>
      <w:marTop w:val="0"/>
      <w:marBottom w:val="0"/>
      <w:divBdr>
        <w:top w:val="none" w:sz="0" w:space="0" w:color="auto"/>
        <w:left w:val="none" w:sz="0" w:space="0" w:color="auto"/>
        <w:bottom w:val="none" w:sz="0" w:space="0" w:color="auto"/>
        <w:right w:val="none" w:sz="0" w:space="0" w:color="auto"/>
      </w:divBdr>
    </w:div>
    <w:div w:id="507790408">
      <w:bodyDiv w:val="1"/>
      <w:marLeft w:val="0"/>
      <w:marRight w:val="0"/>
      <w:marTop w:val="0"/>
      <w:marBottom w:val="0"/>
      <w:divBdr>
        <w:top w:val="none" w:sz="0" w:space="0" w:color="auto"/>
        <w:left w:val="none" w:sz="0" w:space="0" w:color="auto"/>
        <w:bottom w:val="none" w:sz="0" w:space="0" w:color="auto"/>
        <w:right w:val="none" w:sz="0" w:space="0" w:color="auto"/>
      </w:divBdr>
    </w:div>
    <w:div w:id="508836641">
      <w:bodyDiv w:val="1"/>
      <w:marLeft w:val="0"/>
      <w:marRight w:val="0"/>
      <w:marTop w:val="0"/>
      <w:marBottom w:val="0"/>
      <w:divBdr>
        <w:top w:val="none" w:sz="0" w:space="0" w:color="auto"/>
        <w:left w:val="none" w:sz="0" w:space="0" w:color="auto"/>
        <w:bottom w:val="none" w:sz="0" w:space="0" w:color="auto"/>
        <w:right w:val="none" w:sz="0" w:space="0" w:color="auto"/>
      </w:divBdr>
    </w:div>
    <w:div w:id="516234760">
      <w:bodyDiv w:val="1"/>
      <w:marLeft w:val="0"/>
      <w:marRight w:val="0"/>
      <w:marTop w:val="0"/>
      <w:marBottom w:val="0"/>
      <w:divBdr>
        <w:top w:val="none" w:sz="0" w:space="0" w:color="auto"/>
        <w:left w:val="none" w:sz="0" w:space="0" w:color="auto"/>
        <w:bottom w:val="none" w:sz="0" w:space="0" w:color="auto"/>
        <w:right w:val="none" w:sz="0" w:space="0" w:color="auto"/>
      </w:divBdr>
    </w:div>
    <w:div w:id="523831983">
      <w:bodyDiv w:val="1"/>
      <w:marLeft w:val="0"/>
      <w:marRight w:val="0"/>
      <w:marTop w:val="0"/>
      <w:marBottom w:val="0"/>
      <w:divBdr>
        <w:top w:val="none" w:sz="0" w:space="0" w:color="auto"/>
        <w:left w:val="none" w:sz="0" w:space="0" w:color="auto"/>
        <w:bottom w:val="none" w:sz="0" w:space="0" w:color="auto"/>
        <w:right w:val="none" w:sz="0" w:space="0" w:color="auto"/>
      </w:divBdr>
    </w:div>
    <w:div w:id="532429116">
      <w:bodyDiv w:val="1"/>
      <w:marLeft w:val="0"/>
      <w:marRight w:val="0"/>
      <w:marTop w:val="0"/>
      <w:marBottom w:val="0"/>
      <w:divBdr>
        <w:top w:val="none" w:sz="0" w:space="0" w:color="auto"/>
        <w:left w:val="none" w:sz="0" w:space="0" w:color="auto"/>
        <w:bottom w:val="none" w:sz="0" w:space="0" w:color="auto"/>
        <w:right w:val="none" w:sz="0" w:space="0" w:color="auto"/>
      </w:divBdr>
    </w:div>
    <w:div w:id="548423357">
      <w:bodyDiv w:val="1"/>
      <w:marLeft w:val="0"/>
      <w:marRight w:val="0"/>
      <w:marTop w:val="0"/>
      <w:marBottom w:val="0"/>
      <w:divBdr>
        <w:top w:val="none" w:sz="0" w:space="0" w:color="auto"/>
        <w:left w:val="none" w:sz="0" w:space="0" w:color="auto"/>
        <w:bottom w:val="none" w:sz="0" w:space="0" w:color="auto"/>
        <w:right w:val="none" w:sz="0" w:space="0" w:color="auto"/>
      </w:divBdr>
    </w:div>
    <w:div w:id="555163218">
      <w:bodyDiv w:val="1"/>
      <w:marLeft w:val="0"/>
      <w:marRight w:val="0"/>
      <w:marTop w:val="0"/>
      <w:marBottom w:val="0"/>
      <w:divBdr>
        <w:top w:val="none" w:sz="0" w:space="0" w:color="auto"/>
        <w:left w:val="none" w:sz="0" w:space="0" w:color="auto"/>
        <w:bottom w:val="none" w:sz="0" w:space="0" w:color="auto"/>
        <w:right w:val="none" w:sz="0" w:space="0" w:color="auto"/>
      </w:divBdr>
    </w:div>
    <w:div w:id="565605724">
      <w:bodyDiv w:val="1"/>
      <w:marLeft w:val="0"/>
      <w:marRight w:val="0"/>
      <w:marTop w:val="0"/>
      <w:marBottom w:val="0"/>
      <w:divBdr>
        <w:top w:val="none" w:sz="0" w:space="0" w:color="auto"/>
        <w:left w:val="none" w:sz="0" w:space="0" w:color="auto"/>
        <w:bottom w:val="none" w:sz="0" w:space="0" w:color="auto"/>
        <w:right w:val="none" w:sz="0" w:space="0" w:color="auto"/>
      </w:divBdr>
    </w:div>
    <w:div w:id="573123905">
      <w:bodyDiv w:val="1"/>
      <w:marLeft w:val="0"/>
      <w:marRight w:val="0"/>
      <w:marTop w:val="0"/>
      <w:marBottom w:val="0"/>
      <w:divBdr>
        <w:top w:val="none" w:sz="0" w:space="0" w:color="auto"/>
        <w:left w:val="none" w:sz="0" w:space="0" w:color="auto"/>
        <w:bottom w:val="none" w:sz="0" w:space="0" w:color="auto"/>
        <w:right w:val="none" w:sz="0" w:space="0" w:color="auto"/>
      </w:divBdr>
    </w:div>
    <w:div w:id="577789158">
      <w:bodyDiv w:val="1"/>
      <w:marLeft w:val="0"/>
      <w:marRight w:val="0"/>
      <w:marTop w:val="0"/>
      <w:marBottom w:val="0"/>
      <w:divBdr>
        <w:top w:val="none" w:sz="0" w:space="0" w:color="auto"/>
        <w:left w:val="none" w:sz="0" w:space="0" w:color="auto"/>
        <w:bottom w:val="none" w:sz="0" w:space="0" w:color="auto"/>
        <w:right w:val="none" w:sz="0" w:space="0" w:color="auto"/>
      </w:divBdr>
    </w:div>
    <w:div w:id="578833780">
      <w:bodyDiv w:val="1"/>
      <w:marLeft w:val="0"/>
      <w:marRight w:val="0"/>
      <w:marTop w:val="0"/>
      <w:marBottom w:val="0"/>
      <w:divBdr>
        <w:top w:val="none" w:sz="0" w:space="0" w:color="auto"/>
        <w:left w:val="none" w:sz="0" w:space="0" w:color="auto"/>
        <w:bottom w:val="none" w:sz="0" w:space="0" w:color="auto"/>
        <w:right w:val="none" w:sz="0" w:space="0" w:color="auto"/>
      </w:divBdr>
    </w:div>
    <w:div w:id="583757117">
      <w:bodyDiv w:val="1"/>
      <w:marLeft w:val="0"/>
      <w:marRight w:val="0"/>
      <w:marTop w:val="0"/>
      <w:marBottom w:val="0"/>
      <w:divBdr>
        <w:top w:val="none" w:sz="0" w:space="0" w:color="auto"/>
        <w:left w:val="none" w:sz="0" w:space="0" w:color="auto"/>
        <w:bottom w:val="none" w:sz="0" w:space="0" w:color="auto"/>
        <w:right w:val="none" w:sz="0" w:space="0" w:color="auto"/>
      </w:divBdr>
    </w:div>
    <w:div w:id="595675882">
      <w:bodyDiv w:val="1"/>
      <w:marLeft w:val="0"/>
      <w:marRight w:val="0"/>
      <w:marTop w:val="0"/>
      <w:marBottom w:val="0"/>
      <w:divBdr>
        <w:top w:val="none" w:sz="0" w:space="0" w:color="auto"/>
        <w:left w:val="none" w:sz="0" w:space="0" w:color="auto"/>
        <w:bottom w:val="none" w:sz="0" w:space="0" w:color="auto"/>
        <w:right w:val="none" w:sz="0" w:space="0" w:color="auto"/>
      </w:divBdr>
    </w:div>
    <w:div w:id="626082941">
      <w:bodyDiv w:val="1"/>
      <w:marLeft w:val="0"/>
      <w:marRight w:val="0"/>
      <w:marTop w:val="0"/>
      <w:marBottom w:val="0"/>
      <w:divBdr>
        <w:top w:val="none" w:sz="0" w:space="0" w:color="auto"/>
        <w:left w:val="none" w:sz="0" w:space="0" w:color="auto"/>
        <w:bottom w:val="none" w:sz="0" w:space="0" w:color="auto"/>
        <w:right w:val="none" w:sz="0" w:space="0" w:color="auto"/>
      </w:divBdr>
    </w:div>
    <w:div w:id="629819815">
      <w:bodyDiv w:val="1"/>
      <w:marLeft w:val="0"/>
      <w:marRight w:val="0"/>
      <w:marTop w:val="0"/>
      <w:marBottom w:val="0"/>
      <w:divBdr>
        <w:top w:val="none" w:sz="0" w:space="0" w:color="auto"/>
        <w:left w:val="none" w:sz="0" w:space="0" w:color="auto"/>
        <w:bottom w:val="none" w:sz="0" w:space="0" w:color="auto"/>
        <w:right w:val="none" w:sz="0" w:space="0" w:color="auto"/>
      </w:divBdr>
    </w:div>
    <w:div w:id="661197434">
      <w:bodyDiv w:val="1"/>
      <w:marLeft w:val="0"/>
      <w:marRight w:val="0"/>
      <w:marTop w:val="0"/>
      <w:marBottom w:val="0"/>
      <w:divBdr>
        <w:top w:val="none" w:sz="0" w:space="0" w:color="auto"/>
        <w:left w:val="none" w:sz="0" w:space="0" w:color="auto"/>
        <w:bottom w:val="none" w:sz="0" w:space="0" w:color="auto"/>
        <w:right w:val="none" w:sz="0" w:space="0" w:color="auto"/>
      </w:divBdr>
    </w:div>
    <w:div w:id="669991199">
      <w:bodyDiv w:val="1"/>
      <w:marLeft w:val="0"/>
      <w:marRight w:val="0"/>
      <w:marTop w:val="0"/>
      <w:marBottom w:val="0"/>
      <w:divBdr>
        <w:top w:val="none" w:sz="0" w:space="0" w:color="auto"/>
        <w:left w:val="none" w:sz="0" w:space="0" w:color="auto"/>
        <w:bottom w:val="none" w:sz="0" w:space="0" w:color="auto"/>
        <w:right w:val="none" w:sz="0" w:space="0" w:color="auto"/>
      </w:divBdr>
    </w:div>
    <w:div w:id="692614245">
      <w:bodyDiv w:val="1"/>
      <w:marLeft w:val="0"/>
      <w:marRight w:val="0"/>
      <w:marTop w:val="0"/>
      <w:marBottom w:val="0"/>
      <w:divBdr>
        <w:top w:val="none" w:sz="0" w:space="0" w:color="auto"/>
        <w:left w:val="none" w:sz="0" w:space="0" w:color="auto"/>
        <w:bottom w:val="none" w:sz="0" w:space="0" w:color="auto"/>
        <w:right w:val="none" w:sz="0" w:space="0" w:color="auto"/>
      </w:divBdr>
    </w:div>
    <w:div w:id="694960648">
      <w:bodyDiv w:val="1"/>
      <w:marLeft w:val="0"/>
      <w:marRight w:val="0"/>
      <w:marTop w:val="0"/>
      <w:marBottom w:val="0"/>
      <w:divBdr>
        <w:top w:val="none" w:sz="0" w:space="0" w:color="auto"/>
        <w:left w:val="none" w:sz="0" w:space="0" w:color="auto"/>
        <w:bottom w:val="none" w:sz="0" w:space="0" w:color="auto"/>
        <w:right w:val="none" w:sz="0" w:space="0" w:color="auto"/>
      </w:divBdr>
    </w:div>
    <w:div w:id="701905195">
      <w:bodyDiv w:val="1"/>
      <w:marLeft w:val="0"/>
      <w:marRight w:val="0"/>
      <w:marTop w:val="0"/>
      <w:marBottom w:val="0"/>
      <w:divBdr>
        <w:top w:val="none" w:sz="0" w:space="0" w:color="auto"/>
        <w:left w:val="none" w:sz="0" w:space="0" w:color="auto"/>
        <w:bottom w:val="none" w:sz="0" w:space="0" w:color="auto"/>
        <w:right w:val="none" w:sz="0" w:space="0" w:color="auto"/>
      </w:divBdr>
    </w:div>
    <w:div w:id="706372949">
      <w:bodyDiv w:val="1"/>
      <w:marLeft w:val="0"/>
      <w:marRight w:val="0"/>
      <w:marTop w:val="0"/>
      <w:marBottom w:val="0"/>
      <w:divBdr>
        <w:top w:val="none" w:sz="0" w:space="0" w:color="auto"/>
        <w:left w:val="none" w:sz="0" w:space="0" w:color="auto"/>
        <w:bottom w:val="none" w:sz="0" w:space="0" w:color="auto"/>
        <w:right w:val="none" w:sz="0" w:space="0" w:color="auto"/>
      </w:divBdr>
    </w:div>
    <w:div w:id="713044215">
      <w:bodyDiv w:val="1"/>
      <w:marLeft w:val="0"/>
      <w:marRight w:val="0"/>
      <w:marTop w:val="0"/>
      <w:marBottom w:val="0"/>
      <w:divBdr>
        <w:top w:val="none" w:sz="0" w:space="0" w:color="auto"/>
        <w:left w:val="none" w:sz="0" w:space="0" w:color="auto"/>
        <w:bottom w:val="none" w:sz="0" w:space="0" w:color="auto"/>
        <w:right w:val="none" w:sz="0" w:space="0" w:color="auto"/>
      </w:divBdr>
    </w:div>
    <w:div w:id="726757666">
      <w:bodyDiv w:val="1"/>
      <w:marLeft w:val="0"/>
      <w:marRight w:val="0"/>
      <w:marTop w:val="0"/>
      <w:marBottom w:val="0"/>
      <w:divBdr>
        <w:top w:val="none" w:sz="0" w:space="0" w:color="auto"/>
        <w:left w:val="none" w:sz="0" w:space="0" w:color="auto"/>
        <w:bottom w:val="none" w:sz="0" w:space="0" w:color="auto"/>
        <w:right w:val="none" w:sz="0" w:space="0" w:color="auto"/>
      </w:divBdr>
    </w:div>
    <w:div w:id="726878530">
      <w:bodyDiv w:val="1"/>
      <w:marLeft w:val="0"/>
      <w:marRight w:val="0"/>
      <w:marTop w:val="0"/>
      <w:marBottom w:val="0"/>
      <w:divBdr>
        <w:top w:val="none" w:sz="0" w:space="0" w:color="auto"/>
        <w:left w:val="none" w:sz="0" w:space="0" w:color="auto"/>
        <w:bottom w:val="none" w:sz="0" w:space="0" w:color="auto"/>
        <w:right w:val="none" w:sz="0" w:space="0" w:color="auto"/>
      </w:divBdr>
    </w:div>
    <w:div w:id="730885825">
      <w:bodyDiv w:val="1"/>
      <w:marLeft w:val="0"/>
      <w:marRight w:val="0"/>
      <w:marTop w:val="0"/>
      <w:marBottom w:val="0"/>
      <w:divBdr>
        <w:top w:val="none" w:sz="0" w:space="0" w:color="auto"/>
        <w:left w:val="none" w:sz="0" w:space="0" w:color="auto"/>
        <w:bottom w:val="none" w:sz="0" w:space="0" w:color="auto"/>
        <w:right w:val="none" w:sz="0" w:space="0" w:color="auto"/>
      </w:divBdr>
      <w:divsChild>
        <w:div w:id="898171822">
          <w:marLeft w:val="0"/>
          <w:marRight w:val="0"/>
          <w:marTop w:val="0"/>
          <w:marBottom w:val="0"/>
          <w:divBdr>
            <w:top w:val="none" w:sz="0" w:space="0" w:color="auto"/>
            <w:left w:val="none" w:sz="0" w:space="0" w:color="auto"/>
            <w:bottom w:val="none" w:sz="0" w:space="0" w:color="auto"/>
            <w:right w:val="none" w:sz="0" w:space="0" w:color="auto"/>
          </w:divBdr>
          <w:divsChild>
            <w:div w:id="941107931">
              <w:marLeft w:val="0"/>
              <w:marRight w:val="60"/>
              <w:marTop w:val="0"/>
              <w:marBottom w:val="0"/>
              <w:divBdr>
                <w:top w:val="none" w:sz="0" w:space="0" w:color="auto"/>
                <w:left w:val="none" w:sz="0" w:space="0" w:color="auto"/>
                <w:bottom w:val="none" w:sz="0" w:space="0" w:color="auto"/>
                <w:right w:val="none" w:sz="0" w:space="0" w:color="auto"/>
              </w:divBdr>
              <w:divsChild>
                <w:div w:id="586428614">
                  <w:marLeft w:val="0"/>
                  <w:marRight w:val="0"/>
                  <w:marTop w:val="0"/>
                  <w:marBottom w:val="120"/>
                  <w:divBdr>
                    <w:top w:val="single" w:sz="6" w:space="0" w:color="C0C0C0"/>
                    <w:left w:val="single" w:sz="6" w:space="0" w:color="D9D9D9"/>
                    <w:bottom w:val="single" w:sz="6" w:space="0" w:color="D9D9D9"/>
                    <w:right w:val="single" w:sz="6" w:space="0" w:color="D9D9D9"/>
                  </w:divBdr>
                  <w:divsChild>
                    <w:div w:id="2091342885">
                      <w:marLeft w:val="0"/>
                      <w:marRight w:val="0"/>
                      <w:marTop w:val="0"/>
                      <w:marBottom w:val="0"/>
                      <w:divBdr>
                        <w:top w:val="none" w:sz="0" w:space="0" w:color="auto"/>
                        <w:left w:val="none" w:sz="0" w:space="0" w:color="auto"/>
                        <w:bottom w:val="none" w:sz="0" w:space="0" w:color="auto"/>
                        <w:right w:val="none" w:sz="0" w:space="0" w:color="auto"/>
                      </w:divBdr>
                    </w:div>
                    <w:div w:id="45937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7607604">
          <w:marLeft w:val="0"/>
          <w:marRight w:val="0"/>
          <w:marTop w:val="0"/>
          <w:marBottom w:val="0"/>
          <w:divBdr>
            <w:top w:val="none" w:sz="0" w:space="0" w:color="auto"/>
            <w:left w:val="none" w:sz="0" w:space="0" w:color="auto"/>
            <w:bottom w:val="none" w:sz="0" w:space="0" w:color="auto"/>
            <w:right w:val="none" w:sz="0" w:space="0" w:color="auto"/>
          </w:divBdr>
          <w:divsChild>
            <w:div w:id="1852329482">
              <w:marLeft w:val="60"/>
              <w:marRight w:val="0"/>
              <w:marTop w:val="0"/>
              <w:marBottom w:val="0"/>
              <w:divBdr>
                <w:top w:val="none" w:sz="0" w:space="0" w:color="auto"/>
                <w:left w:val="none" w:sz="0" w:space="0" w:color="auto"/>
                <w:bottom w:val="none" w:sz="0" w:space="0" w:color="auto"/>
                <w:right w:val="none" w:sz="0" w:space="0" w:color="auto"/>
              </w:divBdr>
              <w:divsChild>
                <w:div w:id="1159271959">
                  <w:marLeft w:val="0"/>
                  <w:marRight w:val="0"/>
                  <w:marTop w:val="0"/>
                  <w:marBottom w:val="0"/>
                  <w:divBdr>
                    <w:top w:val="none" w:sz="0" w:space="0" w:color="auto"/>
                    <w:left w:val="none" w:sz="0" w:space="0" w:color="auto"/>
                    <w:bottom w:val="none" w:sz="0" w:space="0" w:color="auto"/>
                    <w:right w:val="none" w:sz="0" w:space="0" w:color="auto"/>
                  </w:divBdr>
                  <w:divsChild>
                    <w:div w:id="1892108395">
                      <w:marLeft w:val="0"/>
                      <w:marRight w:val="0"/>
                      <w:marTop w:val="0"/>
                      <w:marBottom w:val="120"/>
                      <w:divBdr>
                        <w:top w:val="single" w:sz="6" w:space="0" w:color="F5F5F5"/>
                        <w:left w:val="single" w:sz="6" w:space="0" w:color="F5F5F5"/>
                        <w:bottom w:val="single" w:sz="6" w:space="0" w:color="F5F5F5"/>
                        <w:right w:val="single" w:sz="6" w:space="0" w:color="F5F5F5"/>
                      </w:divBdr>
                      <w:divsChild>
                        <w:div w:id="8022987">
                          <w:marLeft w:val="0"/>
                          <w:marRight w:val="0"/>
                          <w:marTop w:val="0"/>
                          <w:marBottom w:val="0"/>
                          <w:divBdr>
                            <w:top w:val="none" w:sz="0" w:space="0" w:color="auto"/>
                            <w:left w:val="none" w:sz="0" w:space="0" w:color="auto"/>
                            <w:bottom w:val="none" w:sz="0" w:space="0" w:color="auto"/>
                            <w:right w:val="none" w:sz="0" w:space="0" w:color="auto"/>
                          </w:divBdr>
                          <w:divsChild>
                            <w:div w:id="914124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36710332">
      <w:bodyDiv w:val="1"/>
      <w:marLeft w:val="0"/>
      <w:marRight w:val="0"/>
      <w:marTop w:val="0"/>
      <w:marBottom w:val="0"/>
      <w:divBdr>
        <w:top w:val="none" w:sz="0" w:space="0" w:color="auto"/>
        <w:left w:val="none" w:sz="0" w:space="0" w:color="auto"/>
        <w:bottom w:val="none" w:sz="0" w:space="0" w:color="auto"/>
        <w:right w:val="none" w:sz="0" w:space="0" w:color="auto"/>
      </w:divBdr>
    </w:div>
    <w:div w:id="752169025">
      <w:bodyDiv w:val="1"/>
      <w:marLeft w:val="0"/>
      <w:marRight w:val="0"/>
      <w:marTop w:val="0"/>
      <w:marBottom w:val="0"/>
      <w:divBdr>
        <w:top w:val="none" w:sz="0" w:space="0" w:color="auto"/>
        <w:left w:val="none" w:sz="0" w:space="0" w:color="auto"/>
        <w:bottom w:val="none" w:sz="0" w:space="0" w:color="auto"/>
        <w:right w:val="none" w:sz="0" w:space="0" w:color="auto"/>
      </w:divBdr>
    </w:div>
    <w:div w:id="758063947">
      <w:bodyDiv w:val="1"/>
      <w:marLeft w:val="0"/>
      <w:marRight w:val="0"/>
      <w:marTop w:val="0"/>
      <w:marBottom w:val="0"/>
      <w:divBdr>
        <w:top w:val="none" w:sz="0" w:space="0" w:color="auto"/>
        <w:left w:val="none" w:sz="0" w:space="0" w:color="auto"/>
        <w:bottom w:val="none" w:sz="0" w:space="0" w:color="auto"/>
        <w:right w:val="none" w:sz="0" w:space="0" w:color="auto"/>
      </w:divBdr>
    </w:div>
    <w:div w:id="759909487">
      <w:bodyDiv w:val="1"/>
      <w:marLeft w:val="0"/>
      <w:marRight w:val="0"/>
      <w:marTop w:val="0"/>
      <w:marBottom w:val="0"/>
      <w:divBdr>
        <w:top w:val="none" w:sz="0" w:space="0" w:color="auto"/>
        <w:left w:val="none" w:sz="0" w:space="0" w:color="auto"/>
        <w:bottom w:val="none" w:sz="0" w:space="0" w:color="auto"/>
        <w:right w:val="none" w:sz="0" w:space="0" w:color="auto"/>
      </w:divBdr>
    </w:div>
    <w:div w:id="781613511">
      <w:bodyDiv w:val="1"/>
      <w:marLeft w:val="0"/>
      <w:marRight w:val="0"/>
      <w:marTop w:val="0"/>
      <w:marBottom w:val="0"/>
      <w:divBdr>
        <w:top w:val="none" w:sz="0" w:space="0" w:color="auto"/>
        <w:left w:val="none" w:sz="0" w:space="0" w:color="auto"/>
        <w:bottom w:val="none" w:sz="0" w:space="0" w:color="auto"/>
        <w:right w:val="none" w:sz="0" w:space="0" w:color="auto"/>
      </w:divBdr>
    </w:div>
    <w:div w:id="784615657">
      <w:bodyDiv w:val="1"/>
      <w:marLeft w:val="0"/>
      <w:marRight w:val="0"/>
      <w:marTop w:val="0"/>
      <w:marBottom w:val="0"/>
      <w:divBdr>
        <w:top w:val="none" w:sz="0" w:space="0" w:color="auto"/>
        <w:left w:val="none" w:sz="0" w:space="0" w:color="auto"/>
        <w:bottom w:val="none" w:sz="0" w:space="0" w:color="auto"/>
        <w:right w:val="none" w:sz="0" w:space="0" w:color="auto"/>
      </w:divBdr>
    </w:div>
    <w:div w:id="796491122">
      <w:bodyDiv w:val="1"/>
      <w:marLeft w:val="0"/>
      <w:marRight w:val="0"/>
      <w:marTop w:val="0"/>
      <w:marBottom w:val="0"/>
      <w:divBdr>
        <w:top w:val="none" w:sz="0" w:space="0" w:color="auto"/>
        <w:left w:val="none" w:sz="0" w:space="0" w:color="auto"/>
        <w:bottom w:val="none" w:sz="0" w:space="0" w:color="auto"/>
        <w:right w:val="none" w:sz="0" w:space="0" w:color="auto"/>
      </w:divBdr>
    </w:div>
    <w:div w:id="814955016">
      <w:bodyDiv w:val="1"/>
      <w:marLeft w:val="0"/>
      <w:marRight w:val="0"/>
      <w:marTop w:val="0"/>
      <w:marBottom w:val="0"/>
      <w:divBdr>
        <w:top w:val="none" w:sz="0" w:space="0" w:color="auto"/>
        <w:left w:val="none" w:sz="0" w:space="0" w:color="auto"/>
        <w:bottom w:val="none" w:sz="0" w:space="0" w:color="auto"/>
        <w:right w:val="none" w:sz="0" w:space="0" w:color="auto"/>
      </w:divBdr>
    </w:div>
    <w:div w:id="821039910">
      <w:bodyDiv w:val="1"/>
      <w:marLeft w:val="0"/>
      <w:marRight w:val="0"/>
      <w:marTop w:val="0"/>
      <w:marBottom w:val="0"/>
      <w:divBdr>
        <w:top w:val="none" w:sz="0" w:space="0" w:color="auto"/>
        <w:left w:val="none" w:sz="0" w:space="0" w:color="auto"/>
        <w:bottom w:val="none" w:sz="0" w:space="0" w:color="auto"/>
        <w:right w:val="none" w:sz="0" w:space="0" w:color="auto"/>
      </w:divBdr>
    </w:div>
    <w:div w:id="832910688">
      <w:bodyDiv w:val="1"/>
      <w:marLeft w:val="0"/>
      <w:marRight w:val="0"/>
      <w:marTop w:val="0"/>
      <w:marBottom w:val="0"/>
      <w:divBdr>
        <w:top w:val="none" w:sz="0" w:space="0" w:color="auto"/>
        <w:left w:val="none" w:sz="0" w:space="0" w:color="auto"/>
        <w:bottom w:val="none" w:sz="0" w:space="0" w:color="auto"/>
        <w:right w:val="none" w:sz="0" w:space="0" w:color="auto"/>
      </w:divBdr>
    </w:div>
    <w:div w:id="833955785">
      <w:bodyDiv w:val="1"/>
      <w:marLeft w:val="0"/>
      <w:marRight w:val="0"/>
      <w:marTop w:val="0"/>
      <w:marBottom w:val="0"/>
      <w:divBdr>
        <w:top w:val="none" w:sz="0" w:space="0" w:color="auto"/>
        <w:left w:val="none" w:sz="0" w:space="0" w:color="auto"/>
        <w:bottom w:val="none" w:sz="0" w:space="0" w:color="auto"/>
        <w:right w:val="none" w:sz="0" w:space="0" w:color="auto"/>
      </w:divBdr>
    </w:div>
    <w:div w:id="837114351">
      <w:bodyDiv w:val="1"/>
      <w:marLeft w:val="0"/>
      <w:marRight w:val="0"/>
      <w:marTop w:val="0"/>
      <w:marBottom w:val="0"/>
      <w:divBdr>
        <w:top w:val="none" w:sz="0" w:space="0" w:color="auto"/>
        <w:left w:val="none" w:sz="0" w:space="0" w:color="auto"/>
        <w:bottom w:val="none" w:sz="0" w:space="0" w:color="auto"/>
        <w:right w:val="none" w:sz="0" w:space="0" w:color="auto"/>
      </w:divBdr>
    </w:div>
    <w:div w:id="841512039">
      <w:bodyDiv w:val="1"/>
      <w:marLeft w:val="0"/>
      <w:marRight w:val="0"/>
      <w:marTop w:val="0"/>
      <w:marBottom w:val="0"/>
      <w:divBdr>
        <w:top w:val="none" w:sz="0" w:space="0" w:color="auto"/>
        <w:left w:val="none" w:sz="0" w:space="0" w:color="auto"/>
        <w:bottom w:val="none" w:sz="0" w:space="0" w:color="auto"/>
        <w:right w:val="none" w:sz="0" w:space="0" w:color="auto"/>
      </w:divBdr>
    </w:div>
    <w:div w:id="847408200">
      <w:bodyDiv w:val="1"/>
      <w:marLeft w:val="0"/>
      <w:marRight w:val="0"/>
      <w:marTop w:val="0"/>
      <w:marBottom w:val="0"/>
      <w:divBdr>
        <w:top w:val="none" w:sz="0" w:space="0" w:color="auto"/>
        <w:left w:val="none" w:sz="0" w:space="0" w:color="auto"/>
        <w:bottom w:val="none" w:sz="0" w:space="0" w:color="auto"/>
        <w:right w:val="none" w:sz="0" w:space="0" w:color="auto"/>
      </w:divBdr>
    </w:div>
    <w:div w:id="853570293">
      <w:bodyDiv w:val="1"/>
      <w:marLeft w:val="0"/>
      <w:marRight w:val="0"/>
      <w:marTop w:val="0"/>
      <w:marBottom w:val="0"/>
      <w:divBdr>
        <w:top w:val="none" w:sz="0" w:space="0" w:color="auto"/>
        <w:left w:val="none" w:sz="0" w:space="0" w:color="auto"/>
        <w:bottom w:val="none" w:sz="0" w:space="0" w:color="auto"/>
        <w:right w:val="none" w:sz="0" w:space="0" w:color="auto"/>
      </w:divBdr>
    </w:div>
    <w:div w:id="857154911">
      <w:bodyDiv w:val="1"/>
      <w:marLeft w:val="0"/>
      <w:marRight w:val="0"/>
      <w:marTop w:val="0"/>
      <w:marBottom w:val="0"/>
      <w:divBdr>
        <w:top w:val="none" w:sz="0" w:space="0" w:color="auto"/>
        <w:left w:val="none" w:sz="0" w:space="0" w:color="auto"/>
        <w:bottom w:val="none" w:sz="0" w:space="0" w:color="auto"/>
        <w:right w:val="none" w:sz="0" w:space="0" w:color="auto"/>
      </w:divBdr>
    </w:div>
    <w:div w:id="860437798">
      <w:bodyDiv w:val="1"/>
      <w:marLeft w:val="0"/>
      <w:marRight w:val="0"/>
      <w:marTop w:val="0"/>
      <w:marBottom w:val="0"/>
      <w:divBdr>
        <w:top w:val="none" w:sz="0" w:space="0" w:color="auto"/>
        <w:left w:val="none" w:sz="0" w:space="0" w:color="auto"/>
        <w:bottom w:val="none" w:sz="0" w:space="0" w:color="auto"/>
        <w:right w:val="none" w:sz="0" w:space="0" w:color="auto"/>
      </w:divBdr>
    </w:div>
    <w:div w:id="866530761">
      <w:bodyDiv w:val="1"/>
      <w:marLeft w:val="0"/>
      <w:marRight w:val="0"/>
      <w:marTop w:val="0"/>
      <w:marBottom w:val="0"/>
      <w:divBdr>
        <w:top w:val="none" w:sz="0" w:space="0" w:color="auto"/>
        <w:left w:val="none" w:sz="0" w:space="0" w:color="auto"/>
        <w:bottom w:val="none" w:sz="0" w:space="0" w:color="auto"/>
        <w:right w:val="none" w:sz="0" w:space="0" w:color="auto"/>
      </w:divBdr>
    </w:div>
    <w:div w:id="876044138">
      <w:bodyDiv w:val="1"/>
      <w:marLeft w:val="0"/>
      <w:marRight w:val="0"/>
      <w:marTop w:val="0"/>
      <w:marBottom w:val="0"/>
      <w:divBdr>
        <w:top w:val="none" w:sz="0" w:space="0" w:color="auto"/>
        <w:left w:val="none" w:sz="0" w:space="0" w:color="auto"/>
        <w:bottom w:val="none" w:sz="0" w:space="0" w:color="auto"/>
        <w:right w:val="none" w:sz="0" w:space="0" w:color="auto"/>
      </w:divBdr>
    </w:div>
    <w:div w:id="902107521">
      <w:bodyDiv w:val="1"/>
      <w:marLeft w:val="0"/>
      <w:marRight w:val="0"/>
      <w:marTop w:val="0"/>
      <w:marBottom w:val="0"/>
      <w:divBdr>
        <w:top w:val="none" w:sz="0" w:space="0" w:color="auto"/>
        <w:left w:val="none" w:sz="0" w:space="0" w:color="auto"/>
        <w:bottom w:val="none" w:sz="0" w:space="0" w:color="auto"/>
        <w:right w:val="none" w:sz="0" w:space="0" w:color="auto"/>
      </w:divBdr>
    </w:div>
    <w:div w:id="907619496">
      <w:bodyDiv w:val="1"/>
      <w:marLeft w:val="0"/>
      <w:marRight w:val="0"/>
      <w:marTop w:val="0"/>
      <w:marBottom w:val="0"/>
      <w:divBdr>
        <w:top w:val="none" w:sz="0" w:space="0" w:color="auto"/>
        <w:left w:val="none" w:sz="0" w:space="0" w:color="auto"/>
        <w:bottom w:val="none" w:sz="0" w:space="0" w:color="auto"/>
        <w:right w:val="none" w:sz="0" w:space="0" w:color="auto"/>
      </w:divBdr>
    </w:div>
    <w:div w:id="923732988">
      <w:bodyDiv w:val="1"/>
      <w:marLeft w:val="0"/>
      <w:marRight w:val="0"/>
      <w:marTop w:val="0"/>
      <w:marBottom w:val="0"/>
      <w:divBdr>
        <w:top w:val="none" w:sz="0" w:space="0" w:color="auto"/>
        <w:left w:val="none" w:sz="0" w:space="0" w:color="auto"/>
        <w:bottom w:val="none" w:sz="0" w:space="0" w:color="auto"/>
        <w:right w:val="none" w:sz="0" w:space="0" w:color="auto"/>
      </w:divBdr>
    </w:div>
    <w:div w:id="924725080">
      <w:bodyDiv w:val="1"/>
      <w:marLeft w:val="0"/>
      <w:marRight w:val="0"/>
      <w:marTop w:val="0"/>
      <w:marBottom w:val="0"/>
      <w:divBdr>
        <w:top w:val="none" w:sz="0" w:space="0" w:color="auto"/>
        <w:left w:val="none" w:sz="0" w:space="0" w:color="auto"/>
        <w:bottom w:val="none" w:sz="0" w:space="0" w:color="auto"/>
        <w:right w:val="none" w:sz="0" w:space="0" w:color="auto"/>
      </w:divBdr>
    </w:div>
    <w:div w:id="933129867">
      <w:bodyDiv w:val="1"/>
      <w:marLeft w:val="0"/>
      <w:marRight w:val="0"/>
      <w:marTop w:val="0"/>
      <w:marBottom w:val="0"/>
      <w:divBdr>
        <w:top w:val="none" w:sz="0" w:space="0" w:color="auto"/>
        <w:left w:val="none" w:sz="0" w:space="0" w:color="auto"/>
        <w:bottom w:val="none" w:sz="0" w:space="0" w:color="auto"/>
        <w:right w:val="none" w:sz="0" w:space="0" w:color="auto"/>
      </w:divBdr>
    </w:div>
    <w:div w:id="938179430">
      <w:bodyDiv w:val="1"/>
      <w:marLeft w:val="0"/>
      <w:marRight w:val="0"/>
      <w:marTop w:val="0"/>
      <w:marBottom w:val="0"/>
      <w:divBdr>
        <w:top w:val="none" w:sz="0" w:space="0" w:color="auto"/>
        <w:left w:val="none" w:sz="0" w:space="0" w:color="auto"/>
        <w:bottom w:val="none" w:sz="0" w:space="0" w:color="auto"/>
        <w:right w:val="none" w:sz="0" w:space="0" w:color="auto"/>
      </w:divBdr>
    </w:div>
    <w:div w:id="949505885">
      <w:bodyDiv w:val="1"/>
      <w:marLeft w:val="0"/>
      <w:marRight w:val="0"/>
      <w:marTop w:val="0"/>
      <w:marBottom w:val="0"/>
      <w:divBdr>
        <w:top w:val="none" w:sz="0" w:space="0" w:color="auto"/>
        <w:left w:val="none" w:sz="0" w:space="0" w:color="auto"/>
        <w:bottom w:val="none" w:sz="0" w:space="0" w:color="auto"/>
        <w:right w:val="none" w:sz="0" w:space="0" w:color="auto"/>
      </w:divBdr>
    </w:div>
    <w:div w:id="952442504">
      <w:bodyDiv w:val="1"/>
      <w:marLeft w:val="0"/>
      <w:marRight w:val="0"/>
      <w:marTop w:val="0"/>
      <w:marBottom w:val="0"/>
      <w:divBdr>
        <w:top w:val="none" w:sz="0" w:space="0" w:color="auto"/>
        <w:left w:val="none" w:sz="0" w:space="0" w:color="auto"/>
        <w:bottom w:val="none" w:sz="0" w:space="0" w:color="auto"/>
        <w:right w:val="none" w:sz="0" w:space="0" w:color="auto"/>
      </w:divBdr>
    </w:div>
    <w:div w:id="955871767">
      <w:bodyDiv w:val="1"/>
      <w:marLeft w:val="0"/>
      <w:marRight w:val="0"/>
      <w:marTop w:val="0"/>
      <w:marBottom w:val="0"/>
      <w:divBdr>
        <w:top w:val="none" w:sz="0" w:space="0" w:color="auto"/>
        <w:left w:val="none" w:sz="0" w:space="0" w:color="auto"/>
        <w:bottom w:val="none" w:sz="0" w:space="0" w:color="auto"/>
        <w:right w:val="none" w:sz="0" w:space="0" w:color="auto"/>
      </w:divBdr>
    </w:div>
    <w:div w:id="958099521">
      <w:bodyDiv w:val="1"/>
      <w:marLeft w:val="0"/>
      <w:marRight w:val="0"/>
      <w:marTop w:val="0"/>
      <w:marBottom w:val="0"/>
      <w:divBdr>
        <w:top w:val="none" w:sz="0" w:space="0" w:color="auto"/>
        <w:left w:val="none" w:sz="0" w:space="0" w:color="auto"/>
        <w:bottom w:val="none" w:sz="0" w:space="0" w:color="auto"/>
        <w:right w:val="none" w:sz="0" w:space="0" w:color="auto"/>
      </w:divBdr>
    </w:div>
    <w:div w:id="965694034">
      <w:bodyDiv w:val="1"/>
      <w:marLeft w:val="0"/>
      <w:marRight w:val="0"/>
      <w:marTop w:val="0"/>
      <w:marBottom w:val="0"/>
      <w:divBdr>
        <w:top w:val="none" w:sz="0" w:space="0" w:color="auto"/>
        <w:left w:val="none" w:sz="0" w:space="0" w:color="auto"/>
        <w:bottom w:val="none" w:sz="0" w:space="0" w:color="auto"/>
        <w:right w:val="none" w:sz="0" w:space="0" w:color="auto"/>
      </w:divBdr>
    </w:div>
    <w:div w:id="966743347">
      <w:bodyDiv w:val="1"/>
      <w:marLeft w:val="0"/>
      <w:marRight w:val="0"/>
      <w:marTop w:val="0"/>
      <w:marBottom w:val="0"/>
      <w:divBdr>
        <w:top w:val="none" w:sz="0" w:space="0" w:color="auto"/>
        <w:left w:val="none" w:sz="0" w:space="0" w:color="auto"/>
        <w:bottom w:val="none" w:sz="0" w:space="0" w:color="auto"/>
        <w:right w:val="none" w:sz="0" w:space="0" w:color="auto"/>
      </w:divBdr>
    </w:div>
    <w:div w:id="970482881">
      <w:bodyDiv w:val="1"/>
      <w:marLeft w:val="0"/>
      <w:marRight w:val="0"/>
      <w:marTop w:val="0"/>
      <w:marBottom w:val="0"/>
      <w:divBdr>
        <w:top w:val="none" w:sz="0" w:space="0" w:color="auto"/>
        <w:left w:val="none" w:sz="0" w:space="0" w:color="auto"/>
        <w:bottom w:val="none" w:sz="0" w:space="0" w:color="auto"/>
        <w:right w:val="none" w:sz="0" w:space="0" w:color="auto"/>
      </w:divBdr>
    </w:div>
    <w:div w:id="974336408">
      <w:bodyDiv w:val="1"/>
      <w:marLeft w:val="0"/>
      <w:marRight w:val="0"/>
      <w:marTop w:val="0"/>
      <w:marBottom w:val="0"/>
      <w:divBdr>
        <w:top w:val="none" w:sz="0" w:space="0" w:color="auto"/>
        <w:left w:val="none" w:sz="0" w:space="0" w:color="auto"/>
        <w:bottom w:val="none" w:sz="0" w:space="0" w:color="auto"/>
        <w:right w:val="none" w:sz="0" w:space="0" w:color="auto"/>
      </w:divBdr>
    </w:div>
    <w:div w:id="978462062">
      <w:bodyDiv w:val="1"/>
      <w:marLeft w:val="0"/>
      <w:marRight w:val="0"/>
      <w:marTop w:val="0"/>
      <w:marBottom w:val="0"/>
      <w:divBdr>
        <w:top w:val="none" w:sz="0" w:space="0" w:color="auto"/>
        <w:left w:val="none" w:sz="0" w:space="0" w:color="auto"/>
        <w:bottom w:val="none" w:sz="0" w:space="0" w:color="auto"/>
        <w:right w:val="none" w:sz="0" w:space="0" w:color="auto"/>
      </w:divBdr>
    </w:div>
    <w:div w:id="979841963">
      <w:bodyDiv w:val="1"/>
      <w:marLeft w:val="0"/>
      <w:marRight w:val="0"/>
      <w:marTop w:val="0"/>
      <w:marBottom w:val="0"/>
      <w:divBdr>
        <w:top w:val="none" w:sz="0" w:space="0" w:color="auto"/>
        <w:left w:val="none" w:sz="0" w:space="0" w:color="auto"/>
        <w:bottom w:val="none" w:sz="0" w:space="0" w:color="auto"/>
        <w:right w:val="none" w:sz="0" w:space="0" w:color="auto"/>
      </w:divBdr>
    </w:div>
    <w:div w:id="986861304">
      <w:bodyDiv w:val="1"/>
      <w:marLeft w:val="0"/>
      <w:marRight w:val="0"/>
      <w:marTop w:val="0"/>
      <w:marBottom w:val="0"/>
      <w:divBdr>
        <w:top w:val="none" w:sz="0" w:space="0" w:color="auto"/>
        <w:left w:val="none" w:sz="0" w:space="0" w:color="auto"/>
        <w:bottom w:val="none" w:sz="0" w:space="0" w:color="auto"/>
        <w:right w:val="none" w:sz="0" w:space="0" w:color="auto"/>
      </w:divBdr>
    </w:div>
    <w:div w:id="987439239">
      <w:bodyDiv w:val="1"/>
      <w:marLeft w:val="0"/>
      <w:marRight w:val="0"/>
      <w:marTop w:val="0"/>
      <w:marBottom w:val="0"/>
      <w:divBdr>
        <w:top w:val="none" w:sz="0" w:space="0" w:color="auto"/>
        <w:left w:val="none" w:sz="0" w:space="0" w:color="auto"/>
        <w:bottom w:val="none" w:sz="0" w:space="0" w:color="auto"/>
        <w:right w:val="none" w:sz="0" w:space="0" w:color="auto"/>
      </w:divBdr>
    </w:div>
    <w:div w:id="997071880">
      <w:bodyDiv w:val="1"/>
      <w:marLeft w:val="0"/>
      <w:marRight w:val="0"/>
      <w:marTop w:val="0"/>
      <w:marBottom w:val="0"/>
      <w:divBdr>
        <w:top w:val="none" w:sz="0" w:space="0" w:color="auto"/>
        <w:left w:val="none" w:sz="0" w:space="0" w:color="auto"/>
        <w:bottom w:val="none" w:sz="0" w:space="0" w:color="auto"/>
        <w:right w:val="none" w:sz="0" w:space="0" w:color="auto"/>
      </w:divBdr>
    </w:div>
    <w:div w:id="999427390">
      <w:bodyDiv w:val="1"/>
      <w:marLeft w:val="0"/>
      <w:marRight w:val="0"/>
      <w:marTop w:val="0"/>
      <w:marBottom w:val="0"/>
      <w:divBdr>
        <w:top w:val="none" w:sz="0" w:space="0" w:color="auto"/>
        <w:left w:val="none" w:sz="0" w:space="0" w:color="auto"/>
        <w:bottom w:val="none" w:sz="0" w:space="0" w:color="auto"/>
        <w:right w:val="none" w:sz="0" w:space="0" w:color="auto"/>
      </w:divBdr>
    </w:div>
    <w:div w:id="1003976439">
      <w:bodyDiv w:val="1"/>
      <w:marLeft w:val="0"/>
      <w:marRight w:val="0"/>
      <w:marTop w:val="0"/>
      <w:marBottom w:val="0"/>
      <w:divBdr>
        <w:top w:val="none" w:sz="0" w:space="0" w:color="auto"/>
        <w:left w:val="none" w:sz="0" w:space="0" w:color="auto"/>
        <w:bottom w:val="none" w:sz="0" w:space="0" w:color="auto"/>
        <w:right w:val="none" w:sz="0" w:space="0" w:color="auto"/>
      </w:divBdr>
    </w:div>
    <w:div w:id="1004670621">
      <w:bodyDiv w:val="1"/>
      <w:marLeft w:val="0"/>
      <w:marRight w:val="0"/>
      <w:marTop w:val="0"/>
      <w:marBottom w:val="0"/>
      <w:divBdr>
        <w:top w:val="none" w:sz="0" w:space="0" w:color="auto"/>
        <w:left w:val="none" w:sz="0" w:space="0" w:color="auto"/>
        <w:bottom w:val="none" w:sz="0" w:space="0" w:color="auto"/>
        <w:right w:val="none" w:sz="0" w:space="0" w:color="auto"/>
      </w:divBdr>
    </w:div>
    <w:div w:id="1018048420">
      <w:bodyDiv w:val="1"/>
      <w:marLeft w:val="0"/>
      <w:marRight w:val="0"/>
      <w:marTop w:val="0"/>
      <w:marBottom w:val="0"/>
      <w:divBdr>
        <w:top w:val="none" w:sz="0" w:space="0" w:color="auto"/>
        <w:left w:val="none" w:sz="0" w:space="0" w:color="auto"/>
        <w:bottom w:val="none" w:sz="0" w:space="0" w:color="auto"/>
        <w:right w:val="none" w:sz="0" w:space="0" w:color="auto"/>
      </w:divBdr>
    </w:div>
    <w:div w:id="1025136345">
      <w:bodyDiv w:val="1"/>
      <w:marLeft w:val="0"/>
      <w:marRight w:val="0"/>
      <w:marTop w:val="0"/>
      <w:marBottom w:val="0"/>
      <w:divBdr>
        <w:top w:val="none" w:sz="0" w:space="0" w:color="auto"/>
        <w:left w:val="none" w:sz="0" w:space="0" w:color="auto"/>
        <w:bottom w:val="none" w:sz="0" w:space="0" w:color="auto"/>
        <w:right w:val="none" w:sz="0" w:space="0" w:color="auto"/>
      </w:divBdr>
    </w:div>
    <w:div w:id="1040285213">
      <w:bodyDiv w:val="1"/>
      <w:marLeft w:val="0"/>
      <w:marRight w:val="0"/>
      <w:marTop w:val="0"/>
      <w:marBottom w:val="0"/>
      <w:divBdr>
        <w:top w:val="none" w:sz="0" w:space="0" w:color="auto"/>
        <w:left w:val="none" w:sz="0" w:space="0" w:color="auto"/>
        <w:bottom w:val="none" w:sz="0" w:space="0" w:color="auto"/>
        <w:right w:val="none" w:sz="0" w:space="0" w:color="auto"/>
      </w:divBdr>
    </w:div>
    <w:div w:id="1043941640">
      <w:bodyDiv w:val="1"/>
      <w:marLeft w:val="0"/>
      <w:marRight w:val="0"/>
      <w:marTop w:val="0"/>
      <w:marBottom w:val="0"/>
      <w:divBdr>
        <w:top w:val="none" w:sz="0" w:space="0" w:color="auto"/>
        <w:left w:val="none" w:sz="0" w:space="0" w:color="auto"/>
        <w:bottom w:val="none" w:sz="0" w:space="0" w:color="auto"/>
        <w:right w:val="none" w:sz="0" w:space="0" w:color="auto"/>
      </w:divBdr>
    </w:div>
    <w:div w:id="1049186422">
      <w:bodyDiv w:val="1"/>
      <w:marLeft w:val="0"/>
      <w:marRight w:val="0"/>
      <w:marTop w:val="0"/>
      <w:marBottom w:val="0"/>
      <w:divBdr>
        <w:top w:val="none" w:sz="0" w:space="0" w:color="auto"/>
        <w:left w:val="none" w:sz="0" w:space="0" w:color="auto"/>
        <w:bottom w:val="none" w:sz="0" w:space="0" w:color="auto"/>
        <w:right w:val="none" w:sz="0" w:space="0" w:color="auto"/>
      </w:divBdr>
    </w:div>
    <w:div w:id="1052383097">
      <w:bodyDiv w:val="1"/>
      <w:marLeft w:val="0"/>
      <w:marRight w:val="0"/>
      <w:marTop w:val="0"/>
      <w:marBottom w:val="0"/>
      <w:divBdr>
        <w:top w:val="none" w:sz="0" w:space="0" w:color="auto"/>
        <w:left w:val="none" w:sz="0" w:space="0" w:color="auto"/>
        <w:bottom w:val="none" w:sz="0" w:space="0" w:color="auto"/>
        <w:right w:val="none" w:sz="0" w:space="0" w:color="auto"/>
      </w:divBdr>
    </w:div>
    <w:div w:id="1062023580">
      <w:bodyDiv w:val="1"/>
      <w:marLeft w:val="0"/>
      <w:marRight w:val="0"/>
      <w:marTop w:val="0"/>
      <w:marBottom w:val="0"/>
      <w:divBdr>
        <w:top w:val="none" w:sz="0" w:space="0" w:color="auto"/>
        <w:left w:val="none" w:sz="0" w:space="0" w:color="auto"/>
        <w:bottom w:val="none" w:sz="0" w:space="0" w:color="auto"/>
        <w:right w:val="none" w:sz="0" w:space="0" w:color="auto"/>
      </w:divBdr>
    </w:div>
    <w:div w:id="1075129542">
      <w:bodyDiv w:val="1"/>
      <w:marLeft w:val="0"/>
      <w:marRight w:val="0"/>
      <w:marTop w:val="0"/>
      <w:marBottom w:val="0"/>
      <w:divBdr>
        <w:top w:val="none" w:sz="0" w:space="0" w:color="auto"/>
        <w:left w:val="none" w:sz="0" w:space="0" w:color="auto"/>
        <w:bottom w:val="none" w:sz="0" w:space="0" w:color="auto"/>
        <w:right w:val="none" w:sz="0" w:space="0" w:color="auto"/>
      </w:divBdr>
    </w:div>
    <w:div w:id="1079207950">
      <w:bodyDiv w:val="1"/>
      <w:marLeft w:val="0"/>
      <w:marRight w:val="0"/>
      <w:marTop w:val="0"/>
      <w:marBottom w:val="0"/>
      <w:divBdr>
        <w:top w:val="none" w:sz="0" w:space="0" w:color="auto"/>
        <w:left w:val="none" w:sz="0" w:space="0" w:color="auto"/>
        <w:bottom w:val="none" w:sz="0" w:space="0" w:color="auto"/>
        <w:right w:val="none" w:sz="0" w:space="0" w:color="auto"/>
      </w:divBdr>
    </w:div>
    <w:div w:id="1094936293">
      <w:bodyDiv w:val="1"/>
      <w:marLeft w:val="0"/>
      <w:marRight w:val="0"/>
      <w:marTop w:val="0"/>
      <w:marBottom w:val="0"/>
      <w:divBdr>
        <w:top w:val="none" w:sz="0" w:space="0" w:color="auto"/>
        <w:left w:val="none" w:sz="0" w:space="0" w:color="auto"/>
        <w:bottom w:val="none" w:sz="0" w:space="0" w:color="auto"/>
        <w:right w:val="none" w:sz="0" w:space="0" w:color="auto"/>
      </w:divBdr>
    </w:div>
    <w:div w:id="1100876189">
      <w:bodyDiv w:val="1"/>
      <w:marLeft w:val="0"/>
      <w:marRight w:val="0"/>
      <w:marTop w:val="0"/>
      <w:marBottom w:val="0"/>
      <w:divBdr>
        <w:top w:val="none" w:sz="0" w:space="0" w:color="auto"/>
        <w:left w:val="none" w:sz="0" w:space="0" w:color="auto"/>
        <w:bottom w:val="none" w:sz="0" w:space="0" w:color="auto"/>
        <w:right w:val="none" w:sz="0" w:space="0" w:color="auto"/>
      </w:divBdr>
    </w:div>
    <w:div w:id="1126852487">
      <w:bodyDiv w:val="1"/>
      <w:marLeft w:val="0"/>
      <w:marRight w:val="0"/>
      <w:marTop w:val="0"/>
      <w:marBottom w:val="0"/>
      <w:divBdr>
        <w:top w:val="none" w:sz="0" w:space="0" w:color="auto"/>
        <w:left w:val="none" w:sz="0" w:space="0" w:color="auto"/>
        <w:bottom w:val="none" w:sz="0" w:space="0" w:color="auto"/>
        <w:right w:val="none" w:sz="0" w:space="0" w:color="auto"/>
      </w:divBdr>
    </w:div>
    <w:div w:id="1127775124">
      <w:bodyDiv w:val="1"/>
      <w:marLeft w:val="0"/>
      <w:marRight w:val="0"/>
      <w:marTop w:val="0"/>
      <w:marBottom w:val="0"/>
      <w:divBdr>
        <w:top w:val="none" w:sz="0" w:space="0" w:color="auto"/>
        <w:left w:val="none" w:sz="0" w:space="0" w:color="auto"/>
        <w:bottom w:val="none" w:sz="0" w:space="0" w:color="auto"/>
        <w:right w:val="none" w:sz="0" w:space="0" w:color="auto"/>
      </w:divBdr>
    </w:div>
    <w:div w:id="1128474282">
      <w:bodyDiv w:val="1"/>
      <w:marLeft w:val="0"/>
      <w:marRight w:val="0"/>
      <w:marTop w:val="0"/>
      <w:marBottom w:val="0"/>
      <w:divBdr>
        <w:top w:val="none" w:sz="0" w:space="0" w:color="auto"/>
        <w:left w:val="none" w:sz="0" w:space="0" w:color="auto"/>
        <w:bottom w:val="none" w:sz="0" w:space="0" w:color="auto"/>
        <w:right w:val="none" w:sz="0" w:space="0" w:color="auto"/>
      </w:divBdr>
    </w:div>
    <w:div w:id="1129400737">
      <w:bodyDiv w:val="1"/>
      <w:marLeft w:val="0"/>
      <w:marRight w:val="0"/>
      <w:marTop w:val="0"/>
      <w:marBottom w:val="0"/>
      <w:divBdr>
        <w:top w:val="none" w:sz="0" w:space="0" w:color="auto"/>
        <w:left w:val="none" w:sz="0" w:space="0" w:color="auto"/>
        <w:bottom w:val="none" w:sz="0" w:space="0" w:color="auto"/>
        <w:right w:val="none" w:sz="0" w:space="0" w:color="auto"/>
      </w:divBdr>
    </w:div>
    <w:div w:id="1163355282">
      <w:bodyDiv w:val="1"/>
      <w:marLeft w:val="0"/>
      <w:marRight w:val="0"/>
      <w:marTop w:val="0"/>
      <w:marBottom w:val="0"/>
      <w:divBdr>
        <w:top w:val="none" w:sz="0" w:space="0" w:color="auto"/>
        <w:left w:val="none" w:sz="0" w:space="0" w:color="auto"/>
        <w:bottom w:val="none" w:sz="0" w:space="0" w:color="auto"/>
        <w:right w:val="none" w:sz="0" w:space="0" w:color="auto"/>
      </w:divBdr>
    </w:div>
    <w:div w:id="1171944188">
      <w:bodyDiv w:val="1"/>
      <w:marLeft w:val="0"/>
      <w:marRight w:val="0"/>
      <w:marTop w:val="0"/>
      <w:marBottom w:val="0"/>
      <w:divBdr>
        <w:top w:val="none" w:sz="0" w:space="0" w:color="auto"/>
        <w:left w:val="none" w:sz="0" w:space="0" w:color="auto"/>
        <w:bottom w:val="none" w:sz="0" w:space="0" w:color="auto"/>
        <w:right w:val="none" w:sz="0" w:space="0" w:color="auto"/>
      </w:divBdr>
    </w:div>
    <w:div w:id="1180435678">
      <w:bodyDiv w:val="1"/>
      <w:marLeft w:val="0"/>
      <w:marRight w:val="0"/>
      <w:marTop w:val="0"/>
      <w:marBottom w:val="0"/>
      <w:divBdr>
        <w:top w:val="none" w:sz="0" w:space="0" w:color="auto"/>
        <w:left w:val="none" w:sz="0" w:space="0" w:color="auto"/>
        <w:bottom w:val="none" w:sz="0" w:space="0" w:color="auto"/>
        <w:right w:val="none" w:sz="0" w:space="0" w:color="auto"/>
      </w:divBdr>
    </w:div>
    <w:div w:id="1201357010">
      <w:bodyDiv w:val="1"/>
      <w:marLeft w:val="0"/>
      <w:marRight w:val="0"/>
      <w:marTop w:val="0"/>
      <w:marBottom w:val="0"/>
      <w:divBdr>
        <w:top w:val="none" w:sz="0" w:space="0" w:color="auto"/>
        <w:left w:val="none" w:sz="0" w:space="0" w:color="auto"/>
        <w:bottom w:val="none" w:sz="0" w:space="0" w:color="auto"/>
        <w:right w:val="none" w:sz="0" w:space="0" w:color="auto"/>
      </w:divBdr>
    </w:div>
    <w:div w:id="1224414175">
      <w:bodyDiv w:val="1"/>
      <w:marLeft w:val="0"/>
      <w:marRight w:val="0"/>
      <w:marTop w:val="0"/>
      <w:marBottom w:val="0"/>
      <w:divBdr>
        <w:top w:val="none" w:sz="0" w:space="0" w:color="auto"/>
        <w:left w:val="none" w:sz="0" w:space="0" w:color="auto"/>
        <w:bottom w:val="none" w:sz="0" w:space="0" w:color="auto"/>
        <w:right w:val="none" w:sz="0" w:space="0" w:color="auto"/>
      </w:divBdr>
    </w:div>
    <w:div w:id="1225482663">
      <w:bodyDiv w:val="1"/>
      <w:marLeft w:val="0"/>
      <w:marRight w:val="0"/>
      <w:marTop w:val="0"/>
      <w:marBottom w:val="0"/>
      <w:divBdr>
        <w:top w:val="none" w:sz="0" w:space="0" w:color="auto"/>
        <w:left w:val="none" w:sz="0" w:space="0" w:color="auto"/>
        <w:bottom w:val="none" w:sz="0" w:space="0" w:color="auto"/>
        <w:right w:val="none" w:sz="0" w:space="0" w:color="auto"/>
      </w:divBdr>
    </w:div>
    <w:div w:id="1236166639">
      <w:bodyDiv w:val="1"/>
      <w:marLeft w:val="0"/>
      <w:marRight w:val="0"/>
      <w:marTop w:val="0"/>
      <w:marBottom w:val="0"/>
      <w:divBdr>
        <w:top w:val="none" w:sz="0" w:space="0" w:color="auto"/>
        <w:left w:val="none" w:sz="0" w:space="0" w:color="auto"/>
        <w:bottom w:val="none" w:sz="0" w:space="0" w:color="auto"/>
        <w:right w:val="none" w:sz="0" w:space="0" w:color="auto"/>
      </w:divBdr>
    </w:div>
    <w:div w:id="1243494178">
      <w:bodyDiv w:val="1"/>
      <w:marLeft w:val="0"/>
      <w:marRight w:val="0"/>
      <w:marTop w:val="0"/>
      <w:marBottom w:val="0"/>
      <w:divBdr>
        <w:top w:val="none" w:sz="0" w:space="0" w:color="auto"/>
        <w:left w:val="none" w:sz="0" w:space="0" w:color="auto"/>
        <w:bottom w:val="none" w:sz="0" w:space="0" w:color="auto"/>
        <w:right w:val="none" w:sz="0" w:space="0" w:color="auto"/>
      </w:divBdr>
    </w:div>
    <w:div w:id="1245066905">
      <w:bodyDiv w:val="1"/>
      <w:marLeft w:val="0"/>
      <w:marRight w:val="0"/>
      <w:marTop w:val="0"/>
      <w:marBottom w:val="0"/>
      <w:divBdr>
        <w:top w:val="none" w:sz="0" w:space="0" w:color="auto"/>
        <w:left w:val="none" w:sz="0" w:space="0" w:color="auto"/>
        <w:bottom w:val="none" w:sz="0" w:space="0" w:color="auto"/>
        <w:right w:val="none" w:sz="0" w:space="0" w:color="auto"/>
      </w:divBdr>
    </w:div>
    <w:div w:id="1254893251">
      <w:bodyDiv w:val="1"/>
      <w:marLeft w:val="0"/>
      <w:marRight w:val="0"/>
      <w:marTop w:val="0"/>
      <w:marBottom w:val="0"/>
      <w:divBdr>
        <w:top w:val="none" w:sz="0" w:space="0" w:color="auto"/>
        <w:left w:val="none" w:sz="0" w:space="0" w:color="auto"/>
        <w:bottom w:val="none" w:sz="0" w:space="0" w:color="auto"/>
        <w:right w:val="none" w:sz="0" w:space="0" w:color="auto"/>
      </w:divBdr>
    </w:div>
    <w:div w:id="1272666991">
      <w:bodyDiv w:val="1"/>
      <w:marLeft w:val="0"/>
      <w:marRight w:val="0"/>
      <w:marTop w:val="0"/>
      <w:marBottom w:val="0"/>
      <w:divBdr>
        <w:top w:val="none" w:sz="0" w:space="0" w:color="auto"/>
        <w:left w:val="none" w:sz="0" w:space="0" w:color="auto"/>
        <w:bottom w:val="none" w:sz="0" w:space="0" w:color="auto"/>
        <w:right w:val="none" w:sz="0" w:space="0" w:color="auto"/>
      </w:divBdr>
    </w:div>
    <w:div w:id="1279096934">
      <w:bodyDiv w:val="1"/>
      <w:marLeft w:val="0"/>
      <w:marRight w:val="0"/>
      <w:marTop w:val="0"/>
      <w:marBottom w:val="0"/>
      <w:divBdr>
        <w:top w:val="none" w:sz="0" w:space="0" w:color="auto"/>
        <w:left w:val="none" w:sz="0" w:space="0" w:color="auto"/>
        <w:bottom w:val="none" w:sz="0" w:space="0" w:color="auto"/>
        <w:right w:val="none" w:sz="0" w:space="0" w:color="auto"/>
      </w:divBdr>
    </w:div>
    <w:div w:id="1279723955">
      <w:bodyDiv w:val="1"/>
      <w:marLeft w:val="0"/>
      <w:marRight w:val="0"/>
      <w:marTop w:val="0"/>
      <w:marBottom w:val="0"/>
      <w:divBdr>
        <w:top w:val="none" w:sz="0" w:space="0" w:color="auto"/>
        <w:left w:val="none" w:sz="0" w:space="0" w:color="auto"/>
        <w:bottom w:val="none" w:sz="0" w:space="0" w:color="auto"/>
        <w:right w:val="none" w:sz="0" w:space="0" w:color="auto"/>
      </w:divBdr>
    </w:div>
    <w:div w:id="1285189167">
      <w:bodyDiv w:val="1"/>
      <w:marLeft w:val="0"/>
      <w:marRight w:val="0"/>
      <w:marTop w:val="0"/>
      <w:marBottom w:val="0"/>
      <w:divBdr>
        <w:top w:val="none" w:sz="0" w:space="0" w:color="auto"/>
        <w:left w:val="none" w:sz="0" w:space="0" w:color="auto"/>
        <w:bottom w:val="none" w:sz="0" w:space="0" w:color="auto"/>
        <w:right w:val="none" w:sz="0" w:space="0" w:color="auto"/>
      </w:divBdr>
    </w:div>
    <w:div w:id="1292904662">
      <w:bodyDiv w:val="1"/>
      <w:marLeft w:val="0"/>
      <w:marRight w:val="0"/>
      <w:marTop w:val="0"/>
      <w:marBottom w:val="0"/>
      <w:divBdr>
        <w:top w:val="none" w:sz="0" w:space="0" w:color="auto"/>
        <w:left w:val="none" w:sz="0" w:space="0" w:color="auto"/>
        <w:bottom w:val="none" w:sz="0" w:space="0" w:color="auto"/>
        <w:right w:val="none" w:sz="0" w:space="0" w:color="auto"/>
      </w:divBdr>
    </w:div>
    <w:div w:id="1302610481">
      <w:bodyDiv w:val="1"/>
      <w:marLeft w:val="0"/>
      <w:marRight w:val="0"/>
      <w:marTop w:val="0"/>
      <w:marBottom w:val="0"/>
      <w:divBdr>
        <w:top w:val="none" w:sz="0" w:space="0" w:color="auto"/>
        <w:left w:val="none" w:sz="0" w:space="0" w:color="auto"/>
        <w:bottom w:val="none" w:sz="0" w:space="0" w:color="auto"/>
        <w:right w:val="none" w:sz="0" w:space="0" w:color="auto"/>
      </w:divBdr>
    </w:div>
    <w:div w:id="1326208138">
      <w:bodyDiv w:val="1"/>
      <w:marLeft w:val="0"/>
      <w:marRight w:val="0"/>
      <w:marTop w:val="0"/>
      <w:marBottom w:val="0"/>
      <w:divBdr>
        <w:top w:val="none" w:sz="0" w:space="0" w:color="auto"/>
        <w:left w:val="none" w:sz="0" w:space="0" w:color="auto"/>
        <w:bottom w:val="none" w:sz="0" w:space="0" w:color="auto"/>
        <w:right w:val="none" w:sz="0" w:space="0" w:color="auto"/>
      </w:divBdr>
    </w:div>
    <w:div w:id="1344478032">
      <w:bodyDiv w:val="1"/>
      <w:marLeft w:val="0"/>
      <w:marRight w:val="0"/>
      <w:marTop w:val="0"/>
      <w:marBottom w:val="0"/>
      <w:divBdr>
        <w:top w:val="none" w:sz="0" w:space="0" w:color="auto"/>
        <w:left w:val="none" w:sz="0" w:space="0" w:color="auto"/>
        <w:bottom w:val="none" w:sz="0" w:space="0" w:color="auto"/>
        <w:right w:val="none" w:sz="0" w:space="0" w:color="auto"/>
      </w:divBdr>
    </w:div>
    <w:div w:id="1363509235">
      <w:bodyDiv w:val="1"/>
      <w:marLeft w:val="0"/>
      <w:marRight w:val="0"/>
      <w:marTop w:val="0"/>
      <w:marBottom w:val="0"/>
      <w:divBdr>
        <w:top w:val="none" w:sz="0" w:space="0" w:color="auto"/>
        <w:left w:val="none" w:sz="0" w:space="0" w:color="auto"/>
        <w:bottom w:val="none" w:sz="0" w:space="0" w:color="auto"/>
        <w:right w:val="none" w:sz="0" w:space="0" w:color="auto"/>
      </w:divBdr>
    </w:div>
    <w:div w:id="1371564495">
      <w:bodyDiv w:val="1"/>
      <w:marLeft w:val="0"/>
      <w:marRight w:val="0"/>
      <w:marTop w:val="0"/>
      <w:marBottom w:val="0"/>
      <w:divBdr>
        <w:top w:val="none" w:sz="0" w:space="0" w:color="auto"/>
        <w:left w:val="none" w:sz="0" w:space="0" w:color="auto"/>
        <w:bottom w:val="none" w:sz="0" w:space="0" w:color="auto"/>
        <w:right w:val="none" w:sz="0" w:space="0" w:color="auto"/>
      </w:divBdr>
    </w:div>
    <w:div w:id="1376660754">
      <w:bodyDiv w:val="1"/>
      <w:marLeft w:val="0"/>
      <w:marRight w:val="0"/>
      <w:marTop w:val="0"/>
      <w:marBottom w:val="0"/>
      <w:divBdr>
        <w:top w:val="none" w:sz="0" w:space="0" w:color="auto"/>
        <w:left w:val="none" w:sz="0" w:space="0" w:color="auto"/>
        <w:bottom w:val="none" w:sz="0" w:space="0" w:color="auto"/>
        <w:right w:val="none" w:sz="0" w:space="0" w:color="auto"/>
      </w:divBdr>
    </w:div>
    <w:div w:id="1392194685">
      <w:bodyDiv w:val="1"/>
      <w:marLeft w:val="0"/>
      <w:marRight w:val="0"/>
      <w:marTop w:val="0"/>
      <w:marBottom w:val="0"/>
      <w:divBdr>
        <w:top w:val="none" w:sz="0" w:space="0" w:color="auto"/>
        <w:left w:val="none" w:sz="0" w:space="0" w:color="auto"/>
        <w:bottom w:val="none" w:sz="0" w:space="0" w:color="auto"/>
        <w:right w:val="none" w:sz="0" w:space="0" w:color="auto"/>
      </w:divBdr>
    </w:div>
    <w:div w:id="1401560058">
      <w:bodyDiv w:val="1"/>
      <w:marLeft w:val="0"/>
      <w:marRight w:val="0"/>
      <w:marTop w:val="0"/>
      <w:marBottom w:val="0"/>
      <w:divBdr>
        <w:top w:val="none" w:sz="0" w:space="0" w:color="auto"/>
        <w:left w:val="none" w:sz="0" w:space="0" w:color="auto"/>
        <w:bottom w:val="none" w:sz="0" w:space="0" w:color="auto"/>
        <w:right w:val="none" w:sz="0" w:space="0" w:color="auto"/>
      </w:divBdr>
    </w:div>
    <w:div w:id="1408648768">
      <w:bodyDiv w:val="1"/>
      <w:marLeft w:val="0"/>
      <w:marRight w:val="0"/>
      <w:marTop w:val="0"/>
      <w:marBottom w:val="0"/>
      <w:divBdr>
        <w:top w:val="none" w:sz="0" w:space="0" w:color="auto"/>
        <w:left w:val="none" w:sz="0" w:space="0" w:color="auto"/>
        <w:bottom w:val="none" w:sz="0" w:space="0" w:color="auto"/>
        <w:right w:val="none" w:sz="0" w:space="0" w:color="auto"/>
      </w:divBdr>
    </w:div>
    <w:div w:id="1416433927">
      <w:bodyDiv w:val="1"/>
      <w:marLeft w:val="0"/>
      <w:marRight w:val="0"/>
      <w:marTop w:val="0"/>
      <w:marBottom w:val="0"/>
      <w:divBdr>
        <w:top w:val="none" w:sz="0" w:space="0" w:color="auto"/>
        <w:left w:val="none" w:sz="0" w:space="0" w:color="auto"/>
        <w:bottom w:val="none" w:sz="0" w:space="0" w:color="auto"/>
        <w:right w:val="none" w:sz="0" w:space="0" w:color="auto"/>
      </w:divBdr>
    </w:div>
    <w:div w:id="1419985926">
      <w:bodyDiv w:val="1"/>
      <w:marLeft w:val="0"/>
      <w:marRight w:val="0"/>
      <w:marTop w:val="0"/>
      <w:marBottom w:val="0"/>
      <w:divBdr>
        <w:top w:val="none" w:sz="0" w:space="0" w:color="auto"/>
        <w:left w:val="none" w:sz="0" w:space="0" w:color="auto"/>
        <w:bottom w:val="none" w:sz="0" w:space="0" w:color="auto"/>
        <w:right w:val="none" w:sz="0" w:space="0" w:color="auto"/>
      </w:divBdr>
    </w:div>
    <w:div w:id="1421563549">
      <w:bodyDiv w:val="1"/>
      <w:marLeft w:val="0"/>
      <w:marRight w:val="0"/>
      <w:marTop w:val="0"/>
      <w:marBottom w:val="0"/>
      <w:divBdr>
        <w:top w:val="none" w:sz="0" w:space="0" w:color="auto"/>
        <w:left w:val="none" w:sz="0" w:space="0" w:color="auto"/>
        <w:bottom w:val="none" w:sz="0" w:space="0" w:color="auto"/>
        <w:right w:val="none" w:sz="0" w:space="0" w:color="auto"/>
      </w:divBdr>
    </w:div>
    <w:div w:id="1426270995">
      <w:bodyDiv w:val="1"/>
      <w:marLeft w:val="0"/>
      <w:marRight w:val="0"/>
      <w:marTop w:val="0"/>
      <w:marBottom w:val="0"/>
      <w:divBdr>
        <w:top w:val="none" w:sz="0" w:space="0" w:color="auto"/>
        <w:left w:val="none" w:sz="0" w:space="0" w:color="auto"/>
        <w:bottom w:val="none" w:sz="0" w:space="0" w:color="auto"/>
        <w:right w:val="none" w:sz="0" w:space="0" w:color="auto"/>
      </w:divBdr>
    </w:div>
    <w:div w:id="1442533988">
      <w:bodyDiv w:val="1"/>
      <w:marLeft w:val="0"/>
      <w:marRight w:val="0"/>
      <w:marTop w:val="0"/>
      <w:marBottom w:val="0"/>
      <w:divBdr>
        <w:top w:val="none" w:sz="0" w:space="0" w:color="auto"/>
        <w:left w:val="none" w:sz="0" w:space="0" w:color="auto"/>
        <w:bottom w:val="none" w:sz="0" w:space="0" w:color="auto"/>
        <w:right w:val="none" w:sz="0" w:space="0" w:color="auto"/>
      </w:divBdr>
    </w:div>
    <w:div w:id="1452631459">
      <w:bodyDiv w:val="1"/>
      <w:marLeft w:val="0"/>
      <w:marRight w:val="0"/>
      <w:marTop w:val="0"/>
      <w:marBottom w:val="0"/>
      <w:divBdr>
        <w:top w:val="none" w:sz="0" w:space="0" w:color="auto"/>
        <w:left w:val="none" w:sz="0" w:space="0" w:color="auto"/>
        <w:bottom w:val="none" w:sz="0" w:space="0" w:color="auto"/>
        <w:right w:val="none" w:sz="0" w:space="0" w:color="auto"/>
      </w:divBdr>
      <w:divsChild>
        <w:div w:id="671295452">
          <w:marLeft w:val="0"/>
          <w:marRight w:val="0"/>
          <w:marTop w:val="0"/>
          <w:marBottom w:val="0"/>
          <w:divBdr>
            <w:top w:val="none" w:sz="0" w:space="0" w:color="auto"/>
            <w:left w:val="none" w:sz="0" w:space="0" w:color="auto"/>
            <w:bottom w:val="none" w:sz="0" w:space="0" w:color="auto"/>
            <w:right w:val="none" w:sz="0" w:space="0" w:color="auto"/>
          </w:divBdr>
        </w:div>
        <w:div w:id="683746644">
          <w:marLeft w:val="0"/>
          <w:marRight w:val="0"/>
          <w:marTop w:val="0"/>
          <w:marBottom w:val="0"/>
          <w:divBdr>
            <w:top w:val="none" w:sz="0" w:space="0" w:color="auto"/>
            <w:left w:val="none" w:sz="0" w:space="0" w:color="auto"/>
            <w:bottom w:val="none" w:sz="0" w:space="0" w:color="auto"/>
            <w:right w:val="none" w:sz="0" w:space="0" w:color="auto"/>
          </w:divBdr>
        </w:div>
        <w:div w:id="240264470">
          <w:marLeft w:val="0"/>
          <w:marRight w:val="0"/>
          <w:marTop w:val="0"/>
          <w:marBottom w:val="0"/>
          <w:divBdr>
            <w:top w:val="none" w:sz="0" w:space="0" w:color="auto"/>
            <w:left w:val="none" w:sz="0" w:space="0" w:color="auto"/>
            <w:bottom w:val="none" w:sz="0" w:space="0" w:color="auto"/>
            <w:right w:val="none" w:sz="0" w:space="0" w:color="auto"/>
          </w:divBdr>
        </w:div>
        <w:div w:id="1184829910">
          <w:marLeft w:val="0"/>
          <w:marRight w:val="0"/>
          <w:marTop w:val="0"/>
          <w:marBottom w:val="0"/>
          <w:divBdr>
            <w:top w:val="none" w:sz="0" w:space="0" w:color="auto"/>
            <w:left w:val="none" w:sz="0" w:space="0" w:color="auto"/>
            <w:bottom w:val="none" w:sz="0" w:space="0" w:color="auto"/>
            <w:right w:val="none" w:sz="0" w:space="0" w:color="auto"/>
          </w:divBdr>
        </w:div>
      </w:divsChild>
    </w:div>
    <w:div w:id="1455908263">
      <w:bodyDiv w:val="1"/>
      <w:marLeft w:val="0"/>
      <w:marRight w:val="0"/>
      <w:marTop w:val="0"/>
      <w:marBottom w:val="0"/>
      <w:divBdr>
        <w:top w:val="none" w:sz="0" w:space="0" w:color="auto"/>
        <w:left w:val="none" w:sz="0" w:space="0" w:color="auto"/>
        <w:bottom w:val="none" w:sz="0" w:space="0" w:color="auto"/>
        <w:right w:val="none" w:sz="0" w:space="0" w:color="auto"/>
      </w:divBdr>
    </w:div>
    <w:div w:id="1456559548">
      <w:bodyDiv w:val="1"/>
      <w:marLeft w:val="0"/>
      <w:marRight w:val="0"/>
      <w:marTop w:val="0"/>
      <w:marBottom w:val="0"/>
      <w:divBdr>
        <w:top w:val="none" w:sz="0" w:space="0" w:color="auto"/>
        <w:left w:val="none" w:sz="0" w:space="0" w:color="auto"/>
        <w:bottom w:val="none" w:sz="0" w:space="0" w:color="auto"/>
        <w:right w:val="none" w:sz="0" w:space="0" w:color="auto"/>
      </w:divBdr>
    </w:div>
    <w:div w:id="1458404172">
      <w:bodyDiv w:val="1"/>
      <w:marLeft w:val="0"/>
      <w:marRight w:val="0"/>
      <w:marTop w:val="0"/>
      <w:marBottom w:val="0"/>
      <w:divBdr>
        <w:top w:val="none" w:sz="0" w:space="0" w:color="auto"/>
        <w:left w:val="none" w:sz="0" w:space="0" w:color="auto"/>
        <w:bottom w:val="none" w:sz="0" w:space="0" w:color="auto"/>
        <w:right w:val="none" w:sz="0" w:space="0" w:color="auto"/>
      </w:divBdr>
    </w:div>
    <w:div w:id="1459301454">
      <w:bodyDiv w:val="1"/>
      <w:marLeft w:val="0"/>
      <w:marRight w:val="0"/>
      <w:marTop w:val="0"/>
      <w:marBottom w:val="0"/>
      <w:divBdr>
        <w:top w:val="none" w:sz="0" w:space="0" w:color="auto"/>
        <w:left w:val="none" w:sz="0" w:space="0" w:color="auto"/>
        <w:bottom w:val="none" w:sz="0" w:space="0" w:color="auto"/>
        <w:right w:val="none" w:sz="0" w:space="0" w:color="auto"/>
      </w:divBdr>
    </w:div>
    <w:div w:id="1469589698">
      <w:bodyDiv w:val="1"/>
      <w:marLeft w:val="0"/>
      <w:marRight w:val="0"/>
      <w:marTop w:val="0"/>
      <w:marBottom w:val="0"/>
      <w:divBdr>
        <w:top w:val="none" w:sz="0" w:space="0" w:color="auto"/>
        <w:left w:val="none" w:sz="0" w:space="0" w:color="auto"/>
        <w:bottom w:val="none" w:sz="0" w:space="0" w:color="auto"/>
        <w:right w:val="none" w:sz="0" w:space="0" w:color="auto"/>
      </w:divBdr>
    </w:div>
    <w:div w:id="1474054527">
      <w:bodyDiv w:val="1"/>
      <w:marLeft w:val="0"/>
      <w:marRight w:val="0"/>
      <w:marTop w:val="0"/>
      <w:marBottom w:val="0"/>
      <w:divBdr>
        <w:top w:val="none" w:sz="0" w:space="0" w:color="auto"/>
        <w:left w:val="none" w:sz="0" w:space="0" w:color="auto"/>
        <w:bottom w:val="none" w:sz="0" w:space="0" w:color="auto"/>
        <w:right w:val="none" w:sz="0" w:space="0" w:color="auto"/>
      </w:divBdr>
    </w:div>
    <w:div w:id="1479420612">
      <w:bodyDiv w:val="1"/>
      <w:marLeft w:val="0"/>
      <w:marRight w:val="0"/>
      <w:marTop w:val="0"/>
      <w:marBottom w:val="0"/>
      <w:divBdr>
        <w:top w:val="none" w:sz="0" w:space="0" w:color="auto"/>
        <w:left w:val="none" w:sz="0" w:space="0" w:color="auto"/>
        <w:bottom w:val="none" w:sz="0" w:space="0" w:color="auto"/>
        <w:right w:val="none" w:sz="0" w:space="0" w:color="auto"/>
      </w:divBdr>
    </w:div>
    <w:div w:id="1485077298">
      <w:bodyDiv w:val="1"/>
      <w:marLeft w:val="0"/>
      <w:marRight w:val="0"/>
      <w:marTop w:val="0"/>
      <w:marBottom w:val="0"/>
      <w:divBdr>
        <w:top w:val="none" w:sz="0" w:space="0" w:color="auto"/>
        <w:left w:val="none" w:sz="0" w:space="0" w:color="auto"/>
        <w:bottom w:val="none" w:sz="0" w:space="0" w:color="auto"/>
        <w:right w:val="none" w:sz="0" w:space="0" w:color="auto"/>
      </w:divBdr>
    </w:div>
    <w:div w:id="1490098503">
      <w:bodyDiv w:val="1"/>
      <w:marLeft w:val="0"/>
      <w:marRight w:val="0"/>
      <w:marTop w:val="0"/>
      <w:marBottom w:val="0"/>
      <w:divBdr>
        <w:top w:val="none" w:sz="0" w:space="0" w:color="auto"/>
        <w:left w:val="none" w:sz="0" w:space="0" w:color="auto"/>
        <w:bottom w:val="none" w:sz="0" w:space="0" w:color="auto"/>
        <w:right w:val="none" w:sz="0" w:space="0" w:color="auto"/>
      </w:divBdr>
    </w:div>
    <w:div w:id="1495798708">
      <w:bodyDiv w:val="1"/>
      <w:marLeft w:val="0"/>
      <w:marRight w:val="0"/>
      <w:marTop w:val="0"/>
      <w:marBottom w:val="0"/>
      <w:divBdr>
        <w:top w:val="none" w:sz="0" w:space="0" w:color="auto"/>
        <w:left w:val="none" w:sz="0" w:space="0" w:color="auto"/>
        <w:bottom w:val="none" w:sz="0" w:space="0" w:color="auto"/>
        <w:right w:val="none" w:sz="0" w:space="0" w:color="auto"/>
      </w:divBdr>
    </w:div>
    <w:div w:id="1503013742">
      <w:bodyDiv w:val="1"/>
      <w:marLeft w:val="0"/>
      <w:marRight w:val="0"/>
      <w:marTop w:val="0"/>
      <w:marBottom w:val="0"/>
      <w:divBdr>
        <w:top w:val="none" w:sz="0" w:space="0" w:color="auto"/>
        <w:left w:val="none" w:sz="0" w:space="0" w:color="auto"/>
        <w:bottom w:val="none" w:sz="0" w:space="0" w:color="auto"/>
        <w:right w:val="none" w:sz="0" w:space="0" w:color="auto"/>
      </w:divBdr>
    </w:div>
    <w:div w:id="1506898876">
      <w:bodyDiv w:val="1"/>
      <w:marLeft w:val="0"/>
      <w:marRight w:val="0"/>
      <w:marTop w:val="0"/>
      <w:marBottom w:val="0"/>
      <w:divBdr>
        <w:top w:val="none" w:sz="0" w:space="0" w:color="auto"/>
        <w:left w:val="none" w:sz="0" w:space="0" w:color="auto"/>
        <w:bottom w:val="none" w:sz="0" w:space="0" w:color="auto"/>
        <w:right w:val="none" w:sz="0" w:space="0" w:color="auto"/>
      </w:divBdr>
    </w:div>
    <w:div w:id="1510292044">
      <w:bodyDiv w:val="1"/>
      <w:marLeft w:val="0"/>
      <w:marRight w:val="0"/>
      <w:marTop w:val="0"/>
      <w:marBottom w:val="0"/>
      <w:divBdr>
        <w:top w:val="none" w:sz="0" w:space="0" w:color="auto"/>
        <w:left w:val="none" w:sz="0" w:space="0" w:color="auto"/>
        <w:bottom w:val="none" w:sz="0" w:space="0" w:color="auto"/>
        <w:right w:val="none" w:sz="0" w:space="0" w:color="auto"/>
      </w:divBdr>
    </w:div>
    <w:div w:id="1521353399">
      <w:bodyDiv w:val="1"/>
      <w:marLeft w:val="0"/>
      <w:marRight w:val="0"/>
      <w:marTop w:val="0"/>
      <w:marBottom w:val="0"/>
      <w:divBdr>
        <w:top w:val="none" w:sz="0" w:space="0" w:color="auto"/>
        <w:left w:val="none" w:sz="0" w:space="0" w:color="auto"/>
        <w:bottom w:val="none" w:sz="0" w:space="0" w:color="auto"/>
        <w:right w:val="none" w:sz="0" w:space="0" w:color="auto"/>
      </w:divBdr>
    </w:div>
    <w:div w:id="1524435611">
      <w:bodyDiv w:val="1"/>
      <w:marLeft w:val="0"/>
      <w:marRight w:val="0"/>
      <w:marTop w:val="0"/>
      <w:marBottom w:val="0"/>
      <w:divBdr>
        <w:top w:val="none" w:sz="0" w:space="0" w:color="auto"/>
        <w:left w:val="none" w:sz="0" w:space="0" w:color="auto"/>
        <w:bottom w:val="none" w:sz="0" w:space="0" w:color="auto"/>
        <w:right w:val="none" w:sz="0" w:space="0" w:color="auto"/>
      </w:divBdr>
    </w:div>
    <w:div w:id="1528906372">
      <w:bodyDiv w:val="1"/>
      <w:marLeft w:val="0"/>
      <w:marRight w:val="0"/>
      <w:marTop w:val="0"/>
      <w:marBottom w:val="0"/>
      <w:divBdr>
        <w:top w:val="none" w:sz="0" w:space="0" w:color="auto"/>
        <w:left w:val="none" w:sz="0" w:space="0" w:color="auto"/>
        <w:bottom w:val="none" w:sz="0" w:space="0" w:color="auto"/>
        <w:right w:val="none" w:sz="0" w:space="0" w:color="auto"/>
      </w:divBdr>
    </w:div>
    <w:div w:id="1530489444">
      <w:bodyDiv w:val="1"/>
      <w:marLeft w:val="0"/>
      <w:marRight w:val="0"/>
      <w:marTop w:val="0"/>
      <w:marBottom w:val="0"/>
      <w:divBdr>
        <w:top w:val="none" w:sz="0" w:space="0" w:color="auto"/>
        <w:left w:val="none" w:sz="0" w:space="0" w:color="auto"/>
        <w:bottom w:val="none" w:sz="0" w:space="0" w:color="auto"/>
        <w:right w:val="none" w:sz="0" w:space="0" w:color="auto"/>
      </w:divBdr>
    </w:div>
    <w:div w:id="1530801955">
      <w:bodyDiv w:val="1"/>
      <w:marLeft w:val="0"/>
      <w:marRight w:val="0"/>
      <w:marTop w:val="0"/>
      <w:marBottom w:val="0"/>
      <w:divBdr>
        <w:top w:val="none" w:sz="0" w:space="0" w:color="auto"/>
        <w:left w:val="none" w:sz="0" w:space="0" w:color="auto"/>
        <w:bottom w:val="none" w:sz="0" w:space="0" w:color="auto"/>
        <w:right w:val="none" w:sz="0" w:space="0" w:color="auto"/>
      </w:divBdr>
    </w:div>
    <w:div w:id="1539052482">
      <w:bodyDiv w:val="1"/>
      <w:marLeft w:val="0"/>
      <w:marRight w:val="0"/>
      <w:marTop w:val="0"/>
      <w:marBottom w:val="0"/>
      <w:divBdr>
        <w:top w:val="none" w:sz="0" w:space="0" w:color="auto"/>
        <w:left w:val="none" w:sz="0" w:space="0" w:color="auto"/>
        <w:bottom w:val="none" w:sz="0" w:space="0" w:color="auto"/>
        <w:right w:val="none" w:sz="0" w:space="0" w:color="auto"/>
      </w:divBdr>
    </w:div>
    <w:div w:id="1545025505">
      <w:bodyDiv w:val="1"/>
      <w:marLeft w:val="0"/>
      <w:marRight w:val="0"/>
      <w:marTop w:val="0"/>
      <w:marBottom w:val="0"/>
      <w:divBdr>
        <w:top w:val="none" w:sz="0" w:space="0" w:color="auto"/>
        <w:left w:val="none" w:sz="0" w:space="0" w:color="auto"/>
        <w:bottom w:val="none" w:sz="0" w:space="0" w:color="auto"/>
        <w:right w:val="none" w:sz="0" w:space="0" w:color="auto"/>
      </w:divBdr>
    </w:div>
    <w:div w:id="1555191578">
      <w:bodyDiv w:val="1"/>
      <w:marLeft w:val="0"/>
      <w:marRight w:val="0"/>
      <w:marTop w:val="0"/>
      <w:marBottom w:val="0"/>
      <w:divBdr>
        <w:top w:val="none" w:sz="0" w:space="0" w:color="auto"/>
        <w:left w:val="none" w:sz="0" w:space="0" w:color="auto"/>
        <w:bottom w:val="none" w:sz="0" w:space="0" w:color="auto"/>
        <w:right w:val="none" w:sz="0" w:space="0" w:color="auto"/>
      </w:divBdr>
    </w:div>
    <w:div w:id="1567374059">
      <w:bodyDiv w:val="1"/>
      <w:marLeft w:val="0"/>
      <w:marRight w:val="0"/>
      <w:marTop w:val="0"/>
      <w:marBottom w:val="0"/>
      <w:divBdr>
        <w:top w:val="none" w:sz="0" w:space="0" w:color="auto"/>
        <w:left w:val="none" w:sz="0" w:space="0" w:color="auto"/>
        <w:bottom w:val="none" w:sz="0" w:space="0" w:color="auto"/>
        <w:right w:val="none" w:sz="0" w:space="0" w:color="auto"/>
      </w:divBdr>
    </w:div>
    <w:div w:id="1576285324">
      <w:bodyDiv w:val="1"/>
      <w:marLeft w:val="0"/>
      <w:marRight w:val="0"/>
      <w:marTop w:val="0"/>
      <w:marBottom w:val="0"/>
      <w:divBdr>
        <w:top w:val="none" w:sz="0" w:space="0" w:color="auto"/>
        <w:left w:val="none" w:sz="0" w:space="0" w:color="auto"/>
        <w:bottom w:val="none" w:sz="0" w:space="0" w:color="auto"/>
        <w:right w:val="none" w:sz="0" w:space="0" w:color="auto"/>
      </w:divBdr>
    </w:div>
    <w:div w:id="1593859534">
      <w:bodyDiv w:val="1"/>
      <w:marLeft w:val="0"/>
      <w:marRight w:val="0"/>
      <w:marTop w:val="0"/>
      <w:marBottom w:val="0"/>
      <w:divBdr>
        <w:top w:val="none" w:sz="0" w:space="0" w:color="auto"/>
        <w:left w:val="none" w:sz="0" w:space="0" w:color="auto"/>
        <w:bottom w:val="none" w:sz="0" w:space="0" w:color="auto"/>
        <w:right w:val="none" w:sz="0" w:space="0" w:color="auto"/>
      </w:divBdr>
    </w:div>
    <w:div w:id="1597054966">
      <w:bodyDiv w:val="1"/>
      <w:marLeft w:val="0"/>
      <w:marRight w:val="0"/>
      <w:marTop w:val="0"/>
      <w:marBottom w:val="0"/>
      <w:divBdr>
        <w:top w:val="none" w:sz="0" w:space="0" w:color="auto"/>
        <w:left w:val="none" w:sz="0" w:space="0" w:color="auto"/>
        <w:bottom w:val="none" w:sz="0" w:space="0" w:color="auto"/>
        <w:right w:val="none" w:sz="0" w:space="0" w:color="auto"/>
      </w:divBdr>
    </w:div>
    <w:div w:id="1598517830">
      <w:bodyDiv w:val="1"/>
      <w:marLeft w:val="0"/>
      <w:marRight w:val="0"/>
      <w:marTop w:val="0"/>
      <w:marBottom w:val="0"/>
      <w:divBdr>
        <w:top w:val="none" w:sz="0" w:space="0" w:color="auto"/>
        <w:left w:val="none" w:sz="0" w:space="0" w:color="auto"/>
        <w:bottom w:val="none" w:sz="0" w:space="0" w:color="auto"/>
        <w:right w:val="none" w:sz="0" w:space="0" w:color="auto"/>
      </w:divBdr>
    </w:div>
    <w:div w:id="1599362536">
      <w:bodyDiv w:val="1"/>
      <w:marLeft w:val="0"/>
      <w:marRight w:val="0"/>
      <w:marTop w:val="0"/>
      <w:marBottom w:val="0"/>
      <w:divBdr>
        <w:top w:val="none" w:sz="0" w:space="0" w:color="auto"/>
        <w:left w:val="none" w:sz="0" w:space="0" w:color="auto"/>
        <w:bottom w:val="none" w:sz="0" w:space="0" w:color="auto"/>
        <w:right w:val="none" w:sz="0" w:space="0" w:color="auto"/>
      </w:divBdr>
    </w:div>
    <w:div w:id="1607686895">
      <w:bodyDiv w:val="1"/>
      <w:marLeft w:val="0"/>
      <w:marRight w:val="0"/>
      <w:marTop w:val="0"/>
      <w:marBottom w:val="0"/>
      <w:divBdr>
        <w:top w:val="none" w:sz="0" w:space="0" w:color="auto"/>
        <w:left w:val="none" w:sz="0" w:space="0" w:color="auto"/>
        <w:bottom w:val="none" w:sz="0" w:space="0" w:color="auto"/>
        <w:right w:val="none" w:sz="0" w:space="0" w:color="auto"/>
      </w:divBdr>
    </w:div>
    <w:div w:id="1610507320">
      <w:bodyDiv w:val="1"/>
      <w:marLeft w:val="0"/>
      <w:marRight w:val="0"/>
      <w:marTop w:val="0"/>
      <w:marBottom w:val="0"/>
      <w:divBdr>
        <w:top w:val="none" w:sz="0" w:space="0" w:color="auto"/>
        <w:left w:val="none" w:sz="0" w:space="0" w:color="auto"/>
        <w:bottom w:val="none" w:sz="0" w:space="0" w:color="auto"/>
        <w:right w:val="none" w:sz="0" w:space="0" w:color="auto"/>
      </w:divBdr>
    </w:div>
    <w:div w:id="1633707356">
      <w:bodyDiv w:val="1"/>
      <w:marLeft w:val="0"/>
      <w:marRight w:val="0"/>
      <w:marTop w:val="0"/>
      <w:marBottom w:val="0"/>
      <w:divBdr>
        <w:top w:val="none" w:sz="0" w:space="0" w:color="auto"/>
        <w:left w:val="none" w:sz="0" w:space="0" w:color="auto"/>
        <w:bottom w:val="none" w:sz="0" w:space="0" w:color="auto"/>
        <w:right w:val="none" w:sz="0" w:space="0" w:color="auto"/>
      </w:divBdr>
    </w:div>
    <w:div w:id="1637567122">
      <w:bodyDiv w:val="1"/>
      <w:marLeft w:val="0"/>
      <w:marRight w:val="0"/>
      <w:marTop w:val="0"/>
      <w:marBottom w:val="0"/>
      <w:divBdr>
        <w:top w:val="none" w:sz="0" w:space="0" w:color="auto"/>
        <w:left w:val="none" w:sz="0" w:space="0" w:color="auto"/>
        <w:bottom w:val="none" w:sz="0" w:space="0" w:color="auto"/>
        <w:right w:val="none" w:sz="0" w:space="0" w:color="auto"/>
      </w:divBdr>
    </w:div>
    <w:div w:id="1639719784">
      <w:bodyDiv w:val="1"/>
      <w:marLeft w:val="0"/>
      <w:marRight w:val="0"/>
      <w:marTop w:val="0"/>
      <w:marBottom w:val="0"/>
      <w:divBdr>
        <w:top w:val="none" w:sz="0" w:space="0" w:color="auto"/>
        <w:left w:val="none" w:sz="0" w:space="0" w:color="auto"/>
        <w:bottom w:val="none" w:sz="0" w:space="0" w:color="auto"/>
        <w:right w:val="none" w:sz="0" w:space="0" w:color="auto"/>
      </w:divBdr>
    </w:div>
    <w:div w:id="1641955751">
      <w:bodyDiv w:val="1"/>
      <w:marLeft w:val="0"/>
      <w:marRight w:val="0"/>
      <w:marTop w:val="0"/>
      <w:marBottom w:val="0"/>
      <w:divBdr>
        <w:top w:val="none" w:sz="0" w:space="0" w:color="auto"/>
        <w:left w:val="none" w:sz="0" w:space="0" w:color="auto"/>
        <w:bottom w:val="none" w:sz="0" w:space="0" w:color="auto"/>
        <w:right w:val="none" w:sz="0" w:space="0" w:color="auto"/>
      </w:divBdr>
    </w:div>
    <w:div w:id="1642422003">
      <w:bodyDiv w:val="1"/>
      <w:marLeft w:val="0"/>
      <w:marRight w:val="0"/>
      <w:marTop w:val="0"/>
      <w:marBottom w:val="0"/>
      <w:divBdr>
        <w:top w:val="none" w:sz="0" w:space="0" w:color="auto"/>
        <w:left w:val="none" w:sz="0" w:space="0" w:color="auto"/>
        <w:bottom w:val="none" w:sz="0" w:space="0" w:color="auto"/>
        <w:right w:val="none" w:sz="0" w:space="0" w:color="auto"/>
      </w:divBdr>
    </w:div>
    <w:div w:id="1646813283">
      <w:bodyDiv w:val="1"/>
      <w:marLeft w:val="0"/>
      <w:marRight w:val="0"/>
      <w:marTop w:val="0"/>
      <w:marBottom w:val="0"/>
      <w:divBdr>
        <w:top w:val="none" w:sz="0" w:space="0" w:color="auto"/>
        <w:left w:val="none" w:sz="0" w:space="0" w:color="auto"/>
        <w:bottom w:val="none" w:sz="0" w:space="0" w:color="auto"/>
        <w:right w:val="none" w:sz="0" w:space="0" w:color="auto"/>
      </w:divBdr>
    </w:div>
    <w:div w:id="1651010998">
      <w:bodyDiv w:val="1"/>
      <w:marLeft w:val="0"/>
      <w:marRight w:val="0"/>
      <w:marTop w:val="0"/>
      <w:marBottom w:val="0"/>
      <w:divBdr>
        <w:top w:val="none" w:sz="0" w:space="0" w:color="auto"/>
        <w:left w:val="none" w:sz="0" w:space="0" w:color="auto"/>
        <w:bottom w:val="none" w:sz="0" w:space="0" w:color="auto"/>
        <w:right w:val="none" w:sz="0" w:space="0" w:color="auto"/>
      </w:divBdr>
    </w:div>
    <w:div w:id="1667978240">
      <w:bodyDiv w:val="1"/>
      <w:marLeft w:val="0"/>
      <w:marRight w:val="0"/>
      <w:marTop w:val="0"/>
      <w:marBottom w:val="0"/>
      <w:divBdr>
        <w:top w:val="none" w:sz="0" w:space="0" w:color="auto"/>
        <w:left w:val="none" w:sz="0" w:space="0" w:color="auto"/>
        <w:bottom w:val="none" w:sz="0" w:space="0" w:color="auto"/>
        <w:right w:val="none" w:sz="0" w:space="0" w:color="auto"/>
      </w:divBdr>
    </w:div>
    <w:div w:id="1676617234">
      <w:bodyDiv w:val="1"/>
      <w:marLeft w:val="0"/>
      <w:marRight w:val="0"/>
      <w:marTop w:val="0"/>
      <w:marBottom w:val="0"/>
      <w:divBdr>
        <w:top w:val="none" w:sz="0" w:space="0" w:color="auto"/>
        <w:left w:val="none" w:sz="0" w:space="0" w:color="auto"/>
        <w:bottom w:val="none" w:sz="0" w:space="0" w:color="auto"/>
        <w:right w:val="none" w:sz="0" w:space="0" w:color="auto"/>
      </w:divBdr>
    </w:div>
    <w:div w:id="1682583494">
      <w:bodyDiv w:val="1"/>
      <w:marLeft w:val="0"/>
      <w:marRight w:val="0"/>
      <w:marTop w:val="0"/>
      <w:marBottom w:val="0"/>
      <w:divBdr>
        <w:top w:val="none" w:sz="0" w:space="0" w:color="auto"/>
        <w:left w:val="none" w:sz="0" w:space="0" w:color="auto"/>
        <w:bottom w:val="none" w:sz="0" w:space="0" w:color="auto"/>
        <w:right w:val="none" w:sz="0" w:space="0" w:color="auto"/>
      </w:divBdr>
    </w:div>
    <w:div w:id="1693846260">
      <w:bodyDiv w:val="1"/>
      <w:marLeft w:val="0"/>
      <w:marRight w:val="0"/>
      <w:marTop w:val="0"/>
      <w:marBottom w:val="0"/>
      <w:divBdr>
        <w:top w:val="none" w:sz="0" w:space="0" w:color="auto"/>
        <w:left w:val="none" w:sz="0" w:space="0" w:color="auto"/>
        <w:bottom w:val="none" w:sz="0" w:space="0" w:color="auto"/>
        <w:right w:val="none" w:sz="0" w:space="0" w:color="auto"/>
      </w:divBdr>
    </w:div>
    <w:div w:id="1694577267">
      <w:bodyDiv w:val="1"/>
      <w:marLeft w:val="0"/>
      <w:marRight w:val="0"/>
      <w:marTop w:val="0"/>
      <w:marBottom w:val="0"/>
      <w:divBdr>
        <w:top w:val="none" w:sz="0" w:space="0" w:color="auto"/>
        <w:left w:val="none" w:sz="0" w:space="0" w:color="auto"/>
        <w:bottom w:val="none" w:sz="0" w:space="0" w:color="auto"/>
        <w:right w:val="none" w:sz="0" w:space="0" w:color="auto"/>
      </w:divBdr>
    </w:div>
    <w:div w:id="1701512805">
      <w:bodyDiv w:val="1"/>
      <w:marLeft w:val="0"/>
      <w:marRight w:val="0"/>
      <w:marTop w:val="0"/>
      <w:marBottom w:val="0"/>
      <w:divBdr>
        <w:top w:val="none" w:sz="0" w:space="0" w:color="auto"/>
        <w:left w:val="none" w:sz="0" w:space="0" w:color="auto"/>
        <w:bottom w:val="none" w:sz="0" w:space="0" w:color="auto"/>
        <w:right w:val="none" w:sz="0" w:space="0" w:color="auto"/>
      </w:divBdr>
    </w:div>
    <w:div w:id="1705208801">
      <w:bodyDiv w:val="1"/>
      <w:marLeft w:val="0"/>
      <w:marRight w:val="0"/>
      <w:marTop w:val="0"/>
      <w:marBottom w:val="0"/>
      <w:divBdr>
        <w:top w:val="none" w:sz="0" w:space="0" w:color="auto"/>
        <w:left w:val="none" w:sz="0" w:space="0" w:color="auto"/>
        <w:bottom w:val="none" w:sz="0" w:space="0" w:color="auto"/>
        <w:right w:val="none" w:sz="0" w:space="0" w:color="auto"/>
      </w:divBdr>
      <w:divsChild>
        <w:div w:id="1263146840">
          <w:marLeft w:val="0"/>
          <w:marRight w:val="0"/>
          <w:marTop w:val="0"/>
          <w:marBottom w:val="0"/>
          <w:divBdr>
            <w:top w:val="none" w:sz="0" w:space="0" w:color="auto"/>
            <w:left w:val="none" w:sz="0" w:space="0" w:color="auto"/>
            <w:bottom w:val="none" w:sz="0" w:space="0" w:color="auto"/>
            <w:right w:val="none" w:sz="0" w:space="0" w:color="auto"/>
          </w:divBdr>
          <w:divsChild>
            <w:div w:id="1790128772">
              <w:marLeft w:val="0"/>
              <w:marRight w:val="225"/>
              <w:marTop w:val="75"/>
              <w:marBottom w:val="75"/>
              <w:divBdr>
                <w:top w:val="none" w:sz="0" w:space="0" w:color="auto"/>
                <w:left w:val="none" w:sz="0" w:space="0" w:color="auto"/>
                <w:bottom w:val="none" w:sz="0" w:space="0" w:color="auto"/>
                <w:right w:val="none" w:sz="0" w:space="0" w:color="auto"/>
              </w:divBdr>
            </w:div>
            <w:div w:id="245267864">
              <w:marLeft w:val="0"/>
              <w:marRight w:val="0"/>
              <w:marTop w:val="0"/>
              <w:marBottom w:val="0"/>
              <w:divBdr>
                <w:top w:val="none" w:sz="0" w:space="0" w:color="auto"/>
                <w:left w:val="none" w:sz="0" w:space="0" w:color="auto"/>
                <w:bottom w:val="none" w:sz="0" w:space="0" w:color="auto"/>
                <w:right w:val="none" w:sz="0" w:space="0" w:color="auto"/>
              </w:divBdr>
            </w:div>
          </w:divsChild>
        </w:div>
        <w:div w:id="563881259">
          <w:marLeft w:val="3237"/>
          <w:marRight w:val="0"/>
          <w:marTop w:val="0"/>
          <w:marBottom w:val="0"/>
          <w:divBdr>
            <w:top w:val="none" w:sz="0" w:space="0" w:color="auto"/>
            <w:left w:val="none" w:sz="0" w:space="0" w:color="auto"/>
            <w:bottom w:val="none" w:sz="0" w:space="0" w:color="auto"/>
            <w:right w:val="none" w:sz="0" w:space="0" w:color="auto"/>
          </w:divBdr>
          <w:divsChild>
            <w:div w:id="897469948">
              <w:marLeft w:val="0"/>
              <w:marRight w:val="0"/>
              <w:marTop w:val="0"/>
              <w:marBottom w:val="0"/>
              <w:divBdr>
                <w:top w:val="none" w:sz="0" w:space="0" w:color="auto"/>
                <w:left w:val="none" w:sz="0" w:space="0" w:color="auto"/>
                <w:bottom w:val="none" w:sz="0" w:space="0" w:color="auto"/>
                <w:right w:val="none" w:sz="0" w:space="0" w:color="auto"/>
              </w:divBdr>
              <w:divsChild>
                <w:div w:id="399601629">
                  <w:marLeft w:val="0"/>
                  <w:marRight w:val="75"/>
                  <w:marTop w:val="0"/>
                  <w:marBottom w:val="225"/>
                  <w:divBdr>
                    <w:top w:val="none" w:sz="0" w:space="0" w:color="auto"/>
                    <w:left w:val="none" w:sz="0" w:space="0" w:color="auto"/>
                    <w:bottom w:val="none" w:sz="0" w:space="0" w:color="auto"/>
                    <w:right w:val="none" w:sz="0" w:space="0" w:color="auto"/>
                  </w:divBdr>
                </w:div>
                <w:div w:id="633173255">
                  <w:marLeft w:val="0"/>
                  <w:marRight w:val="75"/>
                  <w:marTop w:val="0"/>
                  <w:marBottom w:val="225"/>
                  <w:divBdr>
                    <w:top w:val="none" w:sz="0" w:space="0" w:color="auto"/>
                    <w:left w:val="none" w:sz="0" w:space="0" w:color="auto"/>
                    <w:bottom w:val="none" w:sz="0" w:space="0" w:color="auto"/>
                    <w:right w:val="none" w:sz="0" w:space="0" w:color="auto"/>
                  </w:divBdr>
                </w:div>
              </w:divsChild>
            </w:div>
            <w:div w:id="122522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637571">
      <w:bodyDiv w:val="1"/>
      <w:marLeft w:val="0"/>
      <w:marRight w:val="0"/>
      <w:marTop w:val="0"/>
      <w:marBottom w:val="0"/>
      <w:divBdr>
        <w:top w:val="none" w:sz="0" w:space="0" w:color="auto"/>
        <w:left w:val="none" w:sz="0" w:space="0" w:color="auto"/>
        <w:bottom w:val="none" w:sz="0" w:space="0" w:color="auto"/>
        <w:right w:val="none" w:sz="0" w:space="0" w:color="auto"/>
      </w:divBdr>
    </w:div>
    <w:div w:id="1726176348">
      <w:bodyDiv w:val="1"/>
      <w:marLeft w:val="0"/>
      <w:marRight w:val="0"/>
      <w:marTop w:val="0"/>
      <w:marBottom w:val="0"/>
      <w:divBdr>
        <w:top w:val="none" w:sz="0" w:space="0" w:color="auto"/>
        <w:left w:val="none" w:sz="0" w:space="0" w:color="auto"/>
        <w:bottom w:val="none" w:sz="0" w:space="0" w:color="auto"/>
        <w:right w:val="none" w:sz="0" w:space="0" w:color="auto"/>
      </w:divBdr>
    </w:div>
    <w:div w:id="1738091496">
      <w:bodyDiv w:val="1"/>
      <w:marLeft w:val="0"/>
      <w:marRight w:val="0"/>
      <w:marTop w:val="0"/>
      <w:marBottom w:val="0"/>
      <w:divBdr>
        <w:top w:val="none" w:sz="0" w:space="0" w:color="auto"/>
        <w:left w:val="none" w:sz="0" w:space="0" w:color="auto"/>
        <w:bottom w:val="none" w:sz="0" w:space="0" w:color="auto"/>
        <w:right w:val="none" w:sz="0" w:space="0" w:color="auto"/>
      </w:divBdr>
    </w:div>
    <w:div w:id="1747536512">
      <w:bodyDiv w:val="1"/>
      <w:marLeft w:val="0"/>
      <w:marRight w:val="0"/>
      <w:marTop w:val="0"/>
      <w:marBottom w:val="0"/>
      <w:divBdr>
        <w:top w:val="none" w:sz="0" w:space="0" w:color="auto"/>
        <w:left w:val="none" w:sz="0" w:space="0" w:color="auto"/>
        <w:bottom w:val="none" w:sz="0" w:space="0" w:color="auto"/>
        <w:right w:val="none" w:sz="0" w:space="0" w:color="auto"/>
      </w:divBdr>
    </w:div>
    <w:div w:id="1748187525">
      <w:bodyDiv w:val="1"/>
      <w:marLeft w:val="0"/>
      <w:marRight w:val="0"/>
      <w:marTop w:val="0"/>
      <w:marBottom w:val="0"/>
      <w:divBdr>
        <w:top w:val="none" w:sz="0" w:space="0" w:color="auto"/>
        <w:left w:val="none" w:sz="0" w:space="0" w:color="auto"/>
        <w:bottom w:val="none" w:sz="0" w:space="0" w:color="auto"/>
        <w:right w:val="none" w:sz="0" w:space="0" w:color="auto"/>
      </w:divBdr>
    </w:div>
    <w:div w:id="1752922289">
      <w:bodyDiv w:val="1"/>
      <w:marLeft w:val="0"/>
      <w:marRight w:val="0"/>
      <w:marTop w:val="0"/>
      <w:marBottom w:val="0"/>
      <w:divBdr>
        <w:top w:val="none" w:sz="0" w:space="0" w:color="auto"/>
        <w:left w:val="none" w:sz="0" w:space="0" w:color="auto"/>
        <w:bottom w:val="none" w:sz="0" w:space="0" w:color="auto"/>
        <w:right w:val="none" w:sz="0" w:space="0" w:color="auto"/>
      </w:divBdr>
    </w:div>
    <w:div w:id="1775203606">
      <w:bodyDiv w:val="1"/>
      <w:marLeft w:val="0"/>
      <w:marRight w:val="0"/>
      <w:marTop w:val="0"/>
      <w:marBottom w:val="0"/>
      <w:divBdr>
        <w:top w:val="none" w:sz="0" w:space="0" w:color="auto"/>
        <w:left w:val="none" w:sz="0" w:space="0" w:color="auto"/>
        <w:bottom w:val="none" w:sz="0" w:space="0" w:color="auto"/>
        <w:right w:val="none" w:sz="0" w:space="0" w:color="auto"/>
      </w:divBdr>
    </w:div>
    <w:div w:id="1781072047">
      <w:bodyDiv w:val="1"/>
      <w:marLeft w:val="0"/>
      <w:marRight w:val="0"/>
      <w:marTop w:val="0"/>
      <w:marBottom w:val="0"/>
      <w:divBdr>
        <w:top w:val="none" w:sz="0" w:space="0" w:color="auto"/>
        <w:left w:val="none" w:sz="0" w:space="0" w:color="auto"/>
        <w:bottom w:val="none" w:sz="0" w:space="0" w:color="auto"/>
        <w:right w:val="none" w:sz="0" w:space="0" w:color="auto"/>
      </w:divBdr>
      <w:divsChild>
        <w:div w:id="370811557">
          <w:marLeft w:val="0"/>
          <w:marRight w:val="0"/>
          <w:marTop w:val="0"/>
          <w:marBottom w:val="0"/>
          <w:divBdr>
            <w:top w:val="none" w:sz="0" w:space="0" w:color="auto"/>
            <w:left w:val="none" w:sz="0" w:space="0" w:color="auto"/>
            <w:bottom w:val="none" w:sz="0" w:space="0" w:color="auto"/>
            <w:right w:val="none" w:sz="0" w:space="0" w:color="auto"/>
          </w:divBdr>
        </w:div>
        <w:div w:id="545147164">
          <w:marLeft w:val="0"/>
          <w:marRight w:val="0"/>
          <w:marTop w:val="0"/>
          <w:marBottom w:val="0"/>
          <w:divBdr>
            <w:top w:val="none" w:sz="0" w:space="0" w:color="auto"/>
            <w:left w:val="none" w:sz="0" w:space="0" w:color="auto"/>
            <w:bottom w:val="none" w:sz="0" w:space="0" w:color="auto"/>
            <w:right w:val="none" w:sz="0" w:space="0" w:color="auto"/>
          </w:divBdr>
        </w:div>
        <w:div w:id="1630433233">
          <w:marLeft w:val="0"/>
          <w:marRight w:val="0"/>
          <w:marTop w:val="0"/>
          <w:marBottom w:val="0"/>
          <w:divBdr>
            <w:top w:val="none" w:sz="0" w:space="0" w:color="auto"/>
            <w:left w:val="none" w:sz="0" w:space="0" w:color="auto"/>
            <w:bottom w:val="none" w:sz="0" w:space="0" w:color="auto"/>
            <w:right w:val="none" w:sz="0" w:space="0" w:color="auto"/>
          </w:divBdr>
        </w:div>
        <w:div w:id="1140734188">
          <w:marLeft w:val="0"/>
          <w:marRight w:val="0"/>
          <w:marTop w:val="0"/>
          <w:marBottom w:val="0"/>
          <w:divBdr>
            <w:top w:val="none" w:sz="0" w:space="0" w:color="auto"/>
            <w:left w:val="none" w:sz="0" w:space="0" w:color="auto"/>
            <w:bottom w:val="none" w:sz="0" w:space="0" w:color="auto"/>
            <w:right w:val="none" w:sz="0" w:space="0" w:color="auto"/>
          </w:divBdr>
        </w:div>
        <w:div w:id="1489326799">
          <w:marLeft w:val="0"/>
          <w:marRight w:val="0"/>
          <w:marTop w:val="0"/>
          <w:marBottom w:val="0"/>
          <w:divBdr>
            <w:top w:val="none" w:sz="0" w:space="0" w:color="auto"/>
            <w:left w:val="none" w:sz="0" w:space="0" w:color="auto"/>
            <w:bottom w:val="none" w:sz="0" w:space="0" w:color="auto"/>
            <w:right w:val="none" w:sz="0" w:space="0" w:color="auto"/>
          </w:divBdr>
        </w:div>
        <w:div w:id="1901789303">
          <w:marLeft w:val="0"/>
          <w:marRight w:val="0"/>
          <w:marTop w:val="0"/>
          <w:marBottom w:val="0"/>
          <w:divBdr>
            <w:top w:val="none" w:sz="0" w:space="0" w:color="auto"/>
            <w:left w:val="none" w:sz="0" w:space="0" w:color="auto"/>
            <w:bottom w:val="none" w:sz="0" w:space="0" w:color="auto"/>
            <w:right w:val="none" w:sz="0" w:space="0" w:color="auto"/>
          </w:divBdr>
        </w:div>
        <w:div w:id="1563174487">
          <w:marLeft w:val="0"/>
          <w:marRight w:val="0"/>
          <w:marTop w:val="0"/>
          <w:marBottom w:val="0"/>
          <w:divBdr>
            <w:top w:val="none" w:sz="0" w:space="0" w:color="auto"/>
            <w:left w:val="none" w:sz="0" w:space="0" w:color="auto"/>
            <w:bottom w:val="none" w:sz="0" w:space="0" w:color="auto"/>
            <w:right w:val="none" w:sz="0" w:space="0" w:color="auto"/>
          </w:divBdr>
        </w:div>
      </w:divsChild>
    </w:div>
    <w:div w:id="1796675741">
      <w:bodyDiv w:val="1"/>
      <w:marLeft w:val="0"/>
      <w:marRight w:val="0"/>
      <w:marTop w:val="0"/>
      <w:marBottom w:val="0"/>
      <w:divBdr>
        <w:top w:val="none" w:sz="0" w:space="0" w:color="auto"/>
        <w:left w:val="none" w:sz="0" w:space="0" w:color="auto"/>
        <w:bottom w:val="none" w:sz="0" w:space="0" w:color="auto"/>
        <w:right w:val="none" w:sz="0" w:space="0" w:color="auto"/>
      </w:divBdr>
    </w:div>
    <w:div w:id="1807896166">
      <w:bodyDiv w:val="1"/>
      <w:marLeft w:val="0"/>
      <w:marRight w:val="0"/>
      <w:marTop w:val="0"/>
      <w:marBottom w:val="0"/>
      <w:divBdr>
        <w:top w:val="none" w:sz="0" w:space="0" w:color="auto"/>
        <w:left w:val="none" w:sz="0" w:space="0" w:color="auto"/>
        <w:bottom w:val="none" w:sz="0" w:space="0" w:color="auto"/>
        <w:right w:val="none" w:sz="0" w:space="0" w:color="auto"/>
      </w:divBdr>
    </w:div>
    <w:div w:id="1813012342">
      <w:bodyDiv w:val="1"/>
      <w:marLeft w:val="0"/>
      <w:marRight w:val="0"/>
      <w:marTop w:val="0"/>
      <w:marBottom w:val="0"/>
      <w:divBdr>
        <w:top w:val="none" w:sz="0" w:space="0" w:color="auto"/>
        <w:left w:val="none" w:sz="0" w:space="0" w:color="auto"/>
        <w:bottom w:val="none" w:sz="0" w:space="0" w:color="auto"/>
        <w:right w:val="none" w:sz="0" w:space="0" w:color="auto"/>
      </w:divBdr>
    </w:div>
    <w:div w:id="1847481019">
      <w:bodyDiv w:val="1"/>
      <w:marLeft w:val="0"/>
      <w:marRight w:val="0"/>
      <w:marTop w:val="0"/>
      <w:marBottom w:val="0"/>
      <w:divBdr>
        <w:top w:val="none" w:sz="0" w:space="0" w:color="auto"/>
        <w:left w:val="none" w:sz="0" w:space="0" w:color="auto"/>
        <w:bottom w:val="none" w:sz="0" w:space="0" w:color="auto"/>
        <w:right w:val="none" w:sz="0" w:space="0" w:color="auto"/>
      </w:divBdr>
    </w:div>
    <w:div w:id="1849714046">
      <w:bodyDiv w:val="1"/>
      <w:marLeft w:val="0"/>
      <w:marRight w:val="0"/>
      <w:marTop w:val="0"/>
      <w:marBottom w:val="0"/>
      <w:divBdr>
        <w:top w:val="none" w:sz="0" w:space="0" w:color="auto"/>
        <w:left w:val="none" w:sz="0" w:space="0" w:color="auto"/>
        <w:bottom w:val="none" w:sz="0" w:space="0" w:color="auto"/>
        <w:right w:val="none" w:sz="0" w:space="0" w:color="auto"/>
      </w:divBdr>
    </w:div>
    <w:div w:id="1849981062">
      <w:bodyDiv w:val="1"/>
      <w:marLeft w:val="0"/>
      <w:marRight w:val="0"/>
      <w:marTop w:val="0"/>
      <w:marBottom w:val="0"/>
      <w:divBdr>
        <w:top w:val="none" w:sz="0" w:space="0" w:color="auto"/>
        <w:left w:val="none" w:sz="0" w:space="0" w:color="auto"/>
        <w:bottom w:val="none" w:sz="0" w:space="0" w:color="auto"/>
        <w:right w:val="none" w:sz="0" w:space="0" w:color="auto"/>
      </w:divBdr>
    </w:div>
    <w:div w:id="1851523231">
      <w:bodyDiv w:val="1"/>
      <w:marLeft w:val="0"/>
      <w:marRight w:val="0"/>
      <w:marTop w:val="0"/>
      <w:marBottom w:val="0"/>
      <w:divBdr>
        <w:top w:val="none" w:sz="0" w:space="0" w:color="auto"/>
        <w:left w:val="none" w:sz="0" w:space="0" w:color="auto"/>
        <w:bottom w:val="none" w:sz="0" w:space="0" w:color="auto"/>
        <w:right w:val="none" w:sz="0" w:space="0" w:color="auto"/>
      </w:divBdr>
    </w:div>
    <w:div w:id="1858225832">
      <w:bodyDiv w:val="1"/>
      <w:marLeft w:val="0"/>
      <w:marRight w:val="0"/>
      <w:marTop w:val="0"/>
      <w:marBottom w:val="0"/>
      <w:divBdr>
        <w:top w:val="none" w:sz="0" w:space="0" w:color="auto"/>
        <w:left w:val="none" w:sz="0" w:space="0" w:color="auto"/>
        <w:bottom w:val="none" w:sz="0" w:space="0" w:color="auto"/>
        <w:right w:val="none" w:sz="0" w:space="0" w:color="auto"/>
      </w:divBdr>
    </w:div>
    <w:div w:id="1861167186">
      <w:bodyDiv w:val="1"/>
      <w:marLeft w:val="0"/>
      <w:marRight w:val="0"/>
      <w:marTop w:val="0"/>
      <w:marBottom w:val="0"/>
      <w:divBdr>
        <w:top w:val="none" w:sz="0" w:space="0" w:color="auto"/>
        <w:left w:val="none" w:sz="0" w:space="0" w:color="auto"/>
        <w:bottom w:val="none" w:sz="0" w:space="0" w:color="auto"/>
        <w:right w:val="none" w:sz="0" w:space="0" w:color="auto"/>
      </w:divBdr>
    </w:div>
    <w:div w:id="1885024911">
      <w:bodyDiv w:val="1"/>
      <w:marLeft w:val="0"/>
      <w:marRight w:val="0"/>
      <w:marTop w:val="0"/>
      <w:marBottom w:val="0"/>
      <w:divBdr>
        <w:top w:val="none" w:sz="0" w:space="0" w:color="auto"/>
        <w:left w:val="none" w:sz="0" w:space="0" w:color="auto"/>
        <w:bottom w:val="none" w:sz="0" w:space="0" w:color="auto"/>
        <w:right w:val="none" w:sz="0" w:space="0" w:color="auto"/>
      </w:divBdr>
    </w:div>
    <w:div w:id="1889338505">
      <w:bodyDiv w:val="1"/>
      <w:marLeft w:val="0"/>
      <w:marRight w:val="0"/>
      <w:marTop w:val="0"/>
      <w:marBottom w:val="0"/>
      <w:divBdr>
        <w:top w:val="none" w:sz="0" w:space="0" w:color="auto"/>
        <w:left w:val="none" w:sz="0" w:space="0" w:color="auto"/>
        <w:bottom w:val="none" w:sz="0" w:space="0" w:color="auto"/>
        <w:right w:val="none" w:sz="0" w:space="0" w:color="auto"/>
      </w:divBdr>
    </w:div>
    <w:div w:id="1890343125">
      <w:bodyDiv w:val="1"/>
      <w:marLeft w:val="0"/>
      <w:marRight w:val="0"/>
      <w:marTop w:val="0"/>
      <w:marBottom w:val="0"/>
      <w:divBdr>
        <w:top w:val="none" w:sz="0" w:space="0" w:color="auto"/>
        <w:left w:val="none" w:sz="0" w:space="0" w:color="auto"/>
        <w:bottom w:val="none" w:sz="0" w:space="0" w:color="auto"/>
        <w:right w:val="none" w:sz="0" w:space="0" w:color="auto"/>
      </w:divBdr>
    </w:div>
    <w:div w:id="1891186583">
      <w:bodyDiv w:val="1"/>
      <w:marLeft w:val="0"/>
      <w:marRight w:val="0"/>
      <w:marTop w:val="0"/>
      <w:marBottom w:val="0"/>
      <w:divBdr>
        <w:top w:val="none" w:sz="0" w:space="0" w:color="auto"/>
        <w:left w:val="none" w:sz="0" w:space="0" w:color="auto"/>
        <w:bottom w:val="none" w:sz="0" w:space="0" w:color="auto"/>
        <w:right w:val="none" w:sz="0" w:space="0" w:color="auto"/>
      </w:divBdr>
    </w:div>
    <w:div w:id="1895965711">
      <w:bodyDiv w:val="1"/>
      <w:marLeft w:val="0"/>
      <w:marRight w:val="0"/>
      <w:marTop w:val="0"/>
      <w:marBottom w:val="0"/>
      <w:divBdr>
        <w:top w:val="none" w:sz="0" w:space="0" w:color="auto"/>
        <w:left w:val="none" w:sz="0" w:space="0" w:color="auto"/>
        <w:bottom w:val="none" w:sz="0" w:space="0" w:color="auto"/>
        <w:right w:val="none" w:sz="0" w:space="0" w:color="auto"/>
      </w:divBdr>
    </w:div>
    <w:div w:id="1898977276">
      <w:bodyDiv w:val="1"/>
      <w:marLeft w:val="0"/>
      <w:marRight w:val="0"/>
      <w:marTop w:val="0"/>
      <w:marBottom w:val="0"/>
      <w:divBdr>
        <w:top w:val="none" w:sz="0" w:space="0" w:color="auto"/>
        <w:left w:val="none" w:sz="0" w:space="0" w:color="auto"/>
        <w:bottom w:val="none" w:sz="0" w:space="0" w:color="auto"/>
        <w:right w:val="none" w:sz="0" w:space="0" w:color="auto"/>
      </w:divBdr>
    </w:div>
    <w:div w:id="1906337935">
      <w:bodyDiv w:val="1"/>
      <w:marLeft w:val="0"/>
      <w:marRight w:val="0"/>
      <w:marTop w:val="0"/>
      <w:marBottom w:val="0"/>
      <w:divBdr>
        <w:top w:val="none" w:sz="0" w:space="0" w:color="auto"/>
        <w:left w:val="none" w:sz="0" w:space="0" w:color="auto"/>
        <w:bottom w:val="none" w:sz="0" w:space="0" w:color="auto"/>
        <w:right w:val="none" w:sz="0" w:space="0" w:color="auto"/>
      </w:divBdr>
    </w:div>
    <w:div w:id="1909026745">
      <w:bodyDiv w:val="1"/>
      <w:marLeft w:val="0"/>
      <w:marRight w:val="0"/>
      <w:marTop w:val="0"/>
      <w:marBottom w:val="0"/>
      <w:divBdr>
        <w:top w:val="none" w:sz="0" w:space="0" w:color="auto"/>
        <w:left w:val="none" w:sz="0" w:space="0" w:color="auto"/>
        <w:bottom w:val="none" w:sz="0" w:space="0" w:color="auto"/>
        <w:right w:val="none" w:sz="0" w:space="0" w:color="auto"/>
      </w:divBdr>
    </w:div>
    <w:div w:id="1915429996">
      <w:bodyDiv w:val="1"/>
      <w:marLeft w:val="0"/>
      <w:marRight w:val="0"/>
      <w:marTop w:val="0"/>
      <w:marBottom w:val="0"/>
      <w:divBdr>
        <w:top w:val="none" w:sz="0" w:space="0" w:color="auto"/>
        <w:left w:val="none" w:sz="0" w:space="0" w:color="auto"/>
        <w:bottom w:val="none" w:sz="0" w:space="0" w:color="auto"/>
        <w:right w:val="none" w:sz="0" w:space="0" w:color="auto"/>
      </w:divBdr>
    </w:div>
    <w:div w:id="1919099327">
      <w:bodyDiv w:val="1"/>
      <w:marLeft w:val="0"/>
      <w:marRight w:val="0"/>
      <w:marTop w:val="0"/>
      <w:marBottom w:val="0"/>
      <w:divBdr>
        <w:top w:val="none" w:sz="0" w:space="0" w:color="auto"/>
        <w:left w:val="none" w:sz="0" w:space="0" w:color="auto"/>
        <w:bottom w:val="none" w:sz="0" w:space="0" w:color="auto"/>
        <w:right w:val="none" w:sz="0" w:space="0" w:color="auto"/>
      </w:divBdr>
    </w:div>
    <w:div w:id="1922761971">
      <w:bodyDiv w:val="1"/>
      <w:marLeft w:val="0"/>
      <w:marRight w:val="0"/>
      <w:marTop w:val="0"/>
      <w:marBottom w:val="0"/>
      <w:divBdr>
        <w:top w:val="none" w:sz="0" w:space="0" w:color="auto"/>
        <w:left w:val="none" w:sz="0" w:space="0" w:color="auto"/>
        <w:bottom w:val="none" w:sz="0" w:space="0" w:color="auto"/>
        <w:right w:val="none" w:sz="0" w:space="0" w:color="auto"/>
      </w:divBdr>
    </w:div>
    <w:div w:id="1924802304">
      <w:bodyDiv w:val="1"/>
      <w:marLeft w:val="0"/>
      <w:marRight w:val="0"/>
      <w:marTop w:val="0"/>
      <w:marBottom w:val="0"/>
      <w:divBdr>
        <w:top w:val="none" w:sz="0" w:space="0" w:color="auto"/>
        <w:left w:val="none" w:sz="0" w:space="0" w:color="auto"/>
        <w:bottom w:val="none" w:sz="0" w:space="0" w:color="auto"/>
        <w:right w:val="none" w:sz="0" w:space="0" w:color="auto"/>
      </w:divBdr>
    </w:div>
    <w:div w:id="1937595338">
      <w:bodyDiv w:val="1"/>
      <w:marLeft w:val="0"/>
      <w:marRight w:val="0"/>
      <w:marTop w:val="0"/>
      <w:marBottom w:val="0"/>
      <w:divBdr>
        <w:top w:val="none" w:sz="0" w:space="0" w:color="auto"/>
        <w:left w:val="none" w:sz="0" w:space="0" w:color="auto"/>
        <w:bottom w:val="none" w:sz="0" w:space="0" w:color="auto"/>
        <w:right w:val="none" w:sz="0" w:space="0" w:color="auto"/>
      </w:divBdr>
    </w:div>
    <w:div w:id="1940681028">
      <w:bodyDiv w:val="1"/>
      <w:marLeft w:val="0"/>
      <w:marRight w:val="0"/>
      <w:marTop w:val="0"/>
      <w:marBottom w:val="0"/>
      <w:divBdr>
        <w:top w:val="none" w:sz="0" w:space="0" w:color="auto"/>
        <w:left w:val="none" w:sz="0" w:space="0" w:color="auto"/>
        <w:bottom w:val="none" w:sz="0" w:space="0" w:color="auto"/>
        <w:right w:val="none" w:sz="0" w:space="0" w:color="auto"/>
      </w:divBdr>
    </w:div>
    <w:div w:id="1957326676">
      <w:bodyDiv w:val="1"/>
      <w:marLeft w:val="0"/>
      <w:marRight w:val="0"/>
      <w:marTop w:val="0"/>
      <w:marBottom w:val="0"/>
      <w:divBdr>
        <w:top w:val="none" w:sz="0" w:space="0" w:color="auto"/>
        <w:left w:val="none" w:sz="0" w:space="0" w:color="auto"/>
        <w:bottom w:val="none" w:sz="0" w:space="0" w:color="auto"/>
        <w:right w:val="none" w:sz="0" w:space="0" w:color="auto"/>
      </w:divBdr>
    </w:div>
    <w:div w:id="1958171258">
      <w:bodyDiv w:val="1"/>
      <w:marLeft w:val="0"/>
      <w:marRight w:val="0"/>
      <w:marTop w:val="0"/>
      <w:marBottom w:val="0"/>
      <w:divBdr>
        <w:top w:val="none" w:sz="0" w:space="0" w:color="auto"/>
        <w:left w:val="none" w:sz="0" w:space="0" w:color="auto"/>
        <w:bottom w:val="none" w:sz="0" w:space="0" w:color="auto"/>
        <w:right w:val="none" w:sz="0" w:space="0" w:color="auto"/>
      </w:divBdr>
    </w:div>
    <w:div w:id="1959528491">
      <w:bodyDiv w:val="1"/>
      <w:marLeft w:val="0"/>
      <w:marRight w:val="0"/>
      <w:marTop w:val="0"/>
      <w:marBottom w:val="0"/>
      <w:divBdr>
        <w:top w:val="none" w:sz="0" w:space="0" w:color="auto"/>
        <w:left w:val="none" w:sz="0" w:space="0" w:color="auto"/>
        <w:bottom w:val="none" w:sz="0" w:space="0" w:color="auto"/>
        <w:right w:val="none" w:sz="0" w:space="0" w:color="auto"/>
      </w:divBdr>
    </w:div>
    <w:div w:id="1964578251">
      <w:bodyDiv w:val="1"/>
      <w:marLeft w:val="0"/>
      <w:marRight w:val="0"/>
      <w:marTop w:val="0"/>
      <w:marBottom w:val="0"/>
      <w:divBdr>
        <w:top w:val="none" w:sz="0" w:space="0" w:color="auto"/>
        <w:left w:val="none" w:sz="0" w:space="0" w:color="auto"/>
        <w:bottom w:val="none" w:sz="0" w:space="0" w:color="auto"/>
        <w:right w:val="none" w:sz="0" w:space="0" w:color="auto"/>
      </w:divBdr>
    </w:div>
    <w:div w:id="1966278840">
      <w:bodyDiv w:val="1"/>
      <w:marLeft w:val="0"/>
      <w:marRight w:val="0"/>
      <w:marTop w:val="0"/>
      <w:marBottom w:val="0"/>
      <w:divBdr>
        <w:top w:val="none" w:sz="0" w:space="0" w:color="auto"/>
        <w:left w:val="none" w:sz="0" w:space="0" w:color="auto"/>
        <w:bottom w:val="none" w:sz="0" w:space="0" w:color="auto"/>
        <w:right w:val="none" w:sz="0" w:space="0" w:color="auto"/>
      </w:divBdr>
    </w:div>
    <w:div w:id="1974676142">
      <w:bodyDiv w:val="1"/>
      <w:marLeft w:val="0"/>
      <w:marRight w:val="0"/>
      <w:marTop w:val="0"/>
      <w:marBottom w:val="0"/>
      <w:divBdr>
        <w:top w:val="none" w:sz="0" w:space="0" w:color="auto"/>
        <w:left w:val="none" w:sz="0" w:space="0" w:color="auto"/>
        <w:bottom w:val="none" w:sz="0" w:space="0" w:color="auto"/>
        <w:right w:val="none" w:sz="0" w:space="0" w:color="auto"/>
      </w:divBdr>
    </w:div>
    <w:div w:id="1997300736">
      <w:bodyDiv w:val="1"/>
      <w:marLeft w:val="0"/>
      <w:marRight w:val="0"/>
      <w:marTop w:val="0"/>
      <w:marBottom w:val="0"/>
      <w:divBdr>
        <w:top w:val="none" w:sz="0" w:space="0" w:color="auto"/>
        <w:left w:val="none" w:sz="0" w:space="0" w:color="auto"/>
        <w:bottom w:val="none" w:sz="0" w:space="0" w:color="auto"/>
        <w:right w:val="none" w:sz="0" w:space="0" w:color="auto"/>
      </w:divBdr>
    </w:div>
    <w:div w:id="2009097501">
      <w:bodyDiv w:val="1"/>
      <w:marLeft w:val="0"/>
      <w:marRight w:val="0"/>
      <w:marTop w:val="0"/>
      <w:marBottom w:val="0"/>
      <w:divBdr>
        <w:top w:val="none" w:sz="0" w:space="0" w:color="auto"/>
        <w:left w:val="none" w:sz="0" w:space="0" w:color="auto"/>
        <w:bottom w:val="none" w:sz="0" w:space="0" w:color="auto"/>
        <w:right w:val="none" w:sz="0" w:space="0" w:color="auto"/>
      </w:divBdr>
    </w:div>
    <w:div w:id="2009555924">
      <w:bodyDiv w:val="1"/>
      <w:marLeft w:val="0"/>
      <w:marRight w:val="0"/>
      <w:marTop w:val="0"/>
      <w:marBottom w:val="0"/>
      <w:divBdr>
        <w:top w:val="none" w:sz="0" w:space="0" w:color="auto"/>
        <w:left w:val="none" w:sz="0" w:space="0" w:color="auto"/>
        <w:bottom w:val="none" w:sz="0" w:space="0" w:color="auto"/>
        <w:right w:val="none" w:sz="0" w:space="0" w:color="auto"/>
      </w:divBdr>
    </w:div>
    <w:div w:id="2013222499">
      <w:bodyDiv w:val="1"/>
      <w:marLeft w:val="0"/>
      <w:marRight w:val="0"/>
      <w:marTop w:val="0"/>
      <w:marBottom w:val="0"/>
      <w:divBdr>
        <w:top w:val="none" w:sz="0" w:space="0" w:color="auto"/>
        <w:left w:val="none" w:sz="0" w:space="0" w:color="auto"/>
        <w:bottom w:val="none" w:sz="0" w:space="0" w:color="auto"/>
        <w:right w:val="none" w:sz="0" w:space="0" w:color="auto"/>
      </w:divBdr>
    </w:div>
    <w:div w:id="2015373655">
      <w:bodyDiv w:val="1"/>
      <w:marLeft w:val="0"/>
      <w:marRight w:val="0"/>
      <w:marTop w:val="0"/>
      <w:marBottom w:val="0"/>
      <w:divBdr>
        <w:top w:val="none" w:sz="0" w:space="0" w:color="auto"/>
        <w:left w:val="none" w:sz="0" w:space="0" w:color="auto"/>
        <w:bottom w:val="none" w:sz="0" w:space="0" w:color="auto"/>
        <w:right w:val="none" w:sz="0" w:space="0" w:color="auto"/>
      </w:divBdr>
    </w:div>
    <w:div w:id="2021739572">
      <w:bodyDiv w:val="1"/>
      <w:marLeft w:val="0"/>
      <w:marRight w:val="0"/>
      <w:marTop w:val="0"/>
      <w:marBottom w:val="0"/>
      <w:divBdr>
        <w:top w:val="none" w:sz="0" w:space="0" w:color="auto"/>
        <w:left w:val="none" w:sz="0" w:space="0" w:color="auto"/>
        <w:bottom w:val="none" w:sz="0" w:space="0" w:color="auto"/>
        <w:right w:val="none" w:sz="0" w:space="0" w:color="auto"/>
      </w:divBdr>
    </w:div>
    <w:div w:id="2028097249">
      <w:bodyDiv w:val="1"/>
      <w:marLeft w:val="0"/>
      <w:marRight w:val="0"/>
      <w:marTop w:val="0"/>
      <w:marBottom w:val="0"/>
      <w:divBdr>
        <w:top w:val="none" w:sz="0" w:space="0" w:color="auto"/>
        <w:left w:val="none" w:sz="0" w:space="0" w:color="auto"/>
        <w:bottom w:val="none" w:sz="0" w:space="0" w:color="auto"/>
        <w:right w:val="none" w:sz="0" w:space="0" w:color="auto"/>
      </w:divBdr>
    </w:div>
    <w:div w:id="2030832909">
      <w:bodyDiv w:val="1"/>
      <w:marLeft w:val="0"/>
      <w:marRight w:val="0"/>
      <w:marTop w:val="0"/>
      <w:marBottom w:val="0"/>
      <w:divBdr>
        <w:top w:val="none" w:sz="0" w:space="0" w:color="auto"/>
        <w:left w:val="none" w:sz="0" w:space="0" w:color="auto"/>
        <w:bottom w:val="none" w:sz="0" w:space="0" w:color="auto"/>
        <w:right w:val="none" w:sz="0" w:space="0" w:color="auto"/>
      </w:divBdr>
    </w:div>
    <w:div w:id="2039548863">
      <w:bodyDiv w:val="1"/>
      <w:marLeft w:val="0"/>
      <w:marRight w:val="0"/>
      <w:marTop w:val="0"/>
      <w:marBottom w:val="0"/>
      <w:divBdr>
        <w:top w:val="none" w:sz="0" w:space="0" w:color="auto"/>
        <w:left w:val="none" w:sz="0" w:space="0" w:color="auto"/>
        <w:bottom w:val="none" w:sz="0" w:space="0" w:color="auto"/>
        <w:right w:val="none" w:sz="0" w:space="0" w:color="auto"/>
      </w:divBdr>
    </w:div>
    <w:div w:id="2052731365">
      <w:bodyDiv w:val="1"/>
      <w:marLeft w:val="0"/>
      <w:marRight w:val="0"/>
      <w:marTop w:val="0"/>
      <w:marBottom w:val="0"/>
      <w:divBdr>
        <w:top w:val="none" w:sz="0" w:space="0" w:color="auto"/>
        <w:left w:val="none" w:sz="0" w:space="0" w:color="auto"/>
        <w:bottom w:val="none" w:sz="0" w:space="0" w:color="auto"/>
        <w:right w:val="none" w:sz="0" w:space="0" w:color="auto"/>
      </w:divBdr>
    </w:div>
    <w:div w:id="2068139816">
      <w:bodyDiv w:val="1"/>
      <w:marLeft w:val="0"/>
      <w:marRight w:val="0"/>
      <w:marTop w:val="0"/>
      <w:marBottom w:val="0"/>
      <w:divBdr>
        <w:top w:val="none" w:sz="0" w:space="0" w:color="auto"/>
        <w:left w:val="none" w:sz="0" w:space="0" w:color="auto"/>
        <w:bottom w:val="none" w:sz="0" w:space="0" w:color="auto"/>
        <w:right w:val="none" w:sz="0" w:space="0" w:color="auto"/>
      </w:divBdr>
    </w:div>
    <w:div w:id="2069372817">
      <w:bodyDiv w:val="1"/>
      <w:marLeft w:val="0"/>
      <w:marRight w:val="0"/>
      <w:marTop w:val="0"/>
      <w:marBottom w:val="0"/>
      <w:divBdr>
        <w:top w:val="none" w:sz="0" w:space="0" w:color="auto"/>
        <w:left w:val="none" w:sz="0" w:space="0" w:color="auto"/>
        <w:bottom w:val="none" w:sz="0" w:space="0" w:color="auto"/>
        <w:right w:val="none" w:sz="0" w:space="0" w:color="auto"/>
      </w:divBdr>
    </w:div>
    <w:div w:id="2082603589">
      <w:bodyDiv w:val="1"/>
      <w:marLeft w:val="0"/>
      <w:marRight w:val="0"/>
      <w:marTop w:val="0"/>
      <w:marBottom w:val="0"/>
      <w:divBdr>
        <w:top w:val="none" w:sz="0" w:space="0" w:color="auto"/>
        <w:left w:val="none" w:sz="0" w:space="0" w:color="auto"/>
        <w:bottom w:val="none" w:sz="0" w:space="0" w:color="auto"/>
        <w:right w:val="none" w:sz="0" w:space="0" w:color="auto"/>
      </w:divBdr>
    </w:div>
    <w:div w:id="2091803283">
      <w:bodyDiv w:val="1"/>
      <w:marLeft w:val="0"/>
      <w:marRight w:val="0"/>
      <w:marTop w:val="0"/>
      <w:marBottom w:val="0"/>
      <w:divBdr>
        <w:top w:val="none" w:sz="0" w:space="0" w:color="auto"/>
        <w:left w:val="none" w:sz="0" w:space="0" w:color="auto"/>
        <w:bottom w:val="none" w:sz="0" w:space="0" w:color="auto"/>
        <w:right w:val="none" w:sz="0" w:space="0" w:color="auto"/>
      </w:divBdr>
      <w:divsChild>
        <w:div w:id="940801940">
          <w:marLeft w:val="0"/>
          <w:marRight w:val="0"/>
          <w:marTop w:val="0"/>
          <w:marBottom w:val="0"/>
          <w:divBdr>
            <w:top w:val="none" w:sz="0" w:space="0" w:color="auto"/>
            <w:left w:val="none" w:sz="0" w:space="0" w:color="auto"/>
            <w:bottom w:val="none" w:sz="0" w:space="0" w:color="auto"/>
            <w:right w:val="none" w:sz="0" w:space="0" w:color="auto"/>
          </w:divBdr>
        </w:div>
        <w:div w:id="1330718660">
          <w:marLeft w:val="0"/>
          <w:marRight w:val="0"/>
          <w:marTop w:val="0"/>
          <w:marBottom w:val="0"/>
          <w:divBdr>
            <w:top w:val="none" w:sz="0" w:space="0" w:color="auto"/>
            <w:left w:val="none" w:sz="0" w:space="0" w:color="auto"/>
            <w:bottom w:val="none" w:sz="0" w:space="0" w:color="auto"/>
            <w:right w:val="none" w:sz="0" w:space="0" w:color="auto"/>
          </w:divBdr>
        </w:div>
        <w:div w:id="1427388170">
          <w:marLeft w:val="0"/>
          <w:marRight w:val="0"/>
          <w:marTop w:val="0"/>
          <w:marBottom w:val="0"/>
          <w:divBdr>
            <w:top w:val="none" w:sz="0" w:space="0" w:color="auto"/>
            <w:left w:val="none" w:sz="0" w:space="0" w:color="auto"/>
            <w:bottom w:val="none" w:sz="0" w:space="0" w:color="auto"/>
            <w:right w:val="none" w:sz="0" w:space="0" w:color="auto"/>
          </w:divBdr>
        </w:div>
      </w:divsChild>
    </w:div>
    <w:div w:id="2095973268">
      <w:bodyDiv w:val="1"/>
      <w:marLeft w:val="0"/>
      <w:marRight w:val="0"/>
      <w:marTop w:val="0"/>
      <w:marBottom w:val="0"/>
      <w:divBdr>
        <w:top w:val="none" w:sz="0" w:space="0" w:color="auto"/>
        <w:left w:val="none" w:sz="0" w:space="0" w:color="auto"/>
        <w:bottom w:val="none" w:sz="0" w:space="0" w:color="auto"/>
        <w:right w:val="none" w:sz="0" w:space="0" w:color="auto"/>
      </w:divBdr>
    </w:div>
    <w:div w:id="2107579856">
      <w:bodyDiv w:val="1"/>
      <w:marLeft w:val="0"/>
      <w:marRight w:val="0"/>
      <w:marTop w:val="0"/>
      <w:marBottom w:val="0"/>
      <w:divBdr>
        <w:top w:val="none" w:sz="0" w:space="0" w:color="auto"/>
        <w:left w:val="none" w:sz="0" w:space="0" w:color="auto"/>
        <w:bottom w:val="none" w:sz="0" w:space="0" w:color="auto"/>
        <w:right w:val="none" w:sz="0" w:space="0" w:color="auto"/>
      </w:divBdr>
    </w:div>
    <w:div w:id="2112578223">
      <w:bodyDiv w:val="1"/>
      <w:marLeft w:val="0"/>
      <w:marRight w:val="0"/>
      <w:marTop w:val="0"/>
      <w:marBottom w:val="0"/>
      <w:divBdr>
        <w:top w:val="none" w:sz="0" w:space="0" w:color="auto"/>
        <w:left w:val="none" w:sz="0" w:space="0" w:color="auto"/>
        <w:bottom w:val="none" w:sz="0" w:space="0" w:color="auto"/>
        <w:right w:val="none" w:sz="0" w:space="0" w:color="auto"/>
      </w:divBdr>
    </w:div>
    <w:div w:id="2120755215">
      <w:bodyDiv w:val="1"/>
      <w:marLeft w:val="0"/>
      <w:marRight w:val="0"/>
      <w:marTop w:val="0"/>
      <w:marBottom w:val="0"/>
      <w:divBdr>
        <w:top w:val="none" w:sz="0" w:space="0" w:color="auto"/>
        <w:left w:val="none" w:sz="0" w:space="0" w:color="auto"/>
        <w:bottom w:val="none" w:sz="0" w:space="0" w:color="auto"/>
        <w:right w:val="none" w:sz="0" w:space="0" w:color="auto"/>
      </w:divBdr>
    </w:div>
    <w:div w:id="2124108515">
      <w:bodyDiv w:val="1"/>
      <w:marLeft w:val="0"/>
      <w:marRight w:val="0"/>
      <w:marTop w:val="0"/>
      <w:marBottom w:val="0"/>
      <w:divBdr>
        <w:top w:val="none" w:sz="0" w:space="0" w:color="auto"/>
        <w:left w:val="none" w:sz="0" w:space="0" w:color="auto"/>
        <w:bottom w:val="none" w:sz="0" w:space="0" w:color="auto"/>
        <w:right w:val="none" w:sz="0" w:space="0" w:color="auto"/>
      </w:divBdr>
    </w:div>
    <w:div w:id="2126461681">
      <w:bodyDiv w:val="1"/>
      <w:marLeft w:val="0"/>
      <w:marRight w:val="0"/>
      <w:marTop w:val="0"/>
      <w:marBottom w:val="0"/>
      <w:divBdr>
        <w:top w:val="none" w:sz="0" w:space="0" w:color="auto"/>
        <w:left w:val="none" w:sz="0" w:space="0" w:color="auto"/>
        <w:bottom w:val="none" w:sz="0" w:space="0" w:color="auto"/>
        <w:right w:val="none" w:sz="0" w:space="0" w:color="auto"/>
      </w:divBdr>
    </w:div>
    <w:div w:id="2131245864">
      <w:bodyDiv w:val="1"/>
      <w:marLeft w:val="0"/>
      <w:marRight w:val="0"/>
      <w:marTop w:val="0"/>
      <w:marBottom w:val="0"/>
      <w:divBdr>
        <w:top w:val="none" w:sz="0" w:space="0" w:color="auto"/>
        <w:left w:val="none" w:sz="0" w:space="0" w:color="auto"/>
        <w:bottom w:val="none" w:sz="0" w:space="0" w:color="auto"/>
        <w:right w:val="none" w:sz="0" w:space="0" w:color="auto"/>
      </w:divBdr>
    </w:div>
    <w:div w:id="2134322426">
      <w:bodyDiv w:val="1"/>
      <w:marLeft w:val="0"/>
      <w:marRight w:val="0"/>
      <w:marTop w:val="0"/>
      <w:marBottom w:val="0"/>
      <w:divBdr>
        <w:top w:val="none" w:sz="0" w:space="0" w:color="auto"/>
        <w:left w:val="none" w:sz="0" w:space="0" w:color="auto"/>
        <w:bottom w:val="none" w:sz="0" w:space="0" w:color="auto"/>
        <w:right w:val="none" w:sz="0" w:space="0" w:color="auto"/>
      </w:divBdr>
    </w:div>
    <w:div w:id="2136098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5.png"/><Relationship Id="rId26" Type="http://schemas.openxmlformats.org/officeDocument/2006/relationships/chart" Target="charts/chart9.xml"/><Relationship Id="rId39" Type="http://schemas.openxmlformats.org/officeDocument/2006/relationships/diagramQuickStyle" Target="diagrams/quickStyle2.xml"/><Relationship Id="rId21" Type="http://schemas.openxmlformats.org/officeDocument/2006/relationships/chart" Target="charts/chart6.xml"/><Relationship Id="rId34" Type="http://schemas.openxmlformats.org/officeDocument/2006/relationships/diagramQuickStyle" Target="diagrams/quickStyle1.xml"/><Relationship Id="rId42" Type="http://schemas.openxmlformats.org/officeDocument/2006/relationships/diagramData" Target="diagrams/data3.xml"/><Relationship Id="rId47" Type="http://schemas.openxmlformats.org/officeDocument/2006/relationships/diagramData" Target="diagrams/data4.xml"/><Relationship Id="rId50" Type="http://schemas.openxmlformats.org/officeDocument/2006/relationships/diagramColors" Target="diagrams/colors4.xml"/><Relationship Id="rId55" Type="http://schemas.openxmlformats.org/officeDocument/2006/relationships/diagramColors" Target="diagrams/colors5.xml"/><Relationship Id="rId63"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chart" Target="charts/chart3.xml"/><Relationship Id="rId20" Type="http://schemas.openxmlformats.org/officeDocument/2006/relationships/chart" Target="charts/chart5.xml"/><Relationship Id="rId29" Type="http://schemas.openxmlformats.org/officeDocument/2006/relationships/chart" Target="charts/chart10.xml"/><Relationship Id="rId41" Type="http://schemas.microsoft.com/office/2007/relationships/diagramDrawing" Target="diagrams/drawing2.xml"/><Relationship Id="rId54" Type="http://schemas.openxmlformats.org/officeDocument/2006/relationships/diagramQuickStyle" Target="diagrams/quickStyle5.xml"/><Relationship Id="rId62"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chart" Target="charts/chart7.xml"/><Relationship Id="rId32" Type="http://schemas.openxmlformats.org/officeDocument/2006/relationships/diagramData" Target="diagrams/data1.xml"/><Relationship Id="rId37" Type="http://schemas.openxmlformats.org/officeDocument/2006/relationships/diagramData" Target="diagrams/data2.xml"/><Relationship Id="rId40" Type="http://schemas.openxmlformats.org/officeDocument/2006/relationships/diagramColors" Target="diagrams/colors2.xml"/><Relationship Id="rId45" Type="http://schemas.openxmlformats.org/officeDocument/2006/relationships/diagramColors" Target="diagrams/colors3.xml"/><Relationship Id="rId53" Type="http://schemas.openxmlformats.org/officeDocument/2006/relationships/diagramLayout" Target="diagrams/layout5.xml"/><Relationship Id="rId58" Type="http://schemas.openxmlformats.org/officeDocument/2006/relationships/diagramLayout" Target="diagrams/layout6.xml"/><Relationship Id="rId5" Type="http://schemas.openxmlformats.org/officeDocument/2006/relationships/settings" Target="settings.xml"/><Relationship Id="rId15" Type="http://schemas.openxmlformats.org/officeDocument/2006/relationships/chart" Target="charts/chart2.xml"/><Relationship Id="rId23" Type="http://schemas.openxmlformats.org/officeDocument/2006/relationships/image" Target="media/image7.png"/><Relationship Id="rId28" Type="http://schemas.openxmlformats.org/officeDocument/2006/relationships/image" Target="media/image9.png"/><Relationship Id="rId36" Type="http://schemas.microsoft.com/office/2007/relationships/diagramDrawing" Target="diagrams/drawing1.xml"/><Relationship Id="rId49" Type="http://schemas.openxmlformats.org/officeDocument/2006/relationships/diagramQuickStyle" Target="diagrams/quickStyle4.xml"/><Relationship Id="rId57" Type="http://schemas.openxmlformats.org/officeDocument/2006/relationships/diagramData" Target="diagrams/data6.xml"/><Relationship Id="rId61" Type="http://schemas.microsoft.com/office/2007/relationships/diagramDrawing" Target="diagrams/drawing6.xml"/><Relationship Id="rId10" Type="http://schemas.openxmlformats.org/officeDocument/2006/relationships/footer" Target="footer1.xml"/><Relationship Id="rId19" Type="http://schemas.openxmlformats.org/officeDocument/2006/relationships/chart" Target="charts/chart4.xml"/><Relationship Id="rId31" Type="http://schemas.openxmlformats.org/officeDocument/2006/relationships/chart" Target="charts/chart12.xml"/><Relationship Id="rId44" Type="http://schemas.openxmlformats.org/officeDocument/2006/relationships/diagramQuickStyle" Target="diagrams/quickStyle3.xml"/><Relationship Id="rId52" Type="http://schemas.openxmlformats.org/officeDocument/2006/relationships/diagramData" Target="diagrams/data5.xml"/><Relationship Id="rId60" Type="http://schemas.openxmlformats.org/officeDocument/2006/relationships/diagramColors" Target="diagrams/colors6.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chart" Target="charts/chart1.xml"/><Relationship Id="rId22" Type="http://schemas.openxmlformats.org/officeDocument/2006/relationships/image" Target="media/image6.png"/><Relationship Id="rId27" Type="http://schemas.openxmlformats.org/officeDocument/2006/relationships/image" Target="media/image8.png"/><Relationship Id="rId30" Type="http://schemas.openxmlformats.org/officeDocument/2006/relationships/chart" Target="charts/chart11.xml"/><Relationship Id="rId35" Type="http://schemas.openxmlformats.org/officeDocument/2006/relationships/diagramColors" Target="diagrams/colors1.xml"/><Relationship Id="rId43" Type="http://schemas.openxmlformats.org/officeDocument/2006/relationships/diagramLayout" Target="diagrams/layout3.xml"/><Relationship Id="rId48" Type="http://schemas.openxmlformats.org/officeDocument/2006/relationships/diagramLayout" Target="diagrams/layout4.xml"/><Relationship Id="rId56" Type="http://schemas.microsoft.com/office/2007/relationships/diagramDrawing" Target="diagrams/drawing5.xml"/><Relationship Id="rId64" Type="http://schemas.openxmlformats.org/officeDocument/2006/relationships/theme" Target="theme/theme1.xml"/><Relationship Id="rId8" Type="http://schemas.openxmlformats.org/officeDocument/2006/relationships/endnotes" Target="endnotes.xml"/><Relationship Id="rId51" Type="http://schemas.microsoft.com/office/2007/relationships/diagramDrawing" Target="diagrams/drawing4.xml"/><Relationship Id="rId3" Type="http://schemas.openxmlformats.org/officeDocument/2006/relationships/styles" Target="styles.xml"/><Relationship Id="rId12" Type="http://schemas.openxmlformats.org/officeDocument/2006/relationships/image" Target="media/image2.png"/><Relationship Id="rId17" Type="http://schemas.openxmlformats.org/officeDocument/2006/relationships/image" Target="media/image4.png"/><Relationship Id="rId25" Type="http://schemas.openxmlformats.org/officeDocument/2006/relationships/chart" Target="charts/chart8.xml"/><Relationship Id="rId33" Type="http://schemas.openxmlformats.org/officeDocument/2006/relationships/diagramLayout" Target="diagrams/layout1.xml"/><Relationship Id="rId38" Type="http://schemas.openxmlformats.org/officeDocument/2006/relationships/diagramLayout" Target="diagrams/layout2.xml"/><Relationship Id="rId46" Type="http://schemas.microsoft.com/office/2007/relationships/diagramDrawing" Target="diagrams/drawing3.xml"/><Relationship Id="rId59" Type="http://schemas.openxmlformats.org/officeDocument/2006/relationships/diagramQuickStyle" Target="diagrams/quickStyle6.xml"/></Relationships>
</file>

<file path=word/charts/_rels/chart1.xml.rels><?xml version="1.0" encoding="UTF-8" standalone="yes"?>
<Relationships xmlns="http://schemas.openxmlformats.org/package/2006/relationships"><Relationship Id="rId1" Type="http://schemas.openxmlformats.org/officeDocument/2006/relationships/oleObject" Target="file:///I:\MAGISTER%20RRNN\SUSTENTABILIDAD%20TERRITORIAL\Tesis-2015\Datos%20III%20y%20IV%20Regi&#243;n\Empresas%20y%20trabajadores%20por%20comuna.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I:\MAGISTER%20RRNN\SUSTENTABILIDAD%20TERRITORIAL\Tesis-2015\Datos%20III%20y%20IV%20Regi&#243;n\Faenas%20mineras%20III%20y%20IV.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I:\MAGISTER%20RRNN\SUSTENTABILIDAD%20TERRITORIAL\Tesis-2015\Datos%20III%20y%20IV%20Regi&#243;n\Tierra%20amarilla%20agricultrua.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I:\MAGISTER%20RRNN\SUSTENTABILIDAD%20TERRITORIAL\Tesis-2015\Datos%20III%20y%20IV%20Regi&#243;n\Empresas%20y%20trabajadores%20por%20comuna.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I:\MAGISTER%20RRNN\SUSTENTABILIDAD%20TERRITORIAL\Tesis-2015\Datos%20III%20y%20IV%20Regi&#243;n\Faenas%20mineras%20III%20y%20IV.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I:\MAGISTER%20RRNN\SUSTENTABILIDAD%20TERRITORIAL\Tesis-2015\Datos%20III%20y%20IV%20Regi&#243;n\Tierra%20amarilla%20agricultrua.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I:\MAGISTER%20RRNN\SUSTENTABILIDAD%20TERRITORIAL\Tesis-2015\Datos%20III%20y%20IV%20Regi&#243;n\Empresas%20y%20trabajadores%20por%20comuna.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I:\MAGISTER%20RRNN\SUSTENTABILIDAD%20TERRITORIAL\Tesis-2015\Datos%20III%20y%20IV%20Regi&#243;n\Mineria%20Chile\Faenas%20mineras%20III%20y%20IV.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I:\MAGISTER%20RRNN\SUSTENTABILIDAD%20TERRITORIAL\Tesis-2015\Datos%20III%20y%20IV%20Regi&#243;n\Censo%20Agropecuario%202007\cultivos%20coquimbo.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C:\Users\El%20pc%20del%20Pollo\AppData\Roaming\Microsoft\Excel\Empresas%20y%20trabajadores%20por%20comuna%20(version%202).xlsb"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file:///I:\MAGISTER%20RRNN\SUSTENTABILIDAD%20TERRITORIAL\Tesis-2015\Datos%20III%20y%20IV%20Regi&#243;n\Mineria%20Chile\Faenas%20mineras%20III%20y%20IV.xlsx" TargetMode="External"/></Relationships>
</file>

<file path=word/charts/_rels/chart12.xml.rels><?xml version="1.0" encoding="UTF-8" standalone="yes"?>
<Relationships xmlns="http://schemas.openxmlformats.org/package/2006/relationships"><Relationship Id="rId1" Type="http://schemas.openxmlformats.org/officeDocument/2006/relationships/oleObject" Target="file:///I:\MAGISTER%20RRNN\SUSTENTABILIDAD%20TERRITORIAL\Tesis-2015\Datos%20III%20y%20IV%20Regi&#243;n\Censo%20Agropecuario%202007\cultivos%20coquimbo.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s-C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s-CL"/>
              <a:t>Participación de las principales empresas y número de trabajadores de la comuna de Tierra Amarilla (Año 2013) </a:t>
            </a:r>
          </a:p>
        </c:rich>
      </c:tx>
      <c:overlay val="0"/>
    </c:title>
    <c:autoTitleDeleted val="0"/>
    <c:plotArea>
      <c:layout>
        <c:manualLayout>
          <c:layoutTarget val="inner"/>
          <c:xMode val="edge"/>
          <c:yMode val="edge"/>
          <c:x val="0.1379543878258741"/>
          <c:y val="0.204409227849082"/>
          <c:w val="0.81923271386243579"/>
          <c:h val="0.293592826894646"/>
        </c:manualLayout>
      </c:layout>
      <c:barChart>
        <c:barDir val="bar"/>
        <c:grouping val="percentStacked"/>
        <c:varyColors val="0"/>
        <c:ser>
          <c:idx val="0"/>
          <c:order val="0"/>
          <c:tx>
            <c:strRef>
              <c:f>'TA y AC, IIIR'!$A$53</c:f>
              <c:strCache>
                <c:ptCount val="1"/>
                <c:pt idx="0">
                  <c:v>Agricultura, ganaderia, caza y silvicultura</c:v>
                </c:pt>
              </c:strCache>
            </c:strRef>
          </c:tx>
          <c:invertIfNegative val="0"/>
          <c:cat>
            <c:strRef>
              <c:f>'TA y AC, IIIR'!$B$52:$C$52</c:f>
              <c:strCache>
                <c:ptCount val="2"/>
                <c:pt idx="0">
                  <c:v>Empresas</c:v>
                </c:pt>
                <c:pt idx="1">
                  <c:v>Trabajadores</c:v>
                </c:pt>
              </c:strCache>
            </c:strRef>
          </c:cat>
          <c:val>
            <c:numRef>
              <c:f>'TA y AC, IIIR'!$B$53:$C$53</c:f>
              <c:numCache>
                <c:formatCode>#,##0</c:formatCode>
                <c:ptCount val="2"/>
                <c:pt idx="0">
                  <c:v>58</c:v>
                </c:pt>
                <c:pt idx="1">
                  <c:v>1217</c:v>
                </c:pt>
              </c:numCache>
            </c:numRef>
          </c:val>
        </c:ser>
        <c:ser>
          <c:idx val="2"/>
          <c:order val="1"/>
          <c:tx>
            <c:strRef>
              <c:f>'TA y AC, IIIR'!$A$55</c:f>
              <c:strCache>
                <c:ptCount val="1"/>
                <c:pt idx="0">
                  <c:v>Explotación de minas y canteras</c:v>
                </c:pt>
              </c:strCache>
            </c:strRef>
          </c:tx>
          <c:invertIfNegative val="0"/>
          <c:cat>
            <c:strRef>
              <c:f>'TA y AC, IIIR'!$B$52:$C$52</c:f>
              <c:strCache>
                <c:ptCount val="2"/>
                <c:pt idx="0">
                  <c:v>Empresas</c:v>
                </c:pt>
                <c:pt idx="1">
                  <c:v>Trabajadores</c:v>
                </c:pt>
              </c:strCache>
            </c:strRef>
          </c:cat>
          <c:val>
            <c:numRef>
              <c:f>'TA y AC, IIIR'!$B$55:$C$55</c:f>
              <c:numCache>
                <c:formatCode>#,##0</c:formatCode>
                <c:ptCount val="2"/>
                <c:pt idx="0">
                  <c:v>62</c:v>
                </c:pt>
                <c:pt idx="1">
                  <c:v>487</c:v>
                </c:pt>
              </c:numCache>
            </c:numRef>
          </c:val>
        </c:ser>
        <c:ser>
          <c:idx val="6"/>
          <c:order val="2"/>
          <c:tx>
            <c:strRef>
              <c:f>'TA y AC, IIIR'!$A$59</c:f>
              <c:strCache>
                <c:ptCount val="1"/>
                <c:pt idx="0">
                  <c:v>Construcción</c:v>
                </c:pt>
              </c:strCache>
            </c:strRef>
          </c:tx>
          <c:invertIfNegative val="0"/>
          <c:cat>
            <c:strRef>
              <c:f>'TA y AC, IIIR'!$B$52:$C$52</c:f>
              <c:strCache>
                <c:ptCount val="2"/>
                <c:pt idx="0">
                  <c:v>Empresas</c:v>
                </c:pt>
                <c:pt idx="1">
                  <c:v>Trabajadores</c:v>
                </c:pt>
              </c:strCache>
            </c:strRef>
          </c:cat>
          <c:val>
            <c:numRef>
              <c:f>'TA y AC, IIIR'!$B$59:$C$59</c:f>
              <c:numCache>
                <c:formatCode>#,##0</c:formatCode>
                <c:ptCount val="2"/>
                <c:pt idx="0">
                  <c:v>33</c:v>
                </c:pt>
                <c:pt idx="1">
                  <c:v>467</c:v>
                </c:pt>
              </c:numCache>
            </c:numRef>
          </c:val>
        </c:ser>
        <c:ser>
          <c:idx val="7"/>
          <c:order val="3"/>
          <c:tx>
            <c:strRef>
              <c:f>'TA y AC, IIIR'!$A$60</c:f>
              <c:strCache>
                <c:ptCount val="1"/>
                <c:pt idx="0">
                  <c:v>Comercio al por mayor y menor, repuestos, vehículos, automotores/enseres domésticos</c:v>
                </c:pt>
              </c:strCache>
            </c:strRef>
          </c:tx>
          <c:invertIfNegative val="0"/>
          <c:cat>
            <c:strRef>
              <c:f>'TA y AC, IIIR'!$B$52:$C$52</c:f>
              <c:strCache>
                <c:ptCount val="2"/>
                <c:pt idx="0">
                  <c:v>Empresas</c:v>
                </c:pt>
                <c:pt idx="1">
                  <c:v>Trabajadores</c:v>
                </c:pt>
              </c:strCache>
            </c:strRef>
          </c:cat>
          <c:val>
            <c:numRef>
              <c:f>'TA y AC, IIIR'!$B$60:$C$60</c:f>
              <c:numCache>
                <c:formatCode>#,##0</c:formatCode>
                <c:ptCount val="2"/>
                <c:pt idx="0">
                  <c:v>228</c:v>
                </c:pt>
                <c:pt idx="1">
                  <c:v>306</c:v>
                </c:pt>
              </c:numCache>
            </c:numRef>
          </c:val>
        </c:ser>
        <c:ser>
          <c:idx val="8"/>
          <c:order val="4"/>
          <c:tx>
            <c:strRef>
              <c:f>'TA y AC, IIIR'!$A$61</c:f>
              <c:strCache>
                <c:ptCount val="1"/>
                <c:pt idx="0">
                  <c:v>Hoteles y restaurantes</c:v>
                </c:pt>
              </c:strCache>
            </c:strRef>
          </c:tx>
          <c:invertIfNegative val="0"/>
          <c:cat>
            <c:strRef>
              <c:f>'TA y AC, IIIR'!$B$52:$C$52</c:f>
              <c:strCache>
                <c:ptCount val="2"/>
                <c:pt idx="0">
                  <c:v>Empresas</c:v>
                </c:pt>
                <c:pt idx="1">
                  <c:v>Trabajadores</c:v>
                </c:pt>
              </c:strCache>
            </c:strRef>
          </c:cat>
          <c:val>
            <c:numRef>
              <c:f>'TA y AC, IIIR'!$B$61:$C$61</c:f>
              <c:numCache>
                <c:formatCode>#,##0</c:formatCode>
                <c:ptCount val="2"/>
                <c:pt idx="0">
                  <c:v>58</c:v>
                </c:pt>
                <c:pt idx="1">
                  <c:v>341</c:v>
                </c:pt>
              </c:numCache>
            </c:numRef>
          </c:val>
        </c:ser>
        <c:ser>
          <c:idx val="9"/>
          <c:order val="5"/>
          <c:tx>
            <c:strRef>
              <c:f>'TA y AC, IIIR'!$A$62</c:f>
              <c:strCache>
                <c:ptCount val="1"/>
                <c:pt idx="0">
                  <c:v>Transporte, almacenamiento y comunicaciones</c:v>
                </c:pt>
              </c:strCache>
            </c:strRef>
          </c:tx>
          <c:invertIfNegative val="0"/>
          <c:dLbls>
            <c:dLbl>
              <c:idx val="1"/>
              <c:layout>
                <c:manualLayout>
                  <c:x val="1.3260172422995199E-3"/>
                  <c:y val="5.6437127702683797E-2"/>
                </c:manualLayout>
              </c:layout>
              <c:dLblPos val="ctr"/>
              <c:showLegendKey val="0"/>
              <c:showVal val="1"/>
              <c:showCatName val="0"/>
              <c:showSerName val="0"/>
              <c:showPercent val="0"/>
              <c:showBubbleSize val="0"/>
            </c:dLbl>
            <c:dLblPos val="inBase"/>
            <c:showLegendKey val="0"/>
            <c:showVal val="1"/>
            <c:showCatName val="0"/>
            <c:showSerName val="0"/>
            <c:showPercent val="0"/>
            <c:showBubbleSize val="0"/>
            <c:showLeaderLines val="0"/>
          </c:dLbls>
          <c:cat>
            <c:strRef>
              <c:f>'TA y AC, IIIR'!$B$52:$C$52</c:f>
              <c:strCache>
                <c:ptCount val="2"/>
                <c:pt idx="0">
                  <c:v>Empresas</c:v>
                </c:pt>
                <c:pt idx="1">
                  <c:v>Trabajadores</c:v>
                </c:pt>
              </c:strCache>
            </c:strRef>
          </c:cat>
          <c:val>
            <c:numRef>
              <c:f>'TA y AC, IIIR'!$B$62:$C$62</c:f>
              <c:numCache>
                <c:formatCode>#,##0</c:formatCode>
                <c:ptCount val="2"/>
                <c:pt idx="0">
                  <c:v>52</c:v>
                </c:pt>
                <c:pt idx="1">
                  <c:v>110</c:v>
                </c:pt>
              </c:numCache>
            </c:numRef>
          </c:val>
        </c:ser>
        <c:ser>
          <c:idx val="11"/>
          <c:order val="6"/>
          <c:tx>
            <c:strRef>
              <c:f>'TA y AC, IIIR'!$A$64</c:f>
              <c:strCache>
                <c:ptCount val="1"/>
                <c:pt idx="0">
                  <c:v>Actividades inmobiliarias, empresariales y de alquiler</c:v>
                </c:pt>
              </c:strCache>
            </c:strRef>
          </c:tx>
          <c:invertIfNegative val="0"/>
          <c:dLbls>
            <c:dLbl>
              <c:idx val="1"/>
              <c:layout>
                <c:manualLayout>
                  <c:x val="3.53831002178341E-3"/>
                  <c:y val="-3.2333556683328901E-17"/>
                </c:manualLayout>
              </c:layout>
              <c:dLblPos val="ctr"/>
              <c:showLegendKey val="0"/>
              <c:showVal val="1"/>
              <c:showCatName val="0"/>
              <c:showSerName val="0"/>
              <c:showPercent val="0"/>
              <c:showBubbleSize val="0"/>
            </c:dLbl>
            <c:dLblPos val="inBase"/>
            <c:showLegendKey val="0"/>
            <c:showVal val="1"/>
            <c:showCatName val="0"/>
            <c:showSerName val="0"/>
            <c:showPercent val="0"/>
            <c:showBubbleSize val="0"/>
            <c:showLeaderLines val="0"/>
          </c:dLbls>
          <c:cat>
            <c:strRef>
              <c:f>'TA y AC, IIIR'!$B$52:$C$52</c:f>
              <c:strCache>
                <c:ptCount val="2"/>
                <c:pt idx="0">
                  <c:v>Empresas</c:v>
                </c:pt>
                <c:pt idx="1">
                  <c:v>Trabajadores</c:v>
                </c:pt>
              </c:strCache>
            </c:strRef>
          </c:cat>
          <c:val>
            <c:numRef>
              <c:f>'TA y AC, IIIR'!$B$64:$C$64</c:f>
              <c:numCache>
                <c:formatCode>#,##0</c:formatCode>
                <c:ptCount val="2"/>
                <c:pt idx="0">
                  <c:v>33</c:v>
                </c:pt>
                <c:pt idx="1">
                  <c:v>816</c:v>
                </c:pt>
              </c:numCache>
            </c:numRef>
          </c:val>
        </c:ser>
        <c:ser>
          <c:idx val="12"/>
          <c:order val="7"/>
          <c:tx>
            <c:strRef>
              <c:f>'TA y AC, IIIR'!$A$65</c:f>
              <c:strCache>
                <c:ptCount val="1"/>
                <c:pt idx="0">
                  <c:v>Adm. pública y defensa, planes de seg. social afiliación obligatoria</c:v>
                </c:pt>
              </c:strCache>
            </c:strRef>
          </c:tx>
          <c:invertIfNegative val="0"/>
          <c:dLbls>
            <c:dLbl>
              <c:idx val="0"/>
              <c:layout>
                <c:manualLayout>
                  <c:x val="7.1282714026228997E-3"/>
                  <c:y val="6.1942257217847798E-3"/>
                </c:manualLayout>
              </c:layout>
              <c:dLblPos val="ctr"/>
              <c:showLegendKey val="0"/>
              <c:showVal val="1"/>
              <c:showCatName val="0"/>
              <c:showSerName val="0"/>
              <c:showPercent val="0"/>
              <c:showBubbleSize val="0"/>
            </c:dLbl>
            <c:dLblPos val="inBase"/>
            <c:showLegendKey val="0"/>
            <c:showVal val="1"/>
            <c:showCatName val="0"/>
            <c:showSerName val="0"/>
            <c:showPercent val="0"/>
            <c:showBubbleSize val="0"/>
            <c:showLeaderLines val="0"/>
          </c:dLbls>
          <c:cat>
            <c:strRef>
              <c:f>'TA y AC, IIIR'!$B$52:$C$52</c:f>
              <c:strCache>
                <c:ptCount val="2"/>
                <c:pt idx="0">
                  <c:v>Empresas</c:v>
                </c:pt>
                <c:pt idx="1">
                  <c:v>Trabajadores</c:v>
                </c:pt>
              </c:strCache>
            </c:strRef>
          </c:cat>
          <c:val>
            <c:numRef>
              <c:f>'TA y AC, IIIR'!$B$65:$C$65</c:f>
              <c:numCache>
                <c:formatCode>General</c:formatCode>
                <c:ptCount val="2"/>
                <c:pt idx="0">
                  <c:v>1</c:v>
                </c:pt>
                <c:pt idx="1">
                  <c:v>577</c:v>
                </c:pt>
              </c:numCache>
            </c:numRef>
          </c:val>
        </c:ser>
        <c:dLbls>
          <c:dLblPos val="inBase"/>
          <c:showLegendKey val="0"/>
          <c:showVal val="1"/>
          <c:showCatName val="0"/>
          <c:showSerName val="0"/>
          <c:showPercent val="0"/>
          <c:showBubbleSize val="0"/>
        </c:dLbls>
        <c:gapWidth val="75"/>
        <c:overlap val="100"/>
        <c:axId val="206321536"/>
        <c:axId val="206323072"/>
      </c:barChart>
      <c:catAx>
        <c:axId val="206321536"/>
        <c:scaling>
          <c:orientation val="minMax"/>
        </c:scaling>
        <c:delete val="0"/>
        <c:axPos val="l"/>
        <c:majorTickMark val="none"/>
        <c:minorTickMark val="none"/>
        <c:tickLblPos val="nextTo"/>
        <c:crossAx val="206323072"/>
        <c:crosses val="autoZero"/>
        <c:auto val="1"/>
        <c:lblAlgn val="ctr"/>
        <c:lblOffset val="100"/>
        <c:noMultiLvlLbl val="0"/>
      </c:catAx>
      <c:valAx>
        <c:axId val="206323072"/>
        <c:scaling>
          <c:orientation val="minMax"/>
        </c:scaling>
        <c:delete val="0"/>
        <c:axPos val="b"/>
        <c:majorGridlines/>
        <c:numFmt formatCode="0%" sourceLinked="1"/>
        <c:majorTickMark val="none"/>
        <c:minorTickMark val="none"/>
        <c:tickLblPos val="nextTo"/>
        <c:spPr>
          <a:ln w="9525">
            <a:noFill/>
          </a:ln>
        </c:spPr>
        <c:crossAx val="206321536"/>
        <c:crosses val="autoZero"/>
        <c:crossBetween val="between"/>
      </c:valAx>
    </c:plotArea>
    <c:legend>
      <c:legendPos val="b"/>
      <c:layout>
        <c:manualLayout>
          <c:xMode val="edge"/>
          <c:yMode val="edge"/>
          <c:x val="9.4972222222222194E-2"/>
          <c:y val="0.59781016178947777"/>
          <c:w val="0.84616644794400697"/>
          <c:h val="0.37902078442285309"/>
        </c:manualLayout>
      </c:layout>
      <c:overlay val="0"/>
    </c:legend>
    <c:plotVisOnly val="1"/>
    <c:dispBlanksAs val="gap"/>
    <c:showDLblsOverMax val="0"/>
  </c:chart>
  <c:txPr>
    <a:bodyPr/>
    <a:lstStyle/>
    <a:p>
      <a:pPr>
        <a:defRPr sz="800"/>
      </a:pPr>
      <a:endParaRPr lang="es-CL"/>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s-C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050"/>
            </a:pPr>
            <a:r>
              <a:rPr lang="en-US" sz="1050"/>
              <a:t>Faenas</a:t>
            </a:r>
            <a:r>
              <a:rPr lang="en-US" sz="1050" baseline="0"/>
              <a:t> Mineras de </a:t>
            </a:r>
            <a:r>
              <a:rPr lang="en-US" sz="1050"/>
              <a:t>Tierra Amarilla, según Categorización SERNAGEOMIN, 2013</a:t>
            </a:r>
          </a:p>
        </c:rich>
      </c:tx>
      <c:overlay val="0"/>
    </c:title>
    <c:autoTitleDeleted val="0"/>
    <c:plotArea>
      <c:layout/>
      <c:pieChart>
        <c:varyColors val="1"/>
        <c:ser>
          <c:idx val="0"/>
          <c:order val="0"/>
          <c:tx>
            <c:strRef>
              <c:f>Hoja3!$C$6</c:f>
              <c:strCache>
                <c:ptCount val="1"/>
                <c:pt idx="0">
                  <c:v>Tierra Amarilla</c:v>
                </c:pt>
              </c:strCache>
            </c:strRef>
          </c:tx>
          <c:dPt>
            <c:idx val="0"/>
            <c:bubble3D val="0"/>
            <c:spPr>
              <a:solidFill>
                <a:srgbClr val="FF0000"/>
              </a:solidFill>
            </c:spPr>
          </c:dPt>
          <c:dPt>
            <c:idx val="1"/>
            <c:bubble3D val="0"/>
            <c:spPr>
              <a:solidFill>
                <a:srgbClr val="00B050"/>
              </a:solidFill>
            </c:spPr>
          </c:dPt>
          <c:dPt>
            <c:idx val="2"/>
            <c:bubble3D val="0"/>
            <c:spPr>
              <a:solidFill>
                <a:srgbClr val="0070C0"/>
              </a:solidFill>
            </c:spPr>
          </c:dPt>
          <c:dPt>
            <c:idx val="3"/>
            <c:bubble3D val="0"/>
            <c:spPr>
              <a:solidFill>
                <a:srgbClr val="FFC000"/>
              </a:solidFill>
            </c:spPr>
          </c:dPt>
          <c:dLbls>
            <c:numFmt formatCode="0.0%" sourceLinked="0"/>
            <c:txPr>
              <a:bodyPr/>
              <a:lstStyle/>
              <a:p>
                <a:pPr>
                  <a:defRPr sz="900"/>
                </a:pPr>
                <a:endParaRPr lang="es-CL"/>
              </a:p>
            </c:txPr>
            <c:dLblPos val="inEnd"/>
            <c:showLegendKey val="0"/>
            <c:showVal val="0"/>
            <c:showCatName val="0"/>
            <c:showSerName val="0"/>
            <c:showPercent val="1"/>
            <c:showBubbleSize val="0"/>
            <c:showLeaderLines val="1"/>
          </c:dLbls>
          <c:cat>
            <c:strRef>
              <c:f>Hoja3!$G$1:$J$1</c:f>
              <c:strCache>
                <c:ptCount val="4"/>
                <c:pt idx="0">
                  <c:v>Categoria A</c:v>
                </c:pt>
                <c:pt idx="1">
                  <c:v>Categoria B</c:v>
                </c:pt>
                <c:pt idx="2">
                  <c:v>Categoria C</c:v>
                </c:pt>
                <c:pt idx="3">
                  <c:v>Categoria D</c:v>
                </c:pt>
              </c:strCache>
            </c:strRef>
          </c:cat>
          <c:val>
            <c:numRef>
              <c:f>Hoja3!$G$6:$J$6</c:f>
              <c:numCache>
                <c:formatCode>General</c:formatCode>
                <c:ptCount val="4"/>
                <c:pt idx="0">
                  <c:v>68</c:v>
                </c:pt>
                <c:pt idx="1">
                  <c:v>18</c:v>
                </c:pt>
                <c:pt idx="2">
                  <c:v>44</c:v>
                </c:pt>
                <c:pt idx="3">
                  <c:v>128</c:v>
                </c:pt>
              </c:numCache>
            </c:numRef>
          </c:val>
        </c:ser>
        <c:dLbls>
          <c:showLegendKey val="0"/>
          <c:showVal val="0"/>
          <c:showCatName val="0"/>
          <c:showSerName val="0"/>
          <c:showPercent val="0"/>
          <c:showBubbleSize val="0"/>
          <c:showLeaderLines val="1"/>
        </c:dLbls>
        <c:firstSliceAng val="0"/>
      </c:pieChart>
    </c:plotArea>
    <c:legend>
      <c:legendPos val="b"/>
      <c:overlay val="0"/>
      <c:txPr>
        <a:bodyPr/>
        <a:lstStyle/>
        <a:p>
          <a:pPr rtl="0">
            <a:defRPr sz="900"/>
          </a:pPr>
          <a:endParaRPr lang="es-CL"/>
        </a:p>
      </c:txPr>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s-C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050"/>
            </a:pPr>
            <a:r>
              <a:rPr lang="en-US" sz="1050"/>
              <a:t>Participación de principales cultivos silvoagrícolas de la comuna Tierra Amarilla.</a:t>
            </a:r>
            <a:r>
              <a:rPr lang="en-US" sz="1050" baseline="0"/>
              <a:t> Año 2002.</a:t>
            </a:r>
            <a:endParaRPr lang="en-US" sz="1050"/>
          </a:p>
        </c:rich>
      </c:tx>
      <c:overlay val="0"/>
    </c:title>
    <c:autoTitleDeleted val="0"/>
    <c:plotArea>
      <c:layout>
        <c:manualLayout>
          <c:layoutTarget val="inner"/>
          <c:xMode val="edge"/>
          <c:yMode val="edge"/>
          <c:x val="0.36203949676613084"/>
          <c:y val="0.22984666390385414"/>
          <c:w val="0.27378239479468985"/>
          <c:h val="0.59951139660174058"/>
        </c:manualLayout>
      </c:layout>
      <c:pieChart>
        <c:varyColors val="1"/>
        <c:ser>
          <c:idx val="0"/>
          <c:order val="0"/>
          <c:tx>
            <c:strRef>
              <c:f>TA!$F$12</c:f>
              <c:strCache>
                <c:ptCount val="1"/>
                <c:pt idx="0">
                  <c:v>Tierra Amarilla</c:v>
                </c:pt>
              </c:strCache>
            </c:strRef>
          </c:tx>
          <c:spPr>
            <a:solidFill>
              <a:srgbClr val="92D050"/>
            </a:solidFill>
          </c:spPr>
          <c:explosion val="3"/>
          <c:dPt>
            <c:idx val="0"/>
            <c:bubble3D val="0"/>
            <c:explosion val="23"/>
            <c:spPr>
              <a:solidFill>
                <a:srgbClr val="FF0000"/>
              </a:solidFill>
            </c:spPr>
          </c:dPt>
          <c:dPt>
            <c:idx val="1"/>
            <c:bubble3D val="0"/>
            <c:explosion val="23"/>
          </c:dPt>
          <c:dPt>
            <c:idx val="2"/>
            <c:bubble3D val="0"/>
            <c:explosion val="22"/>
            <c:spPr>
              <a:solidFill>
                <a:srgbClr val="00B0F0"/>
              </a:solidFill>
            </c:spPr>
          </c:dPt>
          <c:dPt>
            <c:idx val="3"/>
            <c:bubble3D val="0"/>
            <c:explosion val="23"/>
            <c:spPr>
              <a:solidFill>
                <a:srgbClr val="7030A0"/>
              </a:solidFill>
            </c:spPr>
          </c:dPt>
          <c:dPt>
            <c:idx val="4"/>
            <c:bubble3D val="0"/>
            <c:explosion val="23"/>
            <c:spPr>
              <a:solidFill>
                <a:srgbClr val="FFFF00"/>
              </a:solidFill>
            </c:spPr>
          </c:dPt>
          <c:dLbls>
            <c:dLbl>
              <c:idx val="0"/>
              <c:layout>
                <c:manualLayout>
                  <c:x val="2.5081942724836187E-2"/>
                  <c:y val="3.3500828683884334E-2"/>
                </c:manualLayout>
              </c:layout>
              <c:dLblPos val="bestFit"/>
              <c:showLegendKey val="0"/>
              <c:showVal val="0"/>
              <c:showCatName val="0"/>
              <c:showSerName val="0"/>
              <c:showPercent val="1"/>
              <c:showBubbleSize val="0"/>
            </c:dLbl>
            <c:dLbl>
              <c:idx val="1"/>
              <c:layout>
                <c:manualLayout>
                  <c:x val="1.8241412890789954E-2"/>
                  <c:y val="4.6901160157438067E-2"/>
                </c:manualLayout>
              </c:layout>
              <c:dLblPos val="bestFit"/>
              <c:showLegendKey val="0"/>
              <c:showVal val="0"/>
              <c:showCatName val="0"/>
              <c:showSerName val="0"/>
              <c:showPercent val="1"/>
              <c:showBubbleSize val="0"/>
            </c:dLbl>
            <c:dLbl>
              <c:idx val="3"/>
              <c:layout>
                <c:manualLayout>
                  <c:x val="9.1207064453949771E-3"/>
                  <c:y val="-7.3701823104545469E-2"/>
                </c:manualLayout>
              </c:layout>
              <c:dLblPos val="bestFit"/>
              <c:showLegendKey val="0"/>
              <c:showVal val="0"/>
              <c:showCatName val="0"/>
              <c:showSerName val="0"/>
              <c:showPercent val="1"/>
              <c:showBubbleSize val="0"/>
            </c:dLbl>
            <c:dLbl>
              <c:idx val="4"/>
              <c:layout>
                <c:manualLayout>
                  <c:x val="3.4202649170231164E-2"/>
                  <c:y val="-2.3450580078719033E-2"/>
                </c:manualLayout>
              </c:layout>
              <c:dLblPos val="bestFit"/>
              <c:showLegendKey val="0"/>
              <c:showVal val="0"/>
              <c:showCatName val="0"/>
              <c:showSerName val="0"/>
              <c:showPercent val="1"/>
              <c:showBubbleSize val="0"/>
            </c:dLbl>
            <c:numFmt formatCode="0.00%" sourceLinked="0"/>
            <c:dLblPos val="outEnd"/>
            <c:showLegendKey val="0"/>
            <c:showVal val="0"/>
            <c:showCatName val="0"/>
            <c:showSerName val="0"/>
            <c:showPercent val="1"/>
            <c:showBubbleSize val="0"/>
            <c:showLeaderLines val="1"/>
          </c:dLbls>
          <c:cat>
            <c:strRef>
              <c:f>(TA!$J$11;TA!$L$11:$N$11;TA!$Q$11)</c:f>
              <c:strCache>
                <c:ptCount val="5"/>
                <c:pt idx="0">
                  <c:v>Hortalizas</c:v>
                </c:pt>
                <c:pt idx="1">
                  <c:v>Plantas forrajeras</c:v>
                </c:pt>
                <c:pt idx="2">
                  <c:v>Frutales</c:v>
                </c:pt>
                <c:pt idx="3">
                  <c:v>Viñas y parronales viníferos</c:v>
                </c:pt>
                <c:pt idx="4">
                  <c:v>Plantaciones forestales</c:v>
                </c:pt>
              </c:strCache>
            </c:strRef>
          </c:cat>
          <c:val>
            <c:numRef>
              <c:f>(TA!$J$12;TA!$L$12:$N$12;TA!$Q$12)</c:f>
              <c:numCache>
                <c:formatCode>General</c:formatCode>
                <c:ptCount val="5"/>
                <c:pt idx="0">
                  <c:v>72.239999999999995</c:v>
                </c:pt>
                <c:pt idx="1">
                  <c:v>206.7</c:v>
                </c:pt>
                <c:pt idx="2">
                  <c:v>6645.8</c:v>
                </c:pt>
                <c:pt idx="3">
                  <c:v>29.8</c:v>
                </c:pt>
                <c:pt idx="4">
                  <c:v>34.5</c:v>
                </c:pt>
              </c:numCache>
            </c:numRef>
          </c:val>
        </c:ser>
        <c:dLbls>
          <c:showLegendKey val="0"/>
          <c:showVal val="0"/>
          <c:showCatName val="0"/>
          <c:showSerName val="0"/>
          <c:showPercent val="0"/>
          <c:showBubbleSize val="0"/>
          <c:showLeaderLines val="1"/>
        </c:dLbls>
        <c:firstSliceAng val="93"/>
      </c:pieChart>
    </c:plotArea>
    <c:legend>
      <c:legendPos val="b"/>
      <c:layout>
        <c:manualLayout>
          <c:xMode val="edge"/>
          <c:yMode val="edge"/>
          <c:x val="1.9984739937423147E-2"/>
          <c:y val="0.8118159966846249"/>
          <c:w val="0.95012248468941385"/>
          <c:h val="0.12095071449402157"/>
        </c:manualLayout>
      </c:layout>
      <c:overlay val="0"/>
      <c:txPr>
        <a:bodyPr/>
        <a:lstStyle/>
        <a:p>
          <a:pPr>
            <a:defRPr sz="900"/>
          </a:pPr>
          <a:endParaRPr lang="es-CL"/>
        </a:p>
      </c:txPr>
    </c:legend>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s-C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000" b="0"/>
            </a:pPr>
            <a:r>
              <a:rPr lang="es-CL" sz="1000" b="0"/>
              <a:t>Participacion de las principales empresas y numero de trabajadores de la comuna de Alto del Carmen (Año 2013)</a:t>
            </a:r>
          </a:p>
        </c:rich>
      </c:tx>
      <c:layout>
        <c:manualLayout>
          <c:xMode val="edge"/>
          <c:yMode val="edge"/>
          <c:x val="0.11608115942028986"/>
          <c:y val="0"/>
        </c:manualLayout>
      </c:layout>
      <c:overlay val="1"/>
    </c:title>
    <c:autoTitleDeleted val="0"/>
    <c:plotArea>
      <c:layout>
        <c:manualLayout>
          <c:layoutTarget val="inner"/>
          <c:xMode val="edge"/>
          <c:yMode val="edge"/>
          <c:x val="0.1411329412613587"/>
          <c:y val="0.18041447990328399"/>
          <c:w val="0.82761246148579248"/>
          <c:h val="0.40860803416522085"/>
        </c:manualLayout>
      </c:layout>
      <c:barChart>
        <c:barDir val="bar"/>
        <c:grouping val="percentStacked"/>
        <c:varyColors val="0"/>
        <c:ser>
          <c:idx val="0"/>
          <c:order val="0"/>
          <c:tx>
            <c:strRef>
              <c:f>Hoja3!$A$53</c:f>
              <c:strCache>
                <c:ptCount val="1"/>
                <c:pt idx="0">
                  <c:v>Agricultura, ganaderia, caza y silvicultura</c:v>
                </c:pt>
              </c:strCache>
            </c:strRef>
          </c:tx>
          <c:invertIfNegative val="0"/>
          <c:cat>
            <c:strRef>
              <c:f>Hoja3!$B$52:$C$52</c:f>
              <c:strCache>
                <c:ptCount val="2"/>
                <c:pt idx="0">
                  <c:v>Empresas</c:v>
                </c:pt>
                <c:pt idx="1">
                  <c:v>Trabajadores</c:v>
                </c:pt>
              </c:strCache>
            </c:strRef>
          </c:cat>
          <c:val>
            <c:numRef>
              <c:f>Hoja3!$B$53:$C$53</c:f>
              <c:numCache>
                <c:formatCode>General</c:formatCode>
                <c:ptCount val="2"/>
                <c:pt idx="0">
                  <c:v>153</c:v>
                </c:pt>
                <c:pt idx="1">
                  <c:v>564</c:v>
                </c:pt>
              </c:numCache>
            </c:numRef>
          </c:val>
        </c:ser>
        <c:ser>
          <c:idx val="2"/>
          <c:order val="1"/>
          <c:tx>
            <c:strRef>
              <c:f>Hoja3!$A$55</c:f>
              <c:strCache>
                <c:ptCount val="1"/>
                <c:pt idx="0">
                  <c:v>Explotación de minas y canteras</c:v>
                </c:pt>
              </c:strCache>
            </c:strRef>
          </c:tx>
          <c:invertIfNegative val="0"/>
          <c:dLbls>
            <c:dLbl>
              <c:idx val="0"/>
              <c:layout>
                <c:manualLayout>
                  <c:x val="1.19420366571826E-3"/>
                  <c:y val="-3.5320093211672799E-3"/>
                </c:manualLayout>
              </c:layout>
              <c:dLblPos val="ctr"/>
              <c:showLegendKey val="0"/>
              <c:showVal val="1"/>
              <c:showCatName val="0"/>
              <c:showSerName val="0"/>
              <c:showPercent val="0"/>
              <c:showBubbleSize val="0"/>
            </c:dLbl>
            <c:dLbl>
              <c:idx val="1"/>
              <c:layout>
                <c:manualLayout>
                  <c:x val="1.4433489931405601E-4"/>
                  <c:y val="4.9448130496341898E-2"/>
                </c:manualLayout>
              </c:layout>
              <c:dLblPos val="ctr"/>
              <c:showLegendKey val="0"/>
              <c:showVal val="1"/>
              <c:showCatName val="0"/>
              <c:showSerName val="0"/>
              <c:showPercent val="0"/>
              <c:showBubbleSize val="0"/>
            </c:dLbl>
            <c:dLblPos val="inBase"/>
            <c:showLegendKey val="0"/>
            <c:showVal val="1"/>
            <c:showCatName val="0"/>
            <c:showSerName val="0"/>
            <c:showPercent val="0"/>
            <c:showBubbleSize val="0"/>
            <c:showLeaderLines val="0"/>
          </c:dLbls>
          <c:cat>
            <c:strRef>
              <c:f>Hoja3!$B$52:$C$52</c:f>
              <c:strCache>
                <c:ptCount val="2"/>
                <c:pt idx="0">
                  <c:v>Empresas</c:v>
                </c:pt>
                <c:pt idx="1">
                  <c:v>Trabajadores</c:v>
                </c:pt>
              </c:strCache>
            </c:strRef>
          </c:cat>
          <c:val>
            <c:numRef>
              <c:f>Hoja3!$B$55:$C$55</c:f>
              <c:numCache>
                <c:formatCode>General</c:formatCode>
                <c:ptCount val="2"/>
                <c:pt idx="0">
                  <c:v>10</c:v>
                </c:pt>
                <c:pt idx="1">
                  <c:v>7</c:v>
                </c:pt>
              </c:numCache>
            </c:numRef>
          </c:val>
        </c:ser>
        <c:ser>
          <c:idx val="3"/>
          <c:order val="2"/>
          <c:tx>
            <c:strRef>
              <c:f>Hoja3!$A$56</c:f>
              <c:strCache>
                <c:ptCount val="1"/>
                <c:pt idx="0">
                  <c:v>Industrias manufactureras no metálicas</c:v>
                </c:pt>
              </c:strCache>
            </c:strRef>
          </c:tx>
          <c:invertIfNegative val="0"/>
          <c:dLbls>
            <c:dLbl>
              <c:idx val="1"/>
              <c:layout>
                <c:manualLayout>
                  <c:x val="2.0778579148195502E-3"/>
                  <c:y val="0"/>
                </c:manualLayout>
              </c:layout>
              <c:dLblPos val="ctr"/>
              <c:showLegendKey val="0"/>
              <c:showVal val="1"/>
              <c:showCatName val="0"/>
              <c:showSerName val="0"/>
              <c:showPercent val="0"/>
              <c:showBubbleSize val="0"/>
            </c:dLbl>
            <c:dLblPos val="inBase"/>
            <c:showLegendKey val="0"/>
            <c:showVal val="1"/>
            <c:showCatName val="0"/>
            <c:showSerName val="0"/>
            <c:showPercent val="0"/>
            <c:showBubbleSize val="0"/>
            <c:showLeaderLines val="0"/>
          </c:dLbls>
          <c:cat>
            <c:strRef>
              <c:f>Hoja3!$B$52:$C$52</c:f>
              <c:strCache>
                <c:ptCount val="2"/>
                <c:pt idx="0">
                  <c:v>Empresas</c:v>
                </c:pt>
                <c:pt idx="1">
                  <c:v>Trabajadores</c:v>
                </c:pt>
              </c:strCache>
            </c:strRef>
          </c:cat>
          <c:val>
            <c:numRef>
              <c:f>Hoja3!$B$56:$C$56</c:f>
              <c:numCache>
                <c:formatCode>General</c:formatCode>
                <c:ptCount val="2"/>
                <c:pt idx="0">
                  <c:v>18</c:v>
                </c:pt>
                <c:pt idx="1">
                  <c:v>34</c:v>
                </c:pt>
              </c:numCache>
            </c:numRef>
          </c:val>
        </c:ser>
        <c:ser>
          <c:idx val="5"/>
          <c:order val="3"/>
          <c:tx>
            <c:strRef>
              <c:f>Hoja3!$A$58</c:f>
              <c:strCache>
                <c:ptCount val="1"/>
                <c:pt idx="0">
                  <c:v>Suministro de electricidad, gas y agua</c:v>
                </c:pt>
              </c:strCache>
            </c:strRef>
          </c:tx>
          <c:invertIfNegative val="0"/>
          <c:dLbls>
            <c:dLbl>
              <c:idx val="1"/>
              <c:layout>
                <c:manualLayout>
                  <c:x val="5.37321070160348E-3"/>
                  <c:y val="0"/>
                </c:manualLayout>
              </c:layout>
              <c:dLblPos val="ctr"/>
              <c:showLegendKey val="0"/>
              <c:showVal val="1"/>
              <c:showCatName val="0"/>
              <c:showSerName val="0"/>
              <c:showPercent val="0"/>
              <c:showBubbleSize val="0"/>
            </c:dLbl>
            <c:dLblPos val="inBase"/>
            <c:showLegendKey val="0"/>
            <c:showVal val="1"/>
            <c:showCatName val="0"/>
            <c:showSerName val="0"/>
            <c:showPercent val="0"/>
            <c:showBubbleSize val="0"/>
            <c:showLeaderLines val="0"/>
          </c:dLbls>
          <c:cat>
            <c:strRef>
              <c:f>Hoja3!$B$52:$C$52</c:f>
              <c:strCache>
                <c:ptCount val="2"/>
                <c:pt idx="0">
                  <c:v>Empresas</c:v>
                </c:pt>
                <c:pt idx="1">
                  <c:v>Trabajadores</c:v>
                </c:pt>
              </c:strCache>
            </c:strRef>
          </c:cat>
          <c:val>
            <c:numRef>
              <c:f>Hoja3!$B$58:$C$58</c:f>
              <c:numCache>
                <c:formatCode>General</c:formatCode>
                <c:ptCount val="2"/>
                <c:pt idx="0">
                  <c:v>16</c:v>
                </c:pt>
                <c:pt idx="1">
                  <c:v>27</c:v>
                </c:pt>
              </c:numCache>
            </c:numRef>
          </c:val>
        </c:ser>
        <c:ser>
          <c:idx val="6"/>
          <c:order val="4"/>
          <c:tx>
            <c:strRef>
              <c:f>Hoja3!$A$59</c:f>
              <c:strCache>
                <c:ptCount val="1"/>
                <c:pt idx="0">
                  <c:v>Construcción</c:v>
                </c:pt>
              </c:strCache>
            </c:strRef>
          </c:tx>
          <c:invertIfNegative val="0"/>
          <c:cat>
            <c:strRef>
              <c:f>Hoja3!$B$52:$C$52</c:f>
              <c:strCache>
                <c:ptCount val="2"/>
                <c:pt idx="0">
                  <c:v>Empresas</c:v>
                </c:pt>
                <c:pt idx="1">
                  <c:v>Trabajadores</c:v>
                </c:pt>
              </c:strCache>
            </c:strRef>
          </c:cat>
          <c:val>
            <c:numRef>
              <c:f>Hoja3!$B$59:$C$59</c:f>
              <c:numCache>
                <c:formatCode>General</c:formatCode>
                <c:ptCount val="2"/>
                <c:pt idx="0">
                  <c:v>20</c:v>
                </c:pt>
                <c:pt idx="1">
                  <c:v>128</c:v>
                </c:pt>
              </c:numCache>
            </c:numRef>
          </c:val>
        </c:ser>
        <c:ser>
          <c:idx val="7"/>
          <c:order val="5"/>
          <c:tx>
            <c:strRef>
              <c:f>Hoja3!$A$60</c:f>
              <c:strCache>
                <c:ptCount val="1"/>
                <c:pt idx="0">
                  <c:v>Comercio al por mayor y menor, repuestos, vehículos, automotores/enseres domésticos</c:v>
                </c:pt>
              </c:strCache>
            </c:strRef>
          </c:tx>
          <c:invertIfNegative val="0"/>
          <c:dLbls>
            <c:dLbl>
              <c:idx val="1"/>
              <c:layout>
                <c:manualLayout>
                  <c:x val="-2.8619951917775E-4"/>
                  <c:y val="5.2980139817509098E-2"/>
                </c:manualLayout>
              </c:layout>
              <c:dLblPos val="ctr"/>
              <c:showLegendKey val="0"/>
              <c:showVal val="1"/>
              <c:showCatName val="0"/>
              <c:showSerName val="0"/>
              <c:showPercent val="0"/>
              <c:showBubbleSize val="0"/>
            </c:dLbl>
            <c:dLblPos val="inBase"/>
            <c:showLegendKey val="0"/>
            <c:showVal val="1"/>
            <c:showCatName val="0"/>
            <c:showSerName val="0"/>
            <c:showPercent val="0"/>
            <c:showBubbleSize val="0"/>
            <c:showLeaderLines val="0"/>
          </c:dLbls>
          <c:cat>
            <c:strRef>
              <c:f>Hoja3!$B$52:$C$52</c:f>
              <c:strCache>
                <c:ptCount val="2"/>
                <c:pt idx="0">
                  <c:v>Empresas</c:v>
                </c:pt>
                <c:pt idx="1">
                  <c:v>Trabajadores</c:v>
                </c:pt>
              </c:strCache>
            </c:strRef>
          </c:cat>
          <c:val>
            <c:numRef>
              <c:f>Hoja3!$B$60:$C$60</c:f>
              <c:numCache>
                <c:formatCode>General</c:formatCode>
                <c:ptCount val="2"/>
                <c:pt idx="0">
                  <c:v>113</c:v>
                </c:pt>
                <c:pt idx="1">
                  <c:v>3</c:v>
                </c:pt>
              </c:numCache>
            </c:numRef>
          </c:val>
        </c:ser>
        <c:ser>
          <c:idx val="8"/>
          <c:order val="6"/>
          <c:tx>
            <c:strRef>
              <c:f>Hoja3!$A$61</c:f>
              <c:strCache>
                <c:ptCount val="1"/>
                <c:pt idx="0">
                  <c:v>Hoteles y restaurantes</c:v>
                </c:pt>
              </c:strCache>
            </c:strRef>
          </c:tx>
          <c:invertIfNegative val="0"/>
          <c:dLbls>
            <c:dLbl>
              <c:idx val="1"/>
              <c:layout>
                <c:manualLayout>
                  <c:x val="-6.1838152583868202E-3"/>
                  <c:y val="0"/>
                </c:manualLayout>
              </c:layout>
              <c:dLblPos val="ctr"/>
              <c:showLegendKey val="0"/>
              <c:showVal val="1"/>
              <c:showCatName val="0"/>
              <c:showSerName val="0"/>
              <c:showPercent val="0"/>
              <c:showBubbleSize val="0"/>
            </c:dLbl>
            <c:dLblPos val="inBase"/>
            <c:showLegendKey val="0"/>
            <c:showVal val="1"/>
            <c:showCatName val="0"/>
            <c:showSerName val="0"/>
            <c:showPercent val="0"/>
            <c:showBubbleSize val="0"/>
            <c:showLeaderLines val="0"/>
          </c:dLbls>
          <c:cat>
            <c:strRef>
              <c:f>Hoja3!$B$52:$C$52</c:f>
              <c:strCache>
                <c:ptCount val="2"/>
                <c:pt idx="0">
                  <c:v>Empresas</c:v>
                </c:pt>
                <c:pt idx="1">
                  <c:v>Trabajadores</c:v>
                </c:pt>
              </c:strCache>
            </c:strRef>
          </c:cat>
          <c:val>
            <c:numRef>
              <c:f>Hoja3!$B$61:$C$61</c:f>
              <c:numCache>
                <c:formatCode>General</c:formatCode>
                <c:ptCount val="2"/>
                <c:pt idx="0">
                  <c:v>23</c:v>
                </c:pt>
                <c:pt idx="1">
                  <c:v>56</c:v>
                </c:pt>
              </c:numCache>
            </c:numRef>
          </c:val>
        </c:ser>
        <c:ser>
          <c:idx val="15"/>
          <c:order val="7"/>
          <c:tx>
            <c:strRef>
              <c:f>Hoja3!$A$68</c:f>
              <c:strCache>
                <c:ptCount val="1"/>
                <c:pt idx="0">
                  <c:v>Otras actividades de servicios comunitarios, sociales y personales</c:v>
                </c:pt>
              </c:strCache>
            </c:strRef>
          </c:tx>
          <c:invertIfNegative val="0"/>
          <c:dLbls>
            <c:dLbl>
              <c:idx val="1"/>
              <c:layout>
                <c:manualLayout>
                  <c:x val="1.41007079997353E-2"/>
                  <c:y val="4.9448130496341898E-2"/>
                </c:manualLayout>
              </c:layout>
              <c:dLblPos val="ctr"/>
              <c:showLegendKey val="0"/>
              <c:showVal val="1"/>
              <c:showCatName val="0"/>
              <c:showSerName val="0"/>
              <c:showPercent val="0"/>
              <c:showBubbleSize val="0"/>
            </c:dLbl>
            <c:dLblPos val="inBase"/>
            <c:showLegendKey val="0"/>
            <c:showVal val="1"/>
            <c:showCatName val="0"/>
            <c:showSerName val="0"/>
            <c:showPercent val="0"/>
            <c:showBubbleSize val="0"/>
            <c:showLeaderLines val="0"/>
          </c:dLbls>
          <c:cat>
            <c:strRef>
              <c:f>Hoja3!$B$52:$C$52</c:f>
              <c:strCache>
                <c:ptCount val="2"/>
                <c:pt idx="0">
                  <c:v>Empresas</c:v>
                </c:pt>
                <c:pt idx="1">
                  <c:v>Trabajadores</c:v>
                </c:pt>
              </c:strCache>
            </c:strRef>
          </c:cat>
          <c:val>
            <c:numRef>
              <c:f>Hoja3!$B$68:$C$68</c:f>
              <c:numCache>
                <c:formatCode>General</c:formatCode>
                <c:ptCount val="2"/>
                <c:pt idx="0">
                  <c:v>13</c:v>
                </c:pt>
                <c:pt idx="1">
                  <c:v>1</c:v>
                </c:pt>
              </c:numCache>
            </c:numRef>
          </c:val>
        </c:ser>
        <c:dLbls>
          <c:dLblPos val="inBase"/>
          <c:showLegendKey val="0"/>
          <c:showVal val="1"/>
          <c:showCatName val="0"/>
          <c:showSerName val="0"/>
          <c:showPercent val="0"/>
          <c:showBubbleSize val="0"/>
        </c:dLbls>
        <c:gapWidth val="150"/>
        <c:overlap val="100"/>
        <c:axId val="209806464"/>
        <c:axId val="209808000"/>
      </c:barChart>
      <c:catAx>
        <c:axId val="209806464"/>
        <c:scaling>
          <c:orientation val="minMax"/>
        </c:scaling>
        <c:delete val="0"/>
        <c:axPos val="l"/>
        <c:majorTickMark val="out"/>
        <c:minorTickMark val="none"/>
        <c:tickLblPos val="nextTo"/>
        <c:txPr>
          <a:bodyPr/>
          <a:lstStyle/>
          <a:p>
            <a:pPr>
              <a:defRPr sz="800"/>
            </a:pPr>
            <a:endParaRPr lang="es-CL"/>
          </a:p>
        </c:txPr>
        <c:crossAx val="209808000"/>
        <c:crosses val="autoZero"/>
        <c:auto val="1"/>
        <c:lblAlgn val="ctr"/>
        <c:lblOffset val="100"/>
        <c:noMultiLvlLbl val="0"/>
      </c:catAx>
      <c:valAx>
        <c:axId val="209808000"/>
        <c:scaling>
          <c:orientation val="minMax"/>
        </c:scaling>
        <c:delete val="1"/>
        <c:axPos val="b"/>
        <c:majorGridlines/>
        <c:numFmt formatCode="0%" sourceLinked="1"/>
        <c:majorTickMark val="out"/>
        <c:minorTickMark val="none"/>
        <c:tickLblPos val="nextTo"/>
        <c:crossAx val="209806464"/>
        <c:crosses val="autoZero"/>
        <c:crossBetween val="between"/>
      </c:valAx>
    </c:plotArea>
    <c:legend>
      <c:legendPos val="b"/>
      <c:layout>
        <c:manualLayout>
          <c:xMode val="edge"/>
          <c:yMode val="edge"/>
          <c:x val="0.14738861120620791"/>
          <c:y val="0.58106086739157603"/>
          <c:w val="0.82116491688538895"/>
          <c:h val="0.4155005624296963"/>
        </c:manualLayout>
      </c:layout>
      <c:overlay val="0"/>
      <c:txPr>
        <a:bodyPr/>
        <a:lstStyle/>
        <a:p>
          <a:pPr>
            <a:defRPr sz="800"/>
          </a:pPr>
          <a:endParaRPr lang="es-CL"/>
        </a:p>
      </c:txPr>
    </c:legend>
    <c:plotVisOnly val="1"/>
    <c:dispBlanksAs val="gap"/>
    <c:showDLblsOverMax val="0"/>
  </c:chart>
  <c:txPr>
    <a:bodyPr/>
    <a:lstStyle/>
    <a:p>
      <a:pPr>
        <a:defRPr sz="900">
          <a:latin typeface="Arial" panose="020B0604020202020204" pitchFamily="34" charset="0"/>
          <a:cs typeface="Arial" panose="020B0604020202020204" pitchFamily="34" charset="0"/>
        </a:defRPr>
      </a:pPr>
      <a:endParaRPr lang="es-CL"/>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s-C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100"/>
            </a:pPr>
            <a:r>
              <a:rPr lang="en-US" sz="1100"/>
              <a:t>Faenas</a:t>
            </a:r>
            <a:r>
              <a:rPr lang="en-US" sz="1100" baseline="0"/>
              <a:t> Mineras de expltación  de Alto del Carmen</a:t>
            </a:r>
            <a:r>
              <a:rPr lang="en-US" sz="1100"/>
              <a:t>, según Categorización SERNAGEOMIN, 2013</a:t>
            </a:r>
          </a:p>
        </c:rich>
      </c:tx>
      <c:overlay val="0"/>
    </c:title>
    <c:autoTitleDeleted val="0"/>
    <c:plotArea>
      <c:layout/>
      <c:pieChart>
        <c:varyColors val="1"/>
        <c:ser>
          <c:idx val="0"/>
          <c:order val="0"/>
          <c:tx>
            <c:strRef>
              <c:f>Hoja3!$C$10</c:f>
              <c:strCache>
                <c:ptCount val="1"/>
                <c:pt idx="0">
                  <c:v>Alto del Carmen</c:v>
                </c:pt>
              </c:strCache>
            </c:strRef>
          </c:tx>
          <c:dPt>
            <c:idx val="0"/>
            <c:bubble3D val="0"/>
            <c:spPr>
              <a:solidFill>
                <a:srgbClr val="FF0000"/>
              </a:solidFill>
            </c:spPr>
          </c:dPt>
          <c:dPt>
            <c:idx val="1"/>
            <c:bubble3D val="0"/>
            <c:spPr>
              <a:solidFill>
                <a:srgbClr val="00B050"/>
              </a:solidFill>
            </c:spPr>
          </c:dPt>
          <c:dPt>
            <c:idx val="3"/>
            <c:bubble3D val="0"/>
            <c:spPr>
              <a:solidFill>
                <a:srgbClr val="FFC000"/>
              </a:solidFill>
            </c:spPr>
          </c:dPt>
          <c:dLbls>
            <c:dLbl>
              <c:idx val="0"/>
              <c:layout>
                <c:manualLayout>
                  <c:x val="1.0171225043466662E-2"/>
                  <c:y val="1.9169560448770037E-2"/>
                </c:manualLayout>
              </c:layout>
              <c:dLblPos val="bestFit"/>
              <c:showLegendKey val="0"/>
              <c:showVal val="0"/>
              <c:showCatName val="0"/>
              <c:showSerName val="0"/>
              <c:showPercent val="1"/>
              <c:showBubbleSize val="0"/>
            </c:dLbl>
            <c:dLbl>
              <c:idx val="1"/>
              <c:layout>
                <c:manualLayout>
                  <c:x val="3.5959707954047522E-2"/>
                  <c:y val="9.8254985625220899E-3"/>
                </c:manualLayout>
              </c:layout>
              <c:dLblPos val="bestFit"/>
              <c:showLegendKey val="0"/>
              <c:showVal val="0"/>
              <c:showCatName val="0"/>
              <c:showSerName val="0"/>
              <c:showPercent val="1"/>
              <c:showBubbleSize val="0"/>
            </c:dLbl>
            <c:dLbl>
              <c:idx val="3"/>
              <c:dLblPos val="bestFit"/>
              <c:showLegendKey val="0"/>
              <c:showVal val="0"/>
              <c:showCatName val="0"/>
              <c:showSerName val="0"/>
              <c:showPercent val="1"/>
              <c:showBubbleSize val="0"/>
            </c:dLbl>
            <c:numFmt formatCode="0.00%" sourceLinked="0"/>
            <c:txPr>
              <a:bodyPr/>
              <a:lstStyle/>
              <a:p>
                <a:pPr>
                  <a:defRPr sz="900"/>
                </a:pPr>
                <a:endParaRPr lang="es-CL"/>
              </a:p>
            </c:txPr>
            <c:dLblPos val="inEnd"/>
            <c:showLegendKey val="0"/>
            <c:showVal val="0"/>
            <c:showCatName val="0"/>
            <c:showSerName val="0"/>
            <c:showPercent val="1"/>
            <c:showBubbleSize val="0"/>
            <c:showLeaderLines val="1"/>
          </c:dLbls>
          <c:cat>
            <c:strRef>
              <c:f>Hoja3!$G$1:$J$1</c:f>
              <c:strCache>
                <c:ptCount val="4"/>
                <c:pt idx="0">
                  <c:v>Categoria A</c:v>
                </c:pt>
                <c:pt idx="1">
                  <c:v>Categoria B</c:v>
                </c:pt>
                <c:pt idx="2">
                  <c:v>Categoria C</c:v>
                </c:pt>
                <c:pt idx="3">
                  <c:v>Categoria D</c:v>
                </c:pt>
              </c:strCache>
            </c:strRef>
          </c:cat>
          <c:val>
            <c:numRef>
              <c:f>Hoja3!$G$10:$J$10</c:f>
              <c:numCache>
                <c:formatCode>General</c:formatCode>
                <c:ptCount val="4"/>
                <c:pt idx="0">
                  <c:v>2</c:v>
                </c:pt>
                <c:pt idx="1">
                  <c:v>2</c:v>
                </c:pt>
                <c:pt idx="3">
                  <c:v>25</c:v>
                </c:pt>
              </c:numCache>
            </c:numRef>
          </c:val>
        </c:ser>
        <c:dLbls>
          <c:showLegendKey val="0"/>
          <c:showVal val="0"/>
          <c:showCatName val="0"/>
          <c:showSerName val="0"/>
          <c:showPercent val="0"/>
          <c:showBubbleSize val="0"/>
          <c:showLeaderLines val="1"/>
        </c:dLbls>
        <c:firstSliceAng val="59"/>
      </c:pieChart>
    </c:plotArea>
    <c:legend>
      <c:legendPos val="b"/>
      <c:overlay val="0"/>
      <c:txPr>
        <a:bodyPr/>
        <a:lstStyle/>
        <a:p>
          <a:pPr rtl="0">
            <a:defRPr/>
          </a:pPr>
          <a:endParaRPr lang="es-CL"/>
        </a:p>
      </c:txPr>
    </c:legend>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s-C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000"/>
            </a:pPr>
            <a:r>
              <a:rPr lang="es-CL" sz="1000"/>
              <a:t>Participación</a:t>
            </a:r>
            <a:r>
              <a:rPr lang="es-CL" sz="1000" baseline="0"/>
              <a:t> de principales cultivos de la Comuna de Alto del Carmen</a:t>
            </a:r>
            <a:endParaRPr lang="es-CL" sz="1000"/>
          </a:p>
        </c:rich>
      </c:tx>
      <c:overlay val="1"/>
    </c:title>
    <c:autoTitleDeleted val="0"/>
    <c:plotArea>
      <c:layout>
        <c:manualLayout>
          <c:layoutTarget val="inner"/>
          <c:xMode val="edge"/>
          <c:yMode val="edge"/>
          <c:x val="0.29045188101487313"/>
          <c:y val="0.17129629629629631"/>
          <c:w val="0.38576290463692037"/>
          <c:h val="0.64293817439486733"/>
        </c:manualLayout>
      </c:layout>
      <c:pieChart>
        <c:varyColors val="1"/>
        <c:ser>
          <c:idx val="0"/>
          <c:order val="0"/>
          <c:explosion val="4"/>
          <c:dPt>
            <c:idx val="0"/>
            <c:bubble3D val="0"/>
            <c:spPr>
              <a:solidFill>
                <a:srgbClr val="0070C0"/>
              </a:solidFill>
            </c:spPr>
          </c:dPt>
          <c:dPt>
            <c:idx val="1"/>
            <c:bubble3D val="0"/>
            <c:spPr>
              <a:solidFill>
                <a:srgbClr val="FF0000"/>
              </a:solidFill>
            </c:spPr>
          </c:dPt>
          <c:dPt>
            <c:idx val="2"/>
            <c:bubble3D val="0"/>
            <c:spPr>
              <a:solidFill>
                <a:srgbClr val="92D050"/>
              </a:solidFill>
            </c:spPr>
          </c:dPt>
          <c:dPt>
            <c:idx val="3"/>
            <c:bubble3D val="0"/>
            <c:spPr>
              <a:solidFill>
                <a:srgbClr val="00B0F0"/>
              </a:solidFill>
            </c:spPr>
          </c:dPt>
          <c:dPt>
            <c:idx val="4"/>
            <c:bubble3D val="0"/>
            <c:spPr>
              <a:solidFill>
                <a:srgbClr val="FFFF00"/>
              </a:solidFill>
            </c:spPr>
          </c:dPt>
          <c:dPt>
            <c:idx val="5"/>
            <c:bubble3D val="0"/>
            <c:spPr>
              <a:solidFill>
                <a:srgbClr val="FFC000"/>
              </a:solidFill>
            </c:spPr>
          </c:dPt>
          <c:dLbls>
            <c:txPr>
              <a:bodyPr/>
              <a:lstStyle/>
              <a:p>
                <a:pPr>
                  <a:defRPr sz="800"/>
                </a:pPr>
                <a:endParaRPr lang="es-CL"/>
              </a:p>
            </c:txPr>
            <c:dLblPos val="outEnd"/>
            <c:showLegendKey val="0"/>
            <c:showVal val="0"/>
            <c:showCatName val="0"/>
            <c:showSerName val="0"/>
            <c:showPercent val="1"/>
            <c:showBubbleSize val="0"/>
            <c:showLeaderLines val="1"/>
          </c:dLbls>
          <c:cat>
            <c:strRef>
              <c:f>(AC!$C$11;AC!$C$14;AC!$C$16:$C$18;AC!$C$21)</c:f>
              <c:strCache>
                <c:ptCount val="6"/>
                <c:pt idx="0">
                  <c:v>Cereales</c:v>
                </c:pt>
                <c:pt idx="1">
                  <c:v>Hortalizas</c:v>
                </c:pt>
                <c:pt idx="2">
                  <c:v>Plantas forrajeras</c:v>
                </c:pt>
                <c:pt idx="3">
                  <c:v>Frutales</c:v>
                </c:pt>
                <c:pt idx="4">
                  <c:v>Viñas y parronales viníferos</c:v>
                </c:pt>
                <c:pt idx="5">
                  <c:v>Plantaciones forestales</c:v>
                </c:pt>
              </c:strCache>
            </c:strRef>
          </c:cat>
          <c:val>
            <c:numRef>
              <c:f>(AC!$D$11;AC!$D$14;AC!$D$16:$D$18;AC!$D$21)</c:f>
              <c:numCache>
                <c:formatCode>General</c:formatCode>
                <c:ptCount val="6"/>
                <c:pt idx="0">
                  <c:v>47.4</c:v>
                </c:pt>
                <c:pt idx="1">
                  <c:v>71.14</c:v>
                </c:pt>
                <c:pt idx="2">
                  <c:v>171.2</c:v>
                </c:pt>
                <c:pt idx="3">
                  <c:v>1461.5</c:v>
                </c:pt>
                <c:pt idx="4">
                  <c:v>305.8</c:v>
                </c:pt>
                <c:pt idx="5">
                  <c:v>49.6</c:v>
                </c:pt>
              </c:numCache>
            </c:numRef>
          </c:val>
        </c:ser>
        <c:ser>
          <c:idx val="3"/>
          <c:order val="1"/>
          <c:cat>
            <c:strRef>
              <c:f>(AC!$C$11;AC!$C$14;AC!$C$16:$C$18;AC!$C$21)</c:f>
              <c:strCache>
                <c:ptCount val="6"/>
                <c:pt idx="0">
                  <c:v>Cereales</c:v>
                </c:pt>
                <c:pt idx="1">
                  <c:v>Hortalizas</c:v>
                </c:pt>
                <c:pt idx="2">
                  <c:v>Plantas forrajeras</c:v>
                </c:pt>
                <c:pt idx="3">
                  <c:v>Frutales</c:v>
                </c:pt>
                <c:pt idx="4">
                  <c:v>Viñas y parronales viníferos</c:v>
                </c:pt>
                <c:pt idx="5">
                  <c:v>Plantaciones forestales</c:v>
                </c:pt>
              </c:strCache>
            </c:strRef>
          </c:cat>
          <c:val>
            <c:numRef>
              <c:f>(AC!$E$11;AC!$E$14;AC!$E$16:$E$18;AC!$E$21)</c:f>
              <c:numCache>
                <c:formatCode>0.00%</c:formatCode>
                <c:ptCount val="6"/>
                <c:pt idx="0">
                  <c:v>2.2370731154782809E-2</c:v>
                </c:pt>
                <c:pt idx="1">
                  <c:v>3.3574974986313268E-2</c:v>
                </c:pt>
                <c:pt idx="2">
                  <c:v>8.0798927715164906E-2</c:v>
                </c:pt>
                <c:pt idx="3">
                  <c:v>0.68976421060580329</c:v>
                </c:pt>
                <c:pt idx="4">
                  <c:v>0.14432425289309248</c:v>
                </c:pt>
                <c:pt idx="5">
                  <c:v>2.3409035132430957E-2</c:v>
                </c:pt>
              </c:numCache>
            </c:numRef>
          </c:val>
        </c:ser>
        <c:dLbls>
          <c:showLegendKey val="0"/>
          <c:showVal val="0"/>
          <c:showCatName val="0"/>
          <c:showSerName val="0"/>
          <c:showPercent val="0"/>
          <c:showBubbleSize val="0"/>
          <c:showLeaderLines val="1"/>
        </c:dLbls>
        <c:firstSliceAng val="90"/>
      </c:pieChart>
    </c:plotArea>
    <c:legend>
      <c:legendPos val="b"/>
      <c:layout>
        <c:manualLayout>
          <c:xMode val="edge"/>
          <c:yMode val="edge"/>
          <c:x val="3.3930008748906379E-2"/>
          <c:y val="0.82986694371536895"/>
          <c:w val="0.93769553805774275"/>
          <c:h val="0.14235527850685331"/>
        </c:manualLayout>
      </c:layout>
      <c:overlay val="0"/>
      <c:txPr>
        <a:bodyPr/>
        <a:lstStyle/>
        <a:p>
          <a:pPr rtl="0">
            <a:defRPr sz="900"/>
          </a:pPr>
          <a:endParaRPr lang="es-CL"/>
        </a:p>
      </c:txPr>
    </c:legend>
    <c:plotVisOnly val="1"/>
    <c:dispBlanksAs val="gap"/>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s-CL"/>
  <c:roundedCorners val="0"/>
  <mc:AlternateContent xmlns:mc="http://schemas.openxmlformats.org/markup-compatibility/2006">
    <mc:Choice xmlns:c14="http://schemas.microsoft.com/office/drawing/2007/8/2/chart" Requires="c14">
      <c14:style val="118"/>
    </mc:Choice>
    <mc:Fallback>
      <c:style val="18"/>
    </mc:Fallback>
  </mc:AlternateContent>
  <c:chart>
    <c:title>
      <c:tx>
        <c:rich>
          <a:bodyPr/>
          <a:lstStyle/>
          <a:p>
            <a:pPr>
              <a:defRPr sz="1050"/>
            </a:pPr>
            <a:r>
              <a:rPr lang="es-CL" sz="1050"/>
              <a:t>Participación de empresas y trabajadores por rama de actividad en la comuna de La Higuera, Año 2013</a:t>
            </a:r>
          </a:p>
        </c:rich>
      </c:tx>
      <c:overlay val="0"/>
    </c:title>
    <c:autoTitleDeleted val="0"/>
    <c:plotArea>
      <c:layout/>
      <c:barChart>
        <c:barDir val="bar"/>
        <c:grouping val="percentStacked"/>
        <c:varyColors val="0"/>
        <c:ser>
          <c:idx val="0"/>
          <c:order val="0"/>
          <c:tx>
            <c:strRef>
              <c:f>'La Higuera IVR'!$A$2</c:f>
              <c:strCache>
                <c:ptCount val="1"/>
                <c:pt idx="0">
                  <c:v>Agricultura, ganaderia, caza y silvicultura</c:v>
                </c:pt>
              </c:strCache>
            </c:strRef>
          </c:tx>
          <c:spPr>
            <a:solidFill>
              <a:srgbClr val="92D050"/>
            </a:solidFill>
          </c:spPr>
          <c:invertIfNegative val="0"/>
          <c:dLbls>
            <c:dLbl>
              <c:idx val="1"/>
              <c:layout>
                <c:manualLayout>
                  <c:x val="8.8083107258651507E-3"/>
                  <c:y val="5.4569964934674697E-2"/>
                </c:manualLayout>
              </c:layout>
              <c:dLblPos val="ctr"/>
              <c:showLegendKey val="0"/>
              <c:showVal val="1"/>
              <c:showCatName val="0"/>
              <c:showSerName val="0"/>
              <c:showPercent val="0"/>
              <c:showBubbleSize val="0"/>
            </c:dLbl>
            <c:txPr>
              <a:bodyPr/>
              <a:lstStyle/>
              <a:p>
                <a:pPr>
                  <a:defRPr sz="800"/>
                </a:pPr>
                <a:endParaRPr lang="es-CL"/>
              </a:p>
            </c:txPr>
            <c:dLblPos val="inBase"/>
            <c:showLegendKey val="0"/>
            <c:showVal val="1"/>
            <c:showCatName val="0"/>
            <c:showSerName val="0"/>
            <c:showPercent val="0"/>
            <c:showBubbleSize val="0"/>
            <c:showLeaderLines val="0"/>
          </c:dLbls>
          <c:cat>
            <c:strRef>
              <c:f>'La Higuera IVR'!$B$1:$C$1</c:f>
              <c:strCache>
                <c:ptCount val="2"/>
                <c:pt idx="0">
                  <c:v>Empresas</c:v>
                </c:pt>
                <c:pt idx="1">
                  <c:v>Trabajadores</c:v>
                </c:pt>
              </c:strCache>
            </c:strRef>
          </c:cat>
          <c:val>
            <c:numRef>
              <c:f>'La Higuera IVR'!$B$2:$C$2</c:f>
              <c:numCache>
                <c:formatCode>General</c:formatCode>
                <c:ptCount val="2"/>
                <c:pt idx="0">
                  <c:v>10</c:v>
                </c:pt>
                <c:pt idx="1">
                  <c:v>1</c:v>
                </c:pt>
              </c:numCache>
            </c:numRef>
          </c:val>
        </c:ser>
        <c:ser>
          <c:idx val="2"/>
          <c:order val="1"/>
          <c:tx>
            <c:strRef>
              <c:f>'La Higuera IVR'!$A$4</c:f>
              <c:strCache>
                <c:ptCount val="1"/>
                <c:pt idx="0">
                  <c:v>Explotación de minas y canteras</c:v>
                </c:pt>
              </c:strCache>
            </c:strRef>
          </c:tx>
          <c:spPr>
            <a:solidFill>
              <a:srgbClr val="FF9900"/>
            </a:solidFill>
          </c:spPr>
          <c:invertIfNegative val="0"/>
          <c:dLbls>
            <c:dLbl>
              <c:idx val="1"/>
              <c:layout>
                <c:manualLayout>
                  <c:x val="4.9142680694325E-3"/>
                  <c:y val="-3.6383032175250399E-3"/>
                </c:manualLayout>
              </c:layout>
              <c:dLblPos val="ctr"/>
              <c:showLegendKey val="0"/>
              <c:showVal val="1"/>
              <c:showCatName val="0"/>
              <c:showSerName val="0"/>
              <c:showPercent val="0"/>
              <c:showBubbleSize val="0"/>
            </c:dLbl>
            <c:txPr>
              <a:bodyPr/>
              <a:lstStyle/>
              <a:p>
                <a:pPr>
                  <a:defRPr sz="800"/>
                </a:pPr>
                <a:endParaRPr lang="es-CL"/>
              </a:p>
            </c:txPr>
            <c:dLblPos val="inBase"/>
            <c:showLegendKey val="0"/>
            <c:showVal val="1"/>
            <c:showCatName val="0"/>
            <c:showSerName val="0"/>
            <c:showPercent val="0"/>
            <c:showBubbleSize val="0"/>
            <c:showLeaderLines val="0"/>
          </c:dLbls>
          <c:cat>
            <c:strRef>
              <c:f>'La Higuera IVR'!$B$1:$C$1</c:f>
              <c:strCache>
                <c:ptCount val="2"/>
                <c:pt idx="0">
                  <c:v>Empresas</c:v>
                </c:pt>
                <c:pt idx="1">
                  <c:v>Trabajadores</c:v>
                </c:pt>
              </c:strCache>
            </c:strRef>
          </c:cat>
          <c:val>
            <c:numRef>
              <c:f>'La Higuera IVR'!$B$4:$C$4</c:f>
              <c:numCache>
                <c:formatCode>General</c:formatCode>
                <c:ptCount val="2"/>
                <c:pt idx="0">
                  <c:v>47</c:v>
                </c:pt>
                <c:pt idx="1">
                  <c:v>18</c:v>
                </c:pt>
              </c:numCache>
            </c:numRef>
          </c:val>
        </c:ser>
        <c:ser>
          <c:idx val="3"/>
          <c:order val="2"/>
          <c:tx>
            <c:strRef>
              <c:f>'La Higuera IVR'!$A$5</c:f>
              <c:strCache>
                <c:ptCount val="1"/>
                <c:pt idx="0">
                  <c:v>Industrias manufactureras no metálicas</c:v>
                </c:pt>
              </c:strCache>
            </c:strRef>
          </c:tx>
          <c:spPr>
            <a:solidFill>
              <a:srgbClr val="00B0F0"/>
            </a:solidFill>
          </c:spPr>
          <c:invertIfNegative val="0"/>
          <c:dLbls>
            <c:txPr>
              <a:bodyPr/>
              <a:lstStyle/>
              <a:p>
                <a:pPr>
                  <a:defRPr sz="800"/>
                </a:pPr>
                <a:endParaRPr lang="es-CL"/>
              </a:p>
            </c:txPr>
            <c:dLblPos val="inBase"/>
            <c:showLegendKey val="0"/>
            <c:showVal val="1"/>
            <c:showCatName val="0"/>
            <c:showSerName val="0"/>
            <c:showPercent val="0"/>
            <c:showBubbleSize val="0"/>
            <c:showLeaderLines val="0"/>
          </c:dLbls>
          <c:cat>
            <c:strRef>
              <c:f>'La Higuera IVR'!$B$1:$C$1</c:f>
              <c:strCache>
                <c:ptCount val="2"/>
                <c:pt idx="0">
                  <c:v>Empresas</c:v>
                </c:pt>
                <c:pt idx="1">
                  <c:v>Trabajadores</c:v>
                </c:pt>
              </c:strCache>
            </c:strRef>
          </c:cat>
          <c:val>
            <c:numRef>
              <c:f>'La Higuera IVR'!$B$5:$C$5</c:f>
              <c:numCache>
                <c:formatCode>General</c:formatCode>
                <c:ptCount val="2"/>
                <c:pt idx="0">
                  <c:v>10</c:v>
                </c:pt>
                <c:pt idx="1">
                  <c:v>25</c:v>
                </c:pt>
              </c:numCache>
            </c:numRef>
          </c:val>
        </c:ser>
        <c:ser>
          <c:idx val="5"/>
          <c:order val="3"/>
          <c:tx>
            <c:strRef>
              <c:f>'La Higuera IVR'!$A$7</c:f>
              <c:strCache>
                <c:ptCount val="1"/>
                <c:pt idx="0">
                  <c:v>Suministro de electricidad, gas y agua</c:v>
                </c:pt>
              </c:strCache>
            </c:strRef>
          </c:tx>
          <c:spPr>
            <a:solidFill>
              <a:srgbClr val="FF5050"/>
            </a:solidFill>
          </c:spPr>
          <c:invertIfNegative val="0"/>
          <c:dLbls>
            <c:txPr>
              <a:bodyPr/>
              <a:lstStyle/>
              <a:p>
                <a:pPr>
                  <a:defRPr sz="800"/>
                </a:pPr>
                <a:endParaRPr lang="es-CL"/>
              </a:p>
            </c:txPr>
            <c:dLblPos val="inBase"/>
            <c:showLegendKey val="0"/>
            <c:showVal val="1"/>
            <c:showCatName val="0"/>
            <c:showSerName val="0"/>
            <c:showPercent val="0"/>
            <c:showBubbleSize val="0"/>
            <c:showLeaderLines val="0"/>
          </c:dLbls>
          <c:cat>
            <c:strRef>
              <c:f>'La Higuera IVR'!$B$1:$C$1</c:f>
              <c:strCache>
                <c:ptCount val="2"/>
                <c:pt idx="0">
                  <c:v>Empresas</c:v>
                </c:pt>
                <c:pt idx="1">
                  <c:v>Trabajadores</c:v>
                </c:pt>
              </c:strCache>
            </c:strRef>
          </c:cat>
          <c:val>
            <c:numRef>
              <c:f>'La Higuera IVR'!$B$7:$C$7</c:f>
              <c:numCache>
                <c:formatCode>General</c:formatCode>
                <c:ptCount val="2"/>
                <c:pt idx="0">
                  <c:v>8</c:v>
                </c:pt>
                <c:pt idx="1">
                  <c:v>30</c:v>
                </c:pt>
              </c:numCache>
            </c:numRef>
          </c:val>
        </c:ser>
        <c:ser>
          <c:idx val="6"/>
          <c:order val="4"/>
          <c:tx>
            <c:strRef>
              <c:f>'La Higuera IVR'!$A$8</c:f>
              <c:strCache>
                <c:ptCount val="1"/>
                <c:pt idx="0">
                  <c:v>Construcción</c:v>
                </c:pt>
              </c:strCache>
            </c:strRef>
          </c:tx>
          <c:invertIfNegative val="0"/>
          <c:dLbls>
            <c:dLbl>
              <c:idx val="1"/>
              <c:layout>
                <c:manualLayout>
                  <c:x val="2.9393919482763098E-4"/>
                  <c:y val="4.72939314156497E-2"/>
                </c:manualLayout>
              </c:layout>
              <c:dLblPos val="ctr"/>
              <c:showLegendKey val="0"/>
              <c:showVal val="1"/>
              <c:showCatName val="0"/>
              <c:showSerName val="0"/>
              <c:showPercent val="0"/>
              <c:showBubbleSize val="0"/>
            </c:dLbl>
            <c:dLblPos val="inBase"/>
            <c:showLegendKey val="0"/>
            <c:showVal val="1"/>
            <c:showCatName val="0"/>
            <c:showSerName val="0"/>
            <c:showPercent val="0"/>
            <c:showBubbleSize val="0"/>
            <c:showLeaderLines val="0"/>
          </c:dLbls>
          <c:cat>
            <c:strRef>
              <c:f>'La Higuera IVR'!$B$1:$C$1</c:f>
              <c:strCache>
                <c:ptCount val="2"/>
                <c:pt idx="0">
                  <c:v>Empresas</c:v>
                </c:pt>
                <c:pt idx="1">
                  <c:v>Trabajadores</c:v>
                </c:pt>
              </c:strCache>
            </c:strRef>
          </c:cat>
          <c:val>
            <c:numRef>
              <c:f>'La Higuera IVR'!$B$8:$C$8</c:f>
              <c:numCache>
                <c:formatCode>General</c:formatCode>
                <c:ptCount val="2"/>
                <c:pt idx="0">
                  <c:v>8</c:v>
                </c:pt>
                <c:pt idx="1">
                  <c:v>0</c:v>
                </c:pt>
              </c:numCache>
            </c:numRef>
          </c:val>
        </c:ser>
        <c:ser>
          <c:idx val="7"/>
          <c:order val="5"/>
          <c:tx>
            <c:strRef>
              <c:f>'La Higuera IVR'!$A$9</c:f>
              <c:strCache>
                <c:ptCount val="1"/>
                <c:pt idx="0">
                  <c:v>Comercio al por mayor y menor, repuestos, vehículos, automotores/enseres domésticos</c:v>
                </c:pt>
              </c:strCache>
            </c:strRef>
          </c:tx>
          <c:spPr>
            <a:solidFill>
              <a:srgbClr val="FFFF00"/>
            </a:solidFill>
          </c:spPr>
          <c:invertIfNegative val="0"/>
          <c:dLbls>
            <c:dLbl>
              <c:idx val="1"/>
              <c:layout>
                <c:manualLayout>
                  <c:x val="-2.2847255764697801E-4"/>
                  <c:y val="-2.8645801256003799E-7"/>
                </c:manualLayout>
              </c:layout>
              <c:dLblPos val="ctr"/>
              <c:showLegendKey val="0"/>
              <c:showVal val="1"/>
              <c:showCatName val="0"/>
              <c:showSerName val="0"/>
              <c:showPercent val="0"/>
              <c:showBubbleSize val="0"/>
            </c:dLbl>
            <c:txPr>
              <a:bodyPr/>
              <a:lstStyle/>
              <a:p>
                <a:pPr>
                  <a:defRPr sz="800"/>
                </a:pPr>
                <a:endParaRPr lang="es-CL"/>
              </a:p>
            </c:txPr>
            <c:dLblPos val="inBase"/>
            <c:showLegendKey val="0"/>
            <c:showVal val="1"/>
            <c:showCatName val="0"/>
            <c:showSerName val="0"/>
            <c:showPercent val="0"/>
            <c:showBubbleSize val="0"/>
            <c:showLeaderLines val="0"/>
          </c:dLbls>
          <c:cat>
            <c:strRef>
              <c:f>'La Higuera IVR'!$B$1:$C$1</c:f>
              <c:strCache>
                <c:ptCount val="2"/>
                <c:pt idx="0">
                  <c:v>Empresas</c:v>
                </c:pt>
                <c:pt idx="1">
                  <c:v>Trabajadores</c:v>
                </c:pt>
              </c:strCache>
            </c:strRef>
          </c:cat>
          <c:val>
            <c:numRef>
              <c:f>'La Higuera IVR'!$B$9:$C$9</c:f>
              <c:numCache>
                <c:formatCode>General</c:formatCode>
                <c:ptCount val="2"/>
                <c:pt idx="0">
                  <c:v>58</c:v>
                </c:pt>
                <c:pt idx="1">
                  <c:v>5</c:v>
                </c:pt>
              </c:numCache>
            </c:numRef>
          </c:val>
        </c:ser>
        <c:ser>
          <c:idx val="8"/>
          <c:order val="6"/>
          <c:tx>
            <c:strRef>
              <c:f>'La Higuera IVR'!$A$10</c:f>
              <c:strCache>
                <c:ptCount val="1"/>
                <c:pt idx="0">
                  <c:v>Hoteles y restaurantes</c:v>
                </c:pt>
              </c:strCache>
            </c:strRef>
          </c:tx>
          <c:spPr>
            <a:solidFill>
              <a:schemeClr val="accent4">
                <a:lumMod val="60000"/>
                <a:lumOff val="40000"/>
              </a:schemeClr>
            </a:solidFill>
          </c:spPr>
          <c:invertIfNegative val="0"/>
          <c:dLbls>
            <c:dLbl>
              <c:idx val="1"/>
              <c:layout>
                <c:manualLayout>
                  <c:x val="-6.7934449370299303E-3"/>
                  <c:y val="-3.3348101722081001E-17"/>
                </c:manualLayout>
              </c:layout>
              <c:dLblPos val="ctr"/>
              <c:showLegendKey val="0"/>
              <c:showVal val="1"/>
              <c:showCatName val="0"/>
              <c:showSerName val="0"/>
              <c:showPercent val="0"/>
              <c:showBubbleSize val="0"/>
            </c:dLbl>
            <c:txPr>
              <a:bodyPr/>
              <a:lstStyle/>
              <a:p>
                <a:pPr>
                  <a:defRPr sz="800"/>
                </a:pPr>
                <a:endParaRPr lang="es-CL"/>
              </a:p>
            </c:txPr>
            <c:dLblPos val="inBase"/>
            <c:showLegendKey val="0"/>
            <c:showVal val="1"/>
            <c:showCatName val="0"/>
            <c:showSerName val="0"/>
            <c:showPercent val="0"/>
            <c:showBubbleSize val="0"/>
            <c:showLeaderLines val="0"/>
          </c:dLbls>
          <c:cat>
            <c:strRef>
              <c:f>'La Higuera IVR'!$B$1:$C$1</c:f>
              <c:strCache>
                <c:ptCount val="2"/>
                <c:pt idx="0">
                  <c:v>Empresas</c:v>
                </c:pt>
                <c:pt idx="1">
                  <c:v>Trabajadores</c:v>
                </c:pt>
              </c:strCache>
            </c:strRef>
          </c:cat>
          <c:val>
            <c:numRef>
              <c:f>'La Higuera IVR'!$B$10:$C$10</c:f>
              <c:numCache>
                <c:formatCode>General</c:formatCode>
                <c:ptCount val="2"/>
                <c:pt idx="0">
                  <c:v>55</c:v>
                </c:pt>
                <c:pt idx="1">
                  <c:v>102</c:v>
                </c:pt>
              </c:numCache>
            </c:numRef>
          </c:val>
        </c:ser>
        <c:ser>
          <c:idx val="9"/>
          <c:order val="7"/>
          <c:tx>
            <c:strRef>
              <c:f>'La Higuera IVR'!$A$11</c:f>
              <c:strCache>
                <c:ptCount val="1"/>
                <c:pt idx="0">
                  <c:v>Transporte, almacenamiento y comunicaciones</c:v>
                </c:pt>
              </c:strCache>
            </c:strRef>
          </c:tx>
          <c:spPr>
            <a:solidFill>
              <a:srgbClr val="CC0000"/>
            </a:solidFill>
          </c:spPr>
          <c:invertIfNegative val="0"/>
          <c:dLbls>
            <c:dLbl>
              <c:idx val="1"/>
              <c:layout>
                <c:manualLayout>
                  <c:x val="9.6049767136973405E-4"/>
                  <c:y val="5.82079816941872E-2"/>
                </c:manualLayout>
              </c:layout>
              <c:dLblPos val="ctr"/>
              <c:showLegendKey val="0"/>
              <c:showVal val="1"/>
              <c:showCatName val="0"/>
              <c:showSerName val="0"/>
              <c:showPercent val="0"/>
              <c:showBubbleSize val="0"/>
            </c:dLbl>
            <c:txPr>
              <a:bodyPr/>
              <a:lstStyle/>
              <a:p>
                <a:pPr>
                  <a:defRPr sz="800"/>
                </a:pPr>
                <a:endParaRPr lang="es-CL"/>
              </a:p>
            </c:txPr>
            <c:dLblPos val="inBase"/>
            <c:showLegendKey val="0"/>
            <c:showVal val="1"/>
            <c:showCatName val="0"/>
            <c:showSerName val="0"/>
            <c:showPercent val="0"/>
            <c:showBubbleSize val="0"/>
            <c:showLeaderLines val="0"/>
          </c:dLbls>
          <c:cat>
            <c:strRef>
              <c:f>'La Higuera IVR'!$B$1:$C$1</c:f>
              <c:strCache>
                <c:ptCount val="2"/>
                <c:pt idx="0">
                  <c:v>Empresas</c:v>
                </c:pt>
                <c:pt idx="1">
                  <c:v>Trabajadores</c:v>
                </c:pt>
              </c:strCache>
            </c:strRef>
          </c:cat>
          <c:val>
            <c:numRef>
              <c:f>'La Higuera IVR'!$B$11:$C$11</c:f>
              <c:numCache>
                <c:formatCode>General</c:formatCode>
                <c:ptCount val="2"/>
                <c:pt idx="0">
                  <c:v>14</c:v>
                </c:pt>
                <c:pt idx="1">
                  <c:v>2</c:v>
                </c:pt>
              </c:numCache>
            </c:numRef>
          </c:val>
        </c:ser>
        <c:ser>
          <c:idx val="14"/>
          <c:order val="8"/>
          <c:tx>
            <c:strRef>
              <c:f>'La Higuera IVR'!$A$16</c:f>
              <c:strCache>
                <c:ptCount val="1"/>
                <c:pt idx="0">
                  <c:v>Servicios sociales y de salud</c:v>
                </c:pt>
              </c:strCache>
            </c:strRef>
          </c:tx>
          <c:spPr>
            <a:solidFill>
              <a:srgbClr val="00CC00"/>
            </a:solidFill>
          </c:spPr>
          <c:invertIfNegative val="0"/>
          <c:dLbls>
            <c:dLbl>
              <c:idx val="0"/>
              <c:layout>
                <c:manualLayout>
                  <c:x val="-3.3124917190710101E-3"/>
                  <c:y val="6.5484301671224696E-2"/>
                </c:manualLayout>
              </c:layout>
              <c:dLblPos val="ctr"/>
              <c:showLegendKey val="0"/>
              <c:showVal val="1"/>
              <c:showCatName val="0"/>
              <c:showSerName val="0"/>
              <c:showPercent val="0"/>
              <c:showBubbleSize val="0"/>
            </c:dLbl>
            <c:dLbl>
              <c:idx val="1"/>
              <c:layout>
                <c:manualLayout>
                  <c:x val="-6.7043842586491896E-3"/>
                  <c:y val="3.3348101722081001E-17"/>
                </c:manualLayout>
              </c:layout>
              <c:dLblPos val="ctr"/>
              <c:showLegendKey val="0"/>
              <c:showVal val="1"/>
              <c:showCatName val="0"/>
              <c:showSerName val="0"/>
              <c:showPercent val="0"/>
              <c:showBubbleSize val="0"/>
            </c:dLbl>
            <c:txPr>
              <a:bodyPr/>
              <a:lstStyle/>
              <a:p>
                <a:pPr>
                  <a:defRPr sz="800"/>
                </a:pPr>
                <a:endParaRPr lang="es-CL"/>
              </a:p>
            </c:txPr>
            <c:dLblPos val="inBase"/>
            <c:showLegendKey val="0"/>
            <c:showVal val="1"/>
            <c:showCatName val="0"/>
            <c:showSerName val="0"/>
            <c:showPercent val="0"/>
            <c:showBubbleSize val="0"/>
            <c:showLeaderLines val="0"/>
          </c:dLbls>
          <c:cat>
            <c:strRef>
              <c:f>'La Higuera IVR'!$B$1:$C$1</c:f>
              <c:strCache>
                <c:ptCount val="2"/>
                <c:pt idx="0">
                  <c:v>Empresas</c:v>
                </c:pt>
                <c:pt idx="1">
                  <c:v>Trabajadores</c:v>
                </c:pt>
              </c:strCache>
            </c:strRef>
          </c:cat>
          <c:val>
            <c:numRef>
              <c:f>'La Higuera IVR'!$B$16:$C$16</c:f>
              <c:numCache>
                <c:formatCode>General</c:formatCode>
                <c:ptCount val="2"/>
                <c:pt idx="0">
                  <c:v>1</c:v>
                </c:pt>
                <c:pt idx="1">
                  <c:v>119</c:v>
                </c:pt>
              </c:numCache>
            </c:numRef>
          </c:val>
        </c:ser>
        <c:dLbls>
          <c:dLblPos val="inBase"/>
          <c:showLegendKey val="0"/>
          <c:showVal val="1"/>
          <c:showCatName val="0"/>
          <c:showSerName val="0"/>
          <c:showPercent val="0"/>
          <c:showBubbleSize val="0"/>
        </c:dLbls>
        <c:gapWidth val="75"/>
        <c:overlap val="100"/>
        <c:axId val="210004608"/>
        <c:axId val="210014592"/>
      </c:barChart>
      <c:catAx>
        <c:axId val="210004608"/>
        <c:scaling>
          <c:orientation val="minMax"/>
        </c:scaling>
        <c:delete val="0"/>
        <c:axPos val="l"/>
        <c:majorTickMark val="none"/>
        <c:minorTickMark val="none"/>
        <c:tickLblPos val="nextTo"/>
        <c:txPr>
          <a:bodyPr/>
          <a:lstStyle/>
          <a:p>
            <a:pPr>
              <a:defRPr sz="900"/>
            </a:pPr>
            <a:endParaRPr lang="es-CL"/>
          </a:p>
        </c:txPr>
        <c:crossAx val="210014592"/>
        <c:crosses val="autoZero"/>
        <c:auto val="1"/>
        <c:lblAlgn val="ctr"/>
        <c:lblOffset val="100"/>
        <c:noMultiLvlLbl val="0"/>
      </c:catAx>
      <c:valAx>
        <c:axId val="210014592"/>
        <c:scaling>
          <c:orientation val="minMax"/>
        </c:scaling>
        <c:delete val="1"/>
        <c:axPos val="b"/>
        <c:majorGridlines/>
        <c:numFmt formatCode="0%" sourceLinked="1"/>
        <c:majorTickMark val="none"/>
        <c:minorTickMark val="none"/>
        <c:tickLblPos val="nextTo"/>
        <c:crossAx val="210004608"/>
        <c:crosses val="autoZero"/>
        <c:crossBetween val="between"/>
      </c:valAx>
    </c:plotArea>
    <c:legend>
      <c:legendPos val="b"/>
      <c:layout>
        <c:manualLayout>
          <c:xMode val="edge"/>
          <c:yMode val="edge"/>
          <c:x val="6.4222851049868801E-2"/>
          <c:y val="0.53028018744666505"/>
          <c:w val="0.89759596456692903"/>
          <c:h val="0.44643020321617899"/>
        </c:manualLayout>
      </c:layout>
      <c:overlay val="0"/>
      <c:txPr>
        <a:bodyPr/>
        <a:lstStyle/>
        <a:p>
          <a:pPr>
            <a:defRPr sz="800">
              <a:latin typeface="Arial" panose="020B0604020202020204" pitchFamily="34" charset="0"/>
              <a:cs typeface="Arial" panose="020B0604020202020204" pitchFamily="34" charset="0"/>
            </a:defRPr>
          </a:pPr>
          <a:endParaRPr lang="es-CL"/>
        </a:p>
      </c:txPr>
    </c:legend>
    <c:plotVisOnly val="1"/>
    <c:dispBlanksAs val="gap"/>
    <c:showDLblsOverMax val="0"/>
  </c:chart>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s-C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050"/>
            </a:pPr>
            <a:r>
              <a:rPr lang="en-US" sz="1050"/>
              <a:t>Faenas</a:t>
            </a:r>
            <a:r>
              <a:rPr lang="en-US" sz="1050" baseline="0"/>
              <a:t> mineras de explotación de la comuna de </a:t>
            </a:r>
            <a:r>
              <a:rPr lang="en-US" sz="1050"/>
              <a:t>La Higuera, según categorización SERNAGEOMIN.</a:t>
            </a:r>
            <a:r>
              <a:rPr lang="en-US" sz="1050" baseline="0"/>
              <a:t> Año 2013</a:t>
            </a:r>
            <a:endParaRPr lang="en-US" sz="1050"/>
          </a:p>
        </c:rich>
      </c:tx>
      <c:overlay val="0"/>
    </c:title>
    <c:autoTitleDeleted val="0"/>
    <c:plotArea>
      <c:layout>
        <c:manualLayout>
          <c:layoutTarget val="inner"/>
          <c:xMode val="edge"/>
          <c:yMode val="edge"/>
          <c:x val="0.35207232945439343"/>
          <c:y val="0.2275634968705835"/>
          <c:w val="0.34417903514273107"/>
          <c:h val="0.59834201494044015"/>
        </c:manualLayout>
      </c:layout>
      <c:pieChart>
        <c:varyColors val="1"/>
        <c:ser>
          <c:idx val="0"/>
          <c:order val="0"/>
          <c:tx>
            <c:strRef>
              <c:f>Hoja2!$C$3</c:f>
              <c:strCache>
                <c:ptCount val="1"/>
                <c:pt idx="0">
                  <c:v>La Higuera</c:v>
                </c:pt>
              </c:strCache>
            </c:strRef>
          </c:tx>
          <c:dPt>
            <c:idx val="0"/>
            <c:bubble3D val="0"/>
            <c:spPr>
              <a:solidFill>
                <a:srgbClr val="FF0000"/>
              </a:solidFill>
            </c:spPr>
          </c:dPt>
          <c:dPt>
            <c:idx val="2"/>
            <c:bubble3D val="0"/>
            <c:spPr>
              <a:solidFill>
                <a:srgbClr val="0070C0"/>
              </a:solidFill>
            </c:spPr>
          </c:dPt>
          <c:dPt>
            <c:idx val="3"/>
            <c:bubble3D val="0"/>
            <c:spPr>
              <a:solidFill>
                <a:srgbClr val="FFC000"/>
              </a:solidFill>
            </c:spPr>
          </c:dPt>
          <c:dLbls>
            <c:dLblPos val="outEnd"/>
            <c:showLegendKey val="0"/>
            <c:showVal val="0"/>
            <c:showCatName val="0"/>
            <c:showSerName val="0"/>
            <c:showPercent val="1"/>
            <c:showBubbleSize val="0"/>
            <c:showLeaderLines val="1"/>
          </c:dLbls>
          <c:cat>
            <c:strRef>
              <c:f>Hoja2!$G$1:$J$1</c:f>
              <c:strCache>
                <c:ptCount val="4"/>
                <c:pt idx="0">
                  <c:v>Categoria A</c:v>
                </c:pt>
                <c:pt idx="1">
                  <c:v>Categoria B</c:v>
                </c:pt>
                <c:pt idx="2">
                  <c:v>Categoria C</c:v>
                </c:pt>
                <c:pt idx="3">
                  <c:v>Categoria D</c:v>
                </c:pt>
              </c:strCache>
            </c:strRef>
          </c:cat>
          <c:val>
            <c:numRef>
              <c:f>Hoja2!$G$3:$J$3</c:f>
              <c:numCache>
                <c:formatCode>General</c:formatCode>
                <c:ptCount val="4"/>
                <c:pt idx="0">
                  <c:v>13</c:v>
                </c:pt>
                <c:pt idx="1">
                  <c:v>0</c:v>
                </c:pt>
                <c:pt idx="2">
                  <c:v>16</c:v>
                </c:pt>
                <c:pt idx="3">
                  <c:v>101</c:v>
                </c:pt>
              </c:numCache>
            </c:numRef>
          </c:val>
        </c:ser>
        <c:dLbls>
          <c:dLblPos val="outEnd"/>
          <c:showLegendKey val="0"/>
          <c:showVal val="1"/>
          <c:showCatName val="0"/>
          <c:showSerName val="0"/>
          <c:showPercent val="0"/>
          <c:showBubbleSize val="0"/>
          <c:showLeaderLines val="1"/>
        </c:dLbls>
        <c:firstSliceAng val="25"/>
      </c:pieChart>
    </c:plotArea>
    <c:legend>
      <c:legendPos val="b"/>
      <c:layout>
        <c:manualLayout>
          <c:xMode val="edge"/>
          <c:yMode val="edge"/>
          <c:x val="0.17196548440294521"/>
          <c:y val="0.85811629315566318"/>
          <c:w val="0.68261770376048125"/>
          <c:h val="0.11111447607510597"/>
        </c:manualLayout>
      </c:layout>
      <c:overlay val="0"/>
      <c:txPr>
        <a:bodyPr/>
        <a:lstStyle/>
        <a:p>
          <a:pPr rtl="0">
            <a:defRPr sz="900"/>
          </a:pPr>
          <a:endParaRPr lang="es-CL"/>
        </a:p>
      </c:txPr>
    </c:legend>
    <c:plotVisOnly val="1"/>
    <c:dispBlanksAs val="gap"/>
    <c:showDLblsOverMax val="0"/>
  </c:chart>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s-C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lgn="ctr">
              <a:defRPr sz="1000"/>
            </a:pPr>
            <a:r>
              <a:rPr lang="en-US" sz="1000"/>
              <a:t>Participación de principales cultivos silvoagrícolas de la comuna de La Higuera, según superficie. Año 2002 </a:t>
            </a:r>
          </a:p>
        </c:rich>
      </c:tx>
      <c:overlay val="0"/>
    </c:title>
    <c:autoTitleDeleted val="0"/>
    <c:plotArea>
      <c:layout>
        <c:manualLayout>
          <c:layoutTarget val="inner"/>
          <c:xMode val="edge"/>
          <c:yMode val="edge"/>
          <c:x val="0.31031299212598423"/>
          <c:y val="0.23287037037037037"/>
          <c:w val="0.34881846019247592"/>
          <c:h val="0.58136410032079322"/>
        </c:manualLayout>
      </c:layout>
      <c:pieChart>
        <c:varyColors val="1"/>
        <c:ser>
          <c:idx val="2"/>
          <c:order val="0"/>
          <c:tx>
            <c:strRef>
              <c:f>Hoja4!$E$27</c:f>
              <c:strCache>
                <c:ptCount val="1"/>
                <c:pt idx="0">
                  <c:v>La Higuera</c:v>
                </c:pt>
              </c:strCache>
            </c:strRef>
          </c:tx>
          <c:dPt>
            <c:idx val="0"/>
            <c:bubble3D val="0"/>
            <c:spPr>
              <a:solidFill>
                <a:srgbClr val="7030A0"/>
              </a:solidFill>
            </c:spPr>
          </c:dPt>
          <c:dPt>
            <c:idx val="1"/>
            <c:bubble3D val="0"/>
            <c:spPr>
              <a:solidFill>
                <a:srgbClr val="00B0F0"/>
              </a:solidFill>
            </c:spPr>
          </c:dPt>
          <c:dPt>
            <c:idx val="2"/>
            <c:bubble3D val="0"/>
            <c:spPr>
              <a:solidFill>
                <a:srgbClr val="FF0000"/>
              </a:solidFill>
            </c:spPr>
          </c:dPt>
          <c:dPt>
            <c:idx val="3"/>
            <c:bubble3D val="0"/>
            <c:spPr>
              <a:solidFill>
                <a:srgbClr val="92D050"/>
              </a:solidFill>
              <a:ln>
                <a:solidFill>
                  <a:srgbClr val="7030A0"/>
                </a:solidFill>
              </a:ln>
            </c:spPr>
          </c:dPt>
          <c:dPt>
            <c:idx val="4"/>
            <c:bubble3D val="0"/>
            <c:spPr>
              <a:solidFill>
                <a:srgbClr val="FFFF00"/>
              </a:solidFill>
            </c:spPr>
          </c:dPt>
          <c:dLbls>
            <c:dLbl>
              <c:idx val="0"/>
              <c:layout>
                <c:manualLayout>
                  <c:x val="8.3333333333333332E-3"/>
                  <c:y val="6.9444444444444448E-2"/>
                </c:manualLayout>
              </c:layout>
              <c:dLblPos val="bestFit"/>
              <c:showLegendKey val="0"/>
              <c:showVal val="0"/>
              <c:showCatName val="0"/>
              <c:showSerName val="0"/>
              <c:showPercent val="1"/>
              <c:showBubbleSize val="0"/>
            </c:dLbl>
            <c:dLbl>
              <c:idx val="3"/>
              <c:layout>
                <c:manualLayout>
                  <c:x val="1.6666666666666666E-2"/>
                  <c:y val="-5.5555555555555552E-2"/>
                </c:manualLayout>
              </c:layout>
              <c:dLblPos val="bestFit"/>
              <c:showLegendKey val="0"/>
              <c:showVal val="0"/>
              <c:showCatName val="0"/>
              <c:showSerName val="0"/>
              <c:showPercent val="1"/>
              <c:showBubbleSize val="0"/>
            </c:dLbl>
            <c:dLbl>
              <c:idx val="4"/>
              <c:layout>
                <c:manualLayout>
                  <c:x val="3.3333333333333333E-2"/>
                  <c:y val="0"/>
                </c:manualLayout>
              </c:layout>
              <c:dLblPos val="bestFit"/>
              <c:showLegendKey val="0"/>
              <c:showVal val="0"/>
              <c:showCatName val="0"/>
              <c:showSerName val="0"/>
              <c:showPercent val="1"/>
              <c:showBubbleSize val="0"/>
            </c:dLbl>
            <c:dLblPos val="outEnd"/>
            <c:showLegendKey val="0"/>
            <c:showVal val="0"/>
            <c:showCatName val="0"/>
            <c:showSerName val="0"/>
            <c:showPercent val="1"/>
            <c:showBubbleSize val="0"/>
            <c:showLeaderLines val="1"/>
          </c:dLbls>
          <c:cat>
            <c:strRef>
              <c:f>(Hoja4!$D$31;Hoja4!$D$33:$D$35;Hoja4!$D$38)</c:f>
              <c:strCache>
                <c:ptCount val="5"/>
                <c:pt idx="0">
                  <c:v>Hortalizas</c:v>
                </c:pt>
                <c:pt idx="1">
                  <c:v>Plantas forrajeras</c:v>
                </c:pt>
                <c:pt idx="2">
                  <c:v>Frutales</c:v>
                </c:pt>
                <c:pt idx="3">
                  <c:v>Viñas y parronales viníferos</c:v>
                </c:pt>
                <c:pt idx="4">
                  <c:v>Plantaciones forestales</c:v>
                </c:pt>
              </c:strCache>
            </c:strRef>
          </c:cat>
          <c:val>
            <c:numRef>
              <c:f>(Hoja4!$E$31;Hoja4!$E$33:$E$35;Hoja4!$E$38)</c:f>
              <c:numCache>
                <c:formatCode>General</c:formatCode>
                <c:ptCount val="5"/>
                <c:pt idx="0">
                  <c:v>9.1</c:v>
                </c:pt>
                <c:pt idx="1">
                  <c:v>391.2</c:v>
                </c:pt>
                <c:pt idx="2">
                  <c:v>226.8</c:v>
                </c:pt>
                <c:pt idx="3">
                  <c:v>12.13</c:v>
                </c:pt>
                <c:pt idx="4">
                  <c:v>10.5</c:v>
                </c:pt>
              </c:numCache>
            </c:numRef>
          </c:val>
        </c:ser>
        <c:ser>
          <c:idx val="4"/>
          <c:order val="1"/>
          <c:tx>
            <c:strRef>
              <c:f>Hoja4!$F$27</c:f>
              <c:strCache>
                <c:ptCount val="1"/>
              </c:strCache>
            </c:strRef>
          </c:tx>
          <c:cat>
            <c:strRef>
              <c:f>(Hoja4!$D$31;Hoja4!$D$33:$D$35;Hoja4!$D$38)</c:f>
              <c:strCache>
                <c:ptCount val="5"/>
                <c:pt idx="0">
                  <c:v>Hortalizas</c:v>
                </c:pt>
                <c:pt idx="1">
                  <c:v>Plantas forrajeras</c:v>
                </c:pt>
                <c:pt idx="2">
                  <c:v>Frutales</c:v>
                </c:pt>
                <c:pt idx="3">
                  <c:v>Viñas y parronales viníferos</c:v>
                </c:pt>
                <c:pt idx="4">
                  <c:v>Plantaciones forestales</c:v>
                </c:pt>
              </c:strCache>
            </c:strRef>
          </c:cat>
          <c:val>
            <c:numRef>
              <c:f>(Hoja4!$F$31;Hoja4!$F$33:$F$35;Hoja4!$F$38)</c:f>
              <c:numCache>
                <c:formatCode>0.00%</c:formatCode>
                <c:ptCount val="5"/>
                <c:pt idx="0">
                  <c:v>1.3970125424093092E-2</c:v>
                </c:pt>
                <c:pt idx="1">
                  <c:v>0.60056187537419981</c:v>
                </c:pt>
                <c:pt idx="2">
                  <c:v>0.34817851056970484</c:v>
                </c:pt>
                <c:pt idx="3">
                  <c:v>1.8621716636730686E-2</c:v>
                </c:pt>
                <c:pt idx="4">
                  <c:v>1.6119375489338186E-2</c:v>
                </c:pt>
              </c:numCache>
            </c:numRef>
          </c:val>
        </c:ser>
        <c:dLbls>
          <c:showLegendKey val="0"/>
          <c:showVal val="0"/>
          <c:showCatName val="0"/>
          <c:showSerName val="0"/>
          <c:showPercent val="0"/>
          <c:showBubbleSize val="0"/>
          <c:showLeaderLines val="1"/>
        </c:dLbls>
        <c:firstSliceAng val="100"/>
      </c:pieChart>
    </c:plotArea>
    <c:legend>
      <c:legendPos val="b"/>
      <c:layout>
        <c:manualLayout>
          <c:xMode val="edge"/>
          <c:yMode val="edge"/>
          <c:x val="2.8374453193350826E-2"/>
          <c:y val="0.85764472149314674"/>
          <c:w val="0.93491776027996498"/>
          <c:h val="0.11457750072907553"/>
        </c:manualLayout>
      </c:layout>
      <c:overlay val="0"/>
      <c:txPr>
        <a:bodyPr/>
        <a:lstStyle/>
        <a:p>
          <a:pPr>
            <a:defRPr sz="900"/>
          </a:pPr>
          <a:endParaRPr lang="es-CL"/>
        </a:p>
      </c:txPr>
    </c:legend>
    <c:plotVisOnly val="1"/>
    <c:dispBlanksAs val="gap"/>
    <c:showDLblsOverMax val="0"/>
  </c:chart>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es-C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100"/>
            </a:pPr>
            <a:r>
              <a:rPr lang="es-CL" sz="1100"/>
              <a:t>Participación de empresas y trabajadores por rama de actividad en la comuna de Salamanca. Año 2013</a:t>
            </a:r>
          </a:p>
        </c:rich>
      </c:tx>
      <c:overlay val="1"/>
    </c:title>
    <c:autoTitleDeleted val="0"/>
    <c:plotArea>
      <c:layout>
        <c:manualLayout>
          <c:layoutTarget val="inner"/>
          <c:xMode val="edge"/>
          <c:yMode val="edge"/>
          <c:x val="0.187484529762247"/>
          <c:y val="0.168824914545227"/>
          <c:w val="0.75125026342510104"/>
          <c:h val="0.27779432726534498"/>
        </c:manualLayout>
      </c:layout>
      <c:barChart>
        <c:barDir val="bar"/>
        <c:grouping val="percentStacked"/>
        <c:varyColors val="0"/>
        <c:ser>
          <c:idx val="0"/>
          <c:order val="0"/>
          <c:tx>
            <c:strRef>
              <c:f>'SAL IVR'!$A$2</c:f>
              <c:strCache>
                <c:ptCount val="1"/>
                <c:pt idx="0">
                  <c:v>Agricultura, ganaderia, caza y silvicultura</c:v>
                </c:pt>
              </c:strCache>
            </c:strRef>
          </c:tx>
          <c:invertIfNegative val="0"/>
          <c:cat>
            <c:strRef>
              <c:f>'SAL IVR'!$B$1:$C$1</c:f>
              <c:strCache>
                <c:ptCount val="2"/>
                <c:pt idx="0">
                  <c:v>Empresa</c:v>
                </c:pt>
                <c:pt idx="1">
                  <c:v>Trabajadores</c:v>
                </c:pt>
              </c:strCache>
            </c:strRef>
          </c:cat>
          <c:val>
            <c:numRef>
              <c:f>'SAL IVR'!$B$2:$C$2</c:f>
              <c:numCache>
                <c:formatCode>#,##0</c:formatCode>
                <c:ptCount val="2"/>
                <c:pt idx="0">
                  <c:v>611</c:v>
                </c:pt>
                <c:pt idx="1">
                  <c:v>684</c:v>
                </c:pt>
              </c:numCache>
            </c:numRef>
          </c:val>
        </c:ser>
        <c:ser>
          <c:idx val="2"/>
          <c:order val="1"/>
          <c:tx>
            <c:strRef>
              <c:f>'SAL IVR'!$A$4</c:f>
              <c:strCache>
                <c:ptCount val="1"/>
                <c:pt idx="0">
                  <c:v>Explotación de minas y canteras</c:v>
                </c:pt>
              </c:strCache>
            </c:strRef>
          </c:tx>
          <c:invertIfNegative val="0"/>
          <c:cat>
            <c:strRef>
              <c:f>'SAL IVR'!$B$1:$C$1</c:f>
              <c:strCache>
                <c:ptCount val="2"/>
                <c:pt idx="0">
                  <c:v>Empresa</c:v>
                </c:pt>
                <c:pt idx="1">
                  <c:v>Trabajadores</c:v>
                </c:pt>
              </c:strCache>
            </c:strRef>
          </c:cat>
          <c:val>
            <c:numRef>
              <c:f>'SAL IVR'!$B$4:$C$4</c:f>
              <c:numCache>
                <c:formatCode>#,##0</c:formatCode>
                <c:ptCount val="2"/>
                <c:pt idx="0">
                  <c:v>67</c:v>
                </c:pt>
                <c:pt idx="1">
                  <c:v>126</c:v>
                </c:pt>
              </c:numCache>
            </c:numRef>
          </c:val>
        </c:ser>
        <c:ser>
          <c:idx val="3"/>
          <c:order val="2"/>
          <c:tx>
            <c:strRef>
              <c:f>'SAL IVR'!$A$5</c:f>
              <c:strCache>
                <c:ptCount val="1"/>
                <c:pt idx="0">
                  <c:v>Industrias manufactureras no metálicas</c:v>
                </c:pt>
              </c:strCache>
            </c:strRef>
          </c:tx>
          <c:invertIfNegative val="0"/>
          <c:cat>
            <c:strRef>
              <c:f>'SAL IVR'!$B$1:$C$1</c:f>
              <c:strCache>
                <c:ptCount val="2"/>
                <c:pt idx="0">
                  <c:v>Empresa</c:v>
                </c:pt>
                <c:pt idx="1">
                  <c:v>Trabajadores</c:v>
                </c:pt>
              </c:strCache>
            </c:strRef>
          </c:cat>
          <c:val>
            <c:numRef>
              <c:f>'SAL IVR'!$B$5:$C$5</c:f>
              <c:numCache>
                <c:formatCode>#,##0</c:formatCode>
                <c:ptCount val="2"/>
                <c:pt idx="0">
                  <c:v>76</c:v>
                </c:pt>
                <c:pt idx="1">
                  <c:v>389</c:v>
                </c:pt>
              </c:numCache>
            </c:numRef>
          </c:val>
        </c:ser>
        <c:ser>
          <c:idx val="6"/>
          <c:order val="3"/>
          <c:tx>
            <c:strRef>
              <c:f>'SAL IVR'!$A$8</c:f>
              <c:strCache>
                <c:ptCount val="1"/>
                <c:pt idx="0">
                  <c:v>Construcción</c:v>
                </c:pt>
              </c:strCache>
            </c:strRef>
          </c:tx>
          <c:invertIfNegative val="0"/>
          <c:cat>
            <c:strRef>
              <c:f>'SAL IVR'!$B$1:$C$1</c:f>
              <c:strCache>
                <c:ptCount val="2"/>
                <c:pt idx="0">
                  <c:v>Empresa</c:v>
                </c:pt>
                <c:pt idx="1">
                  <c:v>Trabajadores</c:v>
                </c:pt>
              </c:strCache>
            </c:strRef>
          </c:cat>
          <c:val>
            <c:numRef>
              <c:f>'SAL IVR'!$B$8:$C$8</c:f>
              <c:numCache>
                <c:formatCode>#,##0</c:formatCode>
                <c:ptCount val="2"/>
                <c:pt idx="0">
                  <c:v>125</c:v>
                </c:pt>
                <c:pt idx="1">
                  <c:v>2414</c:v>
                </c:pt>
              </c:numCache>
            </c:numRef>
          </c:val>
        </c:ser>
        <c:ser>
          <c:idx val="7"/>
          <c:order val="4"/>
          <c:tx>
            <c:strRef>
              <c:f>'SAL IVR'!$A$9</c:f>
              <c:strCache>
                <c:ptCount val="1"/>
                <c:pt idx="0">
                  <c:v>Comercio al por mayor y menor, repuestos, vehículos, automotores/enseres domésticos</c:v>
                </c:pt>
              </c:strCache>
            </c:strRef>
          </c:tx>
          <c:invertIfNegative val="0"/>
          <c:cat>
            <c:strRef>
              <c:f>'SAL IVR'!$B$1:$C$1</c:f>
              <c:strCache>
                <c:ptCount val="2"/>
                <c:pt idx="0">
                  <c:v>Empresa</c:v>
                </c:pt>
                <c:pt idx="1">
                  <c:v>Trabajadores</c:v>
                </c:pt>
              </c:strCache>
            </c:strRef>
          </c:cat>
          <c:val>
            <c:numRef>
              <c:f>'SAL IVR'!$B$9:$C$9</c:f>
              <c:numCache>
                <c:formatCode>#,##0</c:formatCode>
                <c:ptCount val="2"/>
                <c:pt idx="0">
                  <c:v>534</c:v>
                </c:pt>
                <c:pt idx="1">
                  <c:v>761</c:v>
                </c:pt>
              </c:numCache>
            </c:numRef>
          </c:val>
        </c:ser>
        <c:ser>
          <c:idx val="8"/>
          <c:order val="5"/>
          <c:tx>
            <c:strRef>
              <c:f>'SAL IVR'!$A$10</c:f>
              <c:strCache>
                <c:ptCount val="1"/>
                <c:pt idx="0">
                  <c:v>Hoteles y restaurantes</c:v>
                </c:pt>
              </c:strCache>
            </c:strRef>
          </c:tx>
          <c:invertIfNegative val="0"/>
          <c:cat>
            <c:strRef>
              <c:f>'SAL IVR'!$B$1:$C$1</c:f>
              <c:strCache>
                <c:ptCount val="2"/>
                <c:pt idx="0">
                  <c:v>Empresa</c:v>
                </c:pt>
                <c:pt idx="1">
                  <c:v>Trabajadores</c:v>
                </c:pt>
              </c:strCache>
            </c:strRef>
          </c:cat>
          <c:val>
            <c:numRef>
              <c:f>'SAL IVR'!$B$10:$C$10</c:f>
              <c:numCache>
                <c:formatCode>#,##0</c:formatCode>
                <c:ptCount val="2"/>
                <c:pt idx="0">
                  <c:v>149</c:v>
                </c:pt>
                <c:pt idx="1">
                  <c:v>422</c:v>
                </c:pt>
              </c:numCache>
            </c:numRef>
          </c:val>
        </c:ser>
        <c:ser>
          <c:idx val="9"/>
          <c:order val="6"/>
          <c:tx>
            <c:strRef>
              <c:f>'SAL IVR'!$A$11</c:f>
              <c:strCache>
                <c:ptCount val="1"/>
                <c:pt idx="0">
                  <c:v>Transporte, almacenamiento y comunicaciones</c:v>
                </c:pt>
              </c:strCache>
            </c:strRef>
          </c:tx>
          <c:invertIfNegative val="0"/>
          <c:cat>
            <c:strRef>
              <c:f>'SAL IVR'!$B$1:$C$1</c:f>
              <c:strCache>
                <c:ptCount val="2"/>
                <c:pt idx="0">
                  <c:v>Empresa</c:v>
                </c:pt>
                <c:pt idx="1">
                  <c:v>Trabajadores</c:v>
                </c:pt>
              </c:strCache>
            </c:strRef>
          </c:cat>
          <c:val>
            <c:numRef>
              <c:f>'SAL IVR'!$B$11:$C$11</c:f>
              <c:numCache>
                <c:formatCode>#,##0</c:formatCode>
                <c:ptCount val="2"/>
                <c:pt idx="0">
                  <c:v>121</c:v>
                </c:pt>
                <c:pt idx="1">
                  <c:v>319</c:v>
                </c:pt>
              </c:numCache>
            </c:numRef>
          </c:val>
        </c:ser>
        <c:ser>
          <c:idx val="11"/>
          <c:order val="7"/>
          <c:tx>
            <c:strRef>
              <c:f>'SAL IVR'!$A$13</c:f>
              <c:strCache>
                <c:ptCount val="1"/>
                <c:pt idx="0">
                  <c:v>Actividades inmobiliarias, empresariales y de alquiler</c:v>
                </c:pt>
              </c:strCache>
            </c:strRef>
          </c:tx>
          <c:invertIfNegative val="0"/>
          <c:cat>
            <c:strRef>
              <c:f>'SAL IVR'!$B$1:$C$1</c:f>
              <c:strCache>
                <c:ptCount val="2"/>
                <c:pt idx="0">
                  <c:v>Empresa</c:v>
                </c:pt>
                <c:pt idx="1">
                  <c:v>Trabajadores</c:v>
                </c:pt>
              </c:strCache>
            </c:strRef>
          </c:cat>
          <c:val>
            <c:numRef>
              <c:f>'SAL IVR'!$B$13:$C$13</c:f>
              <c:numCache>
                <c:formatCode>#,##0</c:formatCode>
                <c:ptCount val="2"/>
                <c:pt idx="0">
                  <c:v>112</c:v>
                </c:pt>
                <c:pt idx="1">
                  <c:v>230</c:v>
                </c:pt>
              </c:numCache>
            </c:numRef>
          </c:val>
        </c:ser>
        <c:ser>
          <c:idx val="12"/>
          <c:order val="8"/>
          <c:tx>
            <c:strRef>
              <c:f>'SAL IVR'!$A$14</c:f>
              <c:strCache>
                <c:ptCount val="1"/>
                <c:pt idx="0">
                  <c:v>Adm. pública y defensa, planes de seg. social afiliación obligatoria</c:v>
                </c:pt>
              </c:strCache>
            </c:strRef>
          </c:tx>
          <c:invertIfNegative val="0"/>
          <c:cat>
            <c:strRef>
              <c:f>'SAL IVR'!$B$1:$C$1</c:f>
              <c:strCache>
                <c:ptCount val="2"/>
                <c:pt idx="0">
                  <c:v>Empresa</c:v>
                </c:pt>
                <c:pt idx="1">
                  <c:v>Trabajadores</c:v>
                </c:pt>
              </c:strCache>
            </c:strRef>
          </c:cat>
          <c:val>
            <c:numRef>
              <c:f>'SAL IVR'!$B$14:$C$14</c:f>
              <c:numCache>
                <c:formatCode>General</c:formatCode>
                <c:ptCount val="2"/>
                <c:pt idx="0">
                  <c:v>1</c:v>
                </c:pt>
                <c:pt idx="1">
                  <c:v>595</c:v>
                </c:pt>
              </c:numCache>
            </c:numRef>
          </c:val>
        </c:ser>
        <c:ser>
          <c:idx val="13"/>
          <c:order val="9"/>
          <c:tx>
            <c:strRef>
              <c:f>'SAL IVR'!$A$15</c:f>
              <c:strCache>
                <c:ptCount val="1"/>
                <c:pt idx="0">
                  <c:v>Enseñanza</c:v>
                </c:pt>
              </c:strCache>
            </c:strRef>
          </c:tx>
          <c:invertIfNegative val="0"/>
          <c:cat>
            <c:strRef>
              <c:f>'SAL IVR'!$B$1:$C$1</c:f>
              <c:strCache>
                <c:ptCount val="2"/>
                <c:pt idx="0">
                  <c:v>Empresa</c:v>
                </c:pt>
                <c:pt idx="1">
                  <c:v>Trabajadores</c:v>
                </c:pt>
              </c:strCache>
            </c:strRef>
          </c:cat>
          <c:val>
            <c:numRef>
              <c:f>'SAL IVR'!$B$15:$C$15</c:f>
              <c:numCache>
                <c:formatCode>#,##0</c:formatCode>
                <c:ptCount val="2"/>
                <c:pt idx="0">
                  <c:v>13</c:v>
                </c:pt>
                <c:pt idx="1">
                  <c:v>324</c:v>
                </c:pt>
              </c:numCache>
            </c:numRef>
          </c:val>
        </c:ser>
        <c:dLbls>
          <c:showLegendKey val="0"/>
          <c:showVal val="0"/>
          <c:showCatName val="0"/>
          <c:showSerName val="0"/>
          <c:showPercent val="0"/>
          <c:showBubbleSize val="0"/>
        </c:dLbls>
        <c:gapWidth val="150"/>
        <c:overlap val="100"/>
        <c:axId val="215688704"/>
        <c:axId val="215690240"/>
      </c:barChart>
      <c:catAx>
        <c:axId val="215688704"/>
        <c:scaling>
          <c:orientation val="minMax"/>
        </c:scaling>
        <c:delete val="0"/>
        <c:axPos val="l"/>
        <c:majorTickMark val="out"/>
        <c:minorTickMark val="none"/>
        <c:tickLblPos val="nextTo"/>
        <c:txPr>
          <a:bodyPr/>
          <a:lstStyle/>
          <a:p>
            <a:pPr>
              <a:defRPr sz="900"/>
            </a:pPr>
            <a:endParaRPr lang="es-CL"/>
          </a:p>
        </c:txPr>
        <c:crossAx val="215690240"/>
        <c:crosses val="autoZero"/>
        <c:auto val="1"/>
        <c:lblAlgn val="ctr"/>
        <c:lblOffset val="100"/>
        <c:noMultiLvlLbl val="0"/>
      </c:catAx>
      <c:valAx>
        <c:axId val="215690240"/>
        <c:scaling>
          <c:orientation val="minMax"/>
        </c:scaling>
        <c:delete val="0"/>
        <c:axPos val="b"/>
        <c:majorGridlines/>
        <c:numFmt formatCode="0%" sourceLinked="1"/>
        <c:majorTickMark val="out"/>
        <c:minorTickMark val="none"/>
        <c:tickLblPos val="nextTo"/>
        <c:crossAx val="215688704"/>
        <c:crosses val="autoZero"/>
        <c:crossBetween val="between"/>
      </c:valAx>
    </c:plotArea>
    <c:legend>
      <c:legendPos val="b"/>
      <c:layout>
        <c:manualLayout>
          <c:xMode val="edge"/>
          <c:yMode val="edge"/>
          <c:x val="5.9385213709600197E-2"/>
          <c:y val="0.53694298805596896"/>
          <c:w val="0.89096172353455805"/>
          <c:h val="0.41953252795254098"/>
        </c:manualLayout>
      </c:layout>
      <c:overlay val="0"/>
      <c:txPr>
        <a:bodyPr/>
        <a:lstStyle/>
        <a:p>
          <a:pPr>
            <a:defRPr sz="800"/>
          </a:pPr>
          <a:endParaRPr lang="es-CL"/>
        </a:p>
      </c:txPr>
    </c:legend>
    <c:plotVisOnly val="1"/>
    <c:dispBlanksAs val="gap"/>
    <c:showDLblsOverMax val="0"/>
  </c:chart>
  <c:txPr>
    <a:bodyPr/>
    <a:lstStyle/>
    <a:p>
      <a:pPr>
        <a:defRPr sz="1000">
          <a:latin typeface="Arial" panose="020B0604020202020204" pitchFamily="34" charset="0"/>
          <a:cs typeface="Arial" panose="020B0604020202020204" pitchFamily="34" charset="0"/>
        </a:defRPr>
      </a:pPr>
      <a:endParaRPr lang="es-CL"/>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es-C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000"/>
            </a:pPr>
            <a:r>
              <a:rPr lang="en-US" sz="1000"/>
              <a:t>Faenas mineras de explotación de la comuna de Salamanca, según</a:t>
            </a:r>
            <a:r>
              <a:rPr lang="en-US" sz="1000" baseline="0"/>
              <a:t> categorías SERNAGEOMIN. Año 2013</a:t>
            </a:r>
            <a:endParaRPr lang="en-US" sz="1000"/>
          </a:p>
        </c:rich>
      </c:tx>
      <c:overlay val="0"/>
    </c:title>
    <c:autoTitleDeleted val="0"/>
    <c:plotArea>
      <c:layout>
        <c:manualLayout>
          <c:layoutTarget val="inner"/>
          <c:xMode val="edge"/>
          <c:yMode val="edge"/>
          <c:x val="0.33943503937007874"/>
          <c:y val="0.21615303295421406"/>
          <c:w val="0.34890769903762031"/>
          <c:h val="0.58151283172936719"/>
        </c:manualLayout>
      </c:layout>
      <c:pieChart>
        <c:varyColors val="1"/>
        <c:ser>
          <c:idx val="0"/>
          <c:order val="0"/>
          <c:tx>
            <c:strRef>
              <c:f>Hoja2!$C$14</c:f>
              <c:strCache>
                <c:ptCount val="1"/>
                <c:pt idx="0">
                  <c:v>Salamanca</c:v>
                </c:pt>
              </c:strCache>
            </c:strRef>
          </c:tx>
          <c:dPt>
            <c:idx val="0"/>
            <c:bubble3D val="0"/>
            <c:spPr>
              <a:solidFill>
                <a:srgbClr val="FF0000"/>
              </a:solidFill>
            </c:spPr>
          </c:dPt>
          <c:dPt>
            <c:idx val="1"/>
            <c:bubble3D val="0"/>
            <c:spPr>
              <a:solidFill>
                <a:srgbClr val="00B050"/>
              </a:solidFill>
            </c:spPr>
          </c:dPt>
          <c:dPt>
            <c:idx val="2"/>
            <c:bubble3D val="0"/>
            <c:spPr>
              <a:solidFill>
                <a:srgbClr val="0070C0"/>
              </a:solidFill>
            </c:spPr>
          </c:dPt>
          <c:dPt>
            <c:idx val="3"/>
            <c:bubble3D val="0"/>
            <c:spPr>
              <a:solidFill>
                <a:srgbClr val="FFC000"/>
              </a:solidFill>
            </c:spPr>
          </c:dPt>
          <c:dLbls>
            <c:dLblPos val="outEnd"/>
            <c:showLegendKey val="0"/>
            <c:showVal val="0"/>
            <c:showCatName val="0"/>
            <c:showSerName val="0"/>
            <c:showPercent val="1"/>
            <c:showBubbleSize val="0"/>
            <c:showLeaderLines val="1"/>
          </c:dLbls>
          <c:cat>
            <c:strRef>
              <c:f>Hoja2!$G$1:$J$1</c:f>
              <c:strCache>
                <c:ptCount val="4"/>
                <c:pt idx="0">
                  <c:v>Categoria A</c:v>
                </c:pt>
                <c:pt idx="1">
                  <c:v>Categoria B</c:v>
                </c:pt>
                <c:pt idx="2">
                  <c:v>Categoria C</c:v>
                </c:pt>
                <c:pt idx="3">
                  <c:v>Categoria D</c:v>
                </c:pt>
              </c:strCache>
            </c:strRef>
          </c:cat>
          <c:val>
            <c:numRef>
              <c:f>Hoja2!$G$14:$J$14</c:f>
              <c:numCache>
                <c:formatCode>General</c:formatCode>
                <c:ptCount val="4"/>
                <c:pt idx="0">
                  <c:v>8</c:v>
                </c:pt>
                <c:pt idx="1">
                  <c:v>6</c:v>
                </c:pt>
                <c:pt idx="2">
                  <c:v>1</c:v>
                </c:pt>
                <c:pt idx="3">
                  <c:v>77</c:v>
                </c:pt>
              </c:numCache>
            </c:numRef>
          </c:val>
        </c:ser>
        <c:dLbls>
          <c:showLegendKey val="0"/>
          <c:showVal val="0"/>
          <c:showCatName val="0"/>
          <c:showSerName val="0"/>
          <c:showPercent val="0"/>
          <c:showBubbleSize val="0"/>
          <c:showLeaderLines val="1"/>
        </c:dLbls>
        <c:firstSliceAng val="34"/>
      </c:pieChart>
    </c:plotArea>
    <c:legend>
      <c:legendPos val="b"/>
      <c:overlay val="0"/>
      <c:txPr>
        <a:bodyPr/>
        <a:lstStyle/>
        <a:p>
          <a:pPr rtl="0">
            <a:defRPr sz="900"/>
          </a:pPr>
          <a:endParaRPr lang="es-CL"/>
        </a:p>
      </c:txPr>
    </c:legend>
    <c:plotVisOnly val="1"/>
    <c:dispBlanksAs val="gap"/>
    <c:showDLblsOverMax val="0"/>
  </c:chart>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es-C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050"/>
            </a:pPr>
            <a:r>
              <a:rPr lang="en-US" sz="1050"/>
              <a:t>Principales cultivos silvoagrícolas de la comuna de Salamanca, según superficie. Año 2002</a:t>
            </a:r>
          </a:p>
        </c:rich>
      </c:tx>
      <c:overlay val="0"/>
    </c:title>
    <c:autoTitleDeleted val="0"/>
    <c:plotArea>
      <c:layout>
        <c:manualLayout>
          <c:layoutTarget val="inner"/>
          <c:xMode val="edge"/>
          <c:yMode val="edge"/>
          <c:x val="0.34973162729658791"/>
          <c:y val="0.19432888597258677"/>
          <c:w val="0.30609251968503937"/>
          <c:h val="0.51015419947506557"/>
        </c:manualLayout>
      </c:layout>
      <c:pieChart>
        <c:varyColors val="1"/>
        <c:ser>
          <c:idx val="0"/>
          <c:order val="0"/>
          <c:tx>
            <c:strRef>
              <c:f>Hoja4!$E$47</c:f>
              <c:strCache>
                <c:ptCount val="1"/>
                <c:pt idx="0">
                  <c:v>Salamanca</c:v>
                </c:pt>
              </c:strCache>
            </c:strRef>
          </c:tx>
          <c:dPt>
            <c:idx val="0"/>
            <c:bubble3D val="0"/>
            <c:spPr>
              <a:solidFill>
                <a:srgbClr val="0070C0"/>
              </a:solidFill>
            </c:spPr>
          </c:dPt>
          <c:dPt>
            <c:idx val="1"/>
            <c:bubble3D val="0"/>
            <c:spPr>
              <a:solidFill>
                <a:srgbClr val="7030A0"/>
              </a:solidFill>
            </c:spPr>
          </c:dPt>
          <c:dPt>
            <c:idx val="2"/>
            <c:bubble3D val="0"/>
            <c:spPr>
              <a:solidFill>
                <a:srgbClr val="FFC000"/>
              </a:solidFill>
            </c:spPr>
          </c:dPt>
          <c:dPt>
            <c:idx val="3"/>
            <c:bubble3D val="0"/>
            <c:spPr>
              <a:solidFill>
                <a:srgbClr val="00B0F0"/>
              </a:solidFill>
            </c:spPr>
          </c:dPt>
          <c:dPt>
            <c:idx val="4"/>
            <c:bubble3D val="0"/>
            <c:spPr>
              <a:solidFill>
                <a:srgbClr val="FF0000"/>
              </a:solidFill>
            </c:spPr>
          </c:dPt>
          <c:dPt>
            <c:idx val="5"/>
            <c:bubble3D val="0"/>
            <c:spPr>
              <a:solidFill>
                <a:srgbClr val="92D050"/>
              </a:solidFill>
            </c:spPr>
          </c:dPt>
          <c:dPt>
            <c:idx val="6"/>
            <c:bubble3D val="0"/>
            <c:spPr>
              <a:solidFill>
                <a:srgbClr val="FFFF00"/>
              </a:solidFill>
            </c:spPr>
          </c:dPt>
          <c:dLbls>
            <c:dLbl>
              <c:idx val="0"/>
              <c:layout>
                <c:manualLayout>
                  <c:x val="8.3333333333333332E-3"/>
                  <c:y val="-1.3888888888888867E-2"/>
                </c:manualLayout>
              </c:layout>
              <c:dLblPos val="bestFit"/>
              <c:showLegendKey val="0"/>
              <c:showVal val="0"/>
              <c:showCatName val="0"/>
              <c:showSerName val="0"/>
              <c:showPercent val="1"/>
              <c:showBubbleSize val="0"/>
            </c:dLbl>
            <c:dLbl>
              <c:idx val="1"/>
              <c:layout>
                <c:manualLayout>
                  <c:x val="2.5000000000000001E-2"/>
                  <c:y val="-9.2592592592592587E-3"/>
                </c:manualLayout>
              </c:layout>
              <c:dLblPos val="bestFit"/>
              <c:showLegendKey val="0"/>
              <c:showVal val="0"/>
              <c:showCatName val="0"/>
              <c:showSerName val="0"/>
              <c:showPercent val="1"/>
              <c:showBubbleSize val="0"/>
            </c:dLbl>
            <c:dLbl>
              <c:idx val="2"/>
              <c:layout>
                <c:manualLayout>
                  <c:x val="1.9444444444444445E-2"/>
                  <c:y val="0"/>
                </c:manualLayout>
              </c:layout>
              <c:dLblPos val="bestFit"/>
              <c:showLegendKey val="0"/>
              <c:showVal val="0"/>
              <c:showCatName val="0"/>
              <c:showSerName val="0"/>
              <c:showPercent val="1"/>
              <c:showBubbleSize val="0"/>
            </c:dLbl>
            <c:dLbl>
              <c:idx val="3"/>
              <c:layout>
                <c:manualLayout>
                  <c:x val="8.3333333333333332E-3"/>
                  <c:y val="4.6296296296296294E-3"/>
                </c:manualLayout>
              </c:layout>
              <c:dLblPos val="bestFit"/>
              <c:showLegendKey val="0"/>
              <c:showVal val="0"/>
              <c:showCatName val="0"/>
              <c:showSerName val="0"/>
              <c:showPercent val="1"/>
              <c:showBubbleSize val="0"/>
            </c:dLbl>
            <c:dLbl>
              <c:idx val="5"/>
              <c:layout>
                <c:manualLayout>
                  <c:x val="-9.1666666666666619E-2"/>
                  <c:y val="0.125"/>
                </c:manualLayout>
              </c:layout>
              <c:dLblPos val="bestFit"/>
              <c:showLegendKey val="0"/>
              <c:showVal val="0"/>
              <c:showCatName val="0"/>
              <c:showSerName val="0"/>
              <c:showPercent val="1"/>
              <c:showBubbleSize val="0"/>
            </c:dLbl>
            <c:dLbl>
              <c:idx val="6"/>
              <c:layout>
                <c:manualLayout>
                  <c:x val="0"/>
                  <c:y val="-3.2407407407407406E-2"/>
                </c:manualLayout>
              </c:layout>
              <c:dLblPos val="bestFit"/>
              <c:showLegendKey val="0"/>
              <c:showVal val="0"/>
              <c:showCatName val="0"/>
              <c:showSerName val="0"/>
              <c:showPercent val="1"/>
              <c:showBubbleSize val="0"/>
            </c:dLbl>
            <c:dLblPos val="outEnd"/>
            <c:showLegendKey val="0"/>
            <c:showVal val="0"/>
            <c:showCatName val="0"/>
            <c:showSerName val="0"/>
            <c:showPercent val="1"/>
            <c:showBubbleSize val="0"/>
            <c:showLeaderLines val="1"/>
          </c:dLbls>
          <c:cat>
            <c:strRef>
              <c:f>(Hoja4!$D$48:$D$49;Hoja4!$D$51;Hoja4!$D$53:$D$55;Hoja4!$D$58)</c:f>
              <c:strCache>
                <c:ptCount val="7"/>
                <c:pt idx="0">
                  <c:v>Cereales</c:v>
                </c:pt>
                <c:pt idx="1">
                  <c:v>Leguminosas y tubérculos</c:v>
                </c:pt>
                <c:pt idx="2">
                  <c:v>Hortalizas</c:v>
                </c:pt>
                <c:pt idx="3">
                  <c:v>Plantas forrajeras</c:v>
                </c:pt>
                <c:pt idx="4">
                  <c:v>Frutales</c:v>
                </c:pt>
                <c:pt idx="5">
                  <c:v>Viñas y parronales viníferos</c:v>
                </c:pt>
                <c:pt idx="6">
                  <c:v>Plantaciones forestales</c:v>
                </c:pt>
              </c:strCache>
            </c:strRef>
          </c:cat>
          <c:val>
            <c:numRef>
              <c:f>(Hoja4!$E$48:$E$49;Hoja4!$E$51;Hoja4!$E$53:$E$55;Hoja4!$E$58)</c:f>
              <c:numCache>
                <c:formatCode>General</c:formatCode>
                <c:ptCount val="7"/>
                <c:pt idx="0">
                  <c:v>49.8</c:v>
                </c:pt>
                <c:pt idx="1">
                  <c:v>162.6</c:v>
                </c:pt>
                <c:pt idx="2">
                  <c:v>278.16000000000003</c:v>
                </c:pt>
                <c:pt idx="3">
                  <c:v>751.92</c:v>
                </c:pt>
                <c:pt idx="4">
                  <c:v>1427.52</c:v>
                </c:pt>
                <c:pt idx="5">
                  <c:v>1685.9</c:v>
                </c:pt>
                <c:pt idx="6">
                  <c:v>240.3</c:v>
                </c:pt>
              </c:numCache>
            </c:numRef>
          </c:val>
        </c:ser>
        <c:dLbls>
          <c:showLegendKey val="0"/>
          <c:showVal val="0"/>
          <c:showCatName val="0"/>
          <c:showSerName val="0"/>
          <c:showPercent val="0"/>
          <c:showBubbleSize val="0"/>
          <c:showLeaderLines val="1"/>
        </c:dLbls>
        <c:firstSliceAng val="65"/>
      </c:pieChart>
    </c:plotArea>
    <c:legend>
      <c:legendPos val="b"/>
      <c:layout>
        <c:manualLayout>
          <c:xMode val="edge"/>
          <c:yMode val="edge"/>
          <c:x val="2.5596675415573047E-2"/>
          <c:y val="0.78781641878098574"/>
          <c:w val="0.94047331583552052"/>
          <c:h val="0.1844058034412365"/>
        </c:manualLayout>
      </c:layout>
      <c:overlay val="0"/>
      <c:txPr>
        <a:bodyPr/>
        <a:lstStyle/>
        <a:p>
          <a:pPr>
            <a:defRPr sz="900"/>
          </a:pPr>
          <a:endParaRPr lang="es-CL"/>
        </a:p>
      </c:txPr>
    </c:legend>
    <c:plotVisOnly val="1"/>
    <c:dispBlanksAs val="gap"/>
    <c:showDLblsOverMax val="0"/>
  </c:chart>
  <c:externalData r:id="rId1">
    <c:autoUpdate val="0"/>
  </c:externalData>
</c:chartSpace>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2529F61-C655-490F-826F-8AA5529355A5}" type="doc">
      <dgm:prSet loTypeId="urn:microsoft.com/office/officeart/2005/8/layout/hierarchy3" loCatId="hierarchy" qsTypeId="urn:microsoft.com/office/officeart/2005/8/quickstyle/simple1" qsCatId="simple" csTypeId="urn:microsoft.com/office/officeart/2005/8/colors/accent0_1" csCatId="mainScheme" phldr="1"/>
      <dgm:spPr/>
      <dgm:t>
        <a:bodyPr/>
        <a:lstStyle/>
        <a:p>
          <a:endParaRPr lang="es-CL"/>
        </a:p>
      </dgm:t>
    </dgm:pt>
    <dgm:pt modelId="{52774B34-0A36-4D5D-8B3D-6F11D640B125}">
      <dgm:prSet phldrT="[Texto]" custT="1"/>
      <dgm:spPr/>
      <dgm:t>
        <a:bodyPr/>
        <a:lstStyle/>
        <a:p>
          <a:r>
            <a:rPr lang="es-CL" sz="1000" b="0" dirty="0" smtClean="0">
              <a:effectLst/>
              <a:latin typeface="Arial" panose="020B0604020202020204" pitchFamily="34" charset="0"/>
              <a:cs typeface="Arial" panose="020B0604020202020204" pitchFamily="34" charset="0"/>
            </a:rPr>
            <a:t>Territorialidad</a:t>
          </a:r>
          <a:endParaRPr lang="es-CL" sz="1000" b="0">
            <a:latin typeface="Arial" panose="020B0604020202020204" pitchFamily="34" charset="0"/>
            <a:cs typeface="Arial" panose="020B0604020202020204" pitchFamily="34" charset="0"/>
          </a:endParaRPr>
        </a:p>
      </dgm:t>
    </dgm:pt>
    <dgm:pt modelId="{8C8A9138-CCF1-4CCE-B33B-C88C3332264B}" type="parTrans" cxnId="{1CE3380D-ABFD-4140-A916-CA654C4B03F3}">
      <dgm:prSet/>
      <dgm:spPr/>
      <dgm:t>
        <a:bodyPr/>
        <a:lstStyle/>
        <a:p>
          <a:endParaRPr lang="es-CL" sz="1600">
            <a:latin typeface="Arial" panose="020B0604020202020204" pitchFamily="34" charset="0"/>
            <a:cs typeface="Arial" panose="020B0604020202020204" pitchFamily="34" charset="0"/>
          </a:endParaRPr>
        </a:p>
      </dgm:t>
    </dgm:pt>
    <dgm:pt modelId="{46731D80-48AF-40D8-93DE-9F454BB70986}" type="sibTrans" cxnId="{1CE3380D-ABFD-4140-A916-CA654C4B03F3}">
      <dgm:prSet/>
      <dgm:spPr/>
      <dgm:t>
        <a:bodyPr/>
        <a:lstStyle/>
        <a:p>
          <a:endParaRPr lang="es-CL" sz="1600">
            <a:latin typeface="Arial" panose="020B0604020202020204" pitchFamily="34" charset="0"/>
            <a:cs typeface="Arial" panose="020B0604020202020204" pitchFamily="34" charset="0"/>
          </a:endParaRPr>
        </a:p>
      </dgm:t>
    </dgm:pt>
    <dgm:pt modelId="{DB50DAB0-EC3D-47D4-9CFF-2347520AD0DD}">
      <dgm:prSet phldrT="[Texto]" custT="1"/>
      <dgm:spPr/>
      <dgm:t>
        <a:bodyPr/>
        <a:lstStyle/>
        <a:p>
          <a:r>
            <a:rPr lang="es-CL" sz="900" dirty="0" smtClean="0">
              <a:latin typeface="Arial" panose="020B0604020202020204" pitchFamily="34" charset="0"/>
              <a:cs typeface="Arial" panose="020B0604020202020204" pitchFamily="34" charset="0"/>
            </a:rPr>
            <a:t>Agricultura subsistencia </a:t>
          </a:r>
          <a:endParaRPr lang="es-CL" sz="900" dirty="0">
            <a:latin typeface="Arial" panose="020B0604020202020204" pitchFamily="34" charset="0"/>
            <a:cs typeface="Arial" panose="020B0604020202020204" pitchFamily="34" charset="0"/>
          </a:endParaRPr>
        </a:p>
      </dgm:t>
    </dgm:pt>
    <dgm:pt modelId="{9C24F9FB-4873-41F9-AA5D-6E4F71714D00}" type="parTrans" cxnId="{F9737581-C3FE-4A3B-87D8-3C0BED658B77}">
      <dgm:prSet/>
      <dgm:spPr/>
      <dgm:t>
        <a:bodyPr/>
        <a:lstStyle/>
        <a:p>
          <a:endParaRPr lang="es-CL" sz="1600">
            <a:latin typeface="Arial" panose="020B0604020202020204" pitchFamily="34" charset="0"/>
            <a:cs typeface="Arial" panose="020B0604020202020204" pitchFamily="34" charset="0"/>
          </a:endParaRPr>
        </a:p>
      </dgm:t>
    </dgm:pt>
    <dgm:pt modelId="{BD013C28-9E1B-443D-ADC6-33AFA1AD1D2A}" type="sibTrans" cxnId="{F9737581-C3FE-4A3B-87D8-3C0BED658B77}">
      <dgm:prSet/>
      <dgm:spPr/>
      <dgm:t>
        <a:bodyPr/>
        <a:lstStyle/>
        <a:p>
          <a:endParaRPr lang="es-CL" sz="1600">
            <a:latin typeface="Arial" panose="020B0604020202020204" pitchFamily="34" charset="0"/>
            <a:cs typeface="Arial" panose="020B0604020202020204" pitchFamily="34" charset="0"/>
          </a:endParaRPr>
        </a:p>
      </dgm:t>
    </dgm:pt>
    <dgm:pt modelId="{7A2CD541-4CD8-49E8-9C3A-9791988F09F5}">
      <dgm:prSet phldrT="[Texto]" custT="1"/>
      <dgm:spPr/>
      <dgm:t>
        <a:bodyPr/>
        <a:lstStyle/>
        <a:p>
          <a:r>
            <a:rPr lang="es-CL" sz="900" dirty="0" smtClean="0">
              <a:latin typeface="Arial" panose="020B0604020202020204" pitchFamily="34" charset="0"/>
              <a:cs typeface="Arial" panose="020B0604020202020204" pitchFamily="34" charset="0"/>
            </a:rPr>
            <a:t>Ganadería de trashumancia</a:t>
          </a:r>
          <a:endParaRPr lang="es-CL" sz="900" dirty="0">
            <a:latin typeface="Arial" panose="020B0604020202020204" pitchFamily="34" charset="0"/>
            <a:cs typeface="Arial" panose="020B0604020202020204" pitchFamily="34" charset="0"/>
          </a:endParaRPr>
        </a:p>
      </dgm:t>
    </dgm:pt>
    <dgm:pt modelId="{C506EEEF-27F3-4A36-AC63-0FC0D99FF4B3}" type="parTrans" cxnId="{00B10F21-A071-40AD-A7D2-56D1ADF5BD57}">
      <dgm:prSet/>
      <dgm:spPr/>
      <dgm:t>
        <a:bodyPr/>
        <a:lstStyle/>
        <a:p>
          <a:endParaRPr lang="es-CL" sz="1600">
            <a:latin typeface="Arial" panose="020B0604020202020204" pitchFamily="34" charset="0"/>
            <a:cs typeface="Arial" panose="020B0604020202020204" pitchFamily="34" charset="0"/>
          </a:endParaRPr>
        </a:p>
      </dgm:t>
    </dgm:pt>
    <dgm:pt modelId="{62F21C4F-7C6A-4088-B18C-1A04FBE41727}" type="sibTrans" cxnId="{00B10F21-A071-40AD-A7D2-56D1ADF5BD57}">
      <dgm:prSet/>
      <dgm:spPr/>
      <dgm:t>
        <a:bodyPr/>
        <a:lstStyle/>
        <a:p>
          <a:endParaRPr lang="es-CL" sz="1600">
            <a:latin typeface="Arial" panose="020B0604020202020204" pitchFamily="34" charset="0"/>
            <a:cs typeface="Arial" panose="020B0604020202020204" pitchFamily="34" charset="0"/>
          </a:endParaRPr>
        </a:p>
      </dgm:t>
    </dgm:pt>
    <dgm:pt modelId="{6AB1AEC5-ECC4-49C8-9B88-4E5EA769628B}">
      <dgm:prSet phldrT="[Texto]" custT="1"/>
      <dgm:spPr/>
      <dgm:t>
        <a:bodyPr/>
        <a:lstStyle/>
        <a:p>
          <a:r>
            <a:rPr lang="es-CL" sz="900" dirty="0" smtClean="0">
              <a:latin typeface="Arial" panose="020B0604020202020204" pitchFamily="34" charset="0"/>
              <a:cs typeface="Arial" panose="020B0604020202020204" pitchFamily="34" charset="0"/>
            </a:rPr>
            <a:t>Minería artesanal</a:t>
          </a:r>
          <a:endParaRPr lang="es-CL" sz="900" dirty="0">
            <a:latin typeface="Arial" panose="020B0604020202020204" pitchFamily="34" charset="0"/>
            <a:cs typeface="Arial" panose="020B0604020202020204" pitchFamily="34" charset="0"/>
          </a:endParaRPr>
        </a:p>
      </dgm:t>
    </dgm:pt>
    <dgm:pt modelId="{9CB8A9A6-8144-450E-8717-68AA59E88688}" type="parTrans" cxnId="{6AC569BB-2C0E-40A7-9D0A-36AF20E8A7A3}">
      <dgm:prSet/>
      <dgm:spPr/>
      <dgm:t>
        <a:bodyPr/>
        <a:lstStyle/>
        <a:p>
          <a:endParaRPr lang="es-CL" sz="1600">
            <a:latin typeface="Arial" panose="020B0604020202020204" pitchFamily="34" charset="0"/>
            <a:cs typeface="Arial" panose="020B0604020202020204" pitchFamily="34" charset="0"/>
          </a:endParaRPr>
        </a:p>
      </dgm:t>
    </dgm:pt>
    <dgm:pt modelId="{D72B6E22-F829-4C4C-8927-8840A24B009D}" type="sibTrans" cxnId="{6AC569BB-2C0E-40A7-9D0A-36AF20E8A7A3}">
      <dgm:prSet/>
      <dgm:spPr/>
      <dgm:t>
        <a:bodyPr/>
        <a:lstStyle/>
        <a:p>
          <a:endParaRPr lang="es-CL" sz="1600">
            <a:latin typeface="Arial" panose="020B0604020202020204" pitchFamily="34" charset="0"/>
            <a:cs typeface="Arial" panose="020B0604020202020204" pitchFamily="34" charset="0"/>
          </a:endParaRPr>
        </a:p>
      </dgm:t>
    </dgm:pt>
    <dgm:pt modelId="{07CB323B-EF07-457C-A3A0-2DE452A6D881}">
      <dgm:prSet phldrT="[Texto]" custT="1"/>
      <dgm:spPr/>
      <dgm:t>
        <a:bodyPr/>
        <a:lstStyle/>
        <a:p>
          <a:r>
            <a:rPr lang="es-CL" sz="1000" b="0" dirty="0" smtClean="0">
              <a:effectLst/>
              <a:latin typeface="Arial" panose="020B0604020202020204" pitchFamily="34" charset="0"/>
              <a:cs typeface="Arial" panose="020B0604020202020204" pitchFamily="34" charset="0"/>
            </a:rPr>
            <a:t>Desarrollo Local</a:t>
          </a:r>
          <a:endParaRPr lang="es-CL" sz="1000" b="0" dirty="0">
            <a:effectLst/>
            <a:latin typeface="Arial" panose="020B0604020202020204" pitchFamily="34" charset="0"/>
            <a:cs typeface="Arial" panose="020B0604020202020204" pitchFamily="34" charset="0"/>
          </a:endParaRPr>
        </a:p>
      </dgm:t>
    </dgm:pt>
    <dgm:pt modelId="{28257DCC-E0A0-4F76-B5D1-7CBD45993829}" type="parTrans" cxnId="{DA3875F1-94F3-4FC2-8B31-6C59486077F0}">
      <dgm:prSet/>
      <dgm:spPr/>
      <dgm:t>
        <a:bodyPr/>
        <a:lstStyle/>
        <a:p>
          <a:endParaRPr lang="es-CL" sz="1600">
            <a:latin typeface="Arial" panose="020B0604020202020204" pitchFamily="34" charset="0"/>
            <a:cs typeface="Arial" panose="020B0604020202020204" pitchFamily="34" charset="0"/>
          </a:endParaRPr>
        </a:p>
      </dgm:t>
    </dgm:pt>
    <dgm:pt modelId="{A37EF22C-DB8B-4880-A379-06913F5A3F05}" type="sibTrans" cxnId="{DA3875F1-94F3-4FC2-8B31-6C59486077F0}">
      <dgm:prSet/>
      <dgm:spPr/>
      <dgm:t>
        <a:bodyPr/>
        <a:lstStyle/>
        <a:p>
          <a:endParaRPr lang="es-CL" sz="1600">
            <a:latin typeface="Arial" panose="020B0604020202020204" pitchFamily="34" charset="0"/>
            <a:cs typeface="Arial" panose="020B0604020202020204" pitchFamily="34" charset="0"/>
          </a:endParaRPr>
        </a:p>
      </dgm:t>
    </dgm:pt>
    <dgm:pt modelId="{2FACB91F-5CF2-4AD5-9852-30EB83A3B60E}">
      <dgm:prSet phldrT="[Texto]" custT="1"/>
      <dgm:spPr/>
      <dgm:t>
        <a:bodyPr/>
        <a:lstStyle/>
        <a:p>
          <a:r>
            <a:rPr lang="es-CL" sz="900" dirty="0" smtClean="0">
              <a:latin typeface="Arial" panose="020B0604020202020204" pitchFamily="34" charset="0"/>
              <a:cs typeface="Arial" panose="020B0604020202020204" pitchFamily="34" charset="0"/>
            </a:rPr>
            <a:t>Política de Desarrollo ausente</a:t>
          </a:r>
          <a:endParaRPr lang="es-CL" sz="900" dirty="0">
            <a:latin typeface="Arial" panose="020B0604020202020204" pitchFamily="34" charset="0"/>
            <a:cs typeface="Arial" panose="020B0604020202020204" pitchFamily="34" charset="0"/>
          </a:endParaRPr>
        </a:p>
      </dgm:t>
    </dgm:pt>
    <dgm:pt modelId="{86B2F74D-D5CF-4E73-ABE7-C7459020BFD0}" type="parTrans" cxnId="{5E40C5B9-305E-4C44-953F-01991DFD1873}">
      <dgm:prSet/>
      <dgm:spPr/>
      <dgm:t>
        <a:bodyPr/>
        <a:lstStyle/>
        <a:p>
          <a:endParaRPr lang="es-CL" sz="1600">
            <a:latin typeface="Arial" panose="020B0604020202020204" pitchFamily="34" charset="0"/>
            <a:cs typeface="Arial" panose="020B0604020202020204" pitchFamily="34" charset="0"/>
          </a:endParaRPr>
        </a:p>
      </dgm:t>
    </dgm:pt>
    <dgm:pt modelId="{19C504B2-D7C0-45D3-A980-7C3874AD88E2}" type="sibTrans" cxnId="{5E40C5B9-305E-4C44-953F-01991DFD1873}">
      <dgm:prSet/>
      <dgm:spPr/>
      <dgm:t>
        <a:bodyPr/>
        <a:lstStyle/>
        <a:p>
          <a:endParaRPr lang="es-CL" sz="1600">
            <a:latin typeface="Arial" panose="020B0604020202020204" pitchFamily="34" charset="0"/>
            <a:cs typeface="Arial" panose="020B0604020202020204" pitchFamily="34" charset="0"/>
          </a:endParaRPr>
        </a:p>
      </dgm:t>
    </dgm:pt>
    <dgm:pt modelId="{77B64CAE-E36F-4F92-8BB8-E38DD8ED8EBC}">
      <dgm:prSet phldrT="[Texto]" custT="1"/>
      <dgm:spPr/>
      <dgm:t>
        <a:bodyPr/>
        <a:lstStyle/>
        <a:p>
          <a:r>
            <a:rPr lang="es-CL" sz="900" dirty="0" smtClean="0">
              <a:latin typeface="Arial" panose="020B0604020202020204" pitchFamily="34" charset="0"/>
              <a:cs typeface="Arial" panose="020B0604020202020204" pitchFamily="34" charset="0"/>
            </a:rPr>
            <a:t>Escasas oportunidades de empleo</a:t>
          </a:r>
          <a:endParaRPr lang="es-CL" sz="900" dirty="0">
            <a:latin typeface="Arial" panose="020B0604020202020204" pitchFamily="34" charset="0"/>
            <a:cs typeface="Arial" panose="020B0604020202020204" pitchFamily="34" charset="0"/>
          </a:endParaRPr>
        </a:p>
      </dgm:t>
    </dgm:pt>
    <dgm:pt modelId="{7F272C7D-24CA-4ED3-871E-94C490300C98}" type="parTrans" cxnId="{6F50437C-840C-49B2-AD6A-9F74C9DB8E11}">
      <dgm:prSet/>
      <dgm:spPr/>
      <dgm:t>
        <a:bodyPr/>
        <a:lstStyle/>
        <a:p>
          <a:endParaRPr lang="es-CL" sz="1600">
            <a:latin typeface="Arial" panose="020B0604020202020204" pitchFamily="34" charset="0"/>
            <a:cs typeface="Arial" panose="020B0604020202020204" pitchFamily="34" charset="0"/>
          </a:endParaRPr>
        </a:p>
      </dgm:t>
    </dgm:pt>
    <dgm:pt modelId="{55717A2F-6C54-4A62-85A6-AA17417E8099}" type="sibTrans" cxnId="{6F50437C-840C-49B2-AD6A-9F74C9DB8E11}">
      <dgm:prSet/>
      <dgm:spPr/>
      <dgm:t>
        <a:bodyPr/>
        <a:lstStyle/>
        <a:p>
          <a:endParaRPr lang="es-CL" sz="1600">
            <a:latin typeface="Arial" panose="020B0604020202020204" pitchFamily="34" charset="0"/>
            <a:cs typeface="Arial" panose="020B0604020202020204" pitchFamily="34" charset="0"/>
          </a:endParaRPr>
        </a:p>
      </dgm:t>
    </dgm:pt>
    <dgm:pt modelId="{8A4237C2-28D4-4CA7-85CE-4296D760A064}">
      <dgm:prSet phldrT="[Texto]" custT="1"/>
      <dgm:spPr/>
      <dgm:t>
        <a:bodyPr/>
        <a:lstStyle/>
        <a:p>
          <a:r>
            <a:rPr lang="es-CL" sz="900" dirty="0" smtClean="0">
              <a:latin typeface="Arial" panose="020B0604020202020204" pitchFamily="34" charset="0"/>
              <a:cs typeface="Arial" panose="020B0604020202020204" pitchFamily="34" charset="0"/>
            </a:rPr>
            <a:t>Agricultura y ganadería de subsistencia</a:t>
          </a:r>
        </a:p>
      </dgm:t>
    </dgm:pt>
    <dgm:pt modelId="{A0ADC2B4-623E-4505-9CCF-B94265BAC0AD}" type="parTrans" cxnId="{E05F9B89-C47A-481F-BC1C-5EDF6C9A074F}">
      <dgm:prSet/>
      <dgm:spPr/>
      <dgm:t>
        <a:bodyPr/>
        <a:lstStyle/>
        <a:p>
          <a:endParaRPr lang="es-CL" sz="1600">
            <a:latin typeface="Arial" panose="020B0604020202020204" pitchFamily="34" charset="0"/>
            <a:cs typeface="Arial" panose="020B0604020202020204" pitchFamily="34" charset="0"/>
          </a:endParaRPr>
        </a:p>
      </dgm:t>
    </dgm:pt>
    <dgm:pt modelId="{C924A3D8-7D72-4408-AC20-7B5FBA60B3D6}" type="sibTrans" cxnId="{E05F9B89-C47A-481F-BC1C-5EDF6C9A074F}">
      <dgm:prSet/>
      <dgm:spPr/>
      <dgm:t>
        <a:bodyPr/>
        <a:lstStyle/>
        <a:p>
          <a:endParaRPr lang="es-CL" sz="1600">
            <a:latin typeface="Arial" panose="020B0604020202020204" pitchFamily="34" charset="0"/>
            <a:cs typeface="Arial" panose="020B0604020202020204" pitchFamily="34" charset="0"/>
          </a:endParaRPr>
        </a:p>
      </dgm:t>
    </dgm:pt>
    <dgm:pt modelId="{12560040-B6F9-4D45-9DE8-AC5D7F00922C}">
      <dgm:prSet phldrT="[Texto]" custT="1"/>
      <dgm:spPr/>
      <dgm:t>
        <a:bodyPr/>
        <a:lstStyle/>
        <a:p>
          <a:r>
            <a:rPr lang="es-CL" sz="900" dirty="0" smtClean="0">
              <a:latin typeface="Arial" panose="020B0604020202020204" pitchFamily="34" charset="0"/>
              <a:cs typeface="Arial" panose="020B0604020202020204" pitchFamily="34" charset="0"/>
            </a:rPr>
            <a:t>Expectativa proyectos mega minería</a:t>
          </a:r>
        </a:p>
      </dgm:t>
    </dgm:pt>
    <dgm:pt modelId="{4823C27A-B7BC-4F88-9137-DF36D0652BC5}" type="parTrans" cxnId="{7A24AC45-49C9-4C16-A95F-C32AF83C34C8}">
      <dgm:prSet/>
      <dgm:spPr/>
      <dgm:t>
        <a:bodyPr/>
        <a:lstStyle/>
        <a:p>
          <a:endParaRPr lang="es-CL" sz="1600">
            <a:latin typeface="Arial" panose="020B0604020202020204" pitchFamily="34" charset="0"/>
            <a:cs typeface="Arial" panose="020B0604020202020204" pitchFamily="34" charset="0"/>
          </a:endParaRPr>
        </a:p>
      </dgm:t>
    </dgm:pt>
    <dgm:pt modelId="{B726F619-5351-4F5C-A58E-E5C073C855CD}" type="sibTrans" cxnId="{7A24AC45-49C9-4C16-A95F-C32AF83C34C8}">
      <dgm:prSet/>
      <dgm:spPr/>
      <dgm:t>
        <a:bodyPr/>
        <a:lstStyle/>
        <a:p>
          <a:endParaRPr lang="es-CL" sz="1600">
            <a:latin typeface="Arial" panose="020B0604020202020204" pitchFamily="34" charset="0"/>
            <a:cs typeface="Arial" panose="020B0604020202020204" pitchFamily="34" charset="0"/>
          </a:endParaRPr>
        </a:p>
      </dgm:t>
    </dgm:pt>
    <dgm:pt modelId="{A3E29026-3269-4F4D-8A61-10D55063CCF5}">
      <dgm:prSet phldrT="[Texto]" custT="1"/>
      <dgm:spPr/>
      <dgm:t>
        <a:bodyPr/>
        <a:lstStyle/>
        <a:p>
          <a:r>
            <a:rPr lang="es-CL" sz="900" dirty="0" smtClean="0">
              <a:latin typeface="Arial" panose="020B0604020202020204" pitchFamily="34" charset="0"/>
              <a:cs typeface="Arial" panose="020B0604020202020204" pitchFamily="34" charset="0"/>
            </a:rPr>
            <a:t>Pesca, turismo, Pymes</a:t>
          </a:r>
        </a:p>
      </dgm:t>
    </dgm:pt>
    <dgm:pt modelId="{70B4BB54-61B5-4605-AC78-404CDFAAD686}" type="parTrans" cxnId="{3C112EC6-0200-4C71-9114-92CBFD7901F3}">
      <dgm:prSet/>
      <dgm:spPr/>
      <dgm:t>
        <a:bodyPr/>
        <a:lstStyle/>
        <a:p>
          <a:endParaRPr lang="es-CL" sz="1600">
            <a:latin typeface="Arial" panose="020B0604020202020204" pitchFamily="34" charset="0"/>
            <a:cs typeface="Arial" panose="020B0604020202020204" pitchFamily="34" charset="0"/>
          </a:endParaRPr>
        </a:p>
      </dgm:t>
    </dgm:pt>
    <dgm:pt modelId="{0EBEA64C-5687-4525-AC84-070F7CE10644}" type="sibTrans" cxnId="{3C112EC6-0200-4C71-9114-92CBFD7901F3}">
      <dgm:prSet/>
      <dgm:spPr/>
      <dgm:t>
        <a:bodyPr/>
        <a:lstStyle/>
        <a:p>
          <a:endParaRPr lang="es-CL" sz="1600">
            <a:latin typeface="Arial" panose="020B0604020202020204" pitchFamily="34" charset="0"/>
            <a:cs typeface="Arial" panose="020B0604020202020204" pitchFamily="34" charset="0"/>
          </a:endParaRPr>
        </a:p>
      </dgm:t>
    </dgm:pt>
    <dgm:pt modelId="{6711D28A-1F4C-4B41-8C24-C790DE96BB25}">
      <dgm:prSet phldrT="[Texto]" custT="1"/>
      <dgm:spPr/>
      <dgm:t>
        <a:bodyPr/>
        <a:lstStyle/>
        <a:p>
          <a:r>
            <a:rPr lang="es-CL" sz="1000" b="0" dirty="0" smtClean="0">
              <a:effectLst/>
              <a:latin typeface="Arial" panose="020B0604020202020204" pitchFamily="34" charset="0"/>
              <a:cs typeface="Arial" panose="020B0604020202020204" pitchFamily="34" charset="0"/>
            </a:rPr>
            <a:t>Patrimonio e Identidad cultural</a:t>
          </a:r>
        </a:p>
      </dgm:t>
    </dgm:pt>
    <dgm:pt modelId="{DB374B6D-BB6D-42A2-A086-31633BAAE90B}" type="parTrans" cxnId="{EC1DF7DA-2543-4EF6-A7CE-5990842E6EC9}">
      <dgm:prSet/>
      <dgm:spPr/>
      <dgm:t>
        <a:bodyPr/>
        <a:lstStyle/>
        <a:p>
          <a:endParaRPr lang="es-CL" sz="1600">
            <a:latin typeface="Arial" panose="020B0604020202020204" pitchFamily="34" charset="0"/>
            <a:cs typeface="Arial" panose="020B0604020202020204" pitchFamily="34" charset="0"/>
          </a:endParaRPr>
        </a:p>
      </dgm:t>
    </dgm:pt>
    <dgm:pt modelId="{B8522BEF-B477-42D4-A5DA-C25C8EF18E34}" type="sibTrans" cxnId="{EC1DF7DA-2543-4EF6-A7CE-5990842E6EC9}">
      <dgm:prSet/>
      <dgm:spPr/>
      <dgm:t>
        <a:bodyPr/>
        <a:lstStyle/>
        <a:p>
          <a:endParaRPr lang="es-CL" sz="1600">
            <a:latin typeface="Arial" panose="020B0604020202020204" pitchFamily="34" charset="0"/>
            <a:cs typeface="Arial" panose="020B0604020202020204" pitchFamily="34" charset="0"/>
          </a:endParaRPr>
        </a:p>
      </dgm:t>
    </dgm:pt>
    <dgm:pt modelId="{827D4B46-4264-4E9E-9AA7-A5F5A2079A46}">
      <dgm:prSet phldrT="[Texto]" custT="1"/>
      <dgm:spPr/>
      <dgm:t>
        <a:bodyPr/>
        <a:lstStyle/>
        <a:p>
          <a:r>
            <a:rPr lang="es-CL" sz="900" dirty="0" smtClean="0">
              <a:latin typeface="Arial" panose="020B0604020202020204" pitchFamily="34" charset="0"/>
              <a:cs typeface="Arial" panose="020B0604020202020204" pitchFamily="34" charset="0"/>
            </a:rPr>
            <a:t>Preservación legado indígena</a:t>
          </a:r>
        </a:p>
      </dgm:t>
    </dgm:pt>
    <dgm:pt modelId="{1E9E220D-051E-4FF8-8871-E2C5789F13E1}" type="parTrans" cxnId="{2E298CFB-F924-44D3-9BBC-89227AE5E291}">
      <dgm:prSet/>
      <dgm:spPr/>
      <dgm:t>
        <a:bodyPr/>
        <a:lstStyle/>
        <a:p>
          <a:endParaRPr lang="es-CL" sz="1600">
            <a:latin typeface="Arial" panose="020B0604020202020204" pitchFamily="34" charset="0"/>
            <a:cs typeface="Arial" panose="020B0604020202020204" pitchFamily="34" charset="0"/>
          </a:endParaRPr>
        </a:p>
      </dgm:t>
    </dgm:pt>
    <dgm:pt modelId="{8D6EDFA0-9568-4AEB-A0E2-EEC7F95AF88E}" type="sibTrans" cxnId="{2E298CFB-F924-44D3-9BBC-89227AE5E291}">
      <dgm:prSet/>
      <dgm:spPr/>
      <dgm:t>
        <a:bodyPr/>
        <a:lstStyle/>
        <a:p>
          <a:endParaRPr lang="es-CL" sz="1600">
            <a:latin typeface="Arial" panose="020B0604020202020204" pitchFamily="34" charset="0"/>
            <a:cs typeface="Arial" panose="020B0604020202020204" pitchFamily="34" charset="0"/>
          </a:endParaRPr>
        </a:p>
      </dgm:t>
    </dgm:pt>
    <dgm:pt modelId="{1D61FCC2-EE8C-4603-B436-B29202A3B693}">
      <dgm:prSet phldrT="[Texto]" custT="1"/>
      <dgm:spPr/>
      <dgm:t>
        <a:bodyPr/>
        <a:lstStyle/>
        <a:p>
          <a:r>
            <a:rPr lang="es-CL" sz="900" dirty="0" smtClean="0">
              <a:latin typeface="Arial" panose="020B0604020202020204" pitchFamily="34" charset="0"/>
              <a:cs typeface="Arial" panose="020B0604020202020204" pitchFamily="34" charset="0"/>
            </a:rPr>
            <a:t>Desprotección del valle</a:t>
          </a:r>
        </a:p>
      </dgm:t>
    </dgm:pt>
    <dgm:pt modelId="{18D42CDD-603A-49F8-880C-279168904804}" type="parTrans" cxnId="{BFDF1782-CAE4-4BE7-B977-D8C43CF5FD8C}">
      <dgm:prSet/>
      <dgm:spPr/>
      <dgm:t>
        <a:bodyPr/>
        <a:lstStyle/>
        <a:p>
          <a:endParaRPr lang="es-CL" sz="1600">
            <a:latin typeface="Arial" panose="020B0604020202020204" pitchFamily="34" charset="0"/>
            <a:cs typeface="Arial" panose="020B0604020202020204" pitchFamily="34" charset="0"/>
          </a:endParaRPr>
        </a:p>
      </dgm:t>
    </dgm:pt>
    <dgm:pt modelId="{D77EF7B7-FA43-4786-AD5D-8E1534FD3E90}" type="sibTrans" cxnId="{BFDF1782-CAE4-4BE7-B977-D8C43CF5FD8C}">
      <dgm:prSet/>
      <dgm:spPr/>
      <dgm:t>
        <a:bodyPr/>
        <a:lstStyle/>
        <a:p>
          <a:endParaRPr lang="es-CL" sz="1600">
            <a:latin typeface="Arial" panose="020B0604020202020204" pitchFamily="34" charset="0"/>
            <a:cs typeface="Arial" panose="020B0604020202020204" pitchFamily="34" charset="0"/>
          </a:endParaRPr>
        </a:p>
      </dgm:t>
    </dgm:pt>
    <dgm:pt modelId="{A6F86DEE-5D7E-49A3-A985-F3E63B36BC3F}">
      <dgm:prSet phldrT="[Texto]" custT="1"/>
      <dgm:spPr/>
      <dgm:t>
        <a:bodyPr/>
        <a:lstStyle/>
        <a:p>
          <a:r>
            <a:rPr lang="es-CL" sz="900" dirty="0" smtClean="0">
              <a:latin typeface="Arial" panose="020B0604020202020204" pitchFamily="34" charset="0"/>
              <a:cs typeface="Arial" panose="020B0604020202020204" pitchFamily="34" charset="0"/>
            </a:rPr>
            <a:t>Educación incompleta (abandono)</a:t>
          </a:r>
        </a:p>
      </dgm:t>
    </dgm:pt>
    <dgm:pt modelId="{6EF02866-C1B7-4616-A205-5223D96C88B2}" type="parTrans" cxnId="{F544C04C-7727-45A9-BA06-6783FCEAADD0}">
      <dgm:prSet/>
      <dgm:spPr/>
      <dgm:t>
        <a:bodyPr/>
        <a:lstStyle/>
        <a:p>
          <a:endParaRPr lang="es-CL" sz="1600">
            <a:latin typeface="Arial" panose="020B0604020202020204" pitchFamily="34" charset="0"/>
            <a:cs typeface="Arial" panose="020B0604020202020204" pitchFamily="34" charset="0"/>
          </a:endParaRPr>
        </a:p>
      </dgm:t>
    </dgm:pt>
    <dgm:pt modelId="{751A2370-7A29-4229-B6B0-2D12EF6F71BC}" type="sibTrans" cxnId="{F544C04C-7727-45A9-BA06-6783FCEAADD0}">
      <dgm:prSet/>
      <dgm:spPr/>
      <dgm:t>
        <a:bodyPr/>
        <a:lstStyle/>
        <a:p>
          <a:endParaRPr lang="es-CL" sz="1600">
            <a:latin typeface="Arial" panose="020B0604020202020204" pitchFamily="34" charset="0"/>
            <a:cs typeface="Arial" panose="020B0604020202020204" pitchFamily="34" charset="0"/>
          </a:endParaRPr>
        </a:p>
      </dgm:t>
    </dgm:pt>
    <dgm:pt modelId="{67842335-984C-4C78-A310-003A2B8C3A88}">
      <dgm:prSet phldrT="[Texto]" custT="1"/>
      <dgm:spPr/>
      <dgm:t>
        <a:bodyPr/>
        <a:lstStyle/>
        <a:p>
          <a:r>
            <a:rPr lang="es-CL" sz="900" dirty="0" smtClean="0">
              <a:latin typeface="Arial" panose="020B0604020202020204" pitchFamily="34" charset="0"/>
              <a:cs typeface="Arial" panose="020B0604020202020204" pitchFamily="34" charset="0"/>
            </a:rPr>
            <a:t>Déficit atención salud</a:t>
          </a:r>
        </a:p>
      </dgm:t>
    </dgm:pt>
    <dgm:pt modelId="{237A5B62-45C2-4EDA-80DD-7B225569A51A}" type="parTrans" cxnId="{7C1641AD-3F96-4CC3-9B9F-1DEB8ABED774}">
      <dgm:prSet/>
      <dgm:spPr/>
      <dgm:t>
        <a:bodyPr/>
        <a:lstStyle/>
        <a:p>
          <a:endParaRPr lang="es-CL" sz="1600">
            <a:latin typeface="Arial" panose="020B0604020202020204" pitchFamily="34" charset="0"/>
            <a:cs typeface="Arial" panose="020B0604020202020204" pitchFamily="34" charset="0"/>
          </a:endParaRPr>
        </a:p>
      </dgm:t>
    </dgm:pt>
    <dgm:pt modelId="{5DCF48BD-0E52-499E-BD34-0282AC2DE0EE}" type="sibTrans" cxnId="{7C1641AD-3F96-4CC3-9B9F-1DEB8ABED774}">
      <dgm:prSet/>
      <dgm:spPr/>
      <dgm:t>
        <a:bodyPr/>
        <a:lstStyle/>
        <a:p>
          <a:endParaRPr lang="es-CL" sz="1600">
            <a:latin typeface="Arial" panose="020B0604020202020204" pitchFamily="34" charset="0"/>
            <a:cs typeface="Arial" panose="020B0604020202020204" pitchFamily="34" charset="0"/>
          </a:endParaRPr>
        </a:p>
      </dgm:t>
    </dgm:pt>
    <dgm:pt modelId="{78E529F9-1E02-4203-9594-0FD3D4CB7ED0}">
      <dgm:prSet phldrT="[Texto]" custT="1"/>
      <dgm:spPr/>
      <dgm:t>
        <a:bodyPr/>
        <a:lstStyle/>
        <a:p>
          <a:r>
            <a:rPr lang="es-CL" sz="1000" b="0" dirty="0" smtClean="0">
              <a:effectLst/>
              <a:latin typeface="Arial" panose="020B0604020202020204" pitchFamily="34" charset="0"/>
              <a:cs typeface="Arial" panose="020B0604020202020204" pitchFamily="34" charset="0"/>
            </a:rPr>
            <a:t>Servicios Públicos e infraestructura</a:t>
          </a:r>
          <a:endParaRPr lang="es-CL" sz="1000" b="0" dirty="0" smtClean="0">
            <a:latin typeface="Arial" panose="020B0604020202020204" pitchFamily="34" charset="0"/>
            <a:cs typeface="Arial" panose="020B0604020202020204" pitchFamily="34" charset="0"/>
          </a:endParaRPr>
        </a:p>
      </dgm:t>
    </dgm:pt>
    <dgm:pt modelId="{F5D5BD89-67DC-4B1F-AF0B-2034FE7828C9}" type="parTrans" cxnId="{85A6D88E-F6B0-4971-BD8B-CEFFC82B3072}">
      <dgm:prSet/>
      <dgm:spPr/>
      <dgm:t>
        <a:bodyPr/>
        <a:lstStyle/>
        <a:p>
          <a:endParaRPr lang="es-CL" sz="1600">
            <a:latin typeface="Arial" panose="020B0604020202020204" pitchFamily="34" charset="0"/>
            <a:cs typeface="Arial" panose="020B0604020202020204" pitchFamily="34" charset="0"/>
          </a:endParaRPr>
        </a:p>
      </dgm:t>
    </dgm:pt>
    <dgm:pt modelId="{28B3A934-D0CE-4131-8E5F-47E67590019D}" type="sibTrans" cxnId="{85A6D88E-F6B0-4971-BD8B-CEFFC82B3072}">
      <dgm:prSet/>
      <dgm:spPr/>
      <dgm:t>
        <a:bodyPr/>
        <a:lstStyle/>
        <a:p>
          <a:endParaRPr lang="es-CL" sz="1600">
            <a:latin typeface="Arial" panose="020B0604020202020204" pitchFamily="34" charset="0"/>
            <a:cs typeface="Arial" panose="020B0604020202020204" pitchFamily="34" charset="0"/>
          </a:endParaRPr>
        </a:p>
      </dgm:t>
    </dgm:pt>
    <dgm:pt modelId="{8EBE0814-06B1-4F41-9AEE-DC50FBB24D40}">
      <dgm:prSet phldrT="[Texto]" custT="1"/>
      <dgm:spPr/>
      <dgm:t>
        <a:bodyPr/>
        <a:lstStyle/>
        <a:p>
          <a:r>
            <a:rPr lang="es-CL" sz="900" dirty="0" smtClean="0">
              <a:latin typeface="Arial" panose="020B0604020202020204" pitchFamily="34" charset="0"/>
              <a:cs typeface="Arial" panose="020B0604020202020204" pitchFamily="34" charset="0"/>
            </a:rPr>
            <a:t>Escaso progreso y cobertura</a:t>
          </a:r>
        </a:p>
      </dgm:t>
    </dgm:pt>
    <dgm:pt modelId="{BE0E4448-4B44-4276-8102-17FDA1EDF036}" type="parTrans" cxnId="{011AE090-93A0-4C50-A292-E556B138351D}">
      <dgm:prSet/>
      <dgm:spPr/>
      <dgm:t>
        <a:bodyPr/>
        <a:lstStyle/>
        <a:p>
          <a:endParaRPr lang="es-CL" sz="1600">
            <a:latin typeface="Arial" panose="020B0604020202020204" pitchFamily="34" charset="0"/>
            <a:cs typeface="Arial" panose="020B0604020202020204" pitchFamily="34" charset="0"/>
          </a:endParaRPr>
        </a:p>
      </dgm:t>
    </dgm:pt>
    <dgm:pt modelId="{E288A7B2-F150-4E97-8DBE-B7D2217058A4}" type="sibTrans" cxnId="{011AE090-93A0-4C50-A292-E556B138351D}">
      <dgm:prSet/>
      <dgm:spPr/>
      <dgm:t>
        <a:bodyPr/>
        <a:lstStyle/>
        <a:p>
          <a:endParaRPr lang="es-CL" sz="1600">
            <a:latin typeface="Arial" panose="020B0604020202020204" pitchFamily="34" charset="0"/>
            <a:cs typeface="Arial" panose="020B0604020202020204" pitchFamily="34" charset="0"/>
          </a:endParaRPr>
        </a:p>
      </dgm:t>
    </dgm:pt>
    <dgm:pt modelId="{0366513B-C80F-494C-96F9-06082B61B28F}" type="pres">
      <dgm:prSet presAssocID="{D2529F61-C655-490F-826F-8AA5529355A5}" presName="diagram" presStyleCnt="0">
        <dgm:presLayoutVars>
          <dgm:chPref val="1"/>
          <dgm:dir/>
          <dgm:animOne val="branch"/>
          <dgm:animLvl val="lvl"/>
          <dgm:resizeHandles/>
        </dgm:presLayoutVars>
      </dgm:prSet>
      <dgm:spPr/>
      <dgm:t>
        <a:bodyPr/>
        <a:lstStyle/>
        <a:p>
          <a:endParaRPr lang="es-CL"/>
        </a:p>
      </dgm:t>
    </dgm:pt>
    <dgm:pt modelId="{EC1D7C69-01E3-45B6-8042-02CA1D7938CF}" type="pres">
      <dgm:prSet presAssocID="{52774B34-0A36-4D5D-8B3D-6F11D640B125}" presName="root" presStyleCnt="0"/>
      <dgm:spPr/>
    </dgm:pt>
    <dgm:pt modelId="{297733F5-AF07-4758-9231-968F87EB9F06}" type="pres">
      <dgm:prSet presAssocID="{52774B34-0A36-4D5D-8B3D-6F11D640B125}" presName="rootComposite" presStyleCnt="0"/>
      <dgm:spPr/>
    </dgm:pt>
    <dgm:pt modelId="{47F610B5-6E7B-4CE0-BFA3-6D3559743CB9}" type="pres">
      <dgm:prSet presAssocID="{52774B34-0A36-4D5D-8B3D-6F11D640B125}" presName="rootText" presStyleLbl="node1" presStyleIdx="0" presStyleCnt="4" custScaleX="115097" custScaleY="99050"/>
      <dgm:spPr/>
      <dgm:t>
        <a:bodyPr/>
        <a:lstStyle/>
        <a:p>
          <a:endParaRPr lang="es-CL"/>
        </a:p>
      </dgm:t>
    </dgm:pt>
    <dgm:pt modelId="{D42762C9-886C-44D2-9ED4-60EEED3D8A95}" type="pres">
      <dgm:prSet presAssocID="{52774B34-0A36-4D5D-8B3D-6F11D640B125}" presName="rootConnector" presStyleLbl="node1" presStyleIdx="0" presStyleCnt="4"/>
      <dgm:spPr/>
      <dgm:t>
        <a:bodyPr/>
        <a:lstStyle/>
        <a:p>
          <a:endParaRPr lang="es-CL"/>
        </a:p>
      </dgm:t>
    </dgm:pt>
    <dgm:pt modelId="{227AF022-AEF6-4B5D-AAB9-676D41F0C4D0}" type="pres">
      <dgm:prSet presAssocID="{52774B34-0A36-4D5D-8B3D-6F11D640B125}" presName="childShape" presStyleCnt="0"/>
      <dgm:spPr/>
    </dgm:pt>
    <dgm:pt modelId="{4804CD9B-C66A-4C49-B533-184D65F618FC}" type="pres">
      <dgm:prSet presAssocID="{9C24F9FB-4873-41F9-AA5D-6E4F71714D00}" presName="Name13" presStyleLbl="parChTrans1D2" presStyleIdx="0" presStyleCnt="13"/>
      <dgm:spPr/>
      <dgm:t>
        <a:bodyPr/>
        <a:lstStyle/>
        <a:p>
          <a:endParaRPr lang="es-CL"/>
        </a:p>
      </dgm:t>
    </dgm:pt>
    <dgm:pt modelId="{29A7CA22-0ECD-43EF-871B-CE03ADF5D7EB}" type="pres">
      <dgm:prSet presAssocID="{DB50DAB0-EC3D-47D4-9CFF-2347520AD0DD}" presName="childText" presStyleLbl="bgAcc1" presStyleIdx="0" presStyleCnt="13" custScaleX="116652">
        <dgm:presLayoutVars>
          <dgm:bulletEnabled val="1"/>
        </dgm:presLayoutVars>
      </dgm:prSet>
      <dgm:spPr/>
      <dgm:t>
        <a:bodyPr/>
        <a:lstStyle/>
        <a:p>
          <a:endParaRPr lang="es-CL"/>
        </a:p>
      </dgm:t>
    </dgm:pt>
    <dgm:pt modelId="{4848F6ED-DCF9-4E6E-A41E-28B480736C4E}" type="pres">
      <dgm:prSet presAssocID="{C506EEEF-27F3-4A36-AC63-0FC0D99FF4B3}" presName="Name13" presStyleLbl="parChTrans1D2" presStyleIdx="1" presStyleCnt="13"/>
      <dgm:spPr/>
      <dgm:t>
        <a:bodyPr/>
        <a:lstStyle/>
        <a:p>
          <a:endParaRPr lang="es-CL"/>
        </a:p>
      </dgm:t>
    </dgm:pt>
    <dgm:pt modelId="{E8DD4A25-747F-4440-B57C-FEBE3517B713}" type="pres">
      <dgm:prSet presAssocID="{7A2CD541-4CD8-49E8-9C3A-9791988F09F5}" presName="childText" presStyleLbl="bgAcc1" presStyleIdx="1" presStyleCnt="13" custScaleX="116652">
        <dgm:presLayoutVars>
          <dgm:bulletEnabled val="1"/>
        </dgm:presLayoutVars>
      </dgm:prSet>
      <dgm:spPr/>
      <dgm:t>
        <a:bodyPr/>
        <a:lstStyle/>
        <a:p>
          <a:endParaRPr lang="es-CL"/>
        </a:p>
      </dgm:t>
    </dgm:pt>
    <dgm:pt modelId="{976E7D08-DD5E-44C2-97DB-5507B1F9379E}" type="pres">
      <dgm:prSet presAssocID="{9CB8A9A6-8144-450E-8717-68AA59E88688}" presName="Name13" presStyleLbl="parChTrans1D2" presStyleIdx="2" presStyleCnt="13"/>
      <dgm:spPr/>
      <dgm:t>
        <a:bodyPr/>
        <a:lstStyle/>
        <a:p>
          <a:endParaRPr lang="es-CL"/>
        </a:p>
      </dgm:t>
    </dgm:pt>
    <dgm:pt modelId="{54DE11C9-DB1D-4A09-B125-34CA9B12B9CB}" type="pres">
      <dgm:prSet presAssocID="{6AB1AEC5-ECC4-49C8-9B88-4E5EA769628B}" presName="childText" presStyleLbl="bgAcc1" presStyleIdx="2" presStyleCnt="13" custScaleX="116652">
        <dgm:presLayoutVars>
          <dgm:bulletEnabled val="1"/>
        </dgm:presLayoutVars>
      </dgm:prSet>
      <dgm:spPr/>
      <dgm:t>
        <a:bodyPr/>
        <a:lstStyle/>
        <a:p>
          <a:endParaRPr lang="es-CL"/>
        </a:p>
      </dgm:t>
    </dgm:pt>
    <dgm:pt modelId="{A948199F-E7D5-4AF6-BA26-E254B63DE3D0}" type="pres">
      <dgm:prSet presAssocID="{07CB323B-EF07-457C-A3A0-2DE452A6D881}" presName="root" presStyleCnt="0"/>
      <dgm:spPr/>
    </dgm:pt>
    <dgm:pt modelId="{B43C38D3-E5EA-4B51-9BEE-66E118D1128D}" type="pres">
      <dgm:prSet presAssocID="{07CB323B-EF07-457C-A3A0-2DE452A6D881}" presName="rootComposite" presStyleCnt="0"/>
      <dgm:spPr/>
    </dgm:pt>
    <dgm:pt modelId="{C7253AE3-C4A2-4788-B88A-007BE3ACC517}" type="pres">
      <dgm:prSet presAssocID="{07CB323B-EF07-457C-A3A0-2DE452A6D881}" presName="rootText" presStyleLbl="node1" presStyleIdx="1" presStyleCnt="4" custScaleX="115097" custScaleY="99050"/>
      <dgm:spPr/>
      <dgm:t>
        <a:bodyPr/>
        <a:lstStyle/>
        <a:p>
          <a:endParaRPr lang="es-CL"/>
        </a:p>
      </dgm:t>
    </dgm:pt>
    <dgm:pt modelId="{C342B389-C5F4-4B72-BB23-B40FE23F2DC6}" type="pres">
      <dgm:prSet presAssocID="{07CB323B-EF07-457C-A3A0-2DE452A6D881}" presName="rootConnector" presStyleLbl="node1" presStyleIdx="1" presStyleCnt="4"/>
      <dgm:spPr/>
      <dgm:t>
        <a:bodyPr/>
        <a:lstStyle/>
        <a:p>
          <a:endParaRPr lang="es-CL"/>
        </a:p>
      </dgm:t>
    </dgm:pt>
    <dgm:pt modelId="{D98F5160-37AB-4B82-B5FA-10282C07C16C}" type="pres">
      <dgm:prSet presAssocID="{07CB323B-EF07-457C-A3A0-2DE452A6D881}" presName="childShape" presStyleCnt="0"/>
      <dgm:spPr/>
    </dgm:pt>
    <dgm:pt modelId="{55F9F27A-E64A-41F5-8F1D-EDB1C96BFC1A}" type="pres">
      <dgm:prSet presAssocID="{86B2F74D-D5CF-4E73-ABE7-C7459020BFD0}" presName="Name13" presStyleLbl="parChTrans1D2" presStyleIdx="3" presStyleCnt="13"/>
      <dgm:spPr/>
      <dgm:t>
        <a:bodyPr/>
        <a:lstStyle/>
        <a:p>
          <a:endParaRPr lang="es-CL"/>
        </a:p>
      </dgm:t>
    </dgm:pt>
    <dgm:pt modelId="{82D069CD-E671-4B22-B6B9-8C61B66611B6}" type="pres">
      <dgm:prSet presAssocID="{2FACB91F-5CF2-4AD5-9852-30EB83A3B60E}" presName="childText" presStyleLbl="bgAcc1" presStyleIdx="3" presStyleCnt="13" custScaleX="116652">
        <dgm:presLayoutVars>
          <dgm:bulletEnabled val="1"/>
        </dgm:presLayoutVars>
      </dgm:prSet>
      <dgm:spPr/>
      <dgm:t>
        <a:bodyPr/>
        <a:lstStyle/>
        <a:p>
          <a:endParaRPr lang="es-CL"/>
        </a:p>
      </dgm:t>
    </dgm:pt>
    <dgm:pt modelId="{82FDB8BB-9DE2-4561-84AA-3C973ACA80F3}" type="pres">
      <dgm:prSet presAssocID="{7F272C7D-24CA-4ED3-871E-94C490300C98}" presName="Name13" presStyleLbl="parChTrans1D2" presStyleIdx="4" presStyleCnt="13"/>
      <dgm:spPr/>
      <dgm:t>
        <a:bodyPr/>
        <a:lstStyle/>
        <a:p>
          <a:endParaRPr lang="es-CL"/>
        </a:p>
      </dgm:t>
    </dgm:pt>
    <dgm:pt modelId="{5569C817-505E-42E5-9432-6575ED92AA00}" type="pres">
      <dgm:prSet presAssocID="{77B64CAE-E36F-4F92-8BB8-E38DD8ED8EBC}" presName="childText" presStyleLbl="bgAcc1" presStyleIdx="4" presStyleCnt="13" custScaleX="116652">
        <dgm:presLayoutVars>
          <dgm:bulletEnabled val="1"/>
        </dgm:presLayoutVars>
      </dgm:prSet>
      <dgm:spPr/>
      <dgm:t>
        <a:bodyPr/>
        <a:lstStyle/>
        <a:p>
          <a:endParaRPr lang="es-CL"/>
        </a:p>
      </dgm:t>
    </dgm:pt>
    <dgm:pt modelId="{ACC24262-21B9-48A2-9F4F-00B6A7D042F9}" type="pres">
      <dgm:prSet presAssocID="{A0ADC2B4-623E-4505-9CCF-B94265BAC0AD}" presName="Name13" presStyleLbl="parChTrans1D2" presStyleIdx="5" presStyleCnt="13"/>
      <dgm:spPr/>
      <dgm:t>
        <a:bodyPr/>
        <a:lstStyle/>
        <a:p>
          <a:endParaRPr lang="es-CL"/>
        </a:p>
      </dgm:t>
    </dgm:pt>
    <dgm:pt modelId="{851A883E-3D85-4E02-BD15-358802D93E39}" type="pres">
      <dgm:prSet presAssocID="{8A4237C2-28D4-4CA7-85CE-4296D760A064}" presName="childText" presStyleLbl="bgAcc1" presStyleIdx="5" presStyleCnt="13" custScaleX="116652">
        <dgm:presLayoutVars>
          <dgm:bulletEnabled val="1"/>
        </dgm:presLayoutVars>
      </dgm:prSet>
      <dgm:spPr/>
      <dgm:t>
        <a:bodyPr/>
        <a:lstStyle/>
        <a:p>
          <a:endParaRPr lang="es-CL"/>
        </a:p>
      </dgm:t>
    </dgm:pt>
    <dgm:pt modelId="{B70157B5-C7F7-4DF0-B800-1ED34F5EE1B7}" type="pres">
      <dgm:prSet presAssocID="{4823C27A-B7BC-4F88-9137-DF36D0652BC5}" presName="Name13" presStyleLbl="parChTrans1D2" presStyleIdx="6" presStyleCnt="13"/>
      <dgm:spPr/>
      <dgm:t>
        <a:bodyPr/>
        <a:lstStyle/>
        <a:p>
          <a:endParaRPr lang="es-CL"/>
        </a:p>
      </dgm:t>
    </dgm:pt>
    <dgm:pt modelId="{E282D563-FA57-4D82-BE98-947FE39727B8}" type="pres">
      <dgm:prSet presAssocID="{12560040-B6F9-4D45-9DE8-AC5D7F00922C}" presName="childText" presStyleLbl="bgAcc1" presStyleIdx="6" presStyleCnt="13" custScaleX="116652">
        <dgm:presLayoutVars>
          <dgm:bulletEnabled val="1"/>
        </dgm:presLayoutVars>
      </dgm:prSet>
      <dgm:spPr/>
      <dgm:t>
        <a:bodyPr/>
        <a:lstStyle/>
        <a:p>
          <a:endParaRPr lang="es-CL"/>
        </a:p>
      </dgm:t>
    </dgm:pt>
    <dgm:pt modelId="{55BD9BC6-8460-4326-918F-BDA8C4584CEE}" type="pres">
      <dgm:prSet presAssocID="{70B4BB54-61B5-4605-AC78-404CDFAAD686}" presName="Name13" presStyleLbl="parChTrans1D2" presStyleIdx="7" presStyleCnt="13"/>
      <dgm:spPr/>
      <dgm:t>
        <a:bodyPr/>
        <a:lstStyle/>
        <a:p>
          <a:endParaRPr lang="es-CL"/>
        </a:p>
      </dgm:t>
    </dgm:pt>
    <dgm:pt modelId="{E44B5F9C-D801-4158-B05D-20E7DFBE9DEB}" type="pres">
      <dgm:prSet presAssocID="{A3E29026-3269-4F4D-8A61-10D55063CCF5}" presName="childText" presStyleLbl="bgAcc1" presStyleIdx="7" presStyleCnt="13" custScaleX="116652">
        <dgm:presLayoutVars>
          <dgm:bulletEnabled val="1"/>
        </dgm:presLayoutVars>
      </dgm:prSet>
      <dgm:spPr/>
      <dgm:t>
        <a:bodyPr/>
        <a:lstStyle/>
        <a:p>
          <a:endParaRPr lang="es-CL"/>
        </a:p>
      </dgm:t>
    </dgm:pt>
    <dgm:pt modelId="{761B2480-9104-4175-8D62-E3090D10F867}" type="pres">
      <dgm:prSet presAssocID="{6711D28A-1F4C-4B41-8C24-C790DE96BB25}" presName="root" presStyleCnt="0"/>
      <dgm:spPr/>
    </dgm:pt>
    <dgm:pt modelId="{C067B6E2-D4D5-46C8-99BA-86F0F162B4BD}" type="pres">
      <dgm:prSet presAssocID="{6711D28A-1F4C-4B41-8C24-C790DE96BB25}" presName="rootComposite" presStyleCnt="0"/>
      <dgm:spPr/>
    </dgm:pt>
    <dgm:pt modelId="{BE5A6EEA-82DD-4926-953D-9942D4A18E97}" type="pres">
      <dgm:prSet presAssocID="{6711D28A-1F4C-4B41-8C24-C790DE96BB25}" presName="rootText" presStyleLbl="node1" presStyleIdx="2" presStyleCnt="4" custScaleX="115097" custScaleY="99050"/>
      <dgm:spPr/>
      <dgm:t>
        <a:bodyPr/>
        <a:lstStyle/>
        <a:p>
          <a:endParaRPr lang="es-CL"/>
        </a:p>
      </dgm:t>
    </dgm:pt>
    <dgm:pt modelId="{7F063E08-F67F-46DE-9CCF-5A44DC1AF394}" type="pres">
      <dgm:prSet presAssocID="{6711D28A-1F4C-4B41-8C24-C790DE96BB25}" presName="rootConnector" presStyleLbl="node1" presStyleIdx="2" presStyleCnt="4"/>
      <dgm:spPr/>
      <dgm:t>
        <a:bodyPr/>
        <a:lstStyle/>
        <a:p>
          <a:endParaRPr lang="es-CL"/>
        </a:p>
      </dgm:t>
    </dgm:pt>
    <dgm:pt modelId="{E8746F46-55BA-4F33-9017-7743DEBBFEC6}" type="pres">
      <dgm:prSet presAssocID="{6711D28A-1F4C-4B41-8C24-C790DE96BB25}" presName="childShape" presStyleCnt="0"/>
      <dgm:spPr/>
    </dgm:pt>
    <dgm:pt modelId="{E43EC4A9-97AE-44B4-B042-08BA68E8B00D}" type="pres">
      <dgm:prSet presAssocID="{1E9E220D-051E-4FF8-8871-E2C5789F13E1}" presName="Name13" presStyleLbl="parChTrans1D2" presStyleIdx="8" presStyleCnt="13"/>
      <dgm:spPr/>
      <dgm:t>
        <a:bodyPr/>
        <a:lstStyle/>
        <a:p>
          <a:endParaRPr lang="es-CL"/>
        </a:p>
      </dgm:t>
    </dgm:pt>
    <dgm:pt modelId="{DA8B5269-3B75-4F11-A6EC-8BD98E5CA96F}" type="pres">
      <dgm:prSet presAssocID="{827D4B46-4264-4E9E-9AA7-A5F5A2079A46}" presName="childText" presStyleLbl="bgAcc1" presStyleIdx="8" presStyleCnt="13" custScaleX="116652">
        <dgm:presLayoutVars>
          <dgm:bulletEnabled val="1"/>
        </dgm:presLayoutVars>
      </dgm:prSet>
      <dgm:spPr/>
      <dgm:t>
        <a:bodyPr/>
        <a:lstStyle/>
        <a:p>
          <a:endParaRPr lang="es-CL"/>
        </a:p>
      </dgm:t>
    </dgm:pt>
    <dgm:pt modelId="{E700ACC4-E8BC-4104-9ACD-D852E2C80276}" type="pres">
      <dgm:prSet presAssocID="{18D42CDD-603A-49F8-880C-279168904804}" presName="Name13" presStyleLbl="parChTrans1D2" presStyleIdx="9" presStyleCnt="13"/>
      <dgm:spPr/>
      <dgm:t>
        <a:bodyPr/>
        <a:lstStyle/>
        <a:p>
          <a:endParaRPr lang="es-CL"/>
        </a:p>
      </dgm:t>
    </dgm:pt>
    <dgm:pt modelId="{C4F62553-293A-4C62-87F8-48F48819004A}" type="pres">
      <dgm:prSet presAssocID="{1D61FCC2-EE8C-4603-B436-B29202A3B693}" presName="childText" presStyleLbl="bgAcc1" presStyleIdx="9" presStyleCnt="13" custScaleX="116652" custScaleY="93718">
        <dgm:presLayoutVars>
          <dgm:bulletEnabled val="1"/>
        </dgm:presLayoutVars>
      </dgm:prSet>
      <dgm:spPr/>
      <dgm:t>
        <a:bodyPr/>
        <a:lstStyle/>
        <a:p>
          <a:endParaRPr lang="es-CL"/>
        </a:p>
      </dgm:t>
    </dgm:pt>
    <dgm:pt modelId="{CE18F144-E72B-4A00-9DFD-AC967DCC9DE4}" type="pres">
      <dgm:prSet presAssocID="{78E529F9-1E02-4203-9594-0FD3D4CB7ED0}" presName="root" presStyleCnt="0"/>
      <dgm:spPr/>
    </dgm:pt>
    <dgm:pt modelId="{34277660-F9A6-46DF-AEE8-C06564DF0462}" type="pres">
      <dgm:prSet presAssocID="{78E529F9-1E02-4203-9594-0FD3D4CB7ED0}" presName="rootComposite" presStyleCnt="0"/>
      <dgm:spPr/>
    </dgm:pt>
    <dgm:pt modelId="{0ECACEC3-F8BA-4AFA-8BAE-84689D69CEB4}" type="pres">
      <dgm:prSet presAssocID="{78E529F9-1E02-4203-9594-0FD3D4CB7ED0}" presName="rootText" presStyleLbl="node1" presStyleIdx="3" presStyleCnt="4" custScaleY="99050"/>
      <dgm:spPr/>
      <dgm:t>
        <a:bodyPr/>
        <a:lstStyle/>
        <a:p>
          <a:endParaRPr lang="es-CL"/>
        </a:p>
      </dgm:t>
    </dgm:pt>
    <dgm:pt modelId="{26448F43-BF47-4A8C-BFF3-8862F84AD2BD}" type="pres">
      <dgm:prSet presAssocID="{78E529F9-1E02-4203-9594-0FD3D4CB7ED0}" presName="rootConnector" presStyleLbl="node1" presStyleIdx="3" presStyleCnt="4"/>
      <dgm:spPr/>
      <dgm:t>
        <a:bodyPr/>
        <a:lstStyle/>
        <a:p>
          <a:endParaRPr lang="es-CL"/>
        </a:p>
      </dgm:t>
    </dgm:pt>
    <dgm:pt modelId="{B925825B-7EA8-4BFD-A4F9-A2FF63F2E214}" type="pres">
      <dgm:prSet presAssocID="{78E529F9-1E02-4203-9594-0FD3D4CB7ED0}" presName="childShape" presStyleCnt="0"/>
      <dgm:spPr/>
    </dgm:pt>
    <dgm:pt modelId="{8D681FFF-3B52-48A3-A680-AFF9AA0F0A5C}" type="pres">
      <dgm:prSet presAssocID="{BE0E4448-4B44-4276-8102-17FDA1EDF036}" presName="Name13" presStyleLbl="parChTrans1D2" presStyleIdx="10" presStyleCnt="13"/>
      <dgm:spPr/>
      <dgm:t>
        <a:bodyPr/>
        <a:lstStyle/>
        <a:p>
          <a:endParaRPr lang="es-CL"/>
        </a:p>
      </dgm:t>
    </dgm:pt>
    <dgm:pt modelId="{B13E95C8-CD38-445D-9D1B-919AF644965C}" type="pres">
      <dgm:prSet presAssocID="{8EBE0814-06B1-4F41-9AEE-DC50FBB24D40}" presName="childText" presStyleLbl="bgAcc1" presStyleIdx="10" presStyleCnt="13" custScaleX="114752">
        <dgm:presLayoutVars>
          <dgm:bulletEnabled val="1"/>
        </dgm:presLayoutVars>
      </dgm:prSet>
      <dgm:spPr/>
      <dgm:t>
        <a:bodyPr/>
        <a:lstStyle/>
        <a:p>
          <a:endParaRPr lang="es-CL"/>
        </a:p>
      </dgm:t>
    </dgm:pt>
    <dgm:pt modelId="{97C218D3-C66B-4BEE-8977-EA8B8A03F8C3}" type="pres">
      <dgm:prSet presAssocID="{6EF02866-C1B7-4616-A205-5223D96C88B2}" presName="Name13" presStyleLbl="parChTrans1D2" presStyleIdx="11" presStyleCnt="13"/>
      <dgm:spPr/>
      <dgm:t>
        <a:bodyPr/>
        <a:lstStyle/>
        <a:p>
          <a:endParaRPr lang="es-CL"/>
        </a:p>
      </dgm:t>
    </dgm:pt>
    <dgm:pt modelId="{A2C45921-7A78-4559-8473-5C2AC6A727C5}" type="pres">
      <dgm:prSet presAssocID="{A6F86DEE-5D7E-49A3-A985-F3E63B36BC3F}" presName="childText" presStyleLbl="bgAcc1" presStyleIdx="11" presStyleCnt="13" custScaleX="116652">
        <dgm:presLayoutVars>
          <dgm:bulletEnabled val="1"/>
        </dgm:presLayoutVars>
      </dgm:prSet>
      <dgm:spPr/>
      <dgm:t>
        <a:bodyPr/>
        <a:lstStyle/>
        <a:p>
          <a:endParaRPr lang="es-CL"/>
        </a:p>
      </dgm:t>
    </dgm:pt>
    <dgm:pt modelId="{62709EED-1CE1-469A-8860-E0BCE60F8146}" type="pres">
      <dgm:prSet presAssocID="{237A5B62-45C2-4EDA-80DD-7B225569A51A}" presName="Name13" presStyleLbl="parChTrans1D2" presStyleIdx="12" presStyleCnt="13"/>
      <dgm:spPr/>
      <dgm:t>
        <a:bodyPr/>
        <a:lstStyle/>
        <a:p>
          <a:endParaRPr lang="es-CL"/>
        </a:p>
      </dgm:t>
    </dgm:pt>
    <dgm:pt modelId="{6BD4ED85-C1A7-4C7E-953B-6B68259E5C0A}" type="pres">
      <dgm:prSet presAssocID="{67842335-984C-4C78-A310-003A2B8C3A88}" presName="childText" presStyleLbl="bgAcc1" presStyleIdx="12" presStyleCnt="13" custScaleX="116652">
        <dgm:presLayoutVars>
          <dgm:bulletEnabled val="1"/>
        </dgm:presLayoutVars>
      </dgm:prSet>
      <dgm:spPr/>
      <dgm:t>
        <a:bodyPr/>
        <a:lstStyle/>
        <a:p>
          <a:endParaRPr lang="es-CL"/>
        </a:p>
      </dgm:t>
    </dgm:pt>
  </dgm:ptLst>
  <dgm:cxnLst>
    <dgm:cxn modelId="{565A283E-8CB3-4372-BED4-9AA005D8F4E9}" type="presOf" srcId="{77B64CAE-E36F-4F92-8BB8-E38DD8ED8EBC}" destId="{5569C817-505E-42E5-9432-6575ED92AA00}" srcOrd="0" destOrd="0" presId="urn:microsoft.com/office/officeart/2005/8/layout/hierarchy3"/>
    <dgm:cxn modelId="{F9737581-C3FE-4A3B-87D8-3C0BED658B77}" srcId="{52774B34-0A36-4D5D-8B3D-6F11D640B125}" destId="{DB50DAB0-EC3D-47D4-9CFF-2347520AD0DD}" srcOrd="0" destOrd="0" parTransId="{9C24F9FB-4873-41F9-AA5D-6E4F71714D00}" sibTransId="{BD013C28-9E1B-443D-ADC6-33AFA1AD1D2A}"/>
    <dgm:cxn modelId="{34301CF6-C8FD-49E1-B78A-F0E99F1A192E}" type="presOf" srcId="{78E529F9-1E02-4203-9594-0FD3D4CB7ED0}" destId="{26448F43-BF47-4A8C-BFF3-8862F84AD2BD}" srcOrd="1" destOrd="0" presId="urn:microsoft.com/office/officeart/2005/8/layout/hierarchy3"/>
    <dgm:cxn modelId="{EFE49634-67B6-4444-8C14-CAE240541084}" type="presOf" srcId="{70B4BB54-61B5-4605-AC78-404CDFAAD686}" destId="{55BD9BC6-8460-4326-918F-BDA8C4584CEE}" srcOrd="0" destOrd="0" presId="urn:microsoft.com/office/officeart/2005/8/layout/hierarchy3"/>
    <dgm:cxn modelId="{45789297-DB2B-4508-BE66-276F83E2BF94}" type="presOf" srcId="{BE0E4448-4B44-4276-8102-17FDA1EDF036}" destId="{8D681FFF-3B52-48A3-A680-AFF9AA0F0A5C}" srcOrd="0" destOrd="0" presId="urn:microsoft.com/office/officeart/2005/8/layout/hierarchy3"/>
    <dgm:cxn modelId="{7C1641AD-3F96-4CC3-9B9F-1DEB8ABED774}" srcId="{78E529F9-1E02-4203-9594-0FD3D4CB7ED0}" destId="{67842335-984C-4C78-A310-003A2B8C3A88}" srcOrd="2" destOrd="0" parTransId="{237A5B62-45C2-4EDA-80DD-7B225569A51A}" sibTransId="{5DCF48BD-0E52-499E-BD34-0282AC2DE0EE}"/>
    <dgm:cxn modelId="{3FFB17B6-B8E2-4488-97BA-2C971DC68FC5}" type="presOf" srcId="{827D4B46-4264-4E9E-9AA7-A5F5A2079A46}" destId="{DA8B5269-3B75-4F11-A6EC-8BD98E5CA96F}" srcOrd="0" destOrd="0" presId="urn:microsoft.com/office/officeart/2005/8/layout/hierarchy3"/>
    <dgm:cxn modelId="{94C94D12-5176-4D80-BEFB-73CE4EECBC6B}" type="presOf" srcId="{1E9E220D-051E-4FF8-8871-E2C5789F13E1}" destId="{E43EC4A9-97AE-44B4-B042-08BA68E8B00D}" srcOrd="0" destOrd="0" presId="urn:microsoft.com/office/officeart/2005/8/layout/hierarchy3"/>
    <dgm:cxn modelId="{7515DB8A-0A52-478D-8AED-742AB5A699BB}" type="presOf" srcId="{6711D28A-1F4C-4B41-8C24-C790DE96BB25}" destId="{BE5A6EEA-82DD-4926-953D-9942D4A18E97}" srcOrd="0" destOrd="0" presId="urn:microsoft.com/office/officeart/2005/8/layout/hierarchy3"/>
    <dgm:cxn modelId="{C5303990-A8C6-457A-B0DA-B5323AC7B793}" type="presOf" srcId="{78E529F9-1E02-4203-9594-0FD3D4CB7ED0}" destId="{0ECACEC3-F8BA-4AFA-8BAE-84689D69CEB4}" srcOrd="0" destOrd="0" presId="urn:microsoft.com/office/officeart/2005/8/layout/hierarchy3"/>
    <dgm:cxn modelId="{7A24AC45-49C9-4C16-A95F-C32AF83C34C8}" srcId="{07CB323B-EF07-457C-A3A0-2DE452A6D881}" destId="{12560040-B6F9-4D45-9DE8-AC5D7F00922C}" srcOrd="3" destOrd="0" parTransId="{4823C27A-B7BC-4F88-9137-DF36D0652BC5}" sibTransId="{B726F619-5351-4F5C-A58E-E5C073C855CD}"/>
    <dgm:cxn modelId="{0B0465F6-5965-4D68-9134-FC414CECAD1C}" type="presOf" srcId="{67842335-984C-4C78-A310-003A2B8C3A88}" destId="{6BD4ED85-C1A7-4C7E-953B-6B68259E5C0A}" srcOrd="0" destOrd="0" presId="urn:microsoft.com/office/officeart/2005/8/layout/hierarchy3"/>
    <dgm:cxn modelId="{855035CD-0536-447C-844E-C77D505845B8}" type="presOf" srcId="{6711D28A-1F4C-4B41-8C24-C790DE96BB25}" destId="{7F063E08-F67F-46DE-9CCF-5A44DC1AF394}" srcOrd="1" destOrd="0" presId="urn:microsoft.com/office/officeart/2005/8/layout/hierarchy3"/>
    <dgm:cxn modelId="{4CBDB35A-A400-466F-A38B-6F039FDB64EF}" type="presOf" srcId="{07CB323B-EF07-457C-A3A0-2DE452A6D881}" destId="{C342B389-C5F4-4B72-BB23-B40FE23F2DC6}" srcOrd="1" destOrd="0" presId="urn:microsoft.com/office/officeart/2005/8/layout/hierarchy3"/>
    <dgm:cxn modelId="{6AC569BB-2C0E-40A7-9D0A-36AF20E8A7A3}" srcId="{52774B34-0A36-4D5D-8B3D-6F11D640B125}" destId="{6AB1AEC5-ECC4-49C8-9B88-4E5EA769628B}" srcOrd="2" destOrd="0" parTransId="{9CB8A9A6-8144-450E-8717-68AA59E88688}" sibTransId="{D72B6E22-F829-4C4C-8927-8840A24B009D}"/>
    <dgm:cxn modelId="{120CD887-E77D-484C-B085-3C91A81AFE4C}" type="presOf" srcId="{8EBE0814-06B1-4F41-9AEE-DC50FBB24D40}" destId="{B13E95C8-CD38-445D-9D1B-919AF644965C}" srcOrd="0" destOrd="0" presId="urn:microsoft.com/office/officeart/2005/8/layout/hierarchy3"/>
    <dgm:cxn modelId="{85A6D88E-F6B0-4971-BD8B-CEFFC82B3072}" srcId="{D2529F61-C655-490F-826F-8AA5529355A5}" destId="{78E529F9-1E02-4203-9594-0FD3D4CB7ED0}" srcOrd="3" destOrd="0" parTransId="{F5D5BD89-67DC-4B1F-AF0B-2034FE7828C9}" sibTransId="{28B3A934-D0CE-4131-8E5F-47E67590019D}"/>
    <dgm:cxn modelId="{1D186FDF-73CB-40BE-912E-4D6C2169EDE0}" type="presOf" srcId="{DB50DAB0-EC3D-47D4-9CFF-2347520AD0DD}" destId="{29A7CA22-0ECD-43EF-871B-CE03ADF5D7EB}" srcOrd="0" destOrd="0" presId="urn:microsoft.com/office/officeart/2005/8/layout/hierarchy3"/>
    <dgm:cxn modelId="{B89EE186-A38E-4969-857C-E21CFEAD79AD}" type="presOf" srcId="{C506EEEF-27F3-4A36-AC63-0FC0D99FF4B3}" destId="{4848F6ED-DCF9-4E6E-A41E-28B480736C4E}" srcOrd="0" destOrd="0" presId="urn:microsoft.com/office/officeart/2005/8/layout/hierarchy3"/>
    <dgm:cxn modelId="{FAB4FD34-B5CB-49B5-B251-3E009341A5FE}" type="presOf" srcId="{9CB8A9A6-8144-450E-8717-68AA59E88688}" destId="{976E7D08-DD5E-44C2-97DB-5507B1F9379E}" srcOrd="0" destOrd="0" presId="urn:microsoft.com/office/officeart/2005/8/layout/hierarchy3"/>
    <dgm:cxn modelId="{6A67C42F-0A79-4B73-B68C-6301A50FE947}" type="presOf" srcId="{12560040-B6F9-4D45-9DE8-AC5D7F00922C}" destId="{E282D563-FA57-4D82-BE98-947FE39727B8}" srcOrd="0" destOrd="0" presId="urn:microsoft.com/office/officeart/2005/8/layout/hierarchy3"/>
    <dgm:cxn modelId="{BFDF1782-CAE4-4BE7-B977-D8C43CF5FD8C}" srcId="{6711D28A-1F4C-4B41-8C24-C790DE96BB25}" destId="{1D61FCC2-EE8C-4603-B436-B29202A3B693}" srcOrd="1" destOrd="0" parTransId="{18D42CDD-603A-49F8-880C-279168904804}" sibTransId="{D77EF7B7-FA43-4786-AD5D-8E1534FD3E90}"/>
    <dgm:cxn modelId="{011AE090-93A0-4C50-A292-E556B138351D}" srcId="{78E529F9-1E02-4203-9594-0FD3D4CB7ED0}" destId="{8EBE0814-06B1-4F41-9AEE-DC50FBB24D40}" srcOrd="0" destOrd="0" parTransId="{BE0E4448-4B44-4276-8102-17FDA1EDF036}" sibTransId="{E288A7B2-F150-4E97-8DBE-B7D2217058A4}"/>
    <dgm:cxn modelId="{E05F9B89-C47A-481F-BC1C-5EDF6C9A074F}" srcId="{07CB323B-EF07-457C-A3A0-2DE452A6D881}" destId="{8A4237C2-28D4-4CA7-85CE-4296D760A064}" srcOrd="2" destOrd="0" parTransId="{A0ADC2B4-623E-4505-9CCF-B94265BAC0AD}" sibTransId="{C924A3D8-7D72-4408-AC20-7B5FBA60B3D6}"/>
    <dgm:cxn modelId="{18F0B5A6-FE10-4659-B3C7-5C565F7FC04E}" type="presOf" srcId="{18D42CDD-603A-49F8-880C-279168904804}" destId="{E700ACC4-E8BC-4104-9ACD-D852E2C80276}" srcOrd="0" destOrd="0" presId="urn:microsoft.com/office/officeart/2005/8/layout/hierarchy3"/>
    <dgm:cxn modelId="{2E298CFB-F924-44D3-9BBC-89227AE5E291}" srcId="{6711D28A-1F4C-4B41-8C24-C790DE96BB25}" destId="{827D4B46-4264-4E9E-9AA7-A5F5A2079A46}" srcOrd="0" destOrd="0" parTransId="{1E9E220D-051E-4FF8-8871-E2C5789F13E1}" sibTransId="{8D6EDFA0-9568-4AEB-A0E2-EEC7F95AF88E}"/>
    <dgm:cxn modelId="{56CB94C9-3203-49EF-838F-7FE185A88026}" type="presOf" srcId="{8A4237C2-28D4-4CA7-85CE-4296D760A064}" destId="{851A883E-3D85-4E02-BD15-358802D93E39}" srcOrd="0" destOrd="0" presId="urn:microsoft.com/office/officeart/2005/8/layout/hierarchy3"/>
    <dgm:cxn modelId="{7512EBB6-4CED-46D1-9936-BFEDE1E2262E}" type="presOf" srcId="{1D61FCC2-EE8C-4603-B436-B29202A3B693}" destId="{C4F62553-293A-4C62-87F8-48F48819004A}" srcOrd="0" destOrd="0" presId="urn:microsoft.com/office/officeart/2005/8/layout/hierarchy3"/>
    <dgm:cxn modelId="{BA6CA029-3F52-4DC5-AB0D-D9246537D017}" type="presOf" srcId="{D2529F61-C655-490F-826F-8AA5529355A5}" destId="{0366513B-C80F-494C-96F9-06082B61B28F}" srcOrd="0" destOrd="0" presId="urn:microsoft.com/office/officeart/2005/8/layout/hierarchy3"/>
    <dgm:cxn modelId="{F544C04C-7727-45A9-BA06-6783FCEAADD0}" srcId="{78E529F9-1E02-4203-9594-0FD3D4CB7ED0}" destId="{A6F86DEE-5D7E-49A3-A985-F3E63B36BC3F}" srcOrd="1" destOrd="0" parTransId="{6EF02866-C1B7-4616-A205-5223D96C88B2}" sibTransId="{751A2370-7A29-4229-B6B0-2D12EF6F71BC}"/>
    <dgm:cxn modelId="{BB19D2C8-DDBB-4820-B62C-E213B5687759}" type="presOf" srcId="{A6F86DEE-5D7E-49A3-A985-F3E63B36BC3F}" destId="{A2C45921-7A78-4559-8473-5C2AC6A727C5}" srcOrd="0" destOrd="0" presId="urn:microsoft.com/office/officeart/2005/8/layout/hierarchy3"/>
    <dgm:cxn modelId="{6C7E19E5-8599-4553-9B54-8401597B8B0A}" type="presOf" srcId="{237A5B62-45C2-4EDA-80DD-7B225569A51A}" destId="{62709EED-1CE1-469A-8860-E0BCE60F8146}" srcOrd="0" destOrd="0" presId="urn:microsoft.com/office/officeart/2005/8/layout/hierarchy3"/>
    <dgm:cxn modelId="{ED4BAC58-45B2-4E54-B4C8-B45668246FD5}" type="presOf" srcId="{07CB323B-EF07-457C-A3A0-2DE452A6D881}" destId="{C7253AE3-C4A2-4788-B88A-007BE3ACC517}" srcOrd="0" destOrd="0" presId="urn:microsoft.com/office/officeart/2005/8/layout/hierarchy3"/>
    <dgm:cxn modelId="{5E40C5B9-305E-4C44-953F-01991DFD1873}" srcId="{07CB323B-EF07-457C-A3A0-2DE452A6D881}" destId="{2FACB91F-5CF2-4AD5-9852-30EB83A3B60E}" srcOrd="0" destOrd="0" parTransId="{86B2F74D-D5CF-4E73-ABE7-C7459020BFD0}" sibTransId="{19C504B2-D7C0-45D3-A980-7C3874AD88E2}"/>
    <dgm:cxn modelId="{EC1DF7DA-2543-4EF6-A7CE-5990842E6EC9}" srcId="{D2529F61-C655-490F-826F-8AA5529355A5}" destId="{6711D28A-1F4C-4B41-8C24-C790DE96BB25}" srcOrd="2" destOrd="0" parTransId="{DB374B6D-BB6D-42A2-A086-31633BAAE90B}" sibTransId="{B8522BEF-B477-42D4-A5DA-C25C8EF18E34}"/>
    <dgm:cxn modelId="{DA530182-E2A5-4FCB-B069-6C4B4B44BEE0}" type="presOf" srcId="{A0ADC2B4-623E-4505-9CCF-B94265BAC0AD}" destId="{ACC24262-21B9-48A2-9F4F-00B6A7D042F9}" srcOrd="0" destOrd="0" presId="urn:microsoft.com/office/officeart/2005/8/layout/hierarchy3"/>
    <dgm:cxn modelId="{6F50437C-840C-49B2-AD6A-9F74C9DB8E11}" srcId="{07CB323B-EF07-457C-A3A0-2DE452A6D881}" destId="{77B64CAE-E36F-4F92-8BB8-E38DD8ED8EBC}" srcOrd="1" destOrd="0" parTransId="{7F272C7D-24CA-4ED3-871E-94C490300C98}" sibTransId="{55717A2F-6C54-4A62-85A6-AA17417E8099}"/>
    <dgm:cxn modelId="{9BB9FA02-BA1A-4D41-AC05-C5CDB545D9C2}" type="presOf" srcId="{A3E29026-3269-4F4D-8A61-10D55063CCF5}" destId="{E44B5F9C-D801-4158-B05D-20E7DFBE9DEB}" srcOrd="0" destOrd="0" presId="urn:microsoft.com/office/officeart/2005/8/layout/hierarchy3"/>
    <dgm:cxn modelId="{DA3875F1-94F3-4FC2-8B31-6C59486077F0}" srcId="{D2529F61-C655-490F-826F-8AA5529355A5}" destId="{07CB323B-EF07-457C-A3A0-2DE452A6D881}" srcOrd="1" destOrd="0" parTransId="{28257DCC-E0A0-4F76-B5D1-7CBD45993829}" sibTransId="{A37EF22C-DB8B-4880-A379-06913F5A3F05}"/>
    <dgm:cxn modelId="{86015706-BF2B-44C0-84E8-C4560702B0D4}" type="presOf" srcId="{52774B34-0A36-4D5D-8B3D-6F11D640B125}" destId="{D42762C9-886C-44D2-9ED4-60EEED3D8A95}" srcOrd="1" destOrd="0" presId="urn:microsoft.com/office/officeart/2005/8/layout/hierarchy3"/>
    <dgm:cxn modelId="{DF5F6D6E-209E-4452-9014-33E6A83396B6}" type="presOf" srcId="{9C24F9FB-4873-41F9-AA5D-6E4F71714D00}" destId="{4804CD9B-C66A-4C49-B533-184D65F618FC}" srcOrd="0" destOrd="0" presId="urn:microsoft.com/office/officeart/2005/8/layout/hierarchy3"/>
    <dgm:cxn modelId="{4293A673-DCC0-4037-AC4C-F0B76AB70464}" type="presOf" srcId="{6EF02866-C1B7-4616-A205-5223D96C88B2}" destId="{97C218D3-C66B-4BEE-8977-EA8B8A03F8C3}" srcOrd="0" destOrd="0" presId="urn:microsoft.com/office/officeart/2005/8/layout/hierarchy3"/>
    <dgm:cxn modelId="{AA8E9633-9F71-4843-8E6C-A3309B5E913C}" type="presOf" srcId="{52774B34-0A36-4D5D-8B3D-6F11D640B125}" destId="{47F610B5-6E7B-4CE0-BFA3-6D3559743CB9}" srcOrd="0" destOrd="0" presId="urn:microsoft.com/office/officeart/2005/8/layout/hierarchy3"/>
    <dgm:cxn modelId="{958AF8DD-2006-47CF-894B-65C42E76AD3D}" type="presOf" srcId="{2FACB91F-5CF2-4AD5-9852-30EB83A3B60E}" destId="{82D069CD-E671-4B22-B6B9-8C61B66611B6}" srcOrd="0" destOrd="0" presId="urn:microsoft.com/office/officeart/2005/8/layout/hierarchy3"/>
    <dgm:cxn modelId="{1D5EC5D3-7D2E-460D-BD6B-F1CAD72E6FB7}" type="presOf" srcId="{4823C27A-B7BC-4F88-9137-DF36D0652BC5}" destId="{B70157B5-C7F7-4DF0-B800-1ED34F5EE1B7}" srcOrd="0" destOrd="0" presId="urn:microsoft.com/office/officeart/2005/8/layout/hierarchy3"/>
    <dgm:cxn modelId="{91A06756-3195-45BB-9D4A-692C098ABD3C}" type="presOf" srcId="{6AB1AEC5-ECC4-49C8-9B88-4E5EA769628B}" destId="{54DE11C9-DB1D-4A09-B125-34CA9B12B9CB}" srcOrd="0" destOrd="0" presId="urn:microsoft.com/office/officeart/2005/8/layout/hierarchy3"/>
    <dgm:cxn modelId="{3C112EC6-0200-4C71-9114-92CBFD7901F3}" srcId="{07CB323B-EF07-457C-A3A0-2DE452A6D881}" destId="{A3E29026-3269-4F4D-8A61-10D55063CCF5}" srcOrd="4" destOrd="0" parTransId="{70B4BB54-61B5-4605-AC78-404CDFAAD686}" sibTransId="{0EBEA64C-5687-4525-AC84-070F7CE10644}"/>
    <dgm:cxn modelId="{FA9DF15F-8110-49A3-9318-3F9E20EA83ED}" type="presOf" srcId="{86B2F74D-D5CF-4E73-ABE7-C7459020BFD0}" destId="{55F9F27A-E64A-41F5-8F1D-EDB1C96BFC1A}" srcOrd="0" destOrd="0" presId="urn:microsoft.com/office/officeart/2005/8/layout/hierarchy3"/>
    <dgm:cxn modelId="{1CE3380D-ABFD-4140-A916-CA654C4B03F3}" srcId="{D2529F61-C655-490F-826F-8AA5529355A5}" destId="{52774B34-0A36-4D5D-8B3D-6F11D640B125}" srcOrd="0" destOrd="0" parTransId="{8C8A9138-CCF1-4CCE-B33B-C88C3332264B}" sibTransId="{46731D80-48AF-40D8-93DE-9F454BB70986}"/>
    <dgm:cxn modelId="{3B40E323-916C-428D-8C01-585675A112ED}" type="presOf" srcId="{7A2CD541-4CD8-49E8-9C3A-9791988F09F5}" destId="{E8DD4A25-747F-4440-B57C-FEBE3517B713}" srcOrd="0" destOrd="0" presId="urn:microsoft.com/office/officeart/2005/8/layout/hierarchy3"/>
    <dgm:cxn modelId="{00B10F21-A071-40AD-A7D2-56D1ADF5BD57}" srcId="{52774B34-0A36-4D5D-8B3D-6F11D640B125}" destId="{7A2CD541-4CD8-49E8-9C3A-9791988F09F5}" srcOrd="1" destOrd="0" parTransId="{C506EEEF-27F3-4A36-AC63-0FC0D99FF4B3}" sibTransId="{62F21C4F-7C6A-4088-B18C-1A04FBE41727}"/>
    <dgm:cxn modelId="{6B70864F-0375-4125-B080-143440797A96}" type="presOf" srcId="{7F272C7D-24CA-4ED3-871E-94C490300C98}" destId="{82FDB8BB-9DE2-4561-84AA-3C973ACA80F3}" srcOrd="0" destOrd="0" presId="urn:microsoft.com/office/officeart/2005/8/layout/hierarchy3"/>
    <dgm:cxn modelId="{9004D9B3-6DDF-449B-9B66-8BE6A21C8356}" type="presParOf" srcId="{0366513B-C80F-494C-96F9-06082B61B28F}" destId="{EC1D7C69-01E3-45B6-8042-02CA1D7938CF}" srcOrd="0" destOrd="0" presId="urn:microsoft.com/office/officeart/2005/8/layout/hierarchy3"/>
    <dgm:cxn modelId="{4EC83662-5C60-4B03-8E2F-C0294E795E0C}" type="presParOf" srcId="{EC1D7C69-01E3-45B6-8042-02CA1D7938CF}" destId="{297733F5-AF07-4758-9231-968F87EB9F06}" srcOrd="0" destOrd="0" presId="urn:microsoft.com/office/officeart/2005/8/layout/hierarchy3"/>
    <dgm:cxn modelId="{D0EFAE8D-4EA4-40F7-ACE1-48F837D97132}" type="presParOf" srcId="{297733F5-AF07-4758-9231-968F87EB9F06}" destId="{47F610B5-6E7B-4CE0-BFA3-6D3559743CB9}" srcOrd="0" destOrd="0" presId="urn:microsoft.com/office/officeart/2005/8/layout/hierarchy3"/>
    <dgm:cxn modelId="{D911B846-2627-4826-85DF-FAFD95B976CC}" type="presParOf" srcId="{297733F5-AF07-4758-9231-968F87EB9F06}" destId="{D42762C9-886C-44D2-9ED4-60EEED3D8A95}" srcOrd="1" destOrd="0" presId="urn:microsoft.com/office/officeart/2005/8/layout/hierarchy3"/>
    <dgm:cxn modelId="{FC0D3894-3CA2-4BB6-A8CE-7A876B20D9F4}" type="presParOf" srcId="{EC1D7C69-01E3-45B6-8042-02CA1D7938CF}" destId="{227AF022-AEF6-4B5D-AAB9-676D41F0C4D0}" srcOrd="1" destOrd="0" presId="urn:microsoft.com/office/officeart/2005/8/layout/hierarchy3"/>
    <dgm:cxn modelId="{703B19B4-65E6-4DA2-81C5-9E28D5ACA68F}" type="presParOf" srcId="{227AF022-AEF6-4B5D-AAB9-676D41F0C4D0}" destId="{4804CD9B-C66A-4C49-B533-184D65F618FC}" srcOrd="0" destOrd="0" presId="urn:microsoft.com/office/officeart/2005/8/layout/hierarchy3"/>
    <dgm:cxn modelId="{B21AD0DE-7982-46B0-8F4F-F877C29DE742}" type="presParOf" srcId="{227AF022-AEF6-4B5D-AAB9-676D41F0C4D0}" destId="{29A7CA22-0ECD-43EF-871B-CE03ADF5D7EB}" srcOrd="1" destOrd="0" presId="urn:microsoft.com/office/officeart/2005/8/layout/hierarchy3"/>
    <dgm:cxn modelId="{51201EF5-245F-4E5E-A874-3F7A69708B96}" type="presParOf" srcId="{227AF022-AEF6-4B5D-AAB9-676D41F0C4D0}" destId="{4848F6ED-DCF9-4E6E-A41E-28B480736C4E}" srcOrd="2" destOrd="0" presId="urn:microsoft.com/office/officeart/2005/8/layout/hierarchy3"/>
    <dgm:cxn modelId="{639028E3-B5FF-47D5-BF41-55FA11E668A3}" type="presParOf" srcId="{227AF022-AEF6-4B5D-AAB9-676D41F0C4D0}" destId="{E8DD4A25-747F-4440-B57C-FEBE3517B713}" srcOrd="3" destOrd="0" presId="urn:microsoft.com/office/officeart/2005/8/layout/hierarchy3"/>
    <dgm:cxn modelId="{B97A4227-192D-417B-BF0E-48970637A18E}" type="presParOf" srcId="{227AF022-AEF6-4B5D-AAB9-676D41F0C4D0}" destId="{976E7D08-DD5E-44C2-97DB-5507B1F9379E}" srcOrd="4" destOrd="0" presId="urn:microsoft.com/office/officeart/2005/8/layout/hierarchy3"/>
    <dgm:cxn modelId="{38E21021-CFBA-46B5-B3D9-80D601879BA7}" type="presParOf" srcId="{227AF022-AEF6-4B5D-AAB9-676D41F0C4D0}" destId="{54DE11C9-DB1D-4A09-B125-34CA9B12B9CB}" srcOrd="5" destOrd="0" presId="urn:microsoft.com/office/officeart/2005/8/layout/hierarchy3"/>
    <dgm:cxn modelId="{3F9FE5EC-7190-454B-9AD9-FF550DD28F40}" type="presParOf" srcId="{0366513B-C80F-494C-96F9-06082B61B28F}" destId="{A948199F-E7D5-4AF6-BA26-E254B63DE3D0}" srcOrd="1" destOrd="0" presId="urn:microsoft.com/office/officeart/2005/8/layout/hierarchy3"/>
    <dgm:cxn modelId="{D7F5BC9A-21B6-4C6F-844E-93127BE69B25}" type="presParOf" srcId="{A948199F-E7D5-4AF6-BA26-E254B63DE3D0}" destId="{B43C38D3-E5EA-4B51-9BEE-66E118D1128D}" srcOrd="0" destOrd="0" presId="urn:microsoft.com/office/officeart/2005/8/layout/hierarchy3"/>
    <dgm:cxn modelId="{B11531CD-0582-4B8F-B0E7-851AF1C8BE27}" type="presParOf" srcId="{B43C38D3-E5EA-4B51-9BEE-66E118D1128D}" destId="{C7253AE3-C4A2-4788-B88A-007BE3ACC517}" srcOrd="0" destOrd="0" presId="urn:microsoft.com/office/officeart/2005/8/layout/hierarchy3"/>
    <dgm:cxn modelId="{E9DD1B1F-9F1F-4F2B-9928-6B9DF261B84C}" type="presParOf" srcId="{B43C38D3-E5EA-4B51-9BEE-66E118D1128D}" destId="{C342B389-C5F4-4B72-BB23-B40FE23F2DC6}" srcOrd="1" destOrd="0" presId="urn:microsoft.com/office/officeart/2005/8/layout/hierarchy3"/>
    <dgm:cxn modelId="{3167CA87-32D0-4256-870B-316F322CBDC9}" type="presParOf" srcId="{A948199F-E7D5-4AF6-BA26-E254B63DE3D0}" destId="{D98F5160-37AB-4B82-B5FA-10282C07C16C}" srcOrd="1" destOrd="0" presId="urn:microsoft.com/office/officeart/2005/8/layout/hierarchy3"/>
    <dgm:cxn modelId="{E195BB82-75AA-472D-869B-7AAB88481B4E}" type="presParOf" srcId="{D98F5160-37AB-4B82-B5FA-10282C07C16C}" destId="{55F9F27A-E64A-41F5-8F1D-EDB1C96BFC1A}" srcOrd="0" destOrd="0" presId="urn:microsoft.com/office/officeart/2005/8/layout/hierarchy3"/>
    <dgm:cxn modelId="{E6906B2C-3C0E-48D4-AC7F-9E8B373A9650}" type="presParOf" srcId="{D98F5160-37AB-4B82-B5FA-10282C07C16C}" destId="{82D069CD-E671-4B22-B6B9-8C61B66611B6}" srcOrd="1" destOrd="0" presId="urn:microsoft.com/office/officeart/2005/8/layout/hierarchy3"/>
    <dgm:cxn modelId="{14272FAC-CB1B-4371-A7AD-63E2EBB3D891}" type="presParOf" srcId="{D98F5160-37AB-4B82-B5FA-10282C07C16C}" destId="{82FDB8BB-9DE2-4561-84AA-3C973ACA80F3}" srcOrd="2" destOrd="0" presId="urn:microsoft.com/office/officeart/2005/8/layout/hierarchy3"/>
    <dgm:cxn modelId="{721D823B-1C8F-4BA6-94EF-E159063AD6F3}" type="presParOf" srcId="{D98F5160-37AB-4B82-B5FA-10282C07C16C}" destId="{5569C817-505E-42E5-9432-6575ED92AA00}" srcOrd="3" destOrd="0" presId="urn:microsoft.com/office/officeart/2005/8/layout/hierarchy3"/>
    <dgm:cxn modelId="{C685D07C-9776-48AC-AA42-1DDDEA4D3155}" type="presParOf" srcId="{D98F5160-37AB-4B82-B5FA-10282C07C16C}" destId="{ACC24262-21B9-48A2-9F4F-00B6A7D042F9}" srcOrd="4" destOrd="0" presId="urn:microsoft.com/office/officeart/2005/8/layout/hierarchy3"/>
    <dgm:cxn modelId="{5DA907E3-55A3-43C0-AF3C-6BB30200B1A0}" type="presParOf" srcId="{D98F5160-37AB-4B82-B5FA-10282C07C16C}" destId="{851A883E-3D85-4E02-BD15-358802D93E39}" srcOrd="5" destOrd="0" presId="urn:microsoft.com/office/officeart/2005/8/layout/hierarchy3"/>
    <dgm:cxn modelId="{4D859BEA-56F0-4EA5-A20C-858BECCBEFC2}" type="presParOf" srcId="{D98F5160-37AB-4B82-B5FA-10282C07C16C}" destId="{B70157B5-C7F7-4DF0-B800-1ED34F5EE1B7}" srcOrd="6" destOrd="0" presId="urn:microsoft.com/office/officeart/2005/8/layout/hierarchy3"/>
    <dgm:cxn modelId="{29988DE3-14C8-48EC-AF1A-999E94DA0CA4}" type="presParOf" srcId="{D98F5160-37AB-4B82-B5FA-10282C07C16C}" destId="{E282D563-FA57-4D82-BE98-947FE39727B8}" srcOrd="7" destOrd="0" presId="urn:microsoft.com/office/officeart/2005/8/layout/hierarchy3"/>
    <dgm:cxn modelId="{A4E7B874-1E72-4940-8331-594E3FEBF5BA}" type="presParOf" srcId="{D98F5160-37AB-4B82-B5FA-10282C07C16C}" destId="{55BD9BC6-8460-4326-918F-BDA8C4584CEE}" srcOrd="8" destOrd="0" presId="urn:microsoft.com/office/officeart/2005/8/layout/hierarchy3"/>
    <dgm:cxn modelId="{57FFAB6D-E2F6-4582-8C6F-D71EF7C24F76}" type="presParOf" srcId="{D98F5160-37AB-4B82-B5FA-10282C07C16C}" destId="{E44B5F9C-D801-4158-B05D-20E7DFBE9DEB}" srcOrd="9" destOrd="0" presId="urn:microsoft.com/office/officeart/2005/8/layout/hierarchy3"/>
    <dgm:cxn modelId="{50F03030-F014-4A18-99B9-1CD9A3990CA1}" type="presParOf" srcId="{0366513B-C80F-494C-96F9-06082B61B28F}" destId="{761B2480-9104-4175-8D62-E3090D10F867}" srcOrd="2" destOrd="0" presId="urn:microsoft.com/office/officeart/2005/8/layout/hierarchy3"/>
    <dgm:cxn modelId="{3A10F2F7-1562-47B1-848F-09A19A52F0C7}" type="presParOf" srcId="{761B2480-9104-4175-8D62-E3090D10F867}" destId="{C067B6E2-D4D5-46C8-99BA-86F0F162B4BD}" srcOrd="0" destOrd="0" presId="urn:microsoft.com/office/officeart/2005/8/layout/hierarchy3"/>
    <dgm:cxn modelId="{9DA310C7-192F-447F-9077-072125E85CF4}" type="presParOf" srcId="{C067B6E2-D4D5-46C8-99BA-86F0F162B4BD}" destId="{BE5A6EEA-82DD-4926-953D-9942D4A18E97}" srcOrd="0" destOrd="0" presId="urn:microsoft.com/office/officeart/2005/8/layout/hierarchy3"/>
    <dgm:cxn modelId="{28F4A8F1-6B46-4011-8662-5DFADC21F100}" type="presParOf" srcId="{C067B6E2-D4D5-46C8-99BA-86F0F162B4BD}" destId="{7F063E08-F67F-46DE-9CCF-5A44DC1AF394}" srcOrd="1" destOrd="0" presId="urn:microsoft.com/office/officeart/2005/8/layout/hierarchy3"/>
    <dgm:cxn modelId="{CD1B1FC7-CC3E-451F-AC0B-D3997E220028}" type="presParOf" srcId="{761B2480-9104-4175-8D62-E3090D10F867}" destId="{E8746F46-55BA-4F33-9017-7743DEBBFEC6}" srcOrd="1" destOrd="0" presId="urn:microsoft.com/office/officeart/2005/8/layout/hierarchy3"/>
    <dgm:cxn modelId="{66230ED1-CF70-40EE-B92C-CD4C147A9240}" type="presParOf" srcId="{E8746F46-55BA-4F33-9017-7743DEBBFEC6}" destId="{E43EC4A9-97AE-44B4-B042-08BA68E8B00D}" srcOrd="0" destOrd="0" presId="urn:microsoft.com/office/officeart/2005/8/layout/hierarchy3"/>
    <dgm:cxn modelId="{87D60191-C3C0-4D76-A9F5-A7DEF2732F89}" type="presParOf" srcId="{E8746F46-55BA-4F33-9017-7743DEBBFEC6}" destId="{DA8B5269-3B75-4F11-A6EC-8BD98E5CA96F}" srcOrd="1" destOrd="0" presId="urn:microsoft.com/office/officeart/2005/8/layout/hierarchy3"/>
    <dgm:cxn modelId="{B318C5E7-3BBC-4586-8412-2067A83406D9}" type="presParOf" srcId="{E8746F46-55BA-4F33-9017-7743DEBBFEC6}" destId="{E700ACC4-E8BC-4104-9ACD-D852E2C80276}" srcOrd="2" destOrd="0" presId="urn:microsoft.com/office/officeart/2005/8/layout/hierarchy3"/>
    <dgm:cxn modelId="{02F171A7-5775-4471-BD8A-C82C3B0DA807}" type="presParOf" srcId="{E8746F46-55BA-4F33-9017-7743DEBBFEC6}" destId="{C4F62553-293A-4C62-87F8-48F48819004A}" srcOrd="3" destOrd="0" presId="urn:microsoft.com/office/officeart/2005/8/layout/hierarchy3"/>
    <dgm:cxn modelId="{6868CFB2-2AD3-48D2-8E17-10A73C46A76B}" type="presParOf" srcId="{0366513B-C80F-494C-96F9-06082B61B28F}" destId="{CE18F144-E72B-4A00-9DFD-AC967DCC9DE4}" srcOrd="3" destOrd="0" presId="urn:microsoft.com/office/officeart/2005/8/layout/hierarchy3"/>
    <dgm:cxn modelId="{C41B4D76-6F8B-486A-8259-E72CFD402152}" type="presParOf" srcId="{CE18F144-E72B-4A00-9DFD-AC967DCC9DE4}" destId="{34277660-F9A6-46DF-AEE8-C06564DF0462}" srcOrd="0" destOrd="0" presId="urn:microsoft.com/office/officeart/2005/8/layout/hierarchy3"/>
    <dgm:cxn modelId="{35C0C8CB-732D-451F-966F-219278FB7148}" type="presParOf" srcId="{34277660-F9A6-46DF-AEE8-C06564DF0462}" destId="{0ECACEC3-F8BA-4AFA-8BAE-84689D69CEB4}" srcOrd="0" destOrd="0" presId="urn:microsoft.com/office/officeart/2005/8/layout/hierarchy3"/>
    <dgm:cxn modelId="{B580AA50-964E-4D63-91F8-2951C850C9D3}" type="presParOf" srcId="{34277660-F9A6-46DF-AEE8-C06564DF0462}" destId="{26448F43-BF47-4A8C-BFF3-8862F84AD2BD}" srcOrd="1" destOrd="0" presId="urn:microsoft.com/office/officeart/2005/8/layout/hierarchy3"/>
    <dgm:cxn modelId="{80FBF8CD-C3E0-4D8A-9832-FE68E4553AAD}" type="presParOf" srcId="{CE18F144-E72B-4A00-9DFD-AC967DCC9DE4}" destId="{B925825B-7EA8-4BFD-A4F9-A2FF63F2E214}" srcOrd="1" destOrd="0" presId="urn:microsoft.com/office/officeart/2005/8/layout/hierarchy3"/>
    <dgm:cxn modelId="{1AAEBB98-69F7-4EE7-846E-6434D5C5BE63}" type="presParOf" srcId="{B925825B-7EA8-4BFD-A4F9-A2FF63F2E214}" destId="{8D681FFF-3B52-48A3-A680-AFF9AA0F0A5C}" srcOrd="0" destOrd="0" presId="urn:microsoft.com/office/officeart/2005/8/layout/hierarchy3"/>
    <dgm:cxn modelId="{22B415ED-A3FE-4D4D-AC0A-4951D66DE491}" type="presParOf" srcId="{B925825B-7EA8-4BFD-A4F9-A2FF63F2E214}" destId="{B13E95C8-CD38-445D-9D1B-919AF644965C}" srcOrd="1" destOrd="0" presId="urn:microsoft.com/office/officeart/2005/8/layout/hierarchy3"/>
    <dgm:cxn modelId="{437E800C-DE60-420F-8CB9-DB5813BC2DFF}" type="presParOf" srcId="{B925825B-7EA8-4BFD-A4F9-A2FF63F2E214}" destId="{97C218D3-C66B-4BEE-8977-EA8B8A03F8C3}" srcOrd="2" destOrd="0" presId="urn:microsoft.com/office/officeart/2005/8/layout/hierarchy3"/>
    <dgm:cxn modelId="{CB157A7C-AB2F-4EC4-9E57-B641116C44FC}" type="presParOf" srcId="{B925825B-7EA8-4BFD-A4F9-A2FF63F2E214}" destId="{A2C45921-7A78-4559-8473-5C2AC6A727C5}" srcOrd="3" destOrd="0" presId="urn:microsoft.com/office/officeart/2005/8/layout/hierarchy3"/>
    <dgm:cxn modelId="{D8816CEC-3179-4EC2-AA38-C2C24DD75389}" type="presParOf" srcId="{B925825B-7EA8-4BFD-A4F9-A2FF63F2E214}" destId="{62709EED-1CE1-469A-8860-E0BCE60F8146}" srcOrd="4" destOrd="0" presId="urn:microsoft.com/office/officeart/2005/8/layout/hierarchy3"/>
    <dgm:cxn modelId="{4B82734C-B05D-4F0F-B4B0-5CC4E22C0C85}" type="presParOf" srcId="{B925825B-7EA8-4BFD-A4F9-A2FF63F2E214}" destId="{6BD4ED85-C1A7-4C7E-953B-6B68259E5C0A}" srcOrd="5" destOrd="0" presId="urn:microsoft.com/office/officeart/2005/8/layout/hierarchy3"/>
  </dgm:cxnLst>
  <dgm:bg/>
  <dgm:whole/>
  <dgm:extLst>
    <a:ext uri="http://schemas.microsoft.com/office/drawing/2008/diagram">
      <dsp:dataModelExt xmlns:dsp="http://schemas.microsoft.com/office/drawing/2008/diagram" relId="rId36"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6CE73109-E7FE-44CC-8248-AE60340FEB5B}" type="doc">
      <dgm:prSet loTypeId="urn:microsoft.com/office/officeart/2005/8/layout/hierarchy3" loCatId="list" qsTypeId="urn:microsoft.com/office/officeart/2005/8/quickstyle/simple1" qsCatId="simple" csTypeId="urn:microsoft.com/office/officeart/2005/8/colors/accent0_1" csCatId="mainScheme" phldr="1"/>
      <dgm:spPr/>
      <dgm:t>
        <a:bodyPr/>
        <a:lstStyle/>
        <a:p>
          <a:endParaRPr lang="es-CL"/>
        </a:p>
      </dgm:t>
    </dgm:pt>
    <dgm:pt modelId="{EA9B6CB3-BC48-424C-99F9-C5AC5D6CF720}">
      <dgm:prSet phldrT="[Texto]" custT="1"/>
      <dgm:spPr/>
      <dgm:t>
        <a:bodyPr/>
        <a:lstStyle/>
        <a:p>
          <a:r>
            <a:rPr lang="es-CL" sz="1050" b="0" dirty="0" smtClean="0">
              <a:effectLst/>
              <a:latin typeface="Arial" panose="020B0604020202020204" pitchFamily="34" charset="0"/>
              <a:cs typeface="Arial" panose="020B0604020202020204" pitchFamily="34" charset="0"/>
            </a:rPr>
            <a:t>Agricultura y Ganadería</a:t>
          </a:r>
          <a:endParaRPr lang="es-CL" sz="1050" b="0">
            <a:latin typeface="Arial" panose="020B0604020202020204" pitchFamily="34" charset="0"/>
            <a:cs typeface="Arial" panose="020B0604020202020204" pitchFamily="34" charset="0"/>
          </a:endParaRPr>
        </a:p>
      </dgm:t>
    </dgm:pt>
    <dgm:pt modelId="{91D5B57D-B297-43EF-B2DF-AC07B69BBDB0}" type="parTrans" cxnId="{826743ED-6092-4C3E-943B-BDD2CDECB5B0}">
      <dgm:prSet/>
      <dgm:spPr/>
      <dgm:t>
        <a:bodyPr/>
        <a:lstStyle/>
        <a:p>
          <a:endParaRPr lang="es-CL" sz="2000">
            <a:latin typeface="Arial" panose="020B0604020202020204" pitchFamily="34" charset="0"/>
            <a:cs typeface="Arial" panose="020B0604020202020204" pitchFamily="34" charset="0"/>
          </a:endParaRPr>
        </a:p>
      </dgm:t>
    </dgm:pt>
    <dgm:pt modelId="{3B2327A8-4223-4FA9-97CB-2119EF31FA2E}" type="sibTrans" cxnId="{826743ED-6092-4C3E-943B-BDD2CDECB5B0}">
      <dgm:prSet/>
      <dgm:spPr/>
      <dgm:t>
        <a:bodyPr/>
        <a:lstStyle/>
        <a:p>
          <a:endParaRPr lang="es-CL" sz="2000">
            <a:latin typeface="Arial" panose="020B0604020202020204" pitchFamily="34" charset="0"/>
            <a:cs typeface="Arial" panose="020B0604020202020204" pitchFamily="34" charset="0"/>
          </a:endParaRPr>
        </a:p>
      </dgm:t>
    </dgm:pt>
    <dgm:pt modelId="{12F9A7FE-FBB1-4529-BEB1-1777801F05D8}">
      <dgm:prSet phldrT="[Texto]" custT="1"/>
      <dgm:spPr/>
      <dgm:t>
        <a:bodyPr/>
        <a:lstStyle/>
        <a:p>
          <a:r>
            <a:rPr lang="es-CL" sz="800" dirty="0" smtClean="0">
              <a:latin typeface="Arial" panose="020B0604020202020204" pitchFamily="34" charset="0"/>
              <a:cs typeface="Arial" panose="020B0604020202020204" pitchFamily="34" charset="0"/>
            </a:rPr>
            <a:t>Condición geomorfológica del valle</a:t>
          </a:r>
        </a:p>
      </dgm:t>
    </dgm:pt>
    <dgm:pt modelId="{AC8AE38B-EEBE-4516-8AD6-169D14FA82B9}" type="parTrans" cxnId="{978B83B1-739B-4900-B231-9DE4FD4CF155}">
      <dgm:prSet/>
      <dgm:spPr/>
      <dgm:t>
        <a:bodyPr/>
        <a:lstStyle/>
        <a:p>
          <a:endParaRPr lang="es-CL" sz="2000">
            <a:latin typeface="Arial" panose="020B0604020202020204" pitchFamily="34" charset="0"/>
            <a:cs typeface="Arial" panose="020B0604020202020204" pitchFamily="34" charset="0"/>
          </a:endParaRPr>
        </a:p>
      </dgm:t>
    </dgm:pt>
    <dgm:pt modelId="{8F6E956E-68E4-4497-8DED-7064DAE63D8D}" type="sibTrans" cxnId="{978B83B1-739B-4900-B231-9DE4FD4CF155}">
      <dgm:prSet/>
      <dgm:spPr/>
      <dgm:t>
        <a:bodyPr/>
        <a:lstStyle/>
        <a:p>
          <a:endParaRPr lang="es-CL" sz="2000">
            <a:latin typeface="Arial" panose="020B0604020202020204" pitchFamily="34" charset="0"/>
            <a:cs typeface="Arial" panose="020B0604020202020204" pitchFamily="34" charset="0"/>
          </a:endParaRPr>
        </a:p>
      </dgm:t>
    </dgm:pt>
    <dgm:pt modelId="{74C10EBD-0554-44C5-8CE9-A4B132087E15}">
      <dgm:prSet phldrT="[Texto]" custT="1"/>
      <dgm:spPr/>
      <dgm:t>
        <a:bodyPr/>
        <a:lstStyle/>
        <a:p>
          <a:r>
            <a:rPr lang="es-CL" sz="800" dirty="0" smtClean="0">
              <a:latin typeface="Arial" panose="020B0604020202020204" pitchFamily="34" charset="0"/>
              <a:cs typeface="Arial" panose="020B0604020202020204" pitchFamily="34" charset="0"/>
            </a:rPr>
            <a:t>Agricultura y ganadería de subsistencia</a:t>
          </a:r>
        </a:p>
      </dgm:t>
    </dgm:pt>
    <dgm:pt modelId="{237098E7-E631-479A-8460-7D0547BBA3D4}" type="parTrans" cxnId="{911F2376-EAD2-4A1A-B7A6-9030A7CE426A}">
      <dgm:prSet/>
      <dgm:spPr/>
      <dgm:t>
        <a:bodyPr/>
        <a:lstStyle/>
        <a:p>
          <a:endParaRPr lang="es-CL" sz="2000">
            <a:latin typeface="Arial" panose="020B0604020202020204" pitchFamily="34" charset="0"/>
            <a:cs typeface="Arial" panose="020B0604020202020204" pitchFamily="34" charset="0"/>
          </a:endParaRPr>
        </a:p>
      </dgm:t>
    </dgm:pt>
    <dgm:pt modelId="{14D6B4FD-9358-463B-AE3B-B378E59FB09C}" type="sibTrans" cxnId="{911F2376-EAD2-4A1A-B7A6-9030A7CE426A}">
      <dgm:prSet/>
      <dgm:spPr/>
      <dgm:t>
        <a:bodyPr/>
        <a:lstStyle/>
        <a:p>
          <a:endParaRPr lang="es-CL" sz="2000">
            <a:latin typeface="Arial" panose="020B0604020202020204" pitchFamily="34" charset="0"/>
            <a:cs typeface="Arial" panose="020B0604020202020204" pitchFamily="34" charset="0"/>
          </a:endParaRPr>
        </a:p>
      </dgm:t>
    </dgm:pt>
    <dgm:pt modelId="{E4E484F1-964D-44A1-90A7-9A0693A7E2DB}">
      <dgm:prSet phldrT="[Texto]" custT="1"/>
      <dgm:spPr/>
      <dgm:t>
        <a:bodyPr/>
        <a:lstStyle/>
        <a:p>
          <a:r>
            <a:rPr lang="es-CL" sz="800" dirty="0" smtClean="0">
              <a:latin typeface="Arial" panose="020B0604020202020204" pitchFamily="34" charset="0"/>
              <a:cs typeface="Arial" panose="020B0604020202020204" pitchFamily="34" charset="0"/>
            </a:rPr>
            <a:t>Cambio composición predial (monocultivos)</a:t>
          </a:r>
        </a:p>
      </dgm:t>
    </dgm:pt>
    <dgm:pt modelId="{82023B51-D7EF-4292-A28D-0218CC678381}" type="parTrans" cxnId="{63EC6F8E-34C9-4A60-8028-36FD12E399A3}">
      <dgm:prSet/>
      <dgm:spPr/>
      <dgm:t>
        <a:bodyPr/>
        <a:lstStyle/>
        <a:p>
          <a:endParaRPr lang="es-CL" sz="2000">
            <a:latin typeface="Arial" panose="020B0604020202020204" pitchFamily="34" charset="0"/>
            <a:cs typeface="Arial" panose="020B0604020202020204" pitchFamily="34" charset="0"/>
          </a:endParaRPr>
        </a:p>
      </dgm:t>
    </dgm:pt>
    <dgm:pt modelId="{04C5321D-FDA6-46A1-82E7-0D91EFB4EFCE}" type="sibTrans" cxnId="{63EC6F8E-34C9-4A60-8028-36FD12E399A3}">
      <dgm:prSet/>
      <dgm:spPr/>
      <dgm:t>
        <a:bodyPr/>
        <a:lstStyle/>
        <a:p>
          <a:endParaRPr lang="es-CL" sz="2000">
            <a:latin typeface="Arial" panose="020B0604020202020204" pitchFamily="34" charset="0"/>
            <a:cs typeface="Arial" panose="020B0604020202020204" pitchFamily="34" charset="0"/>
          </a:endParaRPr>
        </a:p>
      </dgm:t>
    </dgm:pt>
    <dgm:pt modelId="{BEFDED7B-8F04-42E9-95D5-CB55AAF83738}">
      <dgm:prSet phldrT="[Texto]" custT="1"/>
      <dgm:spPr/>
      <dgm:t>
        <a:bodyPr/>
        <a:lstStyle/>
        <a:p>
          <a:r>
            <a:rPr lang="es-CL" sz="800" dirty="0" smtClean="0">
              <a:latin typeface="Arial" panose="020B0604020202020204" pitchFamily="34" charset="0"/>
              <a:cs typeface="Arial" panose="020B0604020202020204" pitchFamily="34" charset="0"/>
            </a:rPr>
            <a:t>Recurso hídrico (Eficiencia, Embalse)</a:t>
          </a:r>
        </a:p>
      </dgm:t>
    </dgm:pt>
    <dgm:pt modelId="{94271ABA-8C8E-465C-B425-58783C25FC02}" type="parTrans" cxnId="{9AC43C3F-86BE-41CD-922B-4483A0011D63}">
      <dgm:prSet/>
      <dgm:spPr/>
      <dgm:t>
        <a:bodyPr/>
        <a:lstStyle/>
        <a:p>
          <a:endParaRPr lang="es-CL" sz="2000">
            <a:latin typeface="Arial" panose="020B0604020202020204" pitchFamily="34" charset="0"/>
            <a:cs typeface="Arial" panose="020B0604020202020204" pitchFamily="34" charset="0"/>
          </a:endParaRPr>
        </a:p>
      </dgm:t>
    </dgm:pt>
    <dgm:pt modelId="{8E4C00A2-C198-4A38-A81B-F01E511AB3BD}" type="sibTrans" cxnId="{9AC43C3F-86BE-41CD-922B-4483A0011D63}">
      <dgm:prSet/>
      <dgm:spPr/>
      <dgm:t>
        <a:bodyPr/>
        <a:lstStyle/>
        <a:p>
          <a:endParaRPr lang="es-CL" sz="2000">
            <a:latin typeface="Arial" panose="020B0604020202020204" pitchFamily="34" charset="0"/>
            <a:cs typeface="Arial" panose="020B0604020202020204" pitchFamily="34" charset="0"/>
          </a:endParaRPr>
        </a:p>
      </dgm:t>
    </dgm:pt>
    <dgm:pt modelId="{17603E56-1477-498E-8BCF-F31D68E72630}">
      <dgm:prSet phldrT="[Texto]" custT="1"/>
      <dgm:spPr/>
      <dgm:t>
        <a:bodyPr/>
        <a:lstStyle/>
        <a:p>
          <a:r>
            <a:rPr lang="es-CL" sz="800" dirty="0" smtClean="0">
              <a:latin typeface="Arial" panose="020B0604020202020204" pitchFamily="34" charset="0"/>
              <a:cs typeface="Arial" panose="020B0604020202020204" pitchFamily="34" charset="0"/>
            </a:rPr>
            <a:t>Cambio uso propiedad</a:t>
          </a:r>
        </a:p>
      </dgm:t>
    </dgm:pt>
    <dgm:pt modelId="{B03A92F6-A00A-441A-97D0-CC5E8BE7D1E1}" type="parTrans" cxnId="{D21529FD-E0F4-41C6-A341-F6E8579F27C3}">
      <dgm:prSet/>
      <dgm:spPr/>
      <dgm:t>
        <a:bodyPr/>
        <a:lstStyle/>
        <a:p>
          <a:endParaRPr lang="es-CL" sz="2000">
            <a:latin typeface="Arial" panose="020B0604020202020204" pitchFamily="34" charset="0"/>
            <a:cs typeface="Arial" panose="020B0604020202020204" pitchFamily="34" charset="0"/>
          </a:endParaRPr>
        </a:p>
      </dgm:t>
    </dgm:pt>
    <dgm:pt modelId="{B675C15E-5BEE-4D7F-91E7-8D038D09BB07}" type="sibTrans" cxnId="{D21529FD-E0F4-41C6-A341-F6E8579F27C3}">
      <dgm:prSet/>
      <dgm:spPr/>
      <dgm:t>
        <a:bodyPr/>
        <a:lstStyle/>
        <a:p>
          <a:endParaRPr lang="es-CL" sz="2000">
            <a:latin typeface="Arial" panose="020B0604020202020204" pitchFamily="34" charset="0"/>
            <a:cs typeface="Arial" panose="020B0604020202020204" pitchFamily="34" charset="0"/>
          </a:endParaRPr>
        </a:p>
      </dgm:t>
    </dgm:pt>
    <dgm:pt modelId="{A8F27CED-8C3F-4190-A6CE-3315AE46EE35}">
      <dgm:prSet phldrT="[Texto]" custT="1"/>
      <dgm:spPr/>
      <dgm:t>
        <a:bodyPr/>
        <a:lstStyle/>
        <a:p>
          <a:r>
            <a:rPr lang="es-CL" sz="800" dirty="0" smtClean="0">
              <a:latin typeface="Arial" panose="020B0604020202020204" pitchFamily="34" charset="0"/>
              <a:cs typeface="Arial" panose="020B0604020202020204" pitchFamily="34" charset="0"/>
            </a:rPr>
            <a:t>Contaminación (minera y agrícola)</a:t>
          </a:r>
        </a:p>
      </dgm:t>
    </dgm:pt>
    <dgm:pt modelId="{3B320AE5-3D02-4E59-9586-A17D501950AB}" type="parTrans" cxnId="{9FBD9FC2-F372-4A84-9205-ACF2BC20E1A1}">
      <dgm:prSet/>
      <dgm:spPr/>
      <dgm:t>
        <a:bodyPr/>
        <a:lstStyle/>
        <a:p>
          <a:endParaRPr lang="es-CL" sz="2000">
            <a:latin typeface="Arial" panose="020B0604020202020204" pitchFamily="34" charset="0"/>
            <a:cs typeface="Arial" panose="020B0604020202020204" pitchFamily="34" charset="0"/>
          </a:endParaRPr>
        </a:p>
      </dgm:t>
    </dgm:pt>
    <dgm:pt modelId="{49438AAE-8C1B-4838-B0C9-7BBA96371139}" type="sibTrans" cxnId="{9FBD9FC2-F372-4A84-9205-ACF2BC20E1A1}">
      <dgm:prSet/>
      <dgm:spPr/>
      <dgm:t>
        <a:bodyPr/>
        <a:lstStyle/>
        <a:p>
          <a:endParaRPr lang="es-CL" sz="2000">
            <a:latin typeface="Arial" panose="020B0604020202020204" pitchFamily="34" charset="0"/>
            <a:cs typeface="Arial" panose="020B0604020202020204" pitchFamily="34" charset="0"/>
          </a:endParaRPr>
        </a:p>
      </dgm:t>
    </dgm:pt>
    <dgm:pt modelId="{FC7B6508-9309-419C-A513-96E7A29A356F}">
      <dgm:prSet phldrT="[Texto]" custT="1"/>
      <dgm:spPr/>
      <dgm:t>
        <a:bodyPr/>
        <a:lstStyle/>
        <a:p>
          <a:r>
            <a:rPr lang="es-CL" sz="1050" b="0" dirty="0" smtClean="0">
              <a:effectLst/>
              <a:latin typeface="Arial" panose="020B0604020202020204" pitchFamily="34" charset="0"/>
              <a:cs typeface="Arial" panose="020B0604020202020204" pitchFamily="34" charset="0"/>
            </a:rPr>
            <a:t>Medio Ambiente</a:t>
          </a:r>
          <a:endParaRPr lang="es-CL" sz="1050" b="0" dirty="0" smtClean="0">
            <a:latin typeface="Arial" panose="020B0604020202020204" pitchFamily="34" charset="0"/>
            <a:cs typeface="Arial" panose="020B0604020202020204" pitchFamily="34" charset="0"/>
          </a:endParaRPr>
        </a:p>
      </dgm:t>
    </dgm:pt>
    <dgm:pt modelId="{56E4D99C-33FD-429E-BD0D-F3D1701BF9B7}" type="parTrans" cxnId="{729B9139-B565-495E-A507-D3929E3B2D0B}">
      <dgm:prSet/>
      <dgm:spPr/>
      <dgm:t>
        <a:bodyPr/>
        <a:lstStyle/>
        <a:p>
          <a:endParaRPr lang="es-CL" sz="2000">
            <a:latin typeface="Arial" panose="020B0604020202020204" pitchFamily="34" charset="0"/>
            <a:cs typeface="Arial" panose="020B0604020202020204" pitchFamily="34" charset="0"/>
          </a:endParaRPr>
        </a:p>
      </dgm:t>
    </dgm:pt>
    <dgm:pt modelId="{FA1FF740-B189-4C59-9473-BDD98F1DD382}" type="sibTrans" cxnId="{729B9139-B565-495E-A507-D3929E3B2D0B}">
      <dgm:prSet/>
      <dgm:spPr/>
      <dgm:t>
        <a:bodyPr/>
        <a:lstStyle/>
        <a:p>
          <a:endParaRPr lang="es-CL" sz="2000">
            <a:latin typeface="Arial" panose="020B0604020202020204" pitchFamily="34" charset="0"/>
            <a:cs typeface="Arial" panose="020B0604020202020204" pitchFamily="34" charset="0"/>
          </a:endParaRPr>
        </a:p>
      </dgm:t>
    </dgm:pt>
    <dgm:pt modelId="{1C1F3629-B620-41BF-AAB9-615A075B3E7A}">
      <dgm:prSet phldrT="[Texto]" custT="1"/>
      <dgm:spPr/>
      <dgm:t>
        <a:bodyPr/>
        <a:lstStyle/>
        <a:p>
          <a:r>
            <a:rPr lang="es-CL" sz="800" dirty="0" smtClean="0">
              <a:latin typeface="Arial" panose="020B0604020202020204" pitchFamily="34" charset="0"/>
              <a:cs typeface="Arial" panose="020B0604020202020204" pitchFamily="34" charset="0"/>
            </a:rPr>
            <a:t>Contaminación Aire</a:t>
          </a:r>
          <a:endParaRPr lang="es-CL" sz="800" dirty="0">
            <a:latin typeface="Arial" panose="020B0604020202020204" pitchFamily="34" charset="0"/>
            <a:cs typeface="Arial" panose="020B0604020202020204" pitchFamily="34" charset="0"/>
          </a:endParaRPr>
        </a:p>
      </dgm:t>
    </dgm:pt>
    <dgm:pt modelId="{9CB735F2-6A20-4751-BCB2-C2ABDD0D5885}" type="parTrans" cxnId="{E29AFE90-1DDD-4E80-BD6F-5F4F8C693EB9}">
      <dgm:prSet/>
      <dgm:spPr/>
      <dgm:t>
        <a:bodyPr/>
        <a:lstStyle/>
        <a:p>
          <a:endParaRPr lang="es-CL" sz="2000">
            <a:latin typeface="Arial" panose="020B0604020202020204" pitchFamily="34" charset="0"/>
            <a:cs typeface="Arial" panose="020B0604020202020204" pitchFamily="34" charset="0"/>
          </a:endParaRPr>
        </a:p>
      </dgm:t>
    </dgm:pt>
    <dgm:pt modelId="{451A40CA-374C-49BA-AAD7-556EEB7D71E0}" type="sibTrans" cxnId="{E29AFE90-1DDD-4E80-BD6F-5F4F8C693EB9}">
      <dgm:prSet/>
      <dgm:spPr/>
      <dgm:t>
        <a:bodyPr/>
        <a:lstStyle/>
        <a:p>
          <a:endParaRPr lang="es-CL" sz="2000">
            <a:latin typeface="Arial" panose="020B0604020202020204" pitchFamily="34" charset="0"/>
            <a:cs typeface="Arial" panose="020B0604020202020204" pitchFamily="34" charset="0"/>
          </a:endParaRPr>
        </a:p>
      </dgm:t>
    </dgm:pt>
    <dgm:pt modelId="{ED9FB80B-CD80-4D50-A4B0-8E8180C4F2C4}">
      <dgm:prSet phldrT="[Texto]" custT="1"/>
      <dgm:spPr/>
      <dgm:t>
        <a:bodyPr/>
        <a:lstStyle/>
        <a:p>
          <a:r>
            <a:rPr lang="es-CL" sz="800" dirty="0" smtClean="0">
              <a:latin typeface="Arial" panose="020B0604020202020204" pitchFamily="34" charset="0"/>
              <a:cs typeface="Arial" panose="020B0604020202020204" pitchFamily="34" charset="0"/>
            </a:rPr>
            <a:t>Contaminación Agua</a:t>
          </a:r>
          <a:endParaRPr lang="es-CL" sz="800" dirty="0">
            <a:latin typeface="Arial" panose="020B0604020202020204" pitchFamily="34" charset="0"/>
            <a:cs typeface="Arial" panose="020B0604020202020204" pitchFamily="34" charset="0"/>
          </a:endParaRPr>
        </a:p>
      </dgm:t>
    </dgm:pt>
    <dgm:pt modelId="{43F702D5-7149-4234-A5EB-8FFB961691DB}" type="parTrans" cxnId="{027E879B-0282-4454-86D1-36DDF734F593}">
      <dgm:prSet/>
      <dgm:spPr/>
      <dgm:t>
        <a:bodyPr/>
        <a:lstStyle/>
        <a:p>
          <a:endParaRPr lang="es-CL" sz="2000">
            <a:latin typeface="Arial" panose="020B0604020202020204" pitchFamily="34" charset="0"/>
            <a:cs typeface="Arial" panose="020B0604020202020204" pitchFamily="34" charset="0"/>
          </a:endParaRPr>
        </a:p>
      </dgm:t>
    </dgm:pt>
    <dgm:pt modelId="{F77B0A98-3B21-46E6-8037-3798D86091D2}" type="sibTrans" cxnId="{027E879B-0282-4454-86D1-36DDF734F593}">
      <dgm:prSet/>
      <dgm:spPr/>
      <dgm:t>
        <a:bodyPr/>
        <a:lstStyle/>
        <a:p>
          <a:endParaRPr lang="es-CL" sz="2000">
            <a:latin typeface="Arial" panose="020B0604020202020204" pitchFamily="34" charset="0"/>
            <a:cs typeface="Arial" panose="020B0604020202020204" pitchFamily="34" charset="0"/>
          </a:endParaRPr>
        </a:p>
      </dgm:t>
    </dgm:pt>
    <dgm:pt modelId="{8764BD35-CE63-47EA-A00C-4D5480EBE47A}">
      <dgm:prSet phldrT="[Texto]" custT="1"/>
      <dgm:spPr/>
      <dgm:t>
        <a:bodyPr/>
        <a:lstStyle/>
        <a:p>
          <a:r>
            <a:rPr lang="es-CL" sz="800" dirty="0" smtClean="0">
              <a:latin typeface="Arial" panose="020B0604020202020204" pitchFamily="34" charset="0"/>
              <a:cs typeface="Arial" panose="020B0604020202020204" pitchFamily="34" charset="0"/>
            </a:rPr>
            <a:t>Contaminación Suelo</a:t>
          </a:r>
          <a:endParaRPr lang="es-CL" sz="800" dirty="0">
            <a:latin typeface="Arial" panose="020B0604020202020204" pitchFamily="34" charset="0"/>
            <a:cs typeface="Arial" panose="020B0604020202020204" pitchFamily="34" charset="0"/>
          </a:endParaRPr>
        </a:p>
      </dgm:t>
    </dgm:pt>
    <dgm:pt modelId="{B92BB8A1-0335-4270-B551-EAA6A8E76543}" type="parTrans" cxnId="{C8CFF53D-163B-4D46-9B1C-1D1F062D734B}">
      <dgm:prSet/>
      <dgm:spPr/>
      <dgm:t>
        <a:bodyPr/>
        <a:lstStyle/>
        <a:p>
          <a:endParaRPr lang="es-CL" sz="2000">
            <a:latin typeface="Arial" panose="020B0604020202020204" pitchFamily="34" charset="0"/>
            <a:cs typeface="Arial" panose="020B0604020202020204" pitchFamily="34" charset="0"/>
          </a:endParaRPr>
        </a:p>
      </dgm:t>
    </dgm:pt>
    <dgm:pt modelId="{300D4846-1616-4636-9A31-949230EB79BC}" type="sibTrans" cxnId="{C8CFF53D-163B-4D46-9B1C-1D1F062D734B}">
      <dgm:prSet/>
      <dgm:spPr/>
      <dgm:t>
        <a:bodyPr/>
        <a:lstStyle/>
        <a:p>
          <a:endParaRPr lang="es-CL" sz="2000">
            <a:latin typeface="Arial" panose="020B0604020202020204" pitchFamily="34" charset="0"/>
            <a:cs typeface="Arial" panose="020B0604020202020204" pitchFamily="34" charset="0"/>
          </a:endParaRPr>
        </a:p>
      </dgm:t>
    </dgm:pt>
    <dgm:pt modelId="{C1E3089D-F1E5-4F2D-A1DE-FF68BE5A47AF}">
      <dgm:prSet phldrT="[Texto]" custT="1"/>
      <dgm:spPr/>
      <dgm:t>
        <a:bodyPr/>
        <a:lstStyle/>
        <a:p>
          <a:r>
            <a:rPr lang="es-CL" sz="800" dirty="0" smtClean="0">
              <a:latin typeface="Arial" panose="020B0604020202020204" pitchFamily="34" charset="0"/>
              <a:cs typeface="Arial" panose="020B0604020202020204" pitchFamily="34" charset="0"/>
            </a:rPr>
            <a:t>Mitigación insuficiente</a:t>
          </a:r>
          <a:endParaRPr lang="es-CL" sz="800" dirty="0">
            <a:latin typeface="Arial" panose="020B0604020202020204" pitchFamily="34" charset="0"/>
            <a:cs typeface="Arial" panose="020B0604020202020204" pitchFamily="34" charset="0"/>
          </a:endParaRPr>
        </a:p>
      </dgm:t>
    </dgm:pt>
    <dgm:pt modelId="{810A7380-8503-4821-9A3A-418B21A5786B}" type="parTrans" cxnId="{34791EBC-D403-46D8-9956-9CE015870C8E}">
      <dgm:prSet/>
      <dgm:spPr/>
      <dgm:t>
        <a:bodyPr/>
        <a:lstStyle/>
        <a:p>
          <a:endParaRPr lang="es-CL" sz="2000">
            <a:latin typeface="Arial" panose="020B0604020202020204" pitchFamily="34" charset="0"/>
            <a:cs typeface="Arial" panose="020B0604020202020204" pitchFamily="34" charset="0"/>
          </a:endParaRPr>
        </a:p>
      </dgm:t>
    </dgm:pt>
    <dgm:pt modelId="{692C9DD6-2972-4F0D-A8ED-1096BFEE3DC5}" type="sibTrans" cxnId="{34791EBC-D403-46D8-9956-9CE015870C8E}">
      <dgm:prSet/>
      <dgm:spPr/>
      <dgm:t>
        <a:bodyPr/>
        <a:lstStyle/>
        <a:p>
          <a:endParaRPr lang="es-CL" sz="2000">
            <a:latin typeface="Arial" panose="020B0604020202020204" pitchFamily="34" charset="0"/>
            <a:cs typeface="Arial" panose="020B0604020202020204" pitchFamily="34" charset="0"/>
          </a:endParaRPr>
        </a:p>
      </dgm:t>
    </dgm:pt>
    <dgm:pt modelId="{3122A16B-C3BC-4C8B-968B-7B211A88B0C8}">
      <dgm:prSet phldrT="[Texto]" custT="1"/>
      <dgm:spPr/>
      <dgm:t>
        <a:bodyPr/>
        <a:lstStyle/>
        <a:p>
          <a:r>
            <a:rPr lang="es-CL" sz="800" dirty="0" smtClean="0">
              <a:latin typeface="Arial" panose="020B0604020202020204" pitchFamily="34" charset="0"/>
              <a:cs typeface="Arial" panose="020B0604020202020204" pitchFamily="34" charset="0"/>
            </a:rPr>
            <a:t>Destrucción y contaminación glaciares</a:t>
          </a:r>
          <a:endParaRPr lang="es-CL" sz="800" dirty="0">
            <a:latin typeface="Arial" panose="020B0604020202020204" pitchFamily="34" charset="0"/>
            <a:cs typeface="Arial" panose="020B0604020202020204" pitchFamily="34" charset="0"/>
          </a:endParaRPr>
        </a:p>
      </dgm:t>
    </dgm:pt>
    <dgm:pt modelId="{0D141ECB-65AE-4B0C-94C9-69BB74F9D4D6}" type="parTrans" cxnId="{7C427151-9F32-4166-BEFA-27587F7F257B}">
      <dgm:prSet/>
      <dgm:spPr/>
      <dgm:t>
        <a:bodyPr/>
        <a:lstStyle/>
        <a:p>
          <a:endParaRPr lang="es-CL" sz="2000">
            <a:latin typeface="Arial" panose="020B0604020202020204" pitchFamily="34" charset="0"/>
            <a:cs typeface="Arial" panose="020B0604020202020204" pitchFamily="34" charset="0"/>
          </a:endParaRPr>
        </a:p>
      </dgm:t>
    </dgm:pt>
    <dgm:pt modelId="{0BAD7947-E17A-4354-A368-0344409971A5}" type="sibTrans" cxnId="{7C427151-9F32-4166-BEFA-27587F7F257B}">
      <dgm:prSet/>
      <dgm:spPr/>
      <dgm:t>
        <a:bodyPr/>
        <a:lstStyle/>
        <a:p>
          <a:endParaRPr lang="es-CL" sz="2000">
            <a:latin typeface="Arial" panose="020B0604020202020204" pitchFamily="34" charset="0"/>
            <a:cs typeface="Arial" panose="020B0604020202020204" pitchFamily="34" charset="0"/>
          </a:endParaRPr>
        </a:p>
      </dgm:t>
    </dgm:pt>
    <dgm:pt modelId="{3FF201E6-D364-4C2A-BF5E-8C011D45133A}">
      <dgm:prSet phldrT="[Texto]" custT="1"/>
      <dgm:spPr/>
      <dgm:t>
        <a:bodyPr/>
        <a:lstStyle/>
        <a:p>
          <a:r>
            <a:rPr lang="es-CL" sz="800" dirty="0" smtClean="0">
              <a:latin typeface="Arial" panose="020B0604020202020204" pitchFamily="34" charset="0"/>
              <a:cs typeface="Arial" panose="020B0604020202020204" pitchFamily="34" charset="0"/>
            </a:rPr>
            <a:t>Efectos de Legado</a:t>
          </a:r>
          <a:endParaRPr lang="es-CL" sz="800" dirty="0">
            <a:latin typeface="Arial" panose="020B0604020202020204" pitchFamily="34" charset="0"/>
            <a:cs typeface="Arial" panose="020B0604020202020204" pitchFamily="34" charset="0"/>
          </a:endParaRPr>
        </a:p>
      </dgm:t>
    </dgm:pt>
    <dgm:pt modelId="{6171CE9B-BEFE-4A69-AA51-98F3B493239F}" type="parTrans" cxnId="{2340834F-1498-4562-94C9-109AAA19C501}">
      <dgm:prSet/>
      <dgm:spPr/>
      <dgm:t>
        <a:bodyPr/>
        <a:lstStyle/>
        <a:p>
          <a:endParaRPr lang="es-CL" sz="2000">
            <a:latin typeface="Arial" panose="020B0604020202020204" pitchFamily="34" charset="0"/>
            <a:cs typeface="Arial" panose="020B0604020202020204" pitchFamily="34" charset="0"/>
          </a:endParaRPr>
        </a:p>
      </dgm:t>
    </dgm:pt>
    <dgm:pt modelId="{B264ABD3-2B83-4AB6-A8FB-FD9F1F4EDC4E}" type="sibTrans" cxnId="{2340834F-1498-4562-94C9-109AAA19C501}">
      <dgm:prSet/>
      <dgm:spPr/>
      <dgm:t>
        <a:bodyPr/>
        <a:lstStyle/>
        <a:p>
          <a:endParaRPr lang="es-CL" sz="2000">
            <a:latin typeface="Arial" panose="020B0604020202020204" pitchFamily="34" charset="0"/>
            <a:cs typeface="Arial" panose="020B0604020202020204" pitchFamily="34" charset="0"/>
          </a:endParaRPr>
        </a:p>
      </dgm:t>
    </dgm:pt>
    <dgm:pt modelId="{9A080803-BDFE-43D7-ABA2-A6A4244BACD4}">
      <dgm:prSet phldrT="[Texto]" custT="1"/>
      <dgm:spPr/>
      <dgm:t>
        <a:bodyPr/>
        <a:lstStyle/>
        <a:p>
          <a:r>
            <a:rPr lang="es-CL" sz="1050" b="0" dirty="0" smtClean="0">
              <a:effectLst/>
              <a:latin typeface="Arial" panose="020B0604020202020204" pitchFamily="34" charset="0"/>
              <a:cs typeface="Arial" panose="020B0604020202020204" pitchFamily="34" charset="0"/>
            </a:rPr>
            <a:t>Recurso Hídrico</a:t>
          </a:r>
          <a:endParaRPr lang="es-CL" sz="1050" b="0" dirty="0">
            <a:effectLst/>
            <a:latin typeface="Arial" panose="020B0604020202020204" pitchFamily="34" charset="0"/>
            <a:cs typeface="Arial" panose="020B0604020202020204" pitchFamily="34" charset="0"/>
          </a:endParaRPr>
        </a:p>
      </dgm:t>
    </dgm:pt>
    <dgm:pt modelId="{CF710999-D6F7-4F81-BA0B-C6163FFBA152}" type="parTrans" cxnId="{BE9E2AA5-7553-45FD-BD9C-5EFF786A0E60}">
      <dgm:prSet/>
      <dgm:spPr/>
      <dgm:t>
        <a:bodyPr/>
        <a:lstStyle/>
        <a:p>
          <a:endParaRPr lang="es-CL" sz="2000">
            <a:latin typeface="Arial" panose="020B0604020202020204" pitchFamily="34" charset="0"/>
            <a:cs typeface="Arial" panose="020B0604020202020204" pitchFamily="34" charset="0"/>
          </a:endParaRPr>
        </a:p>
      </dgm:t>
    </dgm:pt>
    <dgm:pt modelId="{B921BBA4-D3BB-4558-BBD0-2D4FDA395104}" type="sibTrans" cxnId="{BE9E2AA5-7553-45FD-BD9C-5EFF786A0E60}">
      <dgm:prSet/>
      <dgm:spPr/>
      <dgm:t>
        <a:bodyPr/>
        <a:lstStyle/>
        <a:p>
          <a:endParaRPr lang="es-CL" sz="2000">
            <a:latin typeface="Arial" panose="020B0604020202020204" pitchFamily="34" charset="0"/>
            <a:cs typeface="Arial" panose="020B0604020202020204" pitchFamily="34" charset="0"/>
          </a:endParaRPr>
        </a:p>
      </dgm:t>
    </dgm:pt>
    <dgm:pt modelId="{0B6F5682-A679-4A5A-BB45-B9DFD7598541}">
      <dgm:prSet phldrT="[Texto]" custT="1"/>
      <dgm:spPr/>
      <dgm:t>
        <a:bodyPr/>
        <a:lstStyle/>
        <a:p>
          <a:r>
            <a:rPr lang="es-CL" sz="800" dirty="0" smtClean="0">
              <a:latin typeface="Arial" panose="020B0604020202020204" pitchFamily="34" charset="0"/>
              <a:cs typeface="Arial" panose="020B0604020202020204" pitchFamily="34" charset="0"/>
            </a:rPr>
            <a:t>Recurso Limitante</a:t>
          </a:r>
          <a:endParaRPr lang="es-CL" sz="800" dirty="0">
            <a:latin typeface="Arial" panose="020B0604020202020204" pitchFamily="34" charset="0"/>
            <a:cs typeface="Arial" panose="020B0604020202020204" pitchFamily="34" charset="0"/>
          </a:endParaRPr>
        </a:p>
      </dgm:t>
    </dgm:pt>
    <dgm:pt modelId="{43ECE4D4-04D8-49CB-B5D3-45AFC8CD0ADE}" type="parTrans" cxnId="{F9E9FC71-2B90-4D44-838E-880EC164E35E}">
      <dgm:prSet/>
      <dgm:spPr/>
      <dgm:t>
        <a:bodyPr/>
        <a:lstStyle/>
        <a:p>
          <a:endParaRPr lang="es-CL" sz="2000">
            <a:latin typeface="Arial" panose="020B0604020202020204" pitchFamily="34" charset="0"/>
            <a:cs typeface="Arial" panose="020B0604020202020204" pitchFamily="34" charset="0"/>
          </a:endParaRPr>
        </a:p>
      </dgm:t>
    </dgm:pt>
    <dgm:pt modelId="{54786EB6-46F6-4680-97CB-53FBF7CD2E25}" type="sibTrans" cxnId="{F9E9FC71-2B90-4D44-838E-880EC164E35E}">
      <dgm:prSet/>
      <dgm:spPr/>
      <dgm:t>
        <a:bodyPr/>
        <a:lstStyle/>
        <a:p>
          <a:endParaRPr lang="es-CL" sz="2000">
            <a:latin typeface="Arial" panose="020B0604020202020204" pitchFamily="34" charset="0"/>
            <a:cs typeface="Arial" panose="020B0604020202020204" pitchFamily="34" charset="0"/>
          </a:endParaRPr>
        </a:p>
      </dgm:t>
    </dgm:pt>
    <dgm:pt modelId="{E99E0B76-6329-4E05-A577-6D3473E76842}">
      <dgm:prSet phldrT="[Texto]" custT="1"/>
      <dgm:spPr/>
      <dgm:t>
        <a:bodyPr/>
        <a:lstStyle/>
        <a:p>
          <a:r>
            <a:rPr lang="es-CL" sz="800" dirty="0" smtClean="0">
              <a:latin typeface="Arial" panose="020B0604020202020204" pitchFamily="34" charset="0"/>
              <a:cs typeface="Arial" panose="020B0604020202020204" pitchFamily="34" charset="0"/>
            </a:rPr>
            <a:t>Agua para minería (Glaciares)</a:t>
          </a:r>
          <a:endParaRPr lang="es-CL" sz="800" dirty="0">
            <a:latin typeface="Arial" panose="020B0604020202020204" pitchFamily="34" charset="0"/>
            <a:cs typeface="Arial" panose="020B0604020202020204" pitchFamily="34" charset="0"/>
          </a:endParaRPr>
        </a:p>
      </dgm:t>
    </dgm:pt>
    <dgm:pt modelId="{00D01595-9160-432B-894E-1F7471BD03B4}" type="parTrans" cxnId="{628147DB-189A-4684-8D5C-126BB32A76E2}">
      <dgm:prSet/>
      <dgm:spPr/>
      <dgm:t>
        <a:bodyPr/>
        <a:lstStyle/>
        <a:p>
          <a:endParaRPr lang="es-CL" sz="2000">
            <a:latin typeface="Arial" panose="020B0604020202020204" pitchFamily="34" charset="0"/>
            <a:cs typeface="Arial" panose="020B0604020202020204" pitchFamily="34" charset="0"/>
          </a:endParaRPr>
        </a:p>
      </dgm:t>
    </dgm:pt>
    <dgm:pt modelId="{45824ACB-E05F-4A7A-AC71-25EE63FE20C6}" type="sibTrans" cxnId="{628147DB-189A-4684-8D5C-126BB32A76E2}">
      <dgm:prSet/>
      <dgm:spPr/>
      <dgm:t>
        <a:bodyPr/>
        <a:lstStyle/>
        <a:p>
          <a:endParaRPr lang="es-CL" sz="2000">
            <a:latin typeface="Arial" panose="020B0604020202020204" pitchFamily="34" charset="0"/>
            <a:cs typeface="Arial" panose="020B0604020202020204" pitchFamily="34" charset="0"/>
          </a:endParaRPr>
        </a:p>
      </dgm:t>
    </dgm:pt>
    <dgm:pt modelId="{13E7BC10-CD28-4315-99CE-2AF766EEC511}">
      <dgm:prSet phldrT="[Texto]" custT="1"/>
      <dgm:spPr/>
      <dgm:t>
        <a:bodyPr/>
        <a:lstStyle/>
        <a:p>
          <a:r>
            <a:rPr lang="es-CL" sz="800" dirty="0" smtClean="0">
              <a:latin typeface="Arial" panose="020B0604020202020204" pitchFamily="34" charset="0"/>
              <a:cs typeface="Arial" panose="020B0604020202020204" pitchFamily="34" charset="0"/>
            </a:rPr>
            <a:t>Derechos de Agua (Bien de consumo) </a:t>
          </a:r>
        </a:p>
      </dgm:t>
    </dgm:pt>
    <dgm:pt modelId="{53A31AFF-5759-4015-A96E-E59AD04DA46F}" type="parTrans" cxnId="{36A2CE1A-ABCF-46BF-8FAB-6F35EE6C57FB}">
      <dgm:prSet/>
      <dgm:spPr/>
      <dgm:t>
        <a:bodyPr/>
        <a:lstStyle/>
        <a:p>
          <a:endParaRPr lang="es-CL" sz="2000">
            <a:latin typeface="Arial" panose="020B0604020202020204" pitchFamily="34" charset="0"/>
            <a:cs typeface="Arial" panose="020B0604020202020204" pitchFamily="34" charset="0"/>
          </a:endParaRPr>
        </a:p>
      </dgm:t>
    </dgm:pt>
    <dgm:pt modelId="{B2930710-88BB-4117-B041-E7B2F0D4F193}" type="sibTrans" cxnId="{36A2CE1A-ABCF-46BF-8FAB-6F35EE6C57FB}">
      <dgm:prSet/>
      <dgm:spPr/>
      <dgm:t>
        <a:bodyPr/>
        <a:lstStyle/>
        <a:p>
          <a:endParaRPr lang="es-CL" sz="2000">
            <a:latin typeface="Arial" panose="020B0604020202020204" pitchFamily="34" charset="0"/>
            <a:cs typeface="Arial" panose="020B0604020202020204" pitchFamily="34" charset="0"/>
          </a:endParaRPr>
        </a:p>
      </dgm:t>
    </dgm:pt>
    <dgm:pt modelId="{68A7457E-6E74-4284-83C6-C1030824389B}">
      <dgm:prSet phldrT="[Texto]" custT="1"/>
      <dgm:spPr/>
      <dgm:t>
        <a:bodyPr/>
        <a:lstStyle/>
        <a:p>
          <a:r>
            <a:rPr lang="es-CL" sz="800" dirty="0" smtClean="0">
              <a:latin typeface="Arial" panose="020B0604020202020204" pitchFamily="34" charset="0"/>
              <a:cs typeface="Arial" panose="020B0604020202020204" pitchFamily="34" charset="0"/>
            </a:rPr>
            <a:t>Riesgo de Contaminación</a:t>
          </a:r>
        </a:p>
      </dgm:t>
    </dgm:pt>
    <dgm:pt modelId="{66D5A28D-AC5E-4DDF-8291-D7A1C806272D}" type="parTrans" cxnId="{DAE47311-940D-43D4-8BF2-30A12E16989A}">
      <dgm:prSet/>
      <dgm:spPr/>
      <dgm:t>
        <a:bodyPr/>
        <a:lstStyle/>
        <a:p>
          <a:endParaRPr lang="es-CL" sz="2000">
            <a:latin typeface="Arial" panose="020B0604020202020204" pitchFamily="34" charset="0"/>
            <a:cs typeface="Arial" panose="020B0604020202020204" pitchFamily="34" charset="0"/>
          </a:endParaRPr>
        </a:p>
      </dgm:t>
    </dgm:pt>
    <dgm:pt modelId="{B32603A0-3588-4E93-8995-D961724FEEB6}" type="sibTrans" cxnId="{DAE47311-940D-43D4-8BF2-30A12E16989A}">
      <dgm:prSet/>
      <dgm:spPr/>
      <dgm:t>
        <a:bodyPr/>
        <a:lstStyle/>
        <a:p>
          <a:endParaRPr lang="es-CL" sz="2000">
            <a:latin typeface="Arial" panose="020B0604020202020204" pitchFamily="34" charset="0"/>
            <a:cs typeface="Arial" panose="020B0604020202020204" pitchFamily="34" charset="0"/>
          </a:endParaRPr>
        </a:p>
      </dgm:t>
    </dgm:pt>
    <dgm:pt modelId="{8524C8A3-0D83-4F34-989D-CA0A9FFDCFCE}">
      <dgm:prSet phldrT="[Texto]" custT="1"/>
      <dgm:spPr/>
      <dgm:t>
        <a:bodyPr/>
        <a:lstStyle/>
        <a:p>
          <a:r>
            <a:rPr lang="es-CL" sz="800" dirty="0" smtClean="0">
              <a:latin typeface="Arial" panose="020B0604020202020204" pitchFamily="34" charset="0"/>
              <a:cs typeface="Arial" panose="020B0604020202020204" pitchFamily="34" charset="0"/>
            </a:rPr>
            <a:t>Agricultura intensiva (uso y contaminación)</a:t>
          </a:r>
        </a:p>
      </dgm:t>
    </dgm:pt>
    <dgm:pt modelId="{8426EC0D-F3F4-4A71-9BCE-FC56BFA53007}" type="parTrans" cxnId="{F47FD21A-3AA3-4DDD-BB02-6A8A6A2A6DC3}">
      <dgm:prSet/>
      <dgm:spPr/>
      <dgm:t>
        <a:bodyPr/>
        <a:lstStyle/>
        <a:p>
          <a:endParaRPr lang="es-CL" sz="2000">
            <a:latin typeface="Arial" panose="020B0604020202020204" pitchFamily="34" charset="0"/>
            <a:cs typeface="Arial" panose="020B0604020202020204" pitchFamily="34" charset="0"/>
          </a:endParaRPr>
        </a:p>
      </dgm:t>
    </dgm:pt>
    <dgm:pt modelId="{6141041B-9D7E-4F66-B174-23B996B6E098}" type="sibTrans" cxnId="{F47FD21A-3AA3-4DDD-BB02-6A8A6A2A6DC3}">
      <dgm:prSet/>
      <dgm:spPr/>
      <dgm:t>
        <a:bodyPr/>
        <a:lstStyle/>
        <a:p>
          <a:endParaRPr lang="es-CL" sz="2000">
            <a:latin typeface="Arial" panose="020B0604020202020204" pitchFamily="34" charset="0"/>
            <a:cs typeface="Arial" panose="020B0604020202020204" pitchFamily="34" charset="0"/>
          </a:endParaRPr>
        </a:p>
      </dgm:t>
    </dgm:pt>
    <dgm:pt modelId="{D45DD0C1-851E-4E46-8B85-00C46CE793F4}">
      <dgm:prSet phldrT="[Texto]" custT="1"/>
      <dgm:spPr/>
      <dgm:t>
        <a:bodyPr/>
        <a:lstStyle/>
        <a:p>
          <a:r>
            <a:rPr lang="es-CL" sz="1050" b="0" dirty="0" smtClean="0">
              <a:effectLst/>
              <a:latin typeface="Arial" panose="020B0604020202020204" pitchFamily="34" charset="0"/>
              <a:cs typeface="Arial" panose="020B0604020202020204" pitchFamily="34" charset="0"/>
            </a:rPr>
            <a:t>Minería</a:t>
          </a:r>
        </a:p>
      </dgm:t>
    </dgm:pt>
    <dgm:pt modelId="{012AA1A7-6972-4DCC-A2C5-5FD71CEB505A}" type="parTrans" cxnId="{3C0AD5B2-FD0F-461C-8939-214C7F16EC16}">
      <dgm:prSet/>
      <dgm:spPr/>
      <dgm:t>
        <a:bodyPr/>
        <a:lstStyle/>
        <a:p>
          <a:endParaRPr lang="es-CL" sz="2000">
            <a:latin typeface="Arial" panose="020B0604020202020204" pitchFamily="34" charset="0"/>
            <a:cs typeface="Arial" panose="020B0604020202020204" pitchFamily="34" charset="0"/>
          </a:endParaRPr>
        </a:p>
      </dgm:t>
    </dgm:pt>
    <dgm:pt modelId="{A199FBFC-CFF2-4467-B3B0-D024BE204068}" type="sibTrans" cxnId="{3C0AD5B2-FD0F-461C-8939-214C7F16EC16}">
      <dgm:prSet/>
      <dgm:spPr/>
      <dgm:t>
        <a:bodyPr/>
        <a:lstStyle/>
        <a:p>
          <a:endParaRPr lang="es-CL" sz="2000">
            <a:latin typeface="Arial" panose="020B0604020202020204" pitchFamily="34" charset="0"/>
            <a:cs typeface="Arial" panose="020B0604020202020204" pitchFamily="34" charset="0"/>
          </a:endParaRPr>
        </a:p>
      </dgm:t>
    </dgm:pt>
    <dgm:pt modelId="{70190170-1673-48FB-B486-AA463A8105F0}">
      <dgm:prSet phldrT="[Texto]" custT="1"/>
      <dgm:spPr/>
      <dgm:t>
        <a:bodyPr/>
        <a:lstStyle/>
        <a:p>
          <a:r>
            <a:rPr lang="es-CL" sz="800" dirty="0" smtClean="0">
              <a:latin typeface="Arial" panose="020B0604020202020204" pitchFamily="34" charset="0"/>
              <a:cs typeface="Arial" panose="020B0604020202020204" pitchFamily="34" charset="0"/>
            </a:rPr>
            <a:t>Operaciones mineras inactivas (M. Artesanal)</a:t>
          </a:r>
        </a:p>
      </dgm:t>
    </dgm:pt>
    <dgm:pt modelId="{D3A5370C-90FD-417B-8B80-2E2C7B479999}" type="parTrans" cxnId="{0BC70B17-941A-4C42-A9AB-6293C590700F}">
      <dgm:prSet/>
      <dgm:spPr/>
      <dgm:t>
        <a:bodyPr/>
        <a:lstStyle/>
        <a:p>
          <a:endParaRPr lang="es-CL" sz="2000">
            <a:latin typeface="Arial" panose="020B0604020202020204" pitchFamily="34" charset="0"/>
            <a:cs typeface="Arial" panose="020B0604020202020204" pitchFamily="34" charset="0"/>
          </a:endParaRPr>
        </a:p>
      </dgm:t>
    </dgm:pt>
    <dgm:pt modelId="{BAAD06DD-D439-4621-8807-EC41E89DEDE6}" type="sibTrans" cxnId="{0BC70B17-941A-4C42-A9AB-6293C590700F}">
      <dgm:prSet/>
      <dgm:spPr/>
      <dgm:t>
        <a:bodyPr/>
        <a:lstStyle/>
        <a:p>
          <a:endParaRPr lang="es-CL" sz="2000">
            <a:latin typeface="Arial" panose="020B0604020202020204" pitchFamily="34" charset="0"/>
            <a:cs typeface="Arial" panose="020B0604020202020204" pitchFamily="34" charset="0"/>
          </a:endParaRPr>
        </a:p>
      </dgm:t>
    </dgm:pt>
    <dgm:pt modelId="{1B38783F-CFDC-421B-814B-6062B8C6390D}">
      <dgm:prSet phldrT="[Texto]" custT="1"/>
      <dgm:spPr/>
      <dgm:t>
        <a:bodyPr/>
        <a:lstStyle/>
        <a:p>
          <a:r>
            <a:rPr lang="es-CL" sz="800" dirty="0" smtClean="0">
              <a:latin typeface="Arial" panose="020B0604020202020204" pitchFamily="34" charset="0"/>
              <a:cs typeface="Arial" panose="020B0604020202020204" pitchFamily="34" charset="0"/>
            </a:rPr>
            <a:t>Actividad Contaminante</a:t>
          </a:r>
        </a:p>
      </dgm:t>
    </dgm:pt>
    <dgm:pt modelId="{3311FB16-E2E8-42C3-A0E9-8E33846E03F9}" type="parTrans" cxnId="{B2885887-FC19-48E4-8DE1-F33FF9B3EA14}">
      <dgm:prSet/>
      <dgm:spPr/>
      <dgm:t>
        <a:bodyPr/>
        <a:lstStyle/>
        <a:p>
          <a:endParaRPr lang="es-CL" sz="2000">
            <a:latin typeface="Arial" panose="020B0604020202020204" pitchFamily="34" charset="0"/>
            <a:cs typeface="Arial" panose="020B0604020202020204" pitchFamily="34" charset="0"/>
          </a:endParaRPr>
        </a:p>
      </dgm:t>
    </dgm:pt>
    <dgm:pt modelId="{6C93B0C0-B37A-48AB-BF0C-84DA9EA3020D}" type="sibTrans" cxnId="{B2885887-FC19-48E4-8DE1-F33FF9B3EA14}">
      <dgm:prSet/>
      <dgm:spPr/>
      <dgm:t>
        <a:bodyPr/>
        <a:lstStyle/>
        <a:p>
          <a:endParaRPr lang="es-CL" sz="2000">
            <a:latin typeface="Arial" panose="020B0604020202020204" pitchFamily="34" charset="0"/>
            <a:cs typeface="Arial" panose="020B0604020202020204" pitchFamily="34" charset="0"/>
          </a:endParaRPr>
        </a:p>
      </dgm:t>
    </dgm:pt>
    <dgm:pt modelId="{4E992FCB-C1F1-4B8B-A740-84BAD45D0DF4}">
      <dgm:prSet phldrT="[Texto]" custT="1"/>
      <dgm:spPr/>
      <dgm:t>
        <a:bodyPr/>
        <a:lstStyle/>
        <a:p>
          <a:r>
            <a:rPr lang="es-CL" sz="800" dirty="0" smtClean="0">
              <a:latin typeface="Arial" panose="020B0604020202020204" pitchFamily="34" charset="0"/>
              <a:cs typeface="Arial" panose="020B0604020202020204" pitchFamily="34" charset="0"/>
            </a:rPr>
            <a:t>Expectativa llegada mega minería</a:t>
          </a:r>
        </a:p>
      </dgm:t>
    </dgm:pt>
    <dgm:pt modelId="{4D1ADCEF-FBDF-4D5A-987B-6E6BC2C1A24D}" type="parTrans" cxnId="{DD536222-29A3-49E4-9105-6FDA0D1C3CFD}">
      <dgm:prSet/>
      <dgm:spPr/>
      <dgm:t>
        <a:bodyPr/>
        <a:lstStyle/>
        <a:p>
          <a:endParaRPr lang="es-CL" sz="2000">
            <a:latin typeface="Arial" panose="020B0604020202020204" pitchFamily="34" charset="0"/>
            <a:cs typeface="Arial" panose="020B0604020202020204" pitchFamily="34" charset="0"/>
          </a:endParaRPr>
        </a:p>
      </dgm:t>
    </dgm:pt>
    <dgm:pt modelId="{835D9CDD-E311-4728-A9D0-B81F273A3B9A}" type="sibTrans" cxnId="{DD536222-29A3-49E4-9105-6FDA0D1C3CFD}">
      <dgm:prSet/>
      <dgm:spPr/>
      <dgm:t>
        <a:bodyPr/>
        <a:lstStyle/>
        <a:p>
          <a:endParaRPr lang="es-CL" sz="2000">
            <a:latin typeface="Arial" panose="020B0604020202020204" pitchFamily="34" charset="0"/>
            <a:cs typeface="Arial" panose="020B0604020202020204" pitchFamily="34" charset="0"/>
          </a:endParaRPr>
        </a:p>
      </dgm:t>
    </dgm:pt>
    <dgm:pt modelId="{AD91F69C-0748-46B6-A8F7-EB31A1CB1C27}" type="pres">
      <dgm:prSet presAssocID="{6CE73109-E7FE-44CC-8248-AE60340FEB5B}" presName="diagram" presStyleCnt="0">
        <dgm:presLayoutVars>
          <dgm:chPref val="1"/>
          <dgm:dir/>
          <dgm:animOne val="branch"/>
          <dgm:animLvl val="lvl"/>
          <dgm:resizeHandles/>
        </dgm:presLayoutVars>
      </dgm:prSet>
      <dgm:spPr/>
      <dgm:t>
        <a:bodyPr/>
        <a:lstStyle/>
        <a:p>
          <a:endParaRPr lang="es-CL"/>
        </a:p>
      </dgm:t>
    </dgm:pt>
    <dgm:pt modelId="{0C779245-5B67-4741-A8DE-23AE607BC63E}" type="pres">
      <dgm:prSet presAssocID="{EA9B6CB3-BC48-424C-99F9-C5AC5D6CF720}" presName="root" presStyleCnt="0"/>
      <dgm:spPr/>
    </dgm:pt>
    <dgm:pt modelId="{DCF6CF73-1C53-49C0-BE6B-03B1CDB96A80}" type="pres">
      <dgm:prSet presAssocID="{EA9B6CB3-BC48-424C-99F9-C5AC5D6CF720}" presName="rootComposite" presStyleCnt="0"/>
      <dgm:spPr/>
    </dgm:pt>
    <dgm:pt modelId="{759723A6-F740-45D6-91FA-75E02A36C2BF}" type="pres">
      <dgm:prSet presAssocID="{EA9B6CB3-BC48-424C-99F9-C5AC5D6CF720}" presName="rootText" presStyleLbl="node1" presStyleIdx="0" presStyleCnt="4" custScaleX="115097" custScaleY="111887"/>
      <dgm:spPr/>
      <dgm:t>
        <a:bodyPr/>
        <a:lstStyle/>
        <a:p>
          <a:endParaRPr lang="es-CL"/>
        </a:p>
      </dgm:t>
    </dgm:pt>
    <dgm:pt modelId="{89968529-F10D-454C-ACE1-41E260FCCBE9}" type="pres">
      <dgm:prSet presAssocID="{EA9B6CB3-BC48-424C-99F9-C5AC5D6CF720}" presName="rootConnector" presStyleLbl="node1" presStyleIdx="0" presStyleCnt="4"/>
      <dgm:spPr/>
      <dgm:t>
        <a:bodyPr/>
        <a:lstStyle/>
        <a:p>
          <a:endParaRPr lang="es-CL"/>
        </a:p>
      </dgm:t>
    </dgm:pt>
    <dgm:pt modelId="{63FB6741-A504-4F8B-8931-1CD5F25CE449}" type="pres">
      <dgm:prSet presAssocID="{EA9B6CB3-BC48-424C-99F9-C5AC5D6CF720}" presName="childShape" presStyleCnt="0"/>
      <dgm:spPr/>
    </dgm:pt>
    <dgm:pt modelId="{E021E55A-D467-4BC5-AD5A-8E3747441BFD}" type="pres">
      <dgm:prSet presAssocID="{AC8AE38B-EEBE-4516-8AD6-169D14FA82B9}" presName="Name13" presStyleLbl="parChTrans1D2" presStyleIdx="0" presStyleCnt="20"/>
      <dgm:spPr/>
      <dgm:t>
        <a:bodyPr/>
        <a:lstStyle/>
        <a:p>
          <a:endParaRPr lang="es-CL"/>
        </a:p>
      </dgm:t>
    </dgm:pt>
    <dgm:pt modelId="{11D0EA5F-68D8-4369-8890-93F72C05A4AD}" type="pres">
      <dgm:prSet presAssocID="{12F9A7FE-FBB1-4529-BEB1-1777801F05D8}" presName="childText" presStyleLbl="bgAcc1" presStyleIdx="0" presStyleCnt="20" custScaleX="140751">
        <dgm:presLayoutVars>
          <dgm:bulletEnabled val="1"/>
        </dgm:presLayoutVars>
      </dgm:prSet>
      <dgm:spPr/>
      <dgm:t>
        <a:bodyPr/>
        <a:lstStyle/>
        <a:p>
          <a:endParaRPr lang="es-CL"/>
        </a:p>
      </dgm:t>
    </dgm:pt>
    <dgm:pt modelId="{25496A08-A84F-4B6D-8F8A-725DD113380B}" type="pres">
      <dgm:prSet presAssocID="{237098E7-E631-479A-8460-7D0547BBA3D4}" presName="Name13" presStyleLbl="parChTrans1D2" presStyleIdx="1" presStyleCnt="20"/>
      <dgm:spPr/>
      <dgm:t>
        <a:bodyPr/>
        <a:lstStyle/>
        <a:p>
          <a:endParaRPr lang="es-CL"/>
        </a:p>
      </dgm:t>
    </dgm:pt>
    <dgm:pt modelId="{03F8638E-5BAD-4D72-9B5D-9D4B0629AA9F}" type="pres">
      <dgm:prSet presAssocID="{74C10EBD-0554-44C5-8CE9-A4B132087E15}" presName="childText" presStyleLbl="bgAcc1" presStyleIdx="1" presStyleCnt="20" custScaleX="138357">
        <dgm:presLayoutVars>
          <dgm:bulletEnabled val="1"/>
        </dgm:presLayoutVars>
      </dgm:prSet>
      <dgm:spPr/>
      <dgm:t>
        <a:bodyPr/>
        <a:lstStyle/>
        <a:p>
          <a:endParaRPr lang="es-CL"/>
        </a:p>
      </dgm:t>
    </dgm:pt>
    <dgm:pt modelId="{F13BD78C-BB44-4B2A-A47B-F889B407348D}" type="pres">
      <dgm:prSet presAssocID="{82023B51-D7EF-4292-A28D-0218CC678381}" presName="Name13" presStyleLbl="parChTrans1D2" presStyleIdx="2" presStyleCnt="20"/>
      <dgm:spPr/>
      <dgm:t>
        <a:bodyPr/>
        <a:lstStyle/>
        <a:p>
          <a:endParaRPr lang="es-CL"/>
        </a:p>
      </dgm:t>
    </dgm:pt>
    <dgm:pt modelId="{CF69F75C-8137-47B3-BB8E-4DCAC7059B25}" type="pres">
      <dgm:prSet presAssocID="{E4E484F1-964D-44A1-90A7-9A0693A7E2DB}" presName="childText" presStyleLbl="bgAcc1" presStyleIdx="2" presStyleCnt="20" custScaleX="138357">
        <dgm:presLayoutVars>
          <dgm:bulletEnabled val="1"/>
        </dgm:presLayoutVars>
      </dgm:prSet>
      <dgm:spPr/>
      <dgm:t>
        <a:bodyPr/>
        <a:lstStyle/>
        <a:p>
          <a:endParaRPr lang="es-CL"/>
        </a:p>
      </dgm:t>
    </dgm:pt>
    <dgm:pt modelId="{A05C21B7-4039-44F2-9B19-2E0491F4952D}" type="pres">
      <dgm:prSet presAssocID="{94271ABA-8C8E-465C-B425-58783C25FC02}" presName="Name13" presStyleLbl="parChTrans1D2" presStyleIdx="3" presStyleCnt="20"/>
      <dgm:spPr/>
      <dgm:t>
        <a:bodyPr/>
        <a:lstStyle/>
        <a:p>
          <a:endParaRPr lang="es-CL"/>
        </a:p>
      </dgm:t>
    </dgm:pt>
    <dgm:pt modelId="{957A118E-C370-4760-9635-3E2115A500BE}" type="pres">
      <dgm:prSet presAssocID="{BEFDED7B-8F04-42E9-95D5-CB55AAF83738}" presName="childText" presStyleLbl="bgAcc1" presStyleIdx="3" presStyleCnt="20" custScaleX="135963">
        <dgm:presLayoutVars>
          <dgm:bulletEnabled val="1"/>
        </dgm:presLayoutVars>
      </dgm:prSet>
      <dgm:spPr/>
      <dgm:t>
        <a:bodyPr/>
        <a:lstStyle/>
        <a:p>
          <a:endParaRPr lang="es-CL"/>
        </a:p>
      </dgm:t>
    </dgm:pt>
    <dgm:pt modelId="{FB5389F3-5ADC-423D-A7A1-0158D2E02894}" type="pres">
      <dgm:prSet presAssocID="{B03A92F6-A00A-441A-97D0-CC5E8BE7D1E1}" presName="Name13" presStyleLbl="parChTrans1D2" presStyleIdx="4" presStyleCnt="20"/>
      <dgm:spPr/>
      <dgm:t>
        <a:bodyPr/>
        <a:lstStyle/>
        <a:p>
          <a:endParaRPr lang="es-CL"/>
        </a:p>
      </dgm:t>
    </dgm:pt>
    <dgm:pt modelId="{AC8A1E93-A263-407D-A14D-545B48B70A9E}" type="pres">
      <dgm:prSet presAssocID="{17603E56-1477-498E-8BCF-F31D68E72630}" presName="childText" presStyleLbl="bgAcc1" presStyleIdx="4" presStyleCnt="20" custScaleX="138197">
        <dgm:presLayoutVars>
          <dgm:bulletEnabled val="1"/>
        </dgm:presLayoutVars>
      </dgm:prSet>
      <dgm:spPr/>
      <dgm:t>
        <a:bodyPr/>
        <a:lstStyle/>
        <a:p>
          <a:endParaRPr lang="es-CL"/>
        </a:p>
      </dgm:t>
    </dgm:pt>
    <dgm:pt modelId="{E69E482B-D236-48FF-A826-4F1D65D444D4}" type="pres">
      <dgm:prSet presAssocID="{3B320AE5-3D02-4E59-9586-A17D501950AB}" presName="Name13" presStyleLbl="parChTrans1D2" presStyleIdx="5" presStyleCnt="20"/>
      <dgm:spPr/>
      <dgm:t>
        <a:bodyPr/>
        <a:lstStyle/>
        <a:p>
          <a:endParaRPr lang="es-CL"/>
        </a:p>
      </dgm:t>
    </dgm:pt>
    <dgm:pt modelId="{597D5A16-762E-4D58-B142-C04CC0DC00CF}" type="pres">
      <dgm:prSet presAssocID="{A8F27CED-8C3F-4190-A6CE-3315AE46EE35}" presName="childText" presStyleLbl="bgAcc1" presStyleIdx="5" presStyleCnt="20" custScaleX="135803">
        <dgm:presLayoutVars>
          <dgm:bulletEnabled val="1"/>
        </dgm:presLayoutVars>
      </dgm:prSet>
      <dgm:spPr/>
      <dgm:t>
        <a:bodyPr/>
        <a:lstStyle/>
        <a:p>
          <a:endParaRPr lang="es-CL"/>
        </a:p>
      </dgm:t>
    </dgm:pt>
    <dgm:pt modelId="{45F699C0-2546-47A1-8EF9-10F087B2999F}" type="pres">
      <dgm:prSet presAssocID="{FC7B6508-9309-419C-A513-96E7A29A356F}" presName="root" presStyleCnt="0"/>
      <dgm:spPr/>
    </dgm:pt>
    <dgm:pt modelId="{7EA276A7-EBDA-442F-9056-5E32A4272913}" type="pres">
      <dgm:prSet presAssocID="{FC7B6508-9309-419C-A513-96E7A29A356F}" presName="rootComposite" presStyleCnt="0"/>
      <dgm:spPr/>
    </dgm:pt>
    <dgm:pt modelId="{76E182E7-6522-4A0F-83B0-AD4DEE477B2C}" type="pres">
      <dgm:prSet presAssocID="{FC7B6508-9309-419C-A513-96E7A29A356F}" presName="rootText" presStyleLbl="node1" presStyleIdx="1" presStyleCnt="4" custScaleX="115097" custScaleY="111887"/>
      <dgm:spPr/>
      <dgm:t>
        <a:bodyPr/>
        <a:lstStyle/>
        <a:p>
          <a:endParaRPr lang="es-CL"/>
        </a:p>
      </dgm:t>
    </dgm:pt>
    <dgm:pt modelId="{BEA23C30-BD2B-42A4-A58C-363D3489CD7F}" type="pres">
      <dgm:prSet presAssocID="{FC7B6508-9309-419C-A513-96E7A29A356F}" presName="rootConnector" presStyleLbl="node1" presStyleIdx="1" presStyleCnt="4"/>
      <dgm:spPr/>
      <dgm:t>
        <a:bodyPr/>
        <a:lstStyle/>
        <a:p>
          <a:endParaRPr lang="es-CL"/>
        </a:p>
      </dgm:t>
    </dgm:pt>
    <dgm:pt modelId="{DA4DE3D3-683A-4AEB-A7CE-809BE548C039}" type="pres">
      <dgm:prSet presAssocID="{FC7B6508-9309-419C-A513-96E7A29A356F}" presName="childShape" presStyleCnt="0"/>
      <dgm:spPr/>
    </dgm:pt>
    <dgm:pt modelId="{B5CCAA6A-1FBE-44EA-922F-7FC8D3BE01AF}" type="pres">
      <dgm:prSet presAssocID="{9CB735F2-6A20-4751-BCB2-C2ABDD0D5885}" presName="Name13" presStyleLbl="parChTrans1D2" presStyleIdx="6" presStyleCnt="20"/>
      <dgm:spPr/>
      <dgm:t>
        <a:bodyPr/>
        <a:lstStyle/>
        <a:p>
          <a:endParaRPr lang="es-CL"/>
        </a:p>
      </dgm:t>
    </dgm:pt>
    <dgm:pt modelId="{7AC6B010-342F-46B8-BFB7-57CC904CA1F5}" type="pres">
      <dgm:prSet presAssocID="{1C1F3629-B620-41BF-AAB9-615A075B3E7A}" presName="childText" presStyleLbl="bgAcc1" presStyleIdx="6" presStyleCnt="20" custScaleX="103647">
        <dgm:presLayoutVars>
          <dgm:bulletEnabled val="1"/>
        </dgm:presLayoutVars>
      </dgm:prSet>
      <dgm:spPr/>
      <dgm:t>
        <a:bodyPr/>
        <a:lstStyle/>
        <a:p>
          <a:endParaRPr lang="es-CL"/>
        </a:p>
      </dgm:t>
    </dgm:pt>
    <dgm:pt modelId="{F32C8C23-544E-4B8F-ADAD-27296D9600D1}" type="pres">
      <dgm:prSet presAssocID="{43F702D5-7149-4234-A5EB-8FFB961691DB}" presName="Name13" presStyleLbl="parChTrans1D2" presStyleIdx="7" presStyleCnt="20"/>
      <dgm:spPr/>
      <dgm:t>
        <a:bodyPr/>
        <a:lstStyle/>
        <a:p>
          <a:endParaRPr lang="es-CL"/>
        </a:p>
      </dgm:t>
    </dgm:pt>
    <dgm:pt modelId="{179199CB-F384-4879-85C2-96C6969AD9BF}" type="pres">
      <dgm:prSet presAssocID="{ED9FB80B-CD80-4D50-A4B0-8E8180C4F2C4}" presName="childText" presStyleLbl="bgAcc1" presStyleIdx="7" presStyleCnt="20" custScaleX="103647">
        <dgm:presLayoutVars>
          <dgm:bulletEnabled val="1"/>
        </dgm:presLayoutVars>
      </dgm:prSet>
      <dgm:spPr/>
      <dgm:t>
        <a:bodyPr/>
        <a:lstStyle/>
        <a:p>
          <a:endParaRPr lang="es-CL"/>
        </a:p>
      </dgm:t>
    </dgm:pt>
    <dgm:pt modelId="{03453089-95B4-46B8-911C-F973480A9D3F}" type="pres">
      <dgm:prSet presAssocID="{B92BB8A1-0335-4270-B551-EAA6A8E76543}" presName="Name13" presStyleLbl="parChTrans1D2" presStyleIdx="8" presStyleCnt="20"/>
      <dgm:spPr/>
      <dgm:t>
        <a:bodyPr/>
        <a:lstStyle/>
        <a:p>
          <a:endParaRPr lang="es-CL"/>
        </a:p>
      </dgm:t>
    </dgm:pt>
    <dgm:pt modelId="{D7D647F2-6AFA-483D-9C61-98E6603C25BF}" type="pres">
      <dgm:prSet presAssocID="{8764BD35-CE63-47EA-A00C-4D5480EBE47A}" presName="childText" presStyleLbl="bgAcc1" presStyleIdx="8" presStyleCnt="20" custScaleX="103647">
        <dgm:presLayoutVars>
          <dgm:bulletEnabled val="1"/>
        </dgm:presLayoutVars>
      </dgm:prSet>
      <dgm:spPr/>
      <dgm:t>
        <a:bodyPr/>
        <a:lstStyle/>
        <a:p>
          <a:endParaRPr lang="es-CL"/>
        </a:p>
      </dgm:t>
    </dgm:pt>
    <dgm:pt modelId="{0EB91488-17FD-4394-831D-89C3C2E386E6}" type="pres">
      <dgm:prSet presAssocID="{810A7380-8503-4821-9A3A-418B21A5786B}" presName="Name13" presStyleLbl="parChTrans1D2" presStyleIdx="9" presStyleCnt="20"/>
      <dgm:spPr/>
      <dgm:t>
        <a:bodyPr/>
        <a:lstStyle/>
        <a:p>
          <a:endParaRPr lang="es-CL"/>
        </a:p>
      </dgm:t>
    </dgm:pt>
    <dgm:pt modelId="{81CF7300-A832-4871-A370-72F6C7E098FD}" type="pres">
      <dgm:prSet presAssocID="{C1E3089D-F1E5-4F2D-A1DE-FF68BE5A47AF}" presName="childText" presStyleLbl="bgAcc1" presStyleIdx="9" presStyleCnt="20" custScaleX="105472">
        <dgm:presLayoutVars>
          <dgm:bulletEnabled val="1"/>
        </dgm:presLayoutVars>
      </dgm:prSet>
      <dgm:spPr/>
      <dgm:t>
        <a:bodyPr/>
        <a:lstStyle/>
        <a:p>
          <a:endParaRPr lang="es-CL"/>
        </a:p>
      </dgm:t>
    </dgm:pt>
    <dgm:pt modelId="{BE268528-6FE0-4D35-8BF7-3762B2E99E8D}" type="pres">
      <dgm:prSet presAssocID="{0D141ECB-65AE-4B0C-94C9-69BB74F9D4D6}" presName="Name13" presStyleLbl="parChTrans1D2" presStyleIdx="10" presStyleCnt="20"/>
      <dgm:spPr/>
      <dgm:t>
        <a:bodyPr/>
        <a:lstStyle/>
        <a:p>
          <a:endParaRPr lang="es-CL"/>
        </a:p>
      </dgm:t>
    </dgm:pt>
    <dgm:pt modelId="{41E30A1B-C9A8-4EF0-B5B9-4F0944517147}" type="pres">
      <dgm:prSet presAssocID="{3122A16B-C3BC-4C8B-968B-7B211A88B0C8}" presName="childText" presStyleLbl="bgAcc1" presStyleIdx="10" presStyleCnt="20" custScaleX="105472">
        <dgm:presLayoutVars>
          <dgm:bulletEnabled val="1"/>
        </dgm:presLayoutVars>
      </dgm:prSet>
      <dgm:spPr/>
      <dgm:t>
        <a:bodyPr/>
        <a:lstStyle/>
        <a:p>
          <a:endParaRPr lang="es-CL"/>
        </a:p>
      </dgm:t>
    </dgm:pt>
    <dgm:pt modelId="{2F30AAC2-F528-4013-912C-A7084C7F026B}" type="pres">
      <dgm:prSet presAssocID="{6171CE9B-BEFE-4A69-AA51-98F3B493239F}" presName="Name13" presStyleLbl="parChTrans1D2" presStyleIdx="11" presStyleCnt="20"/>
      <dgm:spPr/>
      <dgm:t>
        <a:bodyPr/>
        <a:lstStyle/>
        <a:p>
          <a:endParaRPr lang="es-CL"/>
        </a:p>
      </dgm:t>
    </dgm:pt>
    <dgm:pt modelId="{03D987F8-77C0-4BB2-BA3A-4D25C82E6A42}" type="pres">
      <dgm:prSet presAssocID="{3FF201E6-D364-4C2A-BF5E-8C011D45133A}" presName="childText" presStyleLbl="bgAcc1" presStyleIdx="11" presStyleCnt="20" custScaleX="105472">
        <dgm:presLayoutVars>
          <dgm:bulletEnabled val="1"/>
        </dgm:presLayoutVars>
      </dgm:prSet>
      <dgm:spPr/>
      <dgm:t>
        <a:bodyPr/>
        <a:lstStyle/>
        <a:p>
          <a:endParaRPr lang="es-CL"/>
        </a:p>
      </dgm:t>
    </dgm:pt>
    <dgm:pt modelId="{C9D4832D-8D88-4159-8281-2DC2F334900F}" type="pres">
      <dgm:prSet presAssocID="{9A080803-BDFE-43D7-ABA2-A6A4244BACD4}" presName="root" presStyleCnt="0"/>
      <dgm:spPr/>
    </dgm:pt>
    <dgm:pt modelId="{40689EDB-A102-4E93-8D77-1DACE237AA43}" type="pres">
      <dgm:prSet presAssocID="{9A080803-BDFE-43D7-ABA2-A6A4244BACD4}" presName="rootComposite" presStyleCnt="0"/>
      <dgm:spPr/>
    </dgm:pt>
    <dgm:pt modelId="{C4229EAC-E1BC-4020-883D-2A7FE2FC73CB}" type="pres">
      <dgm:prSet presAssocID="{9A080803-BDFE-43D7-ABA2-A6A4244BACD4}" presName="rootText" presStyleLbl="node1" presStyleIdx="2" presStyleCnt="4" custScaleX="115097" custScaleY="111558"/>
      <dgm:spPr/>
      <dgm:t>
        <a:bodyPr/>
        <a:lstStyle/>
        <a:p>
          <a:endParaRPr lang="es-CL"/>
        </a:p>
      </dgm:t>
    </dgm:pt>
    <dgm:pt modelId="{B3ED35A8-259F-45BB-A683-DA07252B252E}" type="pres">
      <dgm:prSet presAssocID="{9A080803-BDFE-43D7-ABA2-A6A4244BACD4}" presName="rootConnector" presStyleLbl="node1" presStyleIdx="2" presStyleCnt="4"/>
      <dgm:spPr/>
      <dgm:t>
        <a:bodyPr/>
        <a:lstStyle/>
        <a:p>
          <a:endParaRPr lang="es-CL"/>
        </a:p>
      </dgm:t>
    </dgm:pt>
    <dgm:pt modelId="{1B03FDAF-9022-442C-92D3-6E285057123E}" type="pres">
      <dgm:prSet presAssocID="{9A080803-BDFE-43D7-ABA2-A6A4244BACD4}" presName="childShape" presStyleCnt="0"/>
      <dgm:spPr/>
    </dgm:pt>
    <dgm:pt modelId="{D733C745-9B56-4688-8485-5CA1F4229A1B}" type="pres">
      <dgm:prSet presAssocID="{43ECE4D4-04D8-49CB-B5D3-45AFC8CD0ADE}" presName="Name13" presStyleLbl="parChTrans1D2" presStyleIdx="12" presStyleCnt="20"/>
      <dgm:spPr/>
      <dgm:t>
        <a:bodyPr/>
        <a:lstStyle/>
        <a:p>
          <a:endParaRPr lang="es-CL"/>
        </a:p>
      </dgm:t>
    </dgm:pt>
    <dgm:pt modelId="{139B96D6-C6BF-4B79-B052-F29FED4A7E7A}" type="pres">
      <dgm:prSet presAssocID="{0B6F5682-A679-4A5A-BB45-B9DFD7598541}" presName="childText" presStyleLbl="bgAcc1" presStyleIdx="12" presStyleCnt="20" custScaleX="116652">
        <dgm:presLayoutVars>
          <dgm:bulletEnabled val="1"/>
        </dgm:presLayoutVars>
      </dgm:prSet>
      <dgm:spPr/>
      <dgm:t>
        <a:bodyPr/>
        <a:lstStyle/>
        <a:p>
          <a:endParaRPr lang="es-CL"/>
        </a:p>
      </dgm:t>
    </dgm:pt>
    <dgm:pt modelId="{000A4988-6135-4B2A-950F-B0942243A74E}" type="pres">
      <dgm:prSet presAssocID="{00D01595-9160-432B-894E-1F7471BD03B4}" presName="Name13" presStyleLbl="parChTrans1D2" presStyleIdx="13" presStyleCnt="20"/>
      <dgm:spPr/>
      <dgm:t>
        <a:bodyPr/>
        <a:lstStyle/>
        <a:p>
          <a:endParaRPr lang="es-CL"/>
        </a:p>
      </dgm:t>
    </dgm:pt>
    <dgm:pt modelId="{876B658A-9C17-4031-B44A-BF1A51B3D0AC}" type="pres">
      <dgm:prSet presAssocID="{E99E0B76-6329-4E05-A577-6D3473E76842}" presName="childText" presStyleLbl="bgAcc1" presStyleIdx="13" presStyleCnt="20" custScaleX="116652">
        <dgm:presLayoutVars>
          <dgm:bulletEnabled val="1"/>
        </dgm:presLayoutVars>
      </dgm:prSet>
      <dgm:spPr/>
      <dgm:t>
        <a:bodyPr/>
        <a:lstStyle/>
        <a:p>
          <a:endParaRPr lang="es-CL"/>
        </a:p>
      </dgm:t>
    </dgm:pt>
    <dgm:pt modelId="{72845727-7B09-4E37-BBF2-EB8608590E75}" type="pres">
      <dgm:prSet presAssocID="{53A31AFF-5759-4015-A96E-E59AD04DA46F}" presName="Name13" presStyleLbl="parChTrans1D2" presStyleIdx="14" presStyleCnt="20"/>
      <dgm:spPr/>
      <dgm:t>
        <a:bodyPr/>
        <a:lstStyle/>
        <a:p>
          <a:endParaRPr lang="es-CL"/>
        </a:p>
      </dgm:t>
    </dgm:pt>
    <dgm:pt modelId="{8522264D-AC1D-4866-A8C3-E89E3256579A}" type="pres">
      <dgm:prSet presAssocID="{13E7BC10-CD28-4315-99CE-2AF766EEC511}" presName="childText" presStyleLbl="bgAcc1" presStyleIdx="14" presStyleCnt="20" custScaleX="116652">
        <dgm:presLayoutVars>
          <dgm:bulletEnabled val="1"/>
        </dgm:presLayoutVars>
      </dgm:prSet>
      <dgm:spPr/>
      <dgm:t>
        <a:bodyPr/>
        <a:lstStyle/>
        <a:p>
          <a:endParaRPr lang="es-CL"/>
        </a:p>
      </dgm:t>
    </dgm:pt>
    <dgm:pt modelId="{73CBB0B6-09F8-428F-A305-F89EC4D7EC76}" type="pres">
      <dgm:prSet presAssocID="{66D5A28D-AC5E-4DDF-8291-D7A1C806272D}" presName="Name13" presStyleLbl="parChTrans1D2" presStyleIdx="15" presStyleCnt="20"/>
      <dgm:spPr/>
      <dgm:t>
        <a:bodyPr/>
        <a:lstStyle/>
        <a:p>
          <a:endParaRPr lang="es-CL"/>
        </a:p>
      </dgm:t>
    </dgm:pt>
    <dgm:pt modelId="{25724DD0-895A-4C35-B7B9-3101D9085DE2}" type="pres">
      <dgm:prSet presAssocID="{68A7457E-6E74-4284-83C6-C1030824389B}" presName="childText" presStyleLbl="bgAcc1" presStyleIdx="15" presStyleCnt="20" custScaleX="116652">
        <dgm:presLayoutVars>
          <dgm:bulletEnabled val="1"/>
        </dgm:presLayoutVars>
      </dgm:prSet>
      <dgm:spPr/>
      <dgm:t>
        <a:bodyPr/>
        <a:lstStyle/>
        <a:p>
          <a:endParaRPr lang="es-CL"/>
        </a:p>
      </dgm:t>
    </dgm:pt>
    <dgm:pt modelId="{BFA88191-AC68-42D8-B98C-65ADB6827363}" type="pres">
      <dgm:prSet presAssocID="{8426EC0D-F3F4-4A71-9BCE-FC56BFA53007}" presName="Name13" presStyleLbl="parChTrans1D2" presStyleIdx="16" presStyleCnt="20"/>
      <dgm:spPr/>
      <dgm:t>
        <a:bodyPr/>
        <a:lstStyle/>
        <a:p>
          <a:endParaRPr lang="es-CL"/>
        </a:p>
      </dgm:t>
    </dgm:pt>
    <dgm:pt modelId="{AA66CD6A-273A-4E2E-BB8F-ECBF5C9C1734}" type="pres">
      <dgm:prSet presAssocID="{8524C8A3-0D83-4F34-989D-CA0A9FFDCFCE}" presName="childText" presStyleLbl="bgAcc1" presStyleIdx="16" presStyleCnt="20" custScaleX="116652">
        <dgm:presLayoutVars>
          <dgm:bulletEnabled val="1"/>
        </dgm:presLayoutVars>
      </dgm:prSet>
      <dgm:spPr/>
      <dgm:t>
        <a:bodyPr/>
        <a:lstStyle/>
        <a:p>
          <a:endParaRPr lang="es-CL"/>
        </a:p>
      </dgm:t>
    </dgm:pt>
    <dgm:pt modelId="{5E4E8CFF-161A-4408-AA8A-F525C6DE791E}" type="pres">
      <dgm:prSet presAssocID="{D45DD0C1-851E-4E46-8B85-00C46CE793F4}" presName="root" presStyleCnt="0"/>
      <dgm:spPr/>
    </dgm:pt>
    <dgm:pt modelId="{3E7BC9CE-216A-46D4-98EF-5A0A3B20D749}" type="pres">
      <dgm:prSet presAssocID="{D45DD0C1-851E-4E46-8B85-00C46CE793F4}" presName="rootComposite" presStyleCnt="0"/>
      <dgm:spPr/>
    </dgm:pt>
    <dgm:pt modelId="{0059C371-D3F7-4AC7-B5DD-C3A5DE5D1D49}" type="pres">
      <dgm:prSet presAssocID="{D45DD0C1-851E-4E46-8B85-00C46CE793F4}" presName="rootText" presStyleLbl="node1" presStyleIdx="3" presStyleCnt="4" custScaleX="115097" custScaleY="111558"/>
      <dgm:spPr/>
      <dgm:t>
        <a:bodyPr/>
        <a:lstStyle/>
        <a:p>
          <a:endParaRPr lang="es-CL"/>
        </a:p>
      </dgm:t>
    </dgm:pt>
    <dgm:pt modelId="{3567A2ED-279E-4CF9-85BC-32454F297E7B}" type="pres">
      <dgm:prSet presAssocID="{D45DD0C1-851E-4E46-8B85-00C46CE793F4}" presName="rootConnector" presStyleLbl="node1" presStyleIdx="3" presStyleCnt="4"/>
      <dgm:spPr/>
      <dgm:t>
        <a:bodyPr/>
        <a:lstStyle/>
        <a:p>
          <a:endParaRPr lang="es-CL"/>
        </a:p>
      </dgm:t>
    </dgm:pt>
    <dgm:pt modelId="{EB2C416B-E6C6-4081-899A-E462E84C8A77}" type="pres">
      <dgm:prSet presAssocID="{D45DD0C1-851E-4E46-8B85-00C46CE793F4}" presName="childShape" presStyleCnt="0"/>
      <dgm:spPr/>
    </dgm:pt>
    <dgm:pt modelId="{DF19C26F-FEEC-4729-835A-6FA6738A12C2}" type="pres">
      <dgm:prSet presAssocID="{D3A5370C-90FD-417B-8B80-2E2C7B479999}" presName="Name13" presStyleLbl="parChTrans1D2" presStyleIdx="17" presStyleCnt="20"/>
      <dgm:spPr/>
      <dgm:t>
        <a:bodyPr/>
        <a:lstStyle/>
        <a:p>
          <a:endParaRPr lang="es-CL"/>
        </a:p>
      </dgm:t>
    </dgm:pt>
    <dgm:pt modelId="{6E0F5272-B228-45DB-B99F-640EFDA90A87}" type="pres">
      <dgm:prSet presAssocID="{70190170-1673-48FB-B486-AA463A8105F0}" presName="childText" presStyleLbl="bgAcc1" presStyleIdx="17" presStyleCnt="20" custScaleX="129638" custScaleY="150657">
        <dgm:presLayoutVars>
          <dgm:bulletEnabled val="1"/>
        </dgm:presLayoutVars>
      </dgm:prSet>
      <dgm:spPr/>
      <dgm:t>
        <a:bodyPr/>
        <a:lstStyle/>
        <a:p>
          <a:endParaRPr lang="es-CL"/>
        </a:p>
      </dgm:t>
    </dgm:pt>
    <dgm:pt modelId="{5417AFA5-8D83-4E5C-B9CF-A76B6A821A2C}" type="pres">
      <dgm:prSet presAssocID="{3311FB16-E2E8-42C3-A0E9-8E33846E03F9}" presName="Name13" presStyleLbl="parChTrans1D2" presStyleIdx="18" presStyleCnt="20"/>
      <dgm:spPr/>
      <dgm:t>
        <a:bodyPr/>
        <a:lstStyle/>
        <a:p>
          <a:endParaRPr lang="es-CL"/>
        </a:p>
      </dgm:t>
    </dgm:pt>
    <dgm:pt modelId="{D45BE6A5-8517-4400-A95A-BC773F38288D}" type="pres">
      <dgm:prSet presAssocID="{1B38783F-CFDC-421B-814B-6062B8C6390D}" presName="childText" presStyleLbl="bgAcc1" presStyleIdx="18" presStyleCnt="20" custScaleX="129492" custScaleY="119693">
        <dgm:presLayoutVars>
          <dgm:bulletEnabled val="1"/>
        </dgm:presLayoutVars>
      </dgm:prSet>
      <dgm:spPr/>
      <dgm:t>
        <a:bodyPr/>
        <a:lstStyle/>
        <a:p>
          <a:endParaRPr lang="es-CL"/>
        </a:p>
      </dgm:t>
    </dgm:pt>
    <dgm:pt modelId="{B9DF7FCB-AEA3-411B-8602-D69565CF24D9}" type="pres">
      <dgm:prSet presAssocID="{4D1ADCEF-FBDF-4D5A-987B-6E6BC2C1A24D}" presName="Name13" presStyleLbl="parChTrans1D2" presStyleIdx="19" presStyleCnt="20"/>
      <dgm:spPr/>
      <dgm:t>
        <a:bodyPr/>
        <a:lstStyle/>
        <a:p>
          <a:endParaRPr lang="es-CL"/>
        </a:p>
      </dgm:t>
    </dgm:pt>
    <dgm:pt modelId="{83CDA2AF-7E97-42EC-8324-055FC8215095}" type="pres">
      <dgm:prSet presAssocID="{4E992FCB-C1F1-4B8B-A740-84BAD45D0DF4}" presName="childText" presStyleLbl="bgAcc1" presStyleIdx="19" presStyleCnt="20" custScaleX="131625">
        <dgm:presLayoutVars>
          <dgm:bulletEnabled val="1"/>
        </dgm:presLayoutVars>
      </dgm:prSet>
      <dgm:spPr/>
      <dgm:t>
        <a:bodyPr/>
        <a:lstStyle/>
        <a:p>
          <a:endParaRPr lang="es-CL"/>
        </a:p>
      </dgm:t>
    </dgm:pt>
  </dgm:ptLst>
  <dgm:cxnLst>
    <dgm:cxn modelId="{6013DB92-CCF0-4C7A-BD18-E16C739F274E}" type="presOf" srcId="{8524C8A3-0D83-4F34-989D-CA0A9FFDCFCE}" destId="{AA66CD6A-273A-4E2E-BB8F-ECBF5C9C1734}" srcOrd="0" destOrd="0" presId="urn:microsoft.com/office/officeart/2005/8/layout/hierarchy3"/>
    <dgm:cxn modelId="{34791EBC-D403-46D8-9956-9CE015870C8E}" srcId="{FC7B6508-9309-419C-A513-96E7A29A356F}" destId="{C1E3089D-F1E5-4F2D-A1DE-FF68BE5A47AF}" srcOrd="3" destOrd="0" parTransId="{810A7380-8503-4821-9A3A-418B21A5786B}" sibTransId="{692C9DD6-2972-4F0D-A8ED-1096BFEE3DC5}"/>
    <dgm:cxn modelId="{C14C8B03-A38B-4F47-AC37-F2984CADC683}" type="presOf" srcId="{1C1F3629-B620-41BF-AAB9-615A075B3E7A}" destId="{7AC6B010-342F-46B8-BFB7-57CC904CA1F5}" srcOrd="0" destOrd="0" presId="urn:microsoft.com/office/officeart/2005/8/layout/hierarchy3"/>
    <dgm:cxn modelId="{5DD5A64E-3B65-4B87-B946-DAFAD054D5B2}" type="presOf" srcId="{4D1ADCEF-FBDF-4D5A-987B-6E6BC2C1A24D}" destId="{B9DF7FCB-AEA3-411B-8602-D69565CF24D9}" srcOrd="0" destOrd="0" presId="urn:microsoft.com/office/officeart/2005/8/layout/hierarchy3"/>
    <dgm:cxn modelId="{60C4FF67-0B7D-48E0-827F-A9C85C75BB7C}" type="presOf" srcId="{C1E3089D-F1E5-4F2D-A1DE-FF68BE5A47AF}" destId="{81CF7300-A832-4871-A370-72F6C7E098FD}" srcOrd="0" destOrd="0" presId="urn:microsoft.com/office/officeart/2005/8/layout/hierarchy3"/>
    <dgm:cxn modelId="{978B83B1-739B-4900-B231-9DE4FD4CF155}" srcId="{EA9B6CB3-BC48-424C-99F9-C5AC5D6CF720}" destId="{12F9A7FE-FBB1-4529-BEB1-1777801F05D8}" srcOrd="0" destOrd="0" parTransId="{AC8AE38B-EEBE-4516-8AD6-169D14FA82B9}" sibTransId="{8F6E956E-68E4-4497-8DED-7064DAE63D8D}"/>
    <dgm:cxn modelId="{2340834F-1498-4562-94C9-109AAA19C501}" srcId="{FC7B6508-9309-419C-A513-96E7A29A356F}" destId="{3FF201E6-D364-4C2A-BF5E-8C011D45133A}" srcOrd="5" destOrd="0" parTransId="{6171CE9B-BEFE-4A69-AA51-98F3B493239F}" sibTransId="{B264ABD3-2B83-4AB6-A8FB-FD9F1F4EDC4E}"/>
    <dgm:cxn modelId="{9EEA4E10-3A1E-4D9A-8A48-866C138892EE}" type="presOf" srcId="{94271ABA-8C8E-465C-B425-58783C25FC02}" destId="{A05C21B7-4039-44F2-9B19-2E0491F4952D}" srcOrd="0" destOrd="0" presId="urn:microsoft.com/office/officeart/2005/8/layout/hierarchy3"/>
    <dgm:cxn modelId="{03FF0E88-A812-4D69-B51A-16E21578722B}" type="presOf" srcId="{00D01595-9160-432B-894E-1F7471BD03B4}" destId="{000A4988-6135-4B2A-950F-B0942243A74E}" srcOrd="0" destOrd="0" presId="urn:microsoft.com/office/officeart/2005/8/layout/hierarchy3"/>
    <dgm:cxn modelId="{911F2376-EAD2-4A1A-B7A6-9030A7CE426A}" srcId="{EA9B6CB3-BC48-424C-99F9-C5AC5D6CF720}" destId="{74C10EBD-0554-44C5-8CE9-A4B132087E15}" srcOrd="1" destOrd="0" parTransId="{237098E7-E631-479A-8460-7D0547BBA3D4}" sibTransId="{14D6B4FD-9358-463B-AE3B-B378E59FB09C}"/>
    <dgm:cxn modelId="{C19A83FB-97C0-4758-8F6C-F7BAC540B614}" type="presOf" srcId="{74C10EBD-0554-44C5-8CE9-A4B132087E15}" destId="{03F8638E-5BAD-4D72-9B5D-9D4B0629AA9F}" srcOrd="0" destOrd="0" presId="urn:microsoft.com/office/officeart/2005/8/layout/hierarchy3"/>
    <dgm:cxn modelId="{7062E621-AF9C-4034-B529-56E15D0E90F6}" type="presOf" srcId="{0D141ECB-65AE-4B0C-94C9-69BB74F9D4D6}" destId="{BE268528-6FE0-4D35-8BF7-3762B2E99E8D}" srcOrd="0" destOrd="0" presId="urn:microsoft.com/office/officeart/2005/8/layout/hierarchy3"/>
    <dgm:cxn modelId="{B9860439-387C-4DAA-953D-00F9B9B43E83}" type="presOf" srcId="{3122A16B-C3BC-4C8B-968B-7B211A88B0C8}" destId="{41E30A1B-C9A8-4EF0-B5B9-4F0944517147}" srcOrd="0" destOrd="0" presId="urn:microsoft.com/office/officeart/2005/8/layout/hierarchy3"/>
    <dgm:cxn modelId="{81FDED64-0106-4D3D-99D7-003D31A62D7D}" type="presOf" srcId="{4E992FCB-C1F1-4B8B-A740-84BAD45D0DF4}" destId="{83CDA2AF-7E97-42EC-8324-055FC8215095}" srcOrd="0" destOrd="0" presId="urn:microsoft.com/office/officeart/2005/8/layout/hierarchy3"/>
    <dgm:cxn modelId="{F47FD21A-3AA3-4DDD-BB02-6A8A6A2A6DC3}" srcId="{9A080803-BDFE-43D7-ABA2-A6A4244BACD4}" destId="{8524C8A3-0D83-4F34-989D-CA0A9FFDCFCE}" srcOrd="4" destOrd="0" parTransId="{8426EC0D-F3F4-4A71-9BCE-FC56BFA53007}" sibTransId="{6141041B-9D7E-4F66-B174-23B996B6E098}"/>
    <dgm:cxn modelId="{92A561E9-D899-49C9-A70A-CC39243DFE7B}" type="presOf" srcId="{810A7380-8503-4821-9A3A-418B21A5786B}" destId="{0EB91488-17FD-4394-831D-89C3C2E386E6}" srcOrd="0" destOrd="0" presId="urn:microsoft.com/office/officeart/2005/8/layout/hierarchy3"/>
    <dgm:cxn modelId="{1B6CD47F-2965-4875-A6A3-1C135DDA2CD1}" type="presOf" srcId="{3FF201E6-D364-4C2A-BF5E-8C011D45133A}" destId="{03D987F8-77C0-4BB2-BA3A-4D25C82E6A42}" srcOrd="0" destOrd="0" presId="urn:microsoft.com/office/officeart/2005/8/layout/hierarchy3"/>
    <dgm:cxn modelId="{2BE8B840-82B5-454F-8067-22DA289EA07C}" type="presOf" srcId="{EA9B6CB3-BC48-424C-99F9-C5AC5D6CF720}" destId="{759723A6-F740-45D6-91FA-75E02A36C2BF}" srcOrd="0" destOrd="0" presId="urn:microsoft.com/office/officeart/2005/8/layout/hierarchy3"/>
    <dgm:cxn modelId="{CE94164C-5097-4946-9C06-431652E46457}" type="presOf" srcId="{A8F27CED-8C3F-4190-A6CE-3315AE46EE35}" destId="{597D5A16-762E-4D58-B142-C04CC0DC00CF}" srcOrd="0" destOrd="0" presId="urn:microsoft.com/office/officeart/2005/8/layout/hierarchy3"/>
    <dgm:cxn modelId="{77355DD3-581C-432E-965C-8D8DF5E3D6D5}" type="presOf" srcId="{B92BB8A1-0335-4270-B551-EAA6A8E76543}" destId="{03453089-95B4-46B8-911C-F973480A9D3F}" srcOrd="0" destOrd="0" presId="urn:microsoft.com/office/officeart/2005/8/layout/hierarchy3"/>
    <dgm:cxn modelId="{ACA19BAD-3181-48C3-BFD4-76527C031782}" type="presOf" srcId="{6171CE9B-BEFE-4A69-AA51-98F3B493239F}" destId="{2F30AAC2-F528-4013-912C-A7084C7F026B}" srcOrd="0" destOrd="0" presId="urn:microsoft.com/office/officeart/2005/8/layout/hierarchy3"/>
    <dgm:cxn modelId="{DAE47311-940D-43D4-8BF2-30A12E16989A}" srcId="{9A080803-BDFE-43D7-ABA2-A6A4244BACD4}" destId="{68A7457E-6E74-4284-83C6-C1030824389B}" srcOrd="3" destOrd="0" parTransId="{66D5A28D-AC5E-4DDF-8291-D7A1C806272D}" sibTransId="{B32603A0-3588-4E93-8995-D961724FEEB6}"/>
    <dgm:cxn modelId="{19F40AC8-55AA-4B9F-81FF-2F598C5755C8}" type="presOf" srcId="{8426EC0D-F3F4-4A71-9BCE-FC56BFA53007}" destId="{BFA88191-AC68-42D8-B98C-65ADB6827363}" srcOrd="0" destOrd="0" presId="urn:microsoft.com/office/officeart/2005/8/layout/hierarchy3"/>
    <dgm:cxn modelId="{5EC36737-78B0-4CC3-806B-1B533E7E78DF}" type="presOf" srcId="{43F702D5-7149-4234-A5EB-8FFB961691DB}" destId="{F32C8C23-544E-4B8F-ADAD-27296D9600D1}" srcOrd="0" destOrd="0" presId="urn:microsoft.com/office/officeart/2005/8/layout/hierarchy3"/>
    <dgm:cxn modelId="{826743ED-6092-4C3E-943B-BDD2CDECB5B0}" srcId="{6CE73109-E7FE-44CC-8248-AE60340FEB5B}" destId="{EA9B6CB3-BC48-424C-99F9-C5AC5D6CF720}" srcOrd="0" destOrd="0" parTransId="{91D5B57D-B297-43EF-B2DF-AC07B69BBDB0}" sibTransId="{3B2327A8-4223-4FA9-97CB-2119EF31FA2E}"/>
    <dgm:cxn modelId="{D49F06B9-6AC3-4557-ADBD-71994F4F482B}" type="presOf" srcId="{ED9FB80B-CD80-4D50-A4B0-8E8180C4F2C4}" destId="{179199CB-F384-4879-85C2-96C6969AD9BF}" srcOrd="0" destOrd="0" presId="urn:microsoft.com/office/officeart/2005/8/layout/hierarchy3"/>
    <dgm:cxn modelId="{027E879B-0282-4454-86D1-36DDF734F593}" srcId="{FC7B6508-9309-419C-A513-96E7A29A356F}" destId="{ED9FB80B-CD80-4D50-A4B0-8E8180C4F2C4}" srcOrd="1" destOrd="0" parTransId="{43F702D5-7149-4234-A5EB-8FFB961691DB}" sibTransId="{F77B0A98-3B21-46E6-8037-3798D86091D2}"/>
    <dgm:cxn modelId="{F9E9FC71-2B90-4D44-838E-880EC164E35E}" srcId="{9A080803-BDFE-43D7-ABA2-A6A4244BACD4}" destId="{0B6F5682-A679-4A5A-BB45-B9DFD7598541}" srcOrd="0" destOrd="0" parTransId="{43ECE4D4-04D8-49CB-B5D3-45AFC8CD0ADE}" sibTransId="{54786EB6-46F6-4680-97CB-53FBF7CD2E25}"/>
    <dgm:cxn modelId="{172BCE55-D52D-45F4-AFEC-6191DB1BEF48}" type="presOf" srcId="{0B6F5682-A679-4A5A-BB45-B9DFD7598541}" destId="{139B96D6-C6BF-4B79-B052-F29FED4A7E7A}" srcOrd="0" destOrd="0" presId="urn:microsoft.com/office/officeart/2005/8/layout/hierarchy3"/>
    <dgm:cxn modelId="{1DAB09E5-5E04-4354-BEBA-BB776AFC340D}" type="presOf" srcId="{82023B51-D7EF-4292-A28D-0218CC678381}" destId="{F13BD78C-BB44-4B2A-A47B-F889B407348D}" srcOrd="0" destOrd="0" presId="urn:microsoft.com/office/officeart/2005/8/layout/hierarchy3"/>
    <dgm:cxn modelId="{94EAD78F-86F1-4CE1-ACB1-A1F2AC8B05D3}" type="presOf" srcId="{43ECE4D4-04D8-49CB-B5D3-45AFC8CD0ADE}" destId="{D733C745-9B56-4688-8485-5CA1F4229A1B}" srcOrd="0" destOrd="0" presId="urn:microsoft.com/office/officeart/2005/8/layout/hierarchy3"/>
    <dgm:cxn modelId="{5A726549-D42F-465B-9D18-3AC643015B78}" type="presOf" srcId="{E99E0B76-6329-4E05-A577-6D3473E76842}" destId="{876B658A-9C17-4031-B44A-BF1A51B3D0AC}" srcOrd="0" destOrd="0" presId="urn:microsoft.com/office/officeart/2005/8/layout/hierarchy3"/>
    <dgm:cxn modelId="{18F0FCF4-F157-4AE0-8526-CC0020815DC7}" type="presOf" srcId="{D45DD0C1-851E-4E46-8B85-00C46CE793F4}" destId="{3567A2ED-279E-4CF9-85BC-32454F297E7B}" srcOrd="1" destOrd="0" presId="urn:microsoft.com/office/officeart/2005/8/layout/hierarchy3"/>
    <dgm:cxn modelId="{B2885887-FC19-48E4-8DE1-F33FF9B3EA14}" srcId="{D45DD0C1-851E-4E46-8B85-00C46CE793F4}" destId="{1B38783F-CFDC-421B-814B-6062B8C6390D}" srcOrd="1" destOrd="0" parTransId="{3311FB16-E2E8-42C3-A0E9-8E33846E03F9}" sibTransId="{6C93B0C0-B37A-48AB-BF0C-84DA9EA3020D}"/>
    <dgm:cxn modelId="{55852F76-EADC-4F7F-9AB4-D5341E0D5940}" type="presOf" srcId="{70190170-1673-48FB-B486-AA463A8105F0}" destId="{6E0F5272-B228-45DB-B99F-640EFDA90A87}" srcOrd="0" destOrd="0" presId="urn:microsoft.com/office/officeart/2005/8/layout/hierarchy3"/>
    <dgm:cxn modelId="{7C427151-9F32-4166-BEFA-27587F7F257B}" srcId="{FC7B6508-9309-419C-A513-96E7A29A356F}" destId="{3122A16B-C3BC-4C8B-968B-7B211A88B0C8}" srcOrd="4" destOrd="0" parTransId="{0D141ECB-65AE-4B0C-94C9-69BB74F9D4D6}" sibTransId="{0BAD7947-E17A-4354-A368-0344409971A5}"/>
    <dgm:cxn modelId="{09A1B4F6-469B-462D-AAA2-667F4E4B02CD}" type="presOf" srcId="{D45DD0C1-851E-4E46-8B85-00C46CE793F4}" destId="{0059C371-D3F7-4AC7-B5DD-C3A5DE5D1D49}" srcOrd="0" destOrd="0" presId="urn:microsoft.com/office/officeart/2005/8/layout/hierarchy3"/>
    <dgm:cxn modelId="{6973CC9E-3634-4B78-A831-FD378A29B48E}" type="presOf" srcId="{FC7B6508-9309-419C-A513-96E7A29A356F}" destId="{76E182E7-6522-4A0F-83B0-AD4DEE477B2C}" srcOrd="0" destOrd="0" presId="urn:microsoft.com/office/officeart/2005/8/layout/hierarchy3"/>
    <dgm:cxn modelId="{93D56B78-CF70-4BE6-9E6E-BCACDD68D85D}" type="presOf" srcId="{3B320AE5-3D02-4E59-9586-A17D501950AB}" destId="{E69E482B-D236-48FF-A826-4F1D65D444D4}" srcOrd="0" destOrd="0" presId="urn:microsoft.com/office/officeart/2005/8/layout/hierarchy3"/>
    <dgm:cxn modelId="{3C259ADC-7070-400D-B044-91C11232ADF4}" type="presOf" srcId="{B03A92F6-A00A-441A-97D0-CC5E8BE7D1E1}" destId="{FB5389F3-5ADC-423D-A7A1-0158D2E02894}" srcOrd="0" destOrd="0" presId="urn:microsoft.com/office/officeart/2005/8/layout/hierarchy3"/>
    <dgm:cxn modelId="{A659C672-333D-41CB-BDE8-B54BC3773D99}" type="presOf" srcId="{1B38783F-CFDC-421B-814B-6062B8C6390D}" destId="{D45BE6A5-8517-4400-A95A-BC773F38288D}" srcOrd="0" destOrd="0" presId="urn:microsoft.com/office/officeart/2005/8/layout/hierarchy3"/>
    <dgm:cxn modelId="{9FBD9FC2-F372-4A84-9205-ACF2BC20E1A1}" srcId="{EA9B6CB3-BC48-424C-99F9-C5AC5D6CF720}" destId="{A8F27CED-8C3F-4190-A6CE-3315AE46EE35}" srcOrd="5" destOrd="0" parTransId="{3B320AE5-3D02-4E59-9586-A17D501950AB}" sibTransId="{49438AAE-8C1B-4838-B0C9-7BBA96371139}"/>
    <dgm:cxn modelId="{51C0FE64-C08E-49F6-9BF7-4B65A863F50F}" type="presOf" srcId="{53A31AFF-5759-4015-A96E-E59AD04DA46F}" destId="{72845727-7B09-4E37-BBF2-EB8608590E75}" srcOrd="0" destOrd="0" presId="urn:microsoft.com/office/officeart/2005/8/layout/hierarchy3"/>
    <dgm:cxn modelId="{D21529FD-E0F4-41C6-A341-F6E8579F27C3}" srcId="{EA9B6CB3-BC48-424C-99F9-C5AC5D6CF720}" destId="{17603E56-1477-498E-8BCF-F31D68E72630}" srcOrd="4" destOrd="0" parTransId="{B03A92F6-A00A-441A-97D0-CC5E8BE7D1E1}" sibTransId="{B675C15E-5BEE-4D7F-91E7-8D038D09BB07}"/>
    <dgm:cxn modelId="{46213D2F-BD9B-4CEF-9BBA-3E92B78B4C75}" type="presOf" srcId="{6CE73109-E7FE-44CC-8248-AE60340FEB5B}" destId="{AD91F69C-0748-46B6-A8F7-EB31A1CB1C27}" srcOrd="0" destOrd="0" presId="urn:microsoft.com/office/officeart/2005/8/layout/hierarchy3"/>
    <dgm:cxn modelId="{5DF7DF81-BF91-443B-ADFD-D4C96010FB5C}" type="presOf" srcId="{AC8AE38B-EEBE-4516-8AD6-169D14FA82B9}" destId="{E021E55A-D467-4BC5-AD5A-8E3747441BFD}" srcOrd="0" destOrd="0" presId="urn:microsoft.com/office/officeart/2005/8/layout/hierarchy3"/>
    <dgm:cxn modelId="{CB4C98E5-7DB1-44D9-BE1F-91C2CC4C865B}" type="presOf" srcId="{BEFDED7B-8F04-42E9-95D5-CB55AAF83738}" destId="{957A118E-C370-4760-9635-3E2115A500BE}" srcOrd="0" destOrd="0" presId="urn:microsoft.com/office/officeart/2005/8/layout/hierarchy3"/>
    <dgm:cxn modelId="{AB281399-01A9-4558-988A-5AABD81CF485}" type="presOf" srcId="{8764BD35-CE63-47EA-A00C-4D5480EBE47A}" destId="{D7D647F2-6AFA-483D-9C61-98E6603C25BF}" srcOrd="0" destOrd="0" presId="urn:microsoft.com/office/officeart/2005/8/layout/hierarchy3"/>
    <dgm:cxn modelId="{026207F5-7783-4AF1-A3F6-727DBBAF5B1C}" type="presOf" srcId="{9CB735F2-6A20-4751-BCB2-C2ABDD0D5885}" destId="{B5CCAA6A-1FBE-44EA-922F-7FC8D3BE01AF}" srcOrd="0" destOrd="0" presId="urn:microsoft.com/office/officeart/2005/8/layout/hierarchy3"/>
    <dgm:cxn modelId="{1EED88AE-C7BD-4FB7-A217-F2371AE51B55}" type="presOf" srcId="{E4E484F1-964D-44A1-90A7-9A0693A7E2DB}" destId="{CF69F75C-8137-47B3-BB8E-4DCAC7059B25}" srcOrd="0" destOrd="0" presId="urn:microsoft.com/office/officeart/2005/8/layout/hierarchy3"/>
    <dgm:cxn modelId="{5A38498E-2215-4CD6-AB39-615B3CBC9AF4}" type="presOf" srcId="{237098E7-E631-479A-8460-7D0547BBA3D4}" destId="{25496A08-A84F-4B6D-8F8A-725DD113380B}" srcOrd="0" destOrd="0" presId="urn:microsoft.com/office/officeart/2005/8/layout/hierarchy3"/>
    <dgm:cxn modelId="{E39CCB69-81EC-4971-B604-BFFF4F30D79B}" type="presOf" srcId="{66D5A28D-AC5E-4DDF-8291-D7A1C806272D}" destId="{73CBB0B6-09F8-428F-A305-F89EC4D7EC76}" srcOrd="0" destOrd="0" presId="urn:microsoft.com/office/officeart/2005/8/layout/hierarchy3"/>
    <dgm:cxn modelId="{BB59D236-6613-477D-850A-B6FFF5237A85}" type="presOf" srcId="{9A080803-BDFE-43D7-ABA2-A6A4244BACD4}" destId="{C4229EAC-E1BC-4020-883D-2A7FE2FC73CB}" srcOrd="0" destOrd="0" presId="urn:microsoft.com/office/officeart/2005/8/layout/hierarchy3"/>
    <dgm:cxn modelId="{BE9E2AA5-7553-45FD-BD9C-5EFF786A0E60}" srcId="{6CE73109-E7FE-44CC-8248-AE60340FEB5B}" destId="{9A080803-BDFE-43D7-ABA2-A6A4244BACD4}" srcOrd="2" destOrd="0" parTransId="{CF710999-D6F7-4F81-BA0B-C6163FFBA152}" sibTransId="{B921BBA4-D3BB-4558-BBD0-2D4FDA395104}"/>
    <dgm:cxn modelId="{1D2FC8F5-32D3-4504-813F-31D214037973}" type="presOf" srcId="{D3A5370C-90FD-417B-8B80-2E2C7B479999}" destId="{DF19C26F-FEEC-4729-835A-6FA6738A12C2}" srcOrd="0" destOrd="0" presId="urn:microsoft.com/office/officeart/2005/8/layout/hierarchy3"/>
    <dgm:cxn modelId="{C8CFF53D-163B-4D46-9B1C-1D1F062D734B}" srcId="{FC7B6508-9309-419C-A513-96E7A29A356F}" destId="{8764BD35-CE63-47EA-A00C-4D5480EBE47A}" srcOrd="2" destOrd="0" parTransId="{B92BB8A1-0335-4270-B551-EAA6A8E76543}" sibTransId="{300D4846-1616-4636-9A31-949230EB79BC}"/>
    <dgm:cxn modelId="{36A2CE1A-ABCF-46BF-8FAB-6F35EE6C57FB}" srcId="{9A080803-BDFE-43D7-ABA2-A6A4244BACD4}" destId="{13E7BC10-CD28-4315-99CE-2AF766EEC511}" srcOrd="2" destOrd="0" parTransId="{53A31AFF-5759-4015-A96E-E59AD04DA46F}" sibTransId="{B2930710-88BB-4117-B041-E7B2F0D4F193}"/>
    <dgm:cxn modelId="{5F39316E-BFC3-4074-88B9-F8A07B4C5FCC}" type="presOf" srcId="{68A7457E-6E74-4284-83C6-C1030824389B}" destId="{25724DD0-895A-4C35-B7B9-3101D9085DE2}" srcOrd="0" destOrd="0" presId="urn:microsoft.com/office/officeart/2005/8/layout/hierarchy3"/>
    <dgm:cxn modelId="{0BC70B17-941A-4C42-A9AB-6293C590700F}" srcId="{D45DD0C1-851E-4E46-8B85-00C46CE793F4}" destId="{70190170-1673-48FB-B486-AA463A8105F0}" srcOrd="0" destOrd="0" parTransId="{D3A5370C-90FD-417B-8B80-2E2C7B479999}" sibTransId="{BAAD06DD-D439-4621-8807-EC41E89DEDE6}"/>
    <dgm:cxn modelId="{025A5693-F118-4BBC-8CAA-AAEE3B759362}" type="presOf" srcId="{9A080803-BDFE-43D7-ABA2-A6A4244BACD4}" destId="{B3ED35A8-259F-45BB-A683-DA07252B252E}" srcOrd="1" destOrd="0" presId="urn:microsoft.com/office/officeart/2005/8/layout/hierarchy3"/>
    <dgm:cxn modelId="{729B9139-B565-495E-A507-D3929E3B2D0B}" srcId="{6CE73109-E7FE-44CC-8248-AE60340FEB5B}" destId="{FC7B6508-9309-419C-A513-96E7A29A356F}" srcOrd="1" destOrd="0" parTransId="{56E4D99C-33FD-429E-BD0D-F3D1701BF9B7}" sibTransId="{FA1FF740-B189-4C59-9473-BDD98F1DD382}"/>
    <dgm:cxn modelId="{DD536222-29A3-49E4-9105-6FDA0D1C3CFD}" srcId="{D45DD0C1-851E-4E46-8B85-00C46CE793F4}" destId="{4E992FCB-C1F1-4B8B-A740-84BAD45D0DF4}" srcOrd="2" destOrd="0" parTransId="{4D1ADCEF-FBDF-4D5A-987B-6E6BC2C1A24D}" sibTransId="{835D9CDD-E311-4728-A9D0-B81F273A3B9A}"/>
    <dgm:cxn modelId="{628147DB-189A-4684-8D5C-126BB32A76E2}" srcId="{9A080803-BDFE-43D7-ABA2-A6A4244BACD4}" destId="{E99E0B76-6329-4E05-A577-6D3473E76842}" srcOrd="1" destOrd="0" parTransId="{00D01595-9160-432B-894E-1F7471BD03B4}" sibTransId="{45824ACB-E05F-4A7A-AC71-25EE63FE20C6}"/>
    <dgm:cxn modelId="{B29DBD77-78F4-454A-B4F1-C60861B63E0F}" type="presOf" srcId="{13E7BC10-CD28-4315-99CE-2AF766EEC511}" destId="{8522264D-AC1D-4866-A8C3-E89E3256579A}" srcOrd="0" destOrd="0" presId="urn:microsoft.com/office/officeart/2005/8/layout/hierarchy3"/>
    <dgm:cxn modelId="{35A47269-45BD-48D8-A57A-F0A0FE8E5F33}" type="presOf" srcId="{17603E56-1477-498E-8BCF-F31D68E72630}" destId="{AC8A1E93-A263-407D-A14D-545B48B70A9E}" srcOrd="0" destOrd="0" presId="urn:microsoft.com/office/officeart/2005/8/layout/hierarchy3"/>
    <dgm:cxn modelId="{E2A59992-F442-4F4B-A5C1-90BAC42BC817}" type="presOf" srcId="{FC7B6508-9309-419C-A513-96E7A29A356F}" destId="{BEA23C30-BD2B-42A4-A58C-363D3489CD7F}" srcOrd="1" destOrd="0" presId="urn:microsoft.com/office/officeart/2005/8/layout/hierarchy3"/>
    <dgm:cxn modelId="{31BEA4B0-67F7-48F8-88E6-49C572D9A7C8}" type="presOf" srcId="{12F9A7FE-FBB1-4529-BEB1-1777801F05D8}" destId="{11D0EA5F-68D8-4369-8890-93F72C05A4AD}" srcOrd="0" destOrd="0" presId="urn:microsoft.com/office/officeart/2005/8/layout/hierarchy3"/>
    <dgm:cxn modelId="{3C0AD5B2-FD0F-461C-8939-214C7F16EC16}" srcId="{6CE73109-E7FE-44CC-8248-AE60340FEB5B}" destId="{D45DD0C1-851E-4E46-8B85-00C46CE793F4}" srcOrd="3" destOrd="0" parTransId="{012AA1A7-6972-4DCC-A2C5-5FD71CEB505A}" sibTransId="{A199FBFC-CFF2-4467-B3B0-D024BE204068}"/>
    <dgm:cxn modelId="{78A7C0C0-AA8C-4A6A-B1F2-1D52C73F39BA}" type="presOf" srcId="{3311FB16-E2E8-42C3-A0E9-8E33846E03F9}" destId="{5417AFA5-8D83-4E5C-B9CF-A76B6A821A2C}" srcOrd="0" destOrd="0" presId="urn:microsoft.com/office/officeart/2005/8/layout/hierarchy3"/>
    <dgm:cxn modelId="{9AC43C3F-86BE-41CD-922B-4483A0011D63}" srcId="{EA9B6CB3-BC48-424C-99F9-C5AC5D6CF720}" destId="{BEFDED7B-8F04-42E9-95D5-CB55AAF83738}" srcOrd="3" destOrd="0" parTransId="{94271ABA-8C8E-465C-B425-58783C25FC02}" sibTransId="{8E4C00A2-C198-4A38-A81B-F01E511AB3BD}"/>
    <dgm:cxn modelId="{E29AFE90-1DDD-4E80-BD6F-5F4F8C693EB9}" srcId="{FC7B6508-9309-419C-A513-96E7A29A356F}" destId="{1C1F3629-B620-41BF-AAB9-615A075B3E7A}" srcOrd="0" destOrd="0" parTransId="{9CB735F2-6A20-4751-BCB2-C2ABDD0D5885}" sibTransId="{451A40CA-374C-49BA-AAD7-556EEB7D71E0}"/>
    <dgm:cxn modelId="{63EC6F8E-34C9-4A60-8028-36FD12E399A3}" srcId="{EA9B6CB3-BC48-424C-99F9-C5AC5D6CF720}" destId="{E4E484F1-964D-44A1-90A7-9A0693A7E2DB}" srcOrd="2" destOrd="0" parTransId="{82023B51-D7EF-4292-A28D-0218CC678381}" sibTransId="{04C5321D-FDA6-46A1-82E7-0D91EFB4EFCE}"/>
    <dgm:cxn modelId="{A644843B-35AB-40AF-AEA5-4BF346217110}" type="presOf" srcId="{EA9B6CB3-BC48-424C-99F9-C5AC5D6CF720}" destId="{89968529-F10D-454C-ACE1-41E260FCCBE9}" srcOrd="1" destOrd="0" presId="urn:microsoft.com/office/officeart/2005/8/layout/hierarchy3"/>
    <dgm:cxn modelId="{04077E84-85FA-4842-913C-6134248974DD}" type="presParOf" srcId="{AD91F69C-0748-46B6-A8F7-EB31A1CB1C27}" destId="{0C779245-5B67-4741-A8DE-23AE607BC63E}" srcOrd="0" destOrd="0" presId="urn:microsoft.com/office/officeart/2005/8/layout/hierarchy3"/>
    <dgm:cxn modelId="{E1EE62DA-8A4C-4345-B151-E38AB253146C}" type="presParOf" srcId="{0C779245-5B67-4741-A8DE-23AE607BC63E}" destId="{DCF6CF73-1C53-49C0-BE6B-03B1CDB96A80}" srcOrd="0" destOrd="0" presId="urn:microsoft.com/office/officeart/2005/8/layout/hierarchy3"/>
    <dgm:cxn modelId="{838085A2-35D3-43F1-B717-597DD90730FF}" type="presParOf" srcId="{DCF6CF73-1C53-49C0-BE6B-03B1CDB96A80}" destId="{759723A6-F740-45D6-91FA-75E02A36C2BF}" srcOrd="0" destOrd="0" presId="urn:microsoft.com/office/officeart/2005/8/layout/hierarchy3"/>
    <dgm:cxn modelId="{38FB6FAE-208A-4DD8-919A-BFF94DEE3624}" type="presParOf" srcId="{DCF6CF73-1C53-49C0-BE6B-03B1CDB96A80}" destId="{89968529-F10D-454C-ACE1-41E260FCCBE9}" srcOrd="1" destOrd="0" presId="urn:microsoft.com/office/officeart/2005/8/layout/hierarchy3"/>
    <dgm:cxn modelId="{4ACE12C6-C031-4DA3-856D-B4B97D177EDF}" type="presParOf" srcId="{0C779245-5B67-4741-A8DE-23AE607BC63E}" destId="{63FB6741-A504-4F8B-8931-1CD5F25CE449}" srcOrd="1" destOrd="0" presId="urn:microsoft.com/office/officeart/2005/8/layout/hierarchy3"/>
    <dgm:cxn modelId="{FE3BA3B9-8E54-435D-B096-D0C12F15A89F}" type="presParOf" srcId="{63FB6741-A504-4F8B-8931-1CD5F25CE449}" destId="{E021E55A-D467-4BC5-AD5A-8E3747441BFD}" srcOrd="0" destOrd="0" presId="urn:microsoft.com/office/officeart/2005/8/layout/hierarchy3"/>
    <dgm:cxn modelId="{58ED3865-7BB9-40F9-A17D-08CF9FC5DBA0}" type="presParOf" srcId="{63FB6741-A504-4F8B-8931-1CD5F25CE449}" destId="{11D0EA5F-68D8-4369-8890-93F72C05A4AD}" srcOrd="1" destOrd="0" presId="urn:microsoft.com/office/officeart/2005/8/layout/hierarchy3"/>
    <dgm:cxn modelId="{6AEDE469-BFF7-46B9-96BF-74A619729861}" type="presParOf" srcId="{63FB6741-A504-4F8B-8931-1CD5F25CE449}" destId="{25496A08-A84F-4B6D-8F8A-725DD113380B}" srcOrd="2" destOrd="0" presId="urn:microsoft.com/office/officeart/2005/8/layout/hierarchy3"/>
    <dgm:cxn modelId="{9EC6CA6A-4A29-43BC-9629-806F373025C3}" type="presParOf" srcId="{63FB6741-A504-4F8B-8931-1CD5F25CE449}" destId="{03F8638E-5BAD-4D72-9B5D-9D4B0629AA9F}" srcOrd="3" destOrd="0" presId="urn:microsoft.com/office/officeart/2005/8/layout/hierarchy3"/>
    <dgm:cxn modelId="{65F0C95C-5CB7-4274-8A19-69F74749182E}" type="presParOf" srcId="{63FB6741-A504-4F8B-8931-1CD5F25CE449}" destId="{F13BD78C-BB44-4B2A-A47B-F889B407348D}" srcOrd="4" destOrd="0" presId="urn:microsoft.com/office/officeart/2005/8/layout/hierarchy3"/>
    <dgm:cxn modelId="{D7588792-6265-495F-A0DB-3B6EFF691E90}" type="presParOf" srcId="{63FB6741-A504-4F8B-8931-1CD5F25CE449}" destId="{CF69F75C-8137-47B3-BB8E-4DCAC7059B25}" srcOrd="5" destOrd="0" presId="urn:microsoft.com/office/officeart/2005/8/layout/hierarchy3"/>
    <dgm:cxn modelId="{4BADFEE7-DEAE-498D-A5DC-413EF9593E25}" type="presParOf" srcId="{63FB6741-A504-4F8B-8931-1CD5F25CE449}" destId="{A05C21B7-4039-44F2-9B19-2E0491F4952D}" srcOrd="6" destOrd="0" presId="urn:microsoft.com/office/officeart/2005/8/layout/hierarchy3"/>
    <dgm:cxn modelId="{82E45738-CCA2-4683-9758-93FB20B08C7A}" type="presParOf" srcId="{63FB6741-A504-4F8B-8931-1CD5F25CE449}" destId="{957A118E-C370-4760-9635-3E2115A500BE}" srcOrd="7" destOrd="0" presId="urn:microsoft.com/office/officeart/2005/8/layout/hierarchy3"/>
    <dgm:cxn modelId="{996A28A3-E413-488E-9CDC-89C67D470F0B}" type="presParOf" srcId="{63FB6741-A504-4F8B-8931-1CD5F25CE449}" destId="{FB5389F3-5ADC-423D-A7A1-0158D2E02894}" srcOrd="8" destOrd="0" presId="urn:microsoft.com/office/officeart/2005/8/layout/hierarchy3"/>
    <dgm:cxn modelId="{E25803E8-5852-4D55-A99C-45FCD3CFB401}" type="presParOf" srcId="{63FB6741-A504-4F8B-8931-1CD5F25CE449}" destId="{AC8A1E93-A263-407D-A14D-545B48B70A9E}" srcOrd="9" destOrd="0" presId="urn:microsoft.com/office/officeart/2005/8/layout/hierarchy3"/>
    <dgm:cxn modelId="{941A63D6-591E-434B-86E6-77491B754887}" type="presParOf" srcId="{63FB6741-A504-4F8B-8931-1CD5F25CE449}" destId="{E69E482B-D236-48FF-A826-4F1D65D444D4}" srcOrd="10" destOrd="0" presId="urn:microsoft.com/office/officeart/2005/8/layout/hierarchy3"/>
    <dgm:cxn modelId="{5FAB0E92-8066-4A72-940B-CFAB3E38032C}" type="presParOf" srcId="{63FB6741-A504-4F8B-8931-1CD5F25CE449}" destId="{597D5A16-762E-4D58-B142-C04CC0DC00CF}" srcOrd="11" destOrd="0" presId="urn:microsoft.com/office/officeart/2005/8/layout/hierarchy3"/>
    <dgm:cxn modelId="{3CE8C864-97E4-4BAD-B252-E5C79410B495}" type="presParOf" srcId="{AD91F69C-0748-46B6-A8F7-EB31A1CB1C27}" destId="{45F699C0-2546-47A1-8EF9-10F087B2999F}" srcOrd="1" destOrd="0" presId="urn:microsoft.com/office/officeart/2005/8/layout/hierarchy3"/>
    <dgm:cxn modelId="{978D29E9-ADA5-4C68-BF1E-EAC9BDA65D9C}" type="presParOf" srcId="{45F699C0-2546-47A1-8EF9-10F087B2999F}" destId="{7EA276A7-EBDA-442F-9056-5E32A4272913}" srcOrd="0" destOrd="0" presId="urn:microsoft.com/office/officeart/2005/8/layout/hierarchy3"/>
    <dgm:cxn modelId="{9DFA5454-0E41-46F9-9B20-914ACDC382BA}" type="presParOf" srcId="{7EA276A7-EBDA-442F-9056-5E32A4272913}" destId="{76E182E7-6522-4A0F-83B0-AD4DEE477B2C}" srcOrd="0" destOrd="0" presId="urn:microsoft.com/office/officeart/2005/8/layout/hierarchy3"/>
    <dgm:cxn modelId="{F424CBAB-DD81-4176-8D52-1C9638A79FDD}" type="presParOf" srcId="{7EA276A7-EBDA-442F-9056-5E32A4272913}" destId="{BEA23C30-BD2B-42A4-A58C-363D3489CD7F}" srcOrd="1" destOrd="0" presId="urn:microsoft.com/office/officeart/2005/8/layout/hierarchy3"/>
    <dgm:cxn modelId="{671EE967-5233-4DCA-92FE-8B515B2734ED}" type="presParOf" srcId="{45F699C0-2546-47A1-8EF9-10F087B2999F}" destId="{DA4DE3D3-683A-4AEB-A7CE-809BE548C039}" srcOrd="1" destOrd="0" presId="urn:microsoft.com/office/officeart/2005/8/layout/hierarchy3"/>
    <dgm:cxn modelId="{8661B99F-0DD7-400F-B33B-2E8EA53D631D}" type="presParOf" srcId="{DA4DE3D3-683A-4AEB-A7CE-809BE548C039}" destId="{B5CCAA6A-1FBE-44EA-922F-7FC8D3BE01AF}" srcOrd="0" destOrd="0" presId="urn:microsoft.com/office/officeart/2005/8/layout/hierarchy3"/>
    <dgm:cxn modelId="{E2526AFF-12CC-4C0A-ACE0-F72D0D437068}" type="presParOf" srcId="{DA4DE3D3-683A-4AEB-A7CE-809BE548C039}" destId="{7AC6B010-342F-46B8-BFB7-57CC904CA1F5}" srcOrd="1" destOrd="0" presId="urn:microsoft.com/office/officeart/2005/8/layout/hierarchy3"/>
    <dgm:cxn modelId="{CEA6A89F-E1E6-423F-96B7-9549F551C5D7}" type="presParOf" srcId="{DA4DE3D3-683A-4AEB-A7CE-809BE548C039}" destId="{F32C8C23-544E-4B8F-ADAD-27296D9600D1}" srcOrd="2" destOrd="0" presId="urn:microsoft.com/office/officeart/2005/8/layout/hierarchy3"/>
    <dgm:cxn modelId="{867400E7-D391-412F-931C-8E4145BC4BD0}" type="presParOf" srcId="{DA4DE3D3-683A-4AEB-A7CE-809BE548C039}" destId="{179199CB-F384-4879-85C2-96C6969AD9BF}" srcOrd="3" destOrd="0" presId="urn:microsoft.com/office/officeart/2005/8/layout/hierarchy3"/>
    <dgm:cxn modelId="{9B2BCD20-B2D9-4695-A329-4BE9D89B7616}" type="presParOf" srcId="{DA4DE3D3-683A-4AEB-A7CE-809BE548C039}" destId="{03453089-95B4-46B8-911C-F973480A9D3F}" srcOrd="4" destOrd="0" presId="urn:microsoft.com/office/officeart/2005/8/layout/hierarchy3"/>
    <dgm:cxn modelId="{CEEBDA10-F85F-4872-8992-9466F94CA71B}" type="presParOf" srcId="{DA4DE3D3-683A-4AEB-A7CE-809BE548C039}" destId="{D7D647F2-6AFA-483D-9C61-98E6603C25BF}" srcOrd="5" destOrd="0" presId="urn:microsoft.com/office/officeart/2005/8/layout/hierarchy3"/>
    <dgm:cxn modelId="{BC2C4C8D-932E-4AE4-91EC-962D42C1CE32}" type="presParOf" srcId="{DA4DE3D3-683A-4AEB-A7CE-809BE548C039}" destId="{0EB91488-17FD-4394-831D-89C3C2E386E6}" srcOrd="6" destOrd="0" presId="urn:microsoft.com/office/officeart/2005/8/layout/hierarchy3"/>
    <dgm:cxn modelId="{1F6A7F89-6979-4694-9C97-C36E5A47C0A5}" type="presParOf" srcId="{DA4DE3D3-683A-4AEB-A7CE-809BE548C039}" destId="{81CF7300-A832-4871-A370-72F6C7E098FD}" srcOrd="7" destOrd="0" presId="urn:microsoft.com/office/officeart/2005/8/layout/hierarchy3"/>
    <dgm:cxn modelId="{5D956C46-67E6-4B0A-BAAA-52054633DBA1}" type="presParOf" srcId="{DA4DE3D3-683A-4AEB-A7CE-809BE548C039}" destId="{BE268528-6FE0-4D35-8BF7-3762B2E99E8D}" srcOrd="8" destOrd="0" presId="urn:microsoft.com/office/officeart/2005/8/layout/hierarchy3"/>
    <dgm:cxn modelId="{2C617B55-F68B-4348-95A1-2109546EC5D0}" type="presParOf" srcId="{DA4DE3D3-683A-4AEB-A7CE-809BE548C039}" destId="{41E30A1B-C9A8-4EF0-B5B9-4F0944517147}" srcOrd="9" destOrd="0" presId="urn:microsoft.com/office/officeart/2005/8/layout/hierarchy3"/>
    <dgm:cxn modelId="{328A82B8-39E4-411D-A1E2-10A74F6F27ED}" type="presParOf" srcId="{DA4DE3D3-683A-4AEB-A7CE-809BE548C039}" destId="{2F30AAC2-F528-4013-912C-A7084C7F026B}" srcOrd="10" destOrd="0" presId="urn:microsoft.com/office/officeart/2005/8/layout/hierarchy3"/>
    <dgm:cxn modelId="{5760B256-9555-4ADE-838D-2DD245FBECC2}" type="presParOf" srcId="{DA4DE3D3-683A-4AEB-A7CE-809BE548C039}" destId="{03D987F8-77C0-4BB2-BA3A-4D25C82E6A42}" srcOrd="11" destOrd="0" presId="urn:microsoft.com/office/officeart/2005/8/layout/hierarchy3"/>
    <dgm:cxn modelId="{B5AB582F-7476-4D4C-86E7-9D7DB3C82DB3}" type="presParOf" srcId="{AD91F69C-0748-46B6-A8F7-EB31A1CB1C27}" destId="{C9D4832D-8D88-4159-8281-2DC2F334900F}" srcOrd="2" destOrd="0" presId="urn:microsoft.com/office/officeart/2005/8/layout/hierarchy3"/>
    <dgm:cxn modelId="{38DF0BBC-4E0E-4140-AC7C-830941FC3168}" type="presParOf" srcId="{C9D4832D-8D88-4159-8281-2DC2F334900F}" destId="{40689EDB-A102-4E93-8D77-1DACE237AA43}" srcOrd="0" destOrd="0" presId="urn:microsoft.com/office/officeart/2005/8/layout/hierarchy3"/>
    <dgm:cxn modelId="{F45519CA-C9F6-4470-8004-1A53CE3928E2}" type="presParOf" srcId="{40689EDB-A102-4E93-8D77-1DACE237AA43}" destId="{C4229EAC-E1BC-4020-883D-2A7FE2FC73CB}" srcOrd="0" destOrd="0" presId="urn:microsoft.com/office/officeart/2005/8/layout/hierarchy3"/>
    <dgm:cxn modelId="{20274206-3F16-40F6-939F-F8AC01F99D0E}" type="presParOf" srcId="{40689EDB-A102-4E93-8D77-1DACE237AA43}" destId="{B3ED35A8-259F-45BB-A683-DA07252B252E}" srcOrd="1" destOrd="0" presId="urn:microsoft.com/office/officeart/2005/8/layout/hierarchy3"/>
    <dgm:cxn modelId="{2DC2C359-1F5C-4A3C-9E9B-2582A404F9E3}" type="presParOf" srcId="{C9D4832D-8D88-4159-8281-2DC2F334900F}" destId="{1B03FDAF-9022-442C-92D3-6E285057123E}" srcOrd="1" destOrd="0" presId="urn:microsoft.com/office/officeart/2005/8/layout/hierarchy3"/>
    <dgm:cxn modelId="{90CC66E8-9AD2-439D-883B-A447780C007E}" type="presParOf" srcId="{1B03FDAF-9022-442C-92D3-6E285057123E}" destId="{D733C745-9B56-4688-8485-5CA1F4229A1B}" srcOrd="0" destOrd="0" presId="urn:microsoft.com/office/officeart/2005/8/layout/hierarchy3"/>
    <dgm:cxn modelId="{D587CDE6-965E-4891-8718-585C7201D9BC}" type="presParOf" srcId="{1B03FDAF-9022-442C-92D3-6E285057123E}" destId="{139B96D6-C6BF-4B79-B052-F29FED4A7E7A}" srcOrd="1" destOrd="0" presId="urn:microsoft.com/office/officeart/2005/8/layout/hierarchy3"/>
    <dgm:cxn modelId="{82537578-DA6F-4783-90F0-73497A1E3AA5}" type="presParOf" srcId="{1B03FDAF-9022-442C-92D3-6E285057123E}" destId="{000A4988-6135-4B2A-950F-B0942243A74E}" srcOrd="2" destOrd="0" presId="urn:microsoft.com/office/officeart/2005/8/layout/hierarchy3"/>
    <dgm:cxn modelId="{9BB8D658-5D57-4368-87C7-E7A70A3C66C1}" type="presParOf" srcId="{1B03FDAF-9022-442C-92D3-6E285057123E}" destId="{876B658A-9C17-4031-B44A-BF1A51B3D0AC}" srcOrd="3" destOrd="0" presId="urn:microsoft.com/office/officeart/2005/8/layout/hierarchy3"/>
    <dgm:cxn modelId="{79E70F15-BEB5-4F78-A5B0-C0788C7DF8BE}" type="presParOf" srcId="{1B03FDAF-9022-442C-92D3-6E285057123E}" destId="{72845727-7B09-4E37-BBF2-EB8608590E75}" srcOrd="4" destOrd="0" presId="urn:microsoft.com/office/officeart/2005/8/layout/hierarchy3"/>
    <dgm:cxn modelId="{2B08C97D-0F8C-48FE-B51B-86B899D8C3B5}" type="presParOf" srcId="{1B03FDAF-9022-442C-92D3-6E285057123E}" destId="{8522264D-AC1D-4866-A8C3-E89E3256579A}" srcOrd="5" destOrd="0" presId="urn:microsoft.com/office/officeart/2005/8/layout/hierarchy3"/>
    <dgm:cxn modelId="{C3F45043-FE70-483F-8E25-986912D3551C}" type="presParOf" srcId="{1B03FDAF-9022-442C-92D3-6E285057123E}" destId="{73CBB0B6-09F8-428F-A305-F89EC4D7EC76}" srcOrd="6" destOrd="0" presId="urn:microsoft.com/office/officeart/2005/8/layout/hierarchy3"/>
    <dgm:cxn modelId="{B4CFB0A1-6BB6-448A-86C7-8B477924F297}" type="presParOf" srcId="{1B03FDAF-9022-442C-92D3-6E285057123E}" destId="{25724DD0-895A-4C35-B7B9-3101D9085DE2}" srcOrd="7" destOrd="0" presId="urn:microsoft.com/office/officeart/2005/8/layout/hierarchy3"/>
    <dgm:cxn modelId="{795BC1AB-9C6F-40C1-B9C3-F2AF32AB5659}" type="presParOf" srcId="{1B03FDAF-9022-442C-92D3-6E285057123E}" destId="{BFA88191-AC68-42D8-B98C-65ADB6827363}" srcOrd="8" destOrd="0" presId="urn:microsoft.com/office/officeart/2005/8/layout/hierarchy3"/>
    <dgm:cxn modelId="{EB3CB01A-7543-4B77-A03F-64652370988B}" type="presParOf" srcId="{1B03FDAF-9022-442C-92D3-6E285057123E}" destId="{AA66CD6A-273A-4E2E-BB8F-ECBF5C9C1734}" srcOrd="9" destOrd="0" presId="urn:microsoft.com/office/officeart/2005/8/layout/hierarchy3"/>
    <dgm:cxn modelId="{FFF5FF7A-AFCD-4906-B244-43AC85A28F5C}" type="presParOf" srcId="{AD91F69C-0748-46B6-A8F7-EB31A1CB1C27}" destId="{5E4E8CFF-161A-4408-AA8A-F525C6DE791E}" srcOrd="3" destOrd="0" presId="urn:microsoft.com/office/officeart/2005/8/layout/hierarchy3"/>
    <dgm:cxn modelId="{CB12F9C5-AFF8-4000-82C0-6335BA8A0B7C}" type="presParOf" srcId="{5E4E8CFF-161A-4408-AA8A-F525C6DE791E}" destId="{3E7BC9CE-216A-46D4-98EF-5A0A3B20D749}" srcOrd="0" destOrd="0" presId="urn:microsoft.com/office/officeart/2005/8/layout/hierarchy3"/>
    <dgm:cxn modelId="{3FD60E86-3528-4CB7-81AB-965D3584E972}" type="presParOf" srcId="{3E7BC9CE-216A-46D4-98EF-5A0A3B20D749}" destId="{0059C371-D3F7-4AC7-B5DD-C3A5DE5D1D49}" srcOrd="0" destOrd="0" presId="urn:microsoft.com/office/officeart/2005/8/layout/hierarchy3"/>
    <dgm:cxn modelId="{A5FA633D-EC7D-4855-A83C-3EB64FE4D2B9}" type="presParOf" srcId="{3E7BC9CE-216A-46D4-98EF-5A0A3B20D749}" destId="{3567A2ED-279E-4CF9-85BC-32454F297E7B}" srcOrd="1" destOrd="0" presId="urn:microsoft.com/office/officeart/2005/8/layout/hierarchy3"/>
    <dgm:cxn modelId="{91EDEE2E-D31A-4149-A45C-6C6435FDFD5A}" type="presParOf" srcId="{5E4E8CFF-161A-4408-AA8A-F525C6DE791E}" destId="{EB2C416B-E6C6-4081-899A-E462E84C8A77}" srcOrd="1" destOrd="0" presId="urn:microsoft.com/office/officeart/2005/8/layout/hierarchy3"/>
    <dgm:cxn modelId="{48DBA76E-B1E1-47BD-B3AD-76238B500971}" type="presParOf" srcId="{EB2C416B-E6C6-4081-899A-E462E84C8A77}" destId="{DF19C26F-FEEC-4729-835A-6FA6738A12C2}" srcOrd="0" destOrd="0" presId="urn:microsoft.com/office/officeart/2005/8/layout/hierarchy3"/>
    <dgm:cxn modelId="{A9F9579C-ABE3-4B4B-A8B4-3BFC34AC826D}" type="presParOf" srcId="{EB2C416B-E6C6-4081-899A-E462E84C8A77}" destId="{6E0F5272-B228-45DB-B99F-640EFDA90A87}" srcOrd="1" destOrd="0" presId="urn:microsoft.com/office/officeart/2005/8/layout/hierarchy3"/>
    <dgm:cxn modelId="{F8A34541-2724-499F-89B5-E4799D6C41B5}" type="presParOf" srcId="{EB2C416B-E6C6-4081-899A-E462E84C8A77}" destId="{5417AFA5-8D83-4E5C-B9CF-A76B6A821A2C}" srcOrd="2" destOrd="0" presId="urn:microsoft.com/office/officeart/2005/8/layout/hierarchy3"/>
    <dgm:cxn modelId="{8E933E08-4DB0-405F-AF1A-4EA6DE5C01DD}" type="presParOf" srcId="{EB2C416B-E6C6-4081-899A-E462E84C8A77}" destId="{D45BE6A5-8517-4400-A95A-BC773F38288D}" srcOrd="3" destOrd="0" presId="urn:microsoft.com/office/officeart/2005/8/layout/hierarchy3"/>
    <dgm:cxn modelId="{3DBBBC47-1D47-4F95-9492-5F99E5CE8B87}" type="presParOf" srcId="{EB2C416B-E6C6-4081-899A-E462E84C8A77}" destId="{B9DF7FCB-AEA3-411B-8602-D69565CF24D9}" srcOrd="4" destOrd="0" presId="urn:microsoft.com/office/officeart/2005/8/layout/hierarchy3"/>
    <dgm:cxn modelId="{DB27E136-4FFB-4915-87D9-10FAE3B3362E}" type="presParOf" srcId="{EB2C416B-E6C6-4081-899A-E462E84C8A77}" destId="{83CDA2AF-7E97-42EC-8324-055FC8215095}" srcOrd="5" destOrd="0" presId="urn:microsoft.com/office/officeart/2005/8/layout/hierarchy3"/>
  </dgm:cxnLst>
  <dgm:bg/>
  <dgm:whole/>
  <dgm:extLst>
    <a:ext uri="http://schemas.microsoft.com/office/drawing/2008/diagram">
      <dsp:dataModelExt xmlns:dsp="http://schemas.microsoft.com/office/drawing/2008/diagram" relId="rId41"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93D72858-194C-4222-8CD5-269E37E674EF}" type="doc">
      <dgm:prSet loTypeId="urn:microsoft.com/office/officeart/2005/8/layout/hierarchy3" loCatId="list" qsTypeId="urn:microsoft.com/office/officeart/2005/8/quickstyle/simple1" qsCatId="simple" csTypeId="urn:microsoft.com/office/officeart/2005/8/colors/accent0_1" csCatId="mainScheme" phldr="1"/>
      <dgm:spPr/>
      <dgm:t>
        <a:bodyPr/>
        <a:lstStyle/>
        <a:p>
          <a:endParaRPr lang="es-CL"/>
        </a:p>
      </dgm:t>
    </dgm:pt>
    <dgm:pt modelId="{F83DB59B-2223-4C35-943B-5ABF21186ED5}">
      <dgm:prSet phldrT="[Texto]" custT="1"/>
      <dgm:spPr/>
      <dgm:t>
        <a:bodyPr/>
        <a:lstStyle/>
        <a:p>
          <a:r>
            <a:rPr lang="es-CL" sz="1000"/>
            <a:t>Relación minera-comunidades</a:t>
          </a:r>
        </a:p>
      </dgm:t>
    </dgm:pt>
    <dgm:pt modelId="{341D344B-4F04-4087-92AC-58B4424C46A6}" type="parTrans" cxnId="{66DE940D-F339-455E-9B41-30490DD33901}">
      <dgm:prSet/>
      <dgm:spPr/>
      <dgm:t>
        <a:bodyPr/>
        <a:lstStyle/>
        <a:p>
          <a:endParaRPr lang="es-CL" sz="2400"/>
        </a:p>
      </dgm:t>
    </dgm:pt>
    <dgm:pt modelId="{A99C8F44-A826-44D5-B807-A331DB07D82D}" type="sibTrans" cxnId="{66DE940D-F339-455E-9B41-30490DD33901}">
      <dgm:prSet/>
      <dgm:spPr/>
      <dgm:t>
        <a:bodyPr/>
        <a:lstStyle/>
        <a:p>
          <a:endParaRPr lang="es-CL" sz="2400"/>
        </a:p>
      </dgm:t>
    </dgm:pt>
    <dgm:pt modelId="{DC778F4A-6A22-480B-BF17-7D8E7C97B25B}">
      <dgm:prSet phldrT="[Texto]" custT="1"/>
      <dgm:spPr/>
      <dgm:t>
        <a:bodyPr/>
        <a:lstStyle/>
        <a:p>
          <a:r>
            <a:rPr lang="es-CL" sz="800"/>
            <a:t>Asimetría de poder</a:t>
          </a:r>
        </a:p>
      </dgm:t>
    </dgm:pt>
    <dgm:pt modelId="{408A43F3-A2E3-4826-B929-96E08BDB3A96}" type="parTrans" cxnId="{38C8193E-655C-481B-81C4-558211C82416}">
      <dgm:prSet/>
      <dgm:spPr/>
      <dgm:t>
        <a:bodyPr/>
        <a:lstStyle/>
        <a:p>
          <a:endParaRPr lang="es-CL" sz="2400"/>
        </a:p>
      </dgm:t>
    </dgm:pt>
    <dgm:pt modelId="{65C2E31D-4D39-4A33-9EF2-F90801010C5D}" type="sibTrans" cxnId="{38C8193E-655C-481B-81C4-558211C82416}">
      <dgm:prSet/>
      <dgm:spPr/>
      <dgm:t>
        <a:bodyPr/>
        <a:lstStyle/>
        <a:p>
          <a:endParaRPr lang="es-CL" sz="2400"/>
        </a:p>
      </dgm:t>
    </dgm:pt>
    <dgm:pt modelId="{9EC4677E-8B90-4A7D-AEE7-527A246DD8F4}">
      <dgm:prSet phldrT="[Texto]" custT="1"/>
      <dgm:spPr/>
      <dgm:t>
        <a:bodyPr/>
        <a:lstStyle/>
        <a:p>
          <a:r>
            <a:rPr lang="es-CL" sz="800"/>
            <a:t>Riesgo poplación local</a:t>
          </a:r>
        </a:p>
      </dgm:t>
    </dgm:pt>
    <dgm:pt modelId="{AF6B99ED-6B15-4BA5-8C52-8C33F585C607}" type="parTrans" cxnId="{BA30F20C-8D51-41FB-B462-DA2BC6CD1AF4}">
      <dgm:prSet/>
      <dgm:spPr/>
      <dgm:t>
        <a:bodyPr/>
        <a:lstStyle/>
        <a:p>
          <a:endParaRPr lang="es-CL" sz="2400"/>
        </a:p>
      </dgm:t>
    </dgm:pt>
    <dgm:pt modelId="{0AFABEF6-735F-4A0B-998D-2D2859C2CA2E}" type="sibTrans" cxnId="{BA30F20C-8D51-41FB-B462-DA2BC6CD1AF4}">
      <dgm:prSet/>
      <dgm:spPr/>
      <dgm:t>
        <a:bodyPr/>
        <a:lstStyle/>
        <a:p>
          <a:endParaRPr lang="es-CL" sz="2400"/>
        </a:p>
      </dgm:t>
    </dgm:pt>
    <dgm:pt modelId="{EF679733-38ED-4D7F-8BF5-60BBEAB64B15}">
      <dgm:prSet phldrT="[Texto]" custT="1"/>
      <dgm:spPr/>
      <dgm:t>
        <a:bodyPr/>
        <a:lstStyle/>
        <a:p>
          <a:r>
            <a:rPr lang="es-CL" sz="800"/>
            <a:t>Sanciones y multas débiles</a:t>
          </a:r>
        </a:p>
      </dgm:t>
    </dgm:pt>
    <dgm:pt modelId="{443F5487-9831-4139-9EE7-6A3FA13FAA89}" type="parTrans" cxnId="{7CB44646-03A4-4CD6-9F4B-A2E50E455259}">
      <dgm:prSet/>
      <dgm:spPr/>
      <dgm:t>
        <a:bodyPr/>
        <a:lstStyle/>
        <a:p>
          <a:endParaRPr lang="es-CL" sz="2400"/>
        </a:p>
      </dgm:t>
    </dgm:pt>
    <dgm:pt modelId="{340D7C46-5EE8-4CCF-9AE6-52E995485A56}" type="sibTrans" cxnId="{7CB44646-03A4-4CD6-9F4B-A2E50E455259}">
      <dgm:prSet/>
      <dgm:spPr/>
      <dgm:t>
        <a:bodyPr/>
        <a:lstStyle/>
        <a:p>
          <a:endParaRPr lang="es-CL" sz="2400"/>
        </a:p>
      </dgm:t>
    </dgm:pt>
    <dgm:pt modelId="{65FAC0D0-3496-4338-A84E-065EA30C5B56}">
      <dgm:prSet phldrT="[Texto]" custT="1"/>
      <dgm:spPr/>
      <dgm:t>
        <a:bodyPr/>
        <a:lstStyle/>
        <a:p>
          <a:r>
            <a:rPr lang="es-CL" sz="1000"/>
            <a:t>Participación y toma de decisión</a:t>
          </a:r>
        </a:p>
      </dgm:t>
    </dgm:pt>
    <dgm:pt modelId="{86CECF78-92E8-4FF4-BFF8-91C33E36A6EB}" type="parTrans" cxnId="{F822E217-D0CB-4162-81EB-DF8DDA03652E}">
      <dgm:prSet/>
      <dgm:spPr/>
      <dgm:t>
        <a:bodyPr/>
        <a:lstStyle/>
        <a:p>
          <a:endParaRPr lang="es-CL" sz="2400"/>
        </a:p>
      </dgm:t>
    </dgm:pt>
    <dgm:pt modelId="{64E4DCE3-5672-4B2A-B25C-D74B8A565BB6}" type="sibTrans" cxnId="{F822E217-D0CB-4162-81EB-DF8DDA03652E}">
      <dgm:prSet/>
      <dgm:spPr/>
      <dgm:t>
        <a:bodyPr/>
        <a:lstStyle/>
        <a:p>
          <a:endParaRPr lang="es-CL" sz="2400"/>
        </a:p>
      </dgm:t>
    </dgm:pt>
    <dgm:pt modelId="{C1E0F24A-5EC4-42BA-A38F-49B5D12B7E04}">
      <dgm:prSet phldrT="[Texto]" custT="1"/>
      <dgm:spPr/>
      <dgm:t>
        <a:bodyPr/>
        <a:lstStyle/>
        <a:p>
          <a:r>
            <a:rPr lang="es-CL" sz="800"/>
            <a:t>Falta canal de comunicación</a:t>
          </a:r>
        </a:p>
      </dgm:t>
    </dgm:pt>
    <dgm:pt modelId="{3725724C-E722-4250-9C82-25A305C2EF4C}" type="parTrans" cxnId="{07C81B5A-7701-404C-BC40-0D50AD706BFA}">
      <dgm:prSet/>
      <dgm:spPr/>
      <dgm:t>
        <a:bodyPr/>
        <a:lstStyle/>
        <a:p>
          <a:endParaRPr lang="es-CL" sz="2400"/>
        </a:p>
      </dgm:t>
    </dgm:pt>
    <dgm:pt modelId="{C0A18670-5F3F-4EC7-A797-40844F4631E2}" type="sibTrans" cxnId="{07C81B5A-7701-404C-BC40-0D50AD706BFA}">
      <dgm:prSet/>
      <dgm:spPr/>
      <dgm:t>
        <a:bodyPr/>
        <a:lstStyle/>
        <a:p>
          <a:endParaRPr lang="es-CL" sz="2400"/>
        </a:p>
      </dgm:t>
    </dgm:pt>
    <dgm:pt modelId="{6FFB5A66-D841-4C9F-BDF7-3912B838D72E}">
      <dgm:prSet phldrT="[Texto]" custT="1"/>
      <dgm:spPr/>
      <dgm:t>
        <a:bodyPr/>
        <a:lstStyle/>
        <a:p>
          <a:r>
            <a:rPr lang="es-CL" sz="800"/>
            <a:t>Crisis de confianza</a:t>
          </a:r>
        </a:p>
      </dgm:t>
    </dgm:pt>
    <dgm:pt modelId="{0BB50A3E-ACE8-44AE-92D1-3C6E0F22E524}" type="parTrans" cxnId="{D0AF58E3-4FAF-4E01-B8DB-BA48650F88ED}">
      <dgm:prSet/>
      <dgm:spPr/>
      <dgm:t>
        <a:bodyPr/>
        <a:lstStyle/>
        <a:p>
          <a:endParaRPr lang="es-CL" sz="2400"/>
        </a:p>
      </dgm:t>
    </dgm:pt>
    <dgm:pt modelId="{50826496-62BC-4E59-8F39-0B78219E3B89}" type="sibTrans" cxnId="{D0AF58E3-4FAF-4E01-B8DB-BA48650F88ED}">
      <dgm:prSet/>
      <dgm:spPr/>
      <dgm:t>
        <a:bodyPr/>
        <a:lstStyle/>
        <a:p>
          <a:endParaRPr lang="es-CL" sz="2400"/>
        </a:p>
      </dgm:t>
    </dgm:pt>
    <dgm:pt modelId="{0337FFD1-7A8F-48B2-8DEA-6D06E69A9A34}">
      <dgm:prSet phldrT="[Texto]" custT="1"/>
      <dgm:spPr/>
      <dgm:t>
        <a:bodyPr/>
        <a:lstStyle/>
        <a:p>
          <a:r>
            <a:rPr lang="es-CL" sz="800"/>
            <a:t>Ayudas sociales</a:t>
          </a:r>
        </a:p>
      </dgm:t>
    </dgm:pt>
    <dgm:pt modelId="{932BE25A-BB76-4F16-9762-E3C0561252BE}" type="parTrans" cxnId="{68A791C2-AB81-4F45-9FCC-A27FD4A3FC65}">
      <dgm:prSet/>
      <dgm:spPr/>
      <dgm:t>
        <a:bodyPr/>
        <a:lstStyle/>
        <a:p>
          <a:endParaRPr lang="es-CL" sz="2400"/>
        </a:p>
      </dgm:t>
    </dgm:pt>
    <dgm:pt modelId="{9936D718-35BE-4FC3-8A49-3B4455F858F4}" type="sibTrans" cxnId="{68A791C2-AB81-4F45-9FCC-A27FD4A3FC65}">
      <dgm:prSet/>
      <dgm:spPr/>
      <dgm:t>
        <a:bodyPr/>
        <a:lstStyle/>
        <a:p>
          <a:endParaRPr lang="es-CL" sz="2400"/>
        </a:p>
      </dgm:t>
    </dgm:pt>
    <dgm:pt modelId="{2408223E-573A-4281-991A-296B348D74A9}">
      <dgm:prSet phldrT="[Texto]" custT="1"/>
      <dgm:spPr/>
      <dgm:t>
        <a:bodyPr/>
        <a:lstStyle/>
        <a:p>
          <a:r>
            <a:rPr lang="es-CL" sz="1000"/>
            <a:t>Salud Humana y Minería</a:t>
          </a:r>
        </a:p>
      </dgm:t>
    </dgm:pt>
    <dgm:pt modelId="{0D21DD36-0F4E-41E8-B933-1DEC950DCA4B}" type="parTrans" cxnId="{56CC67AB-C7F6-409D-B896-8525ECB6D799}">
      <dgm:prSet/>
      <dgm:spPr/>
      <dgm:t>
        <a:bodyPr/>
        <a:lstStyle/>
        <a:p>
          <a:endParaRPr lang="es-CL" sz="2400"/>
        </a:p>
      </dgm:t>
    </dgm:pt>
    <dgm:pt modelId="{175443C0-5C73-45B2-AE18-AF1316C337D3}" type="sibTrans" cxnId="{56CC67AB-C7F6-409D-B896-8525ECB6D799}">
      <dgm:prSet/>
      <dgm:spPr/>
      <dgm:t>
        <a:bodyPr/>
        <a:lstStyle/>
        <a:p>
          <a:endParaRPr lang="es-CL" sz="2400"/>
        </a:p>
      </dgm:t>
    </dgm:pt>
    <dgm:pt modelId="{709BB49A-5B08-41D9-96E3-8B1F74D6A849}">
      <dgm:prSet phldrT="[Texto]" custT="1"/>
      <dgm:spPr/>
      <dgm:t>
        <a:bodyPr/>
        <a:lstStyle/>
        <a:p>
          <a:r>
            <a:rPr lang="es-CL" sz="800"/>
            <a:t>Trabajadores mina</a:t>
          </a:r>
        </a:p>
      </dgm:t>
    </dgm:pt>
    <dgm:pt modelId="{65E8A07A-9CDF-47B3-AD23-6D44C891E73E}" type="parTrans" cxnId="{2051027D-F9D7-41DF-A3A3-A0404A665159}">
      <dgm:prSet/>
      <dgm:spPr/>
      <dgm:t>
        <a:bodyPr/>
        <a:lstStyle/>
        <a:p>
          <a:endParaRPr lang="es-CL" sz="2400"/>
        </a:p>
      </dgm:t>
    </dgm:pt>
    <dgm:pt modelId="{13E4EA84-0134-4B2C-BB45-082AF8397B4C}" type="sibTrans" cxnId="{2051027D-F9D7-41DF-A3A3-A0404A665159}">
      <dgm:prSet/>
      <dgm:spPr/>
      <dgm:t>
        <a:bodyPr/>
        <a:lstStyle/>
        <a:p>
          <a:endParaRPr lang="es-CL" sz="2400"/>
        </a:p>
      </dgm:t>
    </dgm:pt>
    <dgm:pt modelId="{D57918E6-2FB5-4386-BE01-94443D5E8693}">
      <dgm:prSet phldrT="[Texto]" custT="1"/>
      <dgm:spPr/>
      <dgm:t>
        <a:bodyPr/>
        <a:lstStyle/>
        <a:p>
          <a:r>
            <a:rPr lang="es-CL" sz="800"/>
            <a:t>Falta bienestar psicosocial</a:t>
          </a:r>
        </a:p>
      </dgm:t>
    </dgm:pt>
    <dgm:pt modelId="{964DB72C-F2A2-479E-B70D-975BC9EA3858}" type="parTrans" cxnId="{AE3BF35F-1920-4B8C-9D79-679DF1C06834}">
      <dgm:prSet/>
      <dgm:spPr/>
      <dgm:t>
        <a:bodyPr/>
        <a:lstStyle/>
        <a:p>
          <a:endParaRPr lang="es-CL" sz="2400"/>
        </a:p>
      </dgm:t>
    </dgm:pt>
    <dgm:pt modelId="{A2145C47-75B3-4107-9485-16A14DC101B9}" type="sibTrans" cxnId="{AE3BF35F-1920-4B8C-9D79-679DF1C06834}">
      <dgm:prSet/>
      <dgm:spPr/>
      <dgm:t>
        <a:bodyPr/>
        <a:lstStyle/>
        <a:p>
          <a:endParaRPr lang="es-CL" sz="2400"/>
        </a:p>
      </dgm:t>
    </dgm:pt>
    <dgm:pt modelId="{6E42E840-CBFA-4570-8212-1AFB2E385DE6}">
      <dgm:prSet phldrT="[Texto]" custT="1"/>
      <dgm:spPr/>
      <dgm:t>
        <a:bodyPr/>
        <a:lstStyle/>
        <a:p>
          <a:r>
            <a:rPr lang="es-CL" sz="1000"/>
            <a:t>Institucionalidad</a:t>
          </a:r>
        </a:p>
      </dgm:t>
    </dgm:pt>
    <dgm:pt modelId="{92B59FCF-D299-4C7B-8F6D-45C53413513B}" type="parTrans" cxnId="{547C16F7-09DA-4D48-9768-033F8C4CAF26}">
      <dgm:prSet/>
      <dgm:spPr/>
      <dgm:t>
        <a:bodyPr/>
        <a:lstStyle/>
        <a:p>
          <a:endParaRPr lang="es-CL" sz="2400"/>
        </a:p>
      </dgm:t>
    </dgm:pt>
    <dgm:pt modelId="{FBC55408-40B3-4553-9C8A-D39A7FFE2D84}" type="sibTrans" cxnId="{547C16F7-09DA-4D48-9768-033F8C4CAF26}">
      <dgm:prSet/>
      <dgm:spPr/>
      <dgm:t>
        <a:bodyPr/>
        <a:lstStyle/>
        <a:p>
          <a:endParaRPr lang="es-CL" sz="2400"/>
        </a:p>
      </dgm:t>
    </dgm:pt>
    <dgm:pt modelId="{531EE406-C0D4-45A7-831F-B0780285F226}">
      <dgm:prSet phldrT="[Texto]" custT="1"/>
      <dgm:spPr/>
      <dgm:t>
        <a:bodyPr/>
        <a:lstStyle/>
        <a:p>
          <a:r>
            <a:rPr lang="es-CL" sz="800"/>
            <a:t>Falta considerar medioambiente y salud</a:t>
          </a:r>
        </a:p>
      </dgm:t>
    </dgm:pt>
    <dgm:pt modelId="{1DE872CD-372B-4339-A129-B88B0C44C081}" type="parTrans" cxnId="{6BF271CE-1CB4-4618-A0BD-1EC466BE234C}">
      <dgm:prSet/>
      <dgm:spPr/>
      <dgm:t>
        <a:bodyPr/>
        <a:lstStyle/>
        <a:p>
          <a:endParaRPr lang="es-CL" sz="2400"/>
        </a:p>
      </dgm:t>
    </dgm:pt>
    <dgm:pt modelId="{74FF05D3-87F9-4F29-ABFA-96BC4D3FBF20}" type="sibTrans" cxnId="{6BF271CE-1CB4-4618-A0BD-1EC466BE234C}">
      <dgm:prSet/>
      <dgm:spPr/>
      <dgm:t>
        <a:bodyPr/>
        <a:lstStyle/>
        <a:p>
          <a:endParaRPr lang="es-CL" sz="2400"/>
        </a:p>
      </dgm:t>
    </dgm:pt>
    <dgm:pt modelId="{69833DD9-9286-456D-AAE5-4B51DAFB0CF0}">
      <dgm:prSet phldrT="[Texto]" custT="1"/>
      <dgm:spPr/>
      <dgm:t>
        <a:bodyPr/>
        <a:lstStyle/>
        <a:p>
          <a:r>
            <a:rPr lang="es-CL" sz="800"/>
            <a:t>Fiscalización insuficiente </a:t>
          </a:r>
        </a:p>
      </dgm:t>
    </dgm:pt>
    <dgm:pt modelId="{790E6F06-6B16-447C-AE53-B212D2BE0500}" type="parTrans" cxnId="{A1076D64-9A5D-42F6-9A96-340D06FE2555}">
      <dgm:prSet/>
      <dgm:spPr/>
      <dgm:t>
        <a:bodyPr/>
        <a:lstStyle/>
        <a:p>
          <a:endParaRPr lang="es-CL" sz="2400"/>
        </a:p>
      </dgm:t>
    </dgm:pt>
    <dgm:pt modelId="{28E5753C-F198-4573-89BA-7465B565621F}" type="sibTrans" cxnId="{A1076D64-9A5D-42F6-9A96-340D06FE2555}">
      <dgm:prSet/>
      <dgm:spPr/>
      <dgm:t>
        <a:bodyPr/>
        <a:lstStyle/>
        <a:p>
          <a:endParaRPr lang="es-CL" sz="2400"/>
        </a:p>
      </dgm:t>
    </dgm:pt>
    <dgm:pt modelId="{15CF10D7-A061-493B-B6E1-F0F3BB13FA6E}">
      <dgm:prSet phldrT="[Texto]" custT="1"/>
      <dgm:spPr/>
      <dgm:t>
        <a:bodyPr/>
        <a:lstStyle/>
        <a:p>
          <a:r>
            <a:rPr lang="es-CL" sz="800"/>
            <a:t>Escasas atribuciones locales</a:t>
          </a:r>
        </a:p>
      </dgm:t>
    </dgm:pt>
    <dgm:pt modelId="{508F95DB-1A73-4742-8B88-A347E961D0C2}" type="parTrans" cxnId="{26EB8492-7647-4050-BE85-A35FB7043CAE}">
      <dgm:prSet/>
      <dgm:spPr/>
      <dgm:t>
        <a:bodyPr/>
        <a:lstStyle/>
        <a:p>
          <a:endParaRPr lang="es-CL" sz="2400"/>
        </a:p>
      </dgm:t>
    </dgm:pt>
    <dgm:pt modelId="{94CCAEA8-16DB-448B-9CAF-A298A533F912}" type="sibTrans" cxnId="{26EB8492-7647-4050-BE85-A35FB7043CAE}">
      <dgm:prSet/>
      <dgm:spPr/>
      <dgm:t>
        <a:bodyPr/>
        <a:lstStyle/>
        <a:p>
          <a:endParaRPr lang="es-CL" sz="2400"/>
        </a:p>
      </dgm:t>
    </dgm:pt>
    <dgm:pt modelId="{A28D4586-5010-485B-B55A-938E9B77F607}">
      <dgm:prSet phldrT="[Texto]" custT="1"/>
      <dgm:spPr/>
      <dgm:t>
        <a:bodyPr/>
        <a:lstStyle/>
        <a:p>
          <a:r>
            <a:rPr lang="es-CL" sz="800"/>
            <a:t>Mandato central</a:t>
          </a:r>
        </a:p>
      </dgm:t>
    </dgm:pt>
    <dgm:pt modelId="{820ED094-F21D-49E9-A380-B54FBF69564A}" type="parTrans" cxnId="{70FE5132-2CED-4938-92A5-F78FBEA12A56}">
      <dgm:prSet/>
      <dgm:spPr/>
      <dgm:t>
        <a:bodyPr/>
        <a:lstStyle/>
        <a:p>
          <a:endParaRPr lang="es-CL" sz="2400"/>
        </a:p>
      </dgm:t>
    </dgm:pt>
    <dgm:pt modelId="{413301DF-E593-4259-BC90-8AA7416A1657}" type="sibTrans" cxnId="{70FE5132-2CED-4938-92A5-F78FBEA12A56}">
      <dgm:prSet/>
      <dgm:spPr/>
      <dgm:t>
        <a:bodyPr/>
        <a:lstStyle/>
        <a:p>
          <a:endParaRPr lang="es-CL" sz="2400"/>
        </a:p>
      </dgm:t>
    </dgm:pt>
    <dgm:pt modelId="{C530C12C-7311-45FF-9557-476AFB016B3D}">
      <dgm:prSet phldrT="[Texto]" custT="1"/>
      <dgm:spPr/>
      <dgm:t>
        <a:bodyPr/>
        <a:lstStyle/>
        <a:p>
          <a:r>
            <a:rPr lang="es-CL" sz="800"/>
            <a:t>Regular entrega aportes de minería</a:t>
          </a:r>
        </a:p>
      </dgm:t>
    </dgm:pt>
    <dgm:pt modelId="{5C523A0C-0C1D-4AE2-B00A-8353DBAF2C51}" type="parTrans" cxnId="{7BB7C18B-5A62-4BBD-BA37-814F53BEB6C7}">
      <dgm:prSet/>
      <dgm:spPr/>
      <dgm:t>
        <a:bodyPr/>
        <a:lstStyle/>
        <a:p>
          <a:endParaRPr lang="es-CL" sz="2400"/>
        </a:p>
      </dgm:t>
    </dgm:pt>
    <dgm:pt modelId="{DC8D39FC-F30E-4344-A020-8576065FBDB6}" type="sibTrans" cxnId="{7BB7C18B-5A62-4BBD-BA37-814F53BEB6C7}">
      <dgm:prSet/>
      <dgm:spPr/>
      <dgm:t>
        <a:bodyPr/>
        <a:lstStyle/>
        <a:p>
          <a:endParaRPr lang="es-CL" sz="2400"/>
        </a:p>
      </dgm:t>
    </dgm:pt>
    <dgm:pt modelId="{509E468B-39EE-440D-B0F2-4144600BBD4F}">
      <dgm:prSet phldrT="[Texto]" custT="1"/>
      <dgm:spPr/>
      <dgm:t>
        <a:bodyPr/>
        <a:lstStyle/>
        <a:p>
          <a:r>
            <a:rPr lang="es-CL" sz="800"/>
            <a:t>Escasa regulación administración recurso hídrico</a:t>
          </a:r>
        </a:p>
      </dgm:t>
    </dgm:pt>
    <dgm:pt modelId="{58B04F09-AF73-4EB9-A96B-EFEB548FCB29}" type="parTrans" cxnId="{3B11EA58-6535-4636-808B-58E086289067}">
      <dgm:prSet/>
      <dgm:spPr/>
      <dgm:t>
        <a:bodyPr/>
        <a:lstStyle/>
        <a:p>
          <a:endParaRPr lang="es-CL" sz="2400"/>
        </a:p>
      </dgm:t>
    </dgm:pt>
    <dgm:pt modelId="{FA80A512-9EFB-42E2-AF35-E291F7DC2AB1}" type="sibTrans" cxnId="{3B11EA58-6535-4636-808B-58E086289067}">
      <dgm:prSet/>
      <dgm:spPr/>
      <dgm:t>
        <a:bodyPr/>
        <a:lstStyle/>
        <a:p>
          <a:endParaRPr lang="es-CL" sz="2400"/>
        </a:p>
      </dgm:t>
    </dgm:pt>
    <dgm:pt modelId="{B29228D4-3901-4E1A-BD6E-1875C18FF8B3}">
      <dgm:prSet phldrT="[Texto]" custT="1"/>
      <dgm:spPr/>
      <dgm:t>
        <a:bodyPr/>
        <a:lstStyle/>
        <a:p>
          <a:r>
            <a:rPr lang="es-CL" sz="800"/>
            <a:t>Proceso informativo no vinculante</a:t>
          </a:r>
        </a:p>
      </dgm:t>
    </dgm:pt>
    <dgm:pt modelId="{8C29983A-F320-4F61-A1B7-B7D8A7E52145}" type="parTrans" cxnId="{DA187666-47D0-41C9-8FF6-22C8D3953E22}">
      <dgm:prSet/>
      <dgm:spPr/>
      <dgm:t>
        <a:bodyPr/>
        <a:lstStyle/>
        <a:p>
          <a:endParaRPr lang="es-CL" sz="2400"/>
        </a:p>
      </dgm:t>
    </dgm:pt>
    <dgm:pt modelId="{17DCAF7A-FAC1-4B7E-A1CF-00D269D06482}" type="sibTrans" cxnId="{DA187666-47D0-41C9-8FF6-22C8D3953E22}">
      <dgm:prSet/>
      <dgm:spPr/>
      <dgm:t>
        <a:bodyPr/>
        <a:lstStyle/>
        <a:p>
          <a:endParaRPr lang="es-CL" sz="2400"/>
        </a:p>
      </dgm:t>
    </dgm:pt>
    <dgm:pt modelId="{C6F30728-C8CB-469B-BDEA-168713817D8E}">
      <dgm:prSet phldrT="[Texto]" custT="1"/>
      <dgm:spPr/>
      <dgm:t>
        <a:bodyPr/>
        <a:lstStyle/>
        <a:p>
          <a:r>
            <a:rPr lang="es-CL" sz="800"/>
            <a:t>Modificaciones menores</a:t>
          </a:r>
        </a:p>
      </dgm:t>
    </dgm:pt>
    <dgm:pt modelId="{0F04CC5A-7470-41CE-8547-960410E333A9}" type="parTrans" cxnId="{9D3829A4-5112-423F-A6C8-84B227C34CDA}">
      <dgm:prSet/>
      <dgm:spPr/>
      <dgm:t>
        <a:bodyPr/>
        <a:lstStyle/>
        <a:p>
          <a:endParaRPr lang="es-CL" sz="2400"/>
        </a:p>
      </dgm:t>
    </dgm:pt>
    <dgm:pt modelId="{895A32F0-F834-45B9-BC3A-DB4F86574317}" type="sibTrans" cxnId="{9D3829A4-5112-423F-A6C8-84B227C34CDA}">
      <dgm:prSet/>
      <dgm:spPr/>
      <dgm:t>
        <a:bodyPr/>
        <a:lstStyle/>
        <a:p>
          <a:endParaRPr lang="es-CL" sz="2400"/>
        </a:p>
      </dgm:t>
    </dgm:pt>
    <dgm:pt modelId="{672E01BF-9D60-415A-AB5D-A26EE2136538}">
      <dgm:prSet phldrT="[Texto]" custT="1"/>
      <dgm:spPr/>
      <dgm:t>
        <a:bodyPr/>
        <a:lstStyle/>
        <a:p>
          <a:r>
            <a:rPr lang="es-CL" sz="800"/>
            <a:t>Son consulta anticipada</a:t>
          </a:r>
        </a:p>
      </dgm:t>
    </dgm:pt>
    <dgm:pt modelId="{EB71A52E-C570-43AE-922C-2814B4EDEBD6}" type="parTrans" cxnId="{DB91B25E-3DB1-4353-A046-72FE2287750D}">
      <dgm:prSet/>
      <dgm:spPr/>
      <dgm:t>
        <a:bodyPr/>
        <a:lstStyle/>
        <a:p>
          <a:endParaRPr lang="es-CL" sz="2400"/>
        </a:p>
      </dgm:t>
    </dgm:pt>
    <dgm:pt modelId="{C5B5DB28-8AC3-4B6F-A601-EDD19DC66328}" type="sibTrans" cxnId="{DB91B25E-3DB1-4353-A046-72FE2287750D}">
      <dgm:prSet/>
      <dgm:spPr/>
      <dgm:t>
        <a:bodyPr/>
        <a:lstStyle/>
        <a:p>
          <a:endParaRPr lang="es-CL" sz="2400"/>
        </a:p>
      </dgm:t>
    </dgm:pt>
    <dgm:pt modelId="{A7A4796B-0136-4542-BE25-C66828D6C5BA}">
      <dgm:prSet phldrT="[Texto]" custT="1"/>
      <dgm:spPr/>
      <dgm:t>
        <a:bodyPr/>
        <a:lstStyle/>
        <a:p>
          <a:r>
            <a:rPr lang="es-CL" sz="800"/>
            <a:t>Manifestación oposición</a:t>
          </a:r>
        </a:p>
      </dgm:t>
    </dgm:pt>
    <dgm:pt modelId="{CD17F6C6-A483-480D-AAA5-1E4067DD7DEE}" type="parTrans" cxnId="{E01D9B95-CA41-47E9-80B4-A92FD289901C}">
      <dgm:prSet/>
      <dgm:spPr/>
      <dgm:t>
        <a:bodyPr/>
        <a:lstStyle/>
        <a:p>
          <a:endParaRPr lang="es-CL" sz="2400"/>
        </a:p>
      </dgm:t>
    </dgm:pt>
    <dgm:pt modelId="{E48F51A0-8762-476F-A8E3-04B80597488F}" type="sibTrans" cxnId="{E01D9B95-CA41-47E9-80B4-A92FD289901C}">
      <dgm:prSet/>
      <dgm:spPr/>
      <dgm:t>
        <a:bodyPr/>
        <a:lstStyle/>
        <a:p>
          <a:endParaRPr lang="es-CL" sz="2400"/>
        </a:p>
      </dgm:t>
    </dgm:pt>
    <dgm:pt modelId="{94480267-4322-44D7-807B-42798A286565}">
      <dgm:prSet phldrT="[Texto]" custT="1"/>
      <dgm:spPr/>
      <dgm:t>
        <a:bodyPr/>
        <a:lstStyle/>
        <a:p>
          <a:r>
            <a:rPr lang="es-CL" sz="800"/>
            <a:t>Ciudadania vs indígenas</a:t>
          </a:r>
        </a:p>
      </dgm:t>
    </dgm:pt>
    <dgm:pt modelId="{73BF058E-068D-4F1B-B9F1-FE219FB3D042}" type="parTrans" cxnId="{197111ED-2F56-4F06-B5FD-D180FD158DA9}">
      <dgm:prSet/>
      <dgm:spPr/>
      <dgm:t>
        <a:bodyPr/>
        <a:lstStyle/>
        <a:p>
          <a:endParaRPr lang="es-CL" sz="2400"/>
        </a:p>
      </dgm:t>
    </dgm:pt>
    <dgm:pt modelId="{0AC31258-12C1-405F-A568-4F66AE8E9517}" type="sibTrans" cxnId="{197111ED-2F56-4F06-B5FD-D180FD158DA9}">
      <dgm:prSet/>
      <dgm:spPr/>
      <dgm:t>
        <a:bodyPr/>
        <a:lstStyle/>
        <a:p>
          <a:endParaRPr lang="es-CL" sz="2400"/>
        </a:p>
      </dgm:t>
    </dgm:pt>
    <dgm:pt modelId="{3DEEDAF1-1DF7-4443-A717-8FC84BF3CC0D}">
      <dgm:prSet phldrT="[Texto]" custT="1"/>
      <dgm:spPr/>
      <dgm:t>
        <a:bodyPr/>
        <a:lstStyle/>
        <a:p>
          <a:r>
            <a:rPr lang="es-CL" sz="800"/>
            <a:t>Calidad de vida incompleta</a:t>
          </a:r>
        </a:p>
      </dgm:t>
    </dgm:pt>
    <dgm:pt modelId="{D1CF750C-C771-42EF-B276-CB735585A7D6}" type="parTrans" cxnId="{55B4F348-C73B-43D3-B54F-C3F3877B6D9C}">
      <dgm:prSet/>
      <dgm:spPr/>
      <dgm:t>
        <a:bodyPr/>
        <a:lstStyle/>
        <a:p>
          <a:endParaRPr lang="es-CL" sz="2400"/>
        </a:p>
      </dgm:t>
    </dgm:pt>
    <dgm:pt modelId="{42DE386D-FFF2-4EEE-A716-75682579A328}" type="sibTrans" cxnId="{55B4F348-C73B-43D3-B54F-C3F3877B6D9C}">
      <dgm:prSet/>
      <dgm:spPr/>
      <dgm:t>
        <a:bodyPr/>
        <a:lstStyle/>
        <a:p>
          <a:endParaRPr lang="es-CL" sz="2400"/>
        </a:p>
      </dgm:t>
    </dgm:pt>
    <dgm:pt modelId="{EB10629F-422A-46A9-8A93-3760A7912321}">
      <dgm:prSet phldrT="[Texto]" custT="1"/>
      <dgm:spPr/>
      <dgm:t>
        <a:bodyPr/>
        <a:lstStyle/>
        <a:p>
          <a:r>
            <a:rPr lang="es-CL" sz="800"/>
            <a:t>Escaso rol autoridades locales</a:t>
          </a:r>
        </a:p>
      </dgm:t>
    </dgm:pt>
    <dgm:pt modelId="{AB64B8E7-A3D3-41E2-9BA9-026112B3F43F}" type="parTrans" cxnId="{6954DFCD-50EB-4F9D-8802-22074EF0E152}">
      <dgm:prSet/>
      <dgm:spPr/>
      <dgm:t>
        <a:bodyPr/>
        <a:lstStyle/>
        <a:p>
          <a:endParaRPr lang="es-CL" sz="2400"/>
        </a:p>
      </dgm:t>
    </dgm:pt>
    <dgm:pt modelId="{1387628D-D196-4847-9AEC-516E53E13221}" type="sibTrans" cxnId="{6954DFCD-50EB-4F9D-8802-22074EF0E152}">
      <dgm:prSet/>
      <dgm:spPr/>
      <dgm:t>
        <a:bodyPr/>
        <a:lstStyle/>
        <a:p>
          <a:endParaRPr lang="es-CL" sz="2400"/>
        </a:p>
      </dgm:t>
    </dgm:pt>
    <dgm:pt modelId="{9259B3C6-C7E1-4D45-A2D2-36861632B599}">
      <dgm:prSet phldrT="[Texto]" custT="1"/>
      <dgm:spPr/>
      <dgm:t>
        <a:bodyPr/>
        <a:lstStyle/>
        <a:p>
          <a:r>
            <a:rPr lang="es-CL" sz="800"/>
            <a:t>Área de influencia</a:t>
          </a:r>
        </a:p>
      </dgm:t>
    </dgm:pt>
    <dgm:pt modelId="{66F33F1A-2495-42AB-8BCF-180E51420039}" type="parTrans" cxnId="{583CD849-5D21-4F14-9DE9-AE30394D8713}">
      <dgm:prSet/>
      <dgm:spPr/>
      <dgm:t>
        <a:bodyPr/>
        <a:lstStyle/>
        <a:p>
          <a:endParaRPr lang="es-CL" sz="2400"/>
        </a:p>
      </dgm:t>
    </dgm:pt>
    <dgm:pt modelId="{BCA34BC6-5A6C-4C65-9323-DE281A32086C}" type="sibTrans" cxnId="{583CD849-5D21-4F14-9DE9-AE30394D8713}">
      <dgm:prSet/>
      <dgm:spPr/>
      <dgm:t>
        <a:bodyPr/>
        <a:lstStyle/>
        <a:p>
          <a:endParaRPr lang="es-CL" sz="2400"/>
        </a:p>
      </dgm:t>
    </dgm:pt>
    <dgm:pt modelId="{39902A63-8300-4840-A1E5-7CB3377A2130}" type="pres">
      <dgm:prSet presAssocID="{93D72858-194C-4222-8CD5-269E37E674EF}" presName="diagram" presStyleCnt="0">
        <dgm:presLayoutVars>
          <dgm:chPref val="1"/>
          <dgm:dir/>
          <dgm:animOne val="branch"/>
          <dgm:animLvl val="lvl"/>
          <dgm:resizeHandles/>
        </dgm:presLayoutVars>
      </dgm:prSet>
      <dgm:spPr/>
      <dgm:t>
        <a:bodyPr/>
        <a:lstStyle/>
        <a:p>
          <a:endParaRPr lang="es-CL"/>
        </a:p>
      </dgm:t>
    </dgm:pt>
    <dgm:pt modelId="{6517BDC4-2B18-4E6E-8626-D8ACEB4D1543}" type="pres">
      <dgm:prSet presAssocID="{F83DB59B-2223-4C35-943B-5ABF21186ED5}" presName="root" presStyleCnt="0"/>
      <dgm:spPr/>
    </dgm:pt>
    <dgm:pt modelId="{CBBB949B-38EB-406A-A5AC-C0D790AF9ED3}" type="pres">
      <dgm:prSet presAssocID="{F83DB59B-2223-4C35-943B-5ABF21186ED5}" presName="rootComposite" presStyleCnt="0"/>
      <dgm:spPr/>
    </dgm:pt>
    <dgm:pt modelId="{A72EE474-F2C9-4308-AE9E-4A4A97E2F543}" type="pres">
      <dgm:prSet presAssocID="{F83DB59B-2223-4C35-943B-5ABF21186ED5}" presName="rootText" presStyleLbl="node1" presStyleIdx="0" presStyleCnt="4"/>
      <dgm:spPr/>
      <dgm:t>
        <a:bodyPr/>
        <a:lstStyle/>
        <a:p>
          <a:endParaRPr lang="es-CL"/>
        </a:p>
      </dgm:t>
    </dgm:pt>
    <dgm:pt modelId="{906539FA-F988-41AD-B57F-B4D15EEEA44E}" type="pres">
      <dgm:prSet presAssocID="{F83DB59B-2223-4C35-943B-5ABF21186ED5}" presName="rootConnector" presStyleLbl="node1" presStyleIdx="0" presStyleCnt="4"/>
      <dgm:spPr/>
      <dgm:t>
        <a:bodyPr/>
        <a:lstStyle/>
        <a:p>
          <a:endParaRPr lang="es-CL"/>
        </a:p>
      </dgm:t>
    </dgm:pt>
    <dgm:pt modelId="{DC892DCA-5704-48CF-BC8F-0F6B7D0DE67D}" type="pres">
      <dgm:prSet presAssocID="{F83DB59B-2223-4C35-943B-5ABF21186ED5}" presName="childShape" presStyleCnt="0"/>
      <dgm:spPr/>
    </dgm:pt>
    <dgm:pt modelId="{814DE38B-C6F7-4A55-AABC-D92EA00D32CE}" type="pres">
      <dgm:prSet presAssocID="{408A43F3-A2E3-4826-B929-96E08BDB3A96}" presName="Name13" presStyleLbl="parChTrans1D2" presStyleIdx="0" presStyleCnt="22"/>
      <dgm:spPr/>
      <dgm:t>
        <a:bodyPr/>
        <a:lstStyle/>
        <a:p>
          <a:endParaRPr lang="es-CL"/>
        </a:p>
      </dgm:t>
    </dgm:pt>
    <dgm:pt modelId="{722786FE-D23A-4045-BF5C-66CF6D17642C}" type="pres">
      <dgm:prSet presAssocID="{DC778F4A-6A22-480B-BF17-7D8E7C97B25B}" presName="childText" presStyleLbl="bgAcc1" presStyleIdx="0" presStyleCnt="22">
        <dgm:presLayoutVars>
          <dgm:bulletEnabled val="1"/>
        </dgm:presLayoutVars>
      </dgm:prSet>
      <dgm:spPr/>
      <dgm:t>
        <a:bodyPr/>
        <a:lstStyle/>
        <a:p>
          <a:endParaRPr lang="es-CL"/>
        </a:p>
      </dgm:t>
    </dgm:pt>
    <dgm:pt modelId="{6BB78529-38C2-4CDD-8DA1-EF5199C3B25F}" type="pres">
      <dgm:prSet presAssocID="{3725724C-E722-4250-9C82-25A305C2EF4C}" presName="Name13" presStyleLbl="parChTrans1D2" presStyleIdx="1" presStyleCnt="22"/>
      <dgm:spPr/>
      <dgm:t>
        <a:bodyPr/>
        <a:lstStyle/>
        <a:p>
          <a:endParaRPr lang="es-CL"/>
        </a:p>
      </dgm:t>
    </dgm:pt>
    <dgm:pt modelId="{7D152A10-4CB1-474E-BF70-D4B6363B9F14}" type="pres">
      <dgm:prSet presAssocID="{C1E0F24A-5EC4-42BA-A38F-49B5D12B7E04}" presName="childText" presStyleLbl="bgAcc1" presStyleIdx="1" presStyleCnt="22">
        <dgm:presLayoutVars>
          <dgm:bulletEnabled val="1"/>
        </dgm:presLayoutVars>
      </dgm:prSet>
      <dgm:spPr/>
      <dgm:t>
        <a:bodyPr/>
        <a:lstStyle/>
        <a:p>
          <a:endParaRPr lang="es-CL"/>
        </a:p>
      </dgm:t>
    </dgm:pt>
    <dgm:pt modelId="{1919C0B8-28D7-412C-A8F7-141304A3C4F3}" type="pres">
      <dgm:prSet presAssocID="{0BB50A3E-ACE8-44AE-92D1-3C6E0F22E524}" presName="Name13" presStyleLbl="parChTrans1D2" presStyleIdx="2" presStyleCnt="22"/>
      <dgm:spPr/>
      <dgm:t>
        <a:bodyPr/>
        <a:lstStyle/>
        <a:p>
          <a:endParaRPr lang="es-CL"/>
        </a:p>
      </dgm:t>
    </dgm:pt>
    <dgm:pt modelId="{24A71A95-094C-43B5-A1F2-FDDFD2C5FE10}" type="pres">
      <dgm:prSet presAssocID="{6FFB5A66-D841-4C9F-BDF7-3912B838D72E}" presName="childText" presStyleLbl="bgAcc1" presStyleIdx="2" presStyleCnt="22">
        <dgm:presLayoutVars>
          <dgm:bulletEnabled val="1"/>
        </dgm:presLayoutVars>
      </dgm:prSet>
      <dgm:spPr/>
      <dgm:t>
        <a:bodyPr/>
        <a:lstStyle/>
        <a:p>
          <a:endParaRPr lang="es-CL"/>
        </a:p>
      </dgm:t>
    </dgm:pt>
    <dgm:pt modelId="{6D5D6089-7E35-48C0-B5E1-8A2895E61D55}" type="pres">
      <dgm:prSet presAssocID="{932BE25A-BB76-4F16-9762-E3C0561252BE}" presName="Name13" presStyleLbl="parChTrans1D2" presStyleIdx="3" presStyleCnt="22"/>
      <dgm:spPr/>
      <dgm:t>
        <a:bodyPr/>
        <a:lstStyle/>
        <a:p>
          <a:endParaRPr lang="es-CL"/>
        </a:p>
      </dgm:t>
    </dgm:pt>
    <dgm:pt modelId="{AD147C18-F798-4F5B-BFC3-A07FC6961177}" type="pres">
      <dgm:prSet presAssocID="{0337FFD1-7A8F-48B2-8DEA-6D06E69A9A34}" presName="childText" presStyleLbl="bgAcc1" presStyleIdx="3" presStyleCnt="22">
        <dgm:presLayoutVars>
          <dgm:bulletEnabled val="1"/>
        </dgm:presLayoutVars>
      </dgm:prSet>
      <dgm:spPr/>
      <dgm:t>
        <a:bodyPr/>
        <a:lstStyle/>
        <a:p>
          <a:endParaRPr lang="es-CL"/>
        </a:p>
      </dgm:t>
    </dgm:pt>
    <dgm:pt modelId="{9174A61A-8F63-4715-8EB1-B76757F1B7B0}" type="pres">
      <dgm:prSet presAssocID="{2408223E-573A-4281-991A-296B348D74A9}" presName="root" presStyleCnt="0"/>
      <dgm:spPr/>
    </dgm:pt>
    <dgm:pt modelId="{19BF5C6A-15C8-4732-AC15-F97BFA7290E5}" type="pres">
      <dgm:prSet presAssocID="{2408223E-573A-4281-991A-296B348D74A9}" presName="rootComposite" presStyleCnt="0"/>
      <dgm:spPr/>
    </dgm:pt>
    <dgm:pt modelId="{63EA51FE-87EE-4254-8E3E-527CB4C515F1}" type="pres">
      <dgm:prSet presAssocID="{2408223E-573A-4281-991A-296B348D74A9}" presName="rootText" presStyleLbl="node1" presStyleIdx="1" presStyleCnt="4"/>
      <dgm:spPr/>
      <dgm:t>
        <a:bodyPr/>
        <a:lstStyle/>
        <a:p>
          <a:endParaRPr lang="es-CL"/>
        </a:p>
      </dgm:t>
    </dgm:pt>
    <dgm:pt modelId="{97ECBF71-40F3-4DF6-88B1-DD49ADBEE394}" type="pres">
      <dgm:prSet presAssocID="{2408223E-573A-4281-991A-296B348D74A9}" presName="rootConnector" presStyleLbl="node1" presStyleIdx="1" presStyleCnt="4"/>
      <dgm:spPr/>
      <dgm:t>
        <a:bodyPr/>
        <a:lstStyle/>
        <a:p>
          <a:endParaRPr lang="es-CL"/>
        </a:p>
      </dgm:t>
    </dgm:pt>
    <dgm:pt modelId="{6C89B917-82FD-40DE-BAB2-37D419D96336}" type="pres">
      <dgm:prSet presAssocID="{2408223E-573A-4281-991A-296B348D74A9}" presName="childShape" presStyleCnt="0"/>
      <dgm:spPr/>
    </dgm:pt>
    <dgm:pt modelId="{59F4EA6D-2012-4CA8-BCC7-482AC9463CBB}" type="pres">
      <dgm:prSet presAssocID="{AF6B99ED-6B15-4BA5-8C52-8C33F585C607}" presName="Name13" presStyleLbl="parChTrans1D2" presStyleIdx="4" presStyleCnt="22"/>
      <dgm:spPr/>
      <dgm:t>
        <a:bodyPr/>
        <a:lstStyle/>
        <a:p>
          <a:endParaRPr lang="es-CL"/>
        </a:p>
      </dgm:t>
    </dgm:pt>
    <dgm:pt modelId="{AB787B6C-1E83-432F-9B59-2CC5F836231A}" type="pres">
      <dgm:prSet presAssocID="{9EC4677E-8B90-4A7D-AEE7-527A246DD8F4}" presName="childText" presStyleLbl="bgAcc1" presStyleIdx="4" presStyleCnt="22">
        <dgm:presLayoutVars>
          <dgm:bulletEnabled val="1"/>
        </dgm:presLayoutVars>
      </dgm:prSet>
      <dgm:spPr/>
      <dgm:t>
        <a:bodyPr/>
        <a:lstStyle/>
        <a:p>
          <a:endParaRPr lang="es-CL"/>
        </a:p>
      </dgm:t>
    </dgm:pt>
    <dgm:pt modelId="{7F3BFC2B-ED5E-4718-876B-935F471782EB}" type="pres">
      <dgm:prSet presAssocID="{65E8A07A-9CDF-47B3-AD23-6D44C891E73E}" presName="Name13" presStyleLbl="parChTrans1D2" presStyleIdx="5" presStyleCnt="22"/>
      <dgm:spPr/>
      <dgm:t>
        <a:bodyPr/>
        <a:lstStyle/>
        <a:p>
          <a:endParaRPr lang="es-CL"/>
        </a:p>
      </dgm:t>
    </dgm:pt>
    <dgm:pt modelId="{6C30662F-6A9C-4212-9245-D0ECC8F819E5}" type="pres">
      <dgm:prSet presAssocID="{709BB49A-5B08-41D9-96E3-8B1F74D6A849}" presName="childText" presStyleLbl="bgAcc1" presStyleIdx="5" presStyleCnt="22">
        <dgm:presLayoutVars>
          <dgm:bulletEnabled val="1"/>
        </dgm:presLayoutVars>
      </dgm:prSet>
      <dgm:spPr/>
      <dgm:t>
        <a:bodyPr/>
        <a:lstStyle/>
        <a:p>
          <a:endParaRPr lang="es-CL"/>
        </a:p>
      </dgm:t>
    </dgm:pt>
    <dgm:pt modelId="{4FD5630D-F5E2-452F-BC34-7FDB8CFDFD0F}" type="pres">
      <dgm:prSet presAssocID="{964DB72C-F2A2-479E-B70D-975BC9EA3858}" presName="Name13" presStyleLbl="parChTrans1D2" presStyleIdx="6" presStyleCnt="22"/>
      <dgm:spPr/>
      <dgm:t>
        <a:bodyPr/>
        <a:lstStyle/>
        <a:p>
          <a:endParaRPr lang="es-CL"/>
        </a:p>
      </dgm:t>
    </dgm:pt>
    <dgm:pt modelId="{6C9BAA68-C804-4F54-87F3-0DF3A264C3F5}" type="pres">
      <dgm:prSet presAssocID="{D57918E6-2FB5-4386-BE01-94443D5E8693}" presName="childText" presStyleLbl="bgAcc1" presStyleIdx="6" presStyleCnt="22">
        <dgm:presLayoutVars>
          <dgm:bulletEnabled val="1"/>
        </dgm:presLayoutVars>
      </dgm:prSet>
      <dgm:spPr/>
      <dgm:t>
        <a:bodyPr/>
        <a:lstStyle/>
        <a:p>
          <a:endParaRPr lang="es-CL"/>
        </a:p>
      </dgm:t>
    </dgm:pt>
    <dgm:pt modelId="{A3D55676-AE70-4A37-8670-DCCD403BCE13}" type="pres">
      <dgm:prSet presAssocID="{6E42E840-CBFA-4570-8212-1AFB2E385DE6}" presName="root" presStyleCnt="0"/>
      <dgm:spPr/>
    </dgm:pt>
    <dgm:pt modelId="{3D25567D-E1E2-448F-BBE6-3FBC3A37DD8C}" type="pres">
      <dgm:prSet presAssocID="{6E42E840-CBFA-4570-8212-1AFB2E385DE6}" presName="rootComposite" presStyleCnt="0"/>
      <dgm:spPr/>
    </dgm:pt>
    <dgm:pt modelId="{487CF62F-FDAC-4258-AFF1-F851E22C79B7}" type="pres">
      <dgm:prSet presAssocID="{6E42E840-CBFA-4570-8212-1AFB2E385DE6}" presName="rootText" presStyleLbl="node1" presStyleIdx="2" presStyleCnt="4"/>
      <dgm:spPr/>
      <dgm:t>
        <a:bodyPr/>
        <a:lstStyle/>
        <a:p>
          <a:endParaRPr lang="es-CL"/>
        </a:p>
      </dgm:t>
    </dgm:pt>
    <dgm:pt modelId="{7EA4981E-D35F-4775-B251-A1CFC2F83130}" type="pres">
      <dgm:prSet presAssocID="{6E42E840-CBFA-4570-8212-1AFB2E385DE6}" presName="rootConnector" presStyleLbl="node1" presStyleIdx="2" presStyleCnt="4"/>
      <dgm:spPr/>
      <dgm:t>
        <a:bodyPr/>
        <a:lstStyle/>
        <a:p>
          <a:endParaRPr lang="es-CL"/>
        </a:p>
      </dgm:t>
    </dgm:pt>
    <dgm:pt modelId="{2F8BEA0B-FE27-4588-A127-A91614B3BFFA}" type="pres">
      <dgm:prSet presAssocID="{6E42E840-CBFA-4570-8212-1AFB2E385DE6}" presName="childShape" presStyleCnt="0"/>
      <dgm:spPr/>
    </dgm:pt>
    <dgm:pt modelId="{3FCCC2C5-E651-43B8-83F2-1425F485B02F}" type="pres">
      <dgm:prSet presAssocID="{1DE872CD-372B-4339-A129-B88B0C44C081}" presName="Name13" presStyleLbl="parChTrans1D2" presStyleIdx="7" presStyleCnt="22"/>
      <dgm:spPr/>
      <dgm:t>
        <a:bodyPr/>
        <a:lstStyle/>
        <a:p>
          <a:endParaRPr lang="es-CL"/>
        </a:p>
      </dgm:t>
    </dgm:pt>
    <dgm:pt modelId="{2FE80EA6-A281-4D8C-BD3F-0145FAE34C58}" type="pres">
      <dgm:prSet presAssocID="{531EE406-C0D4-45A7-831F-B0780285F226}" presName="childText" presStyleLbl="bgAcc1" presStyleIdx="7" presStyleCnt="22">
        <dgm:presLayoutVars>
          <dgm:bulletEnabled val="1"/>
        </dgm:presLayoutVars>
      </dgm:prSet>
      <dgm:spPr/>
      <dgm:t>
        <a:bodyPr/>
        <a:lstStyle/>
        <a:p>
          <a:endParaRPr lang="es-CL"/>
        </a:p>
      </dgm:t>
    </dgm:pt>
    <dgm:pt modelId="{F2AE9CB7-3B21-46BF-B2AF-3A5D5D62A8DE}" type="pres">
      <dgm:prSet presAssocID="{790E6F06-6B16-447C-AE53-B212D2BE0500}" presName="Name13" presStyleLbl="parChTrans1D2" presStyleIdx="8" presStyleCnt="22"/>
      <dgm:spPr/>
      <dgm:t>
        <a:bodyPr/>
        <a:lstStyle/>
        <a:p>
          <a:endParaRPr lang="es-CL"/>
        </a:p>
      </dgm:t>
    </dgm:pt>
    <dgm:pt modelId="{7C53913C-1A15-49C9-8D5D-2C8A9BB32BDB}" type="pres">
      <dgm:prSet presAssocID="{69833DD9-9286-456D-AAE5-4B51DAFB0CF0}" presName="childText" presStyleLbl="bgAcc1" presStyleIdx="8" presStyleCnt="22">
        <dgm:presLayoutVars>
          <dgm:bulletEnabled val="1"/>
        </dgm:presLayoutVars>
      </dgm:prSet>
      <dgm:spPr/>
      <dgm:t>
        <a:bodyPr/>
        <a:lstStyle/>
        <a:p>
          <a:endParaRPr lang="es-CL"/>
        </a:p>
      </dgm:t>
    </dgm:pt>
    <dgm:pt modelId="{88DF206B-1A41-4B31-8C04-30E80E790A87}" type="pres">
      <dgm:prSet presAssocID="{443F5487-9831-4139-9EE7-6A3FA13FAA89}" presName="Name13" presStyleLbl="parChTrans1D2" presStyleIdx="9" presStyleCnt="22"/>
      <dgm:spPr/>
      <dgm:t>
        <a:bodyPr/>
        <a:lstStyle/>
        <a:p>
          <a:endParaRPr lang="es-CL"/>
        </a:p>
      </dgm:t>
    </dgm:pt>
    <dgm:pt modelId="{F6CCD357-155B-4AB8-84F1-003FC804D2B5}" type="pres">
      <dgm:prSet presAssocID="{EF679733-38ED-4D7F-8BF5-60BBEAB64B15}" presName="childText" presStyleLbl="bgAcc1" presStyleIdx="9" presStyleCnt="22">
        <dgm:presLayoutVars>
          <dgm:bulletEnabled val="1"/>
        </dgm:presLayoutVars>
      </dgm:prSet>
      <dgm:spPr/>
      <dgm:t>
        <a:bodyPr/>
        <a:lstStyle/>
        <a:p>
          <a:endParaRPr lang="es-CL"/>
        </a:p>
      </dgm:t>
    </dgm:pt>
    <dgm:pt modelId="{9D2B6187-EDD7-4EE4-BD62-746205D9A467}" type="pres">
      <dgm:prSet presAssocID="{508F95DB-1A73-4742-8B88-A347E961D0C2}" presName="Name13" presStyleLbl="parChTrans1D2" presStyleIdx="10" presStyleCnt="22"/>
      <dgm:spPr/>
      <dgm:t>
        <a:bodyPr/>
        <a:lstStyle/>
        <a:p>
          <a:endParaRPr lang="es-CL"/>
        </a:p>
      </dgm:t>
    </dgm:pt>
    <dgm:pt modelId="{7DD9F9F3-B3B1-42AA-8815-98CA1F518FD3}" type="pres">
      <dgm:prSet presAssocID="{15CF10D7-A061-493B-B6E1-F0F3BB13FA6E}" presName="childText" presStyleLbl="bgAcc1" presStyleIdx="10" presStyleCnt="22">
        <dgm:presLayoutVars>
          <dgm:bulletEnabled val="1"/>
        </dgm:presLayoutVars>
      </dgm:prSet>
      <dgm:spPr/>
      <dgm:t>
        <a:bodyPr/>
        <a:lstStyle/>
        <a:p>
          <a:endParaRPr lang="es-CL"/>
        </a:p>
      </dgm:t>
    </dgm:pt>
    <dgm:pt modelId="{97939319-6D7C-4C1C-B66C-54A3070C99E3}" type="pres">
      <dgm:prSet presAssocID="{820ED094-F21D-49E9-A380-B54FBF69564A}" presName="Name13" presStyleLbl="parChTrans1D2" presStyleIdx="11" presStyleCnt="22"/>
      <dgm:spPr/>
      <dgm:t>
        <a:bodyPr/>
        <a:lstStyle/>
        <a:p>
          <a:endParaRPr lang="es-CL"/>
        </a:p>
      </dgm:t>
    </dgm:pt>
    <dgm:pt modelId="{562F9BAF-5864-4AFB-91C5-92CE467F1C4A}" type="pres">
      <dgm:prSet presAssocID="{A28D4586-5010-485B-B55A-938E9B77F607}" presName="childText" presStyleLbl="bgAcc1" presStyleIdx="11" presStyleCnt="22">
        <dgm:presLayoutVars>
          <dgm:bulletEnabled val="1"/>
        </dgm:presLayoutVars>
      </dgm:prSet>
      <dgm:spPr/>
      <dgm:t>
        <a:bodyPr/>
        <a:lstStyle/>
        <a:p>
          <a:endParaRPr lang="es-CL"/>
        </a:p>
      </dgm:t>
    </dgm:pt>
    <dgm:pt modelId="{C7001B5C-4B6B-48A0-9790-4ADE735D26BB}" type="pres">
      <dgm:prSet presAssocID="{5C523A0C-0C1D-4AE2-B00A-8353DBAF2C51}" presName="Name13" presStyleLbl="parChTrans1D2" presStyleIdx="12" presStyleCnt="22"/>
      <dgm:spPr/>
      <dgm:t>
        <a:bodyPr/>
        <a:lstStyle/>
        <a:p>
          <a:endParaRPr lang="es-CL"/>
        </a:p>
      </dgm:t>
    </dgm:pt>
    <dgm:pt modelId="{4BC19D7D-3005-47A9-B9EA-7C5595E0DFA5}" type="pres">
      <dgm:prSet presAssocID="{C530C12C-7311-45FF-9557-476AFB016B3D}" presName="childText" presStyleLbl="bgAcc1" presStyleIdx="12" presStyleCnt="22">
        <dgm:presLayoutVars>
          <dgm:bulletEnabled val="1"/>
        </dgm:presLayoutVars>
      </dgm:prSet>
      <dgm:spPr/>
      <dgm:t>
        <a:bodyPr/>
        <a:lstStyle/>
        <a:p>
          <a:endParaRPr lang="es-CL"/>
        </a:p>
      </dgm:t>
    </dgm:pt>
    <dgm:pt modelId="{285357AB-43AA-4E68-B4ED-C9F11E8F7EE8}" type="pres">
      <dgm:prSet presAssocID="{58B04F09-AF73-4EB9-A96B-EFEB548FCB29}" presName="Name13" presStyleLbl="parChTrans1D2" presStyleIdx="13" presStyleCnt="22"/>
      <dgm:spPr/>
      <dgm:t>
        <a:bodyPr/>
        <a:lstStyle/>
        <a:p>
          <a:endParaRPr lang="es-CL"/>
        </a:p>
      </dgm:t>
    </dgm:pt>
    <dgm:pt modelId="{1BC855D3-8C10-4253-854A-C1995CBB9E98}" type="pres">
      <dgm:prSet presAssocID="{509E468B-39EE-440D-B0F2-4144600BBD4F}" presName="childText" presStyleLbl="bgAcc1" presStyleIdx="13" presStyleCnt="22">
        <dgm:presLayoutVars>
          <dgm:bulletEnabled val="1"/>
        </dgm:presLayoutVars>
      </dgm:prSet>
      <dgm:spPr/>
      <dgm:t>
        <a:bodyPr/>
        <a:lstStyle/>
        <a:p>
          <a:endParaRPr lang="es-CL"/>
        </a:p>
      </dgm:t>
    </dgm:pt>
    <dgm:pt modelId="{ABB73A72-870C-4612-8FA0-F442D2D556B3}" type="pres">
      <dgm:prSet presAssocID="{65FAC0D0-3496-4338-A84E-065EA30C5B56}" presName="root" presStyleCnt="0"/>
      <dgm:spPr/>
    </dgm:pt>
    <dgm:pt modelId="{D574D51A-5EB3-4FBD-A739-CEEEB9466B49}" type="pres">
      <dgm:prSet presAssocID="{65FAC0D0-3496-4338-A84E-065EA30C5B56}" presName="rootComposite" presStyleCnt="0"/>
      <dgm:spPr/>
    </dgm:pt>
    <dgm:pt modelId="{EC588C09-45FD-4D6C-A285-0AAC9C0EC2E3}" type="pres">
      <dgm:prSet presAssocID="{65FAC0D0-3496-4338-A84E-065EA30C5B56}" presName="rootText" presStyleLbl="node1" presStyleIdx="3" presStyleCnt="4"/>
      <dgm:spPr/>
      <dgm:t>
        <a:bodyPr/>
        <a:lstStyle/>
        <a:p>
          <a:endParaRPr lang="es-CL"/>
        </a:p>
      </dgm:t>
    </dgm:pt>
    <dgm:pt modelId="{EF300E7A-BA2A-408E-B961-293C678BDF48}" type="pres">
      <dgm:prSet presAssocID="{65FAC0D0-3496-4338-A84E-065EA30C5B56}" presName="rootConnector" presStyleLbl="node1" presStyleIdx="3" presStyleCnt="4"/>
      <dgm:spPr/>
      <dgm:t>
        <a:bodyPr/>
        <a:lstStyle/>
        <a:p>
          <a:endParaRPr lang="es-CL"/>
        </a:p>
      </dgm:t>
    </dgm:pt>
    <dgm:pt modelId="{F049AD72-E5B7-4E74-A359-8B317EFC69AE}" type="pres">
      <dgm:prSet presAssocID="{65FAC0D0-3496-4338-A84E-065EA30C5B56}" presName="childShape" presStyleCnt="0"/>
      <dgm:spPr/>
    </dgm:pt>
    <dgm:pt modelId="{3289BF65-329F-4E20-8FD4-48C379A02607}" type="pres">
      <dgm:prSet presAssocID="{8C29983A-F320-4F61-A1B7-B7D8A7E52145}" presName="Name13" presStyleLbl="parChTrans1D2" presStyleIdx="14" presStyleCnt="22"/>
      <dgm:spPr/>
      <dgm:t>
        <a:bodyPr/>
        <a:lstStyle/>
        <a:p>
          <a:endParaRPr lang="es-CL"/>
        </a:p>
      </dgm:t>
    </dgm:pt>
    <dgm:pt modelId="{B371E8E8-5BE8-46AD-B1C5-5874ABC42EF9}" type="pres">
      <dgm:prSet presAssocID="{B29228D4-3901-4E1A-BD6E-1875C18FF8B3}" presName="childText" presStyleLbl="bgAcc1" presStyleIdx="14" presStyleCnt="22">
        <dgm:presLayoutVars>
          <dgm:bulletEnabled val="1"/>
        </dgm:presLayoutVars>
      </dgm:prSet>
      <dgm:spPr/>
      <dgm:t>
        <a:bodyPr/>
        <a:lstStyle/>
        <a:p>
          <a:endParaRPr lang="es-CL"/>
        </a:p>
      </dgm:t>
    </dgm:pt>
    <dgm:pt modelId="{A580A8D8-C943-499E-A5FD-7AADEC51F020}" type="pres">
      <dgm:prSet presAssocID="{0F04CC5A-7470-41CE-8547-960410E333A9}" presName="Name13" presStyleLbl="parChTrans1D2" presStyleIdx="15" presStyleCnt="22"/>
      <dgm:spPr/>
      <dgm:t>
        <a:bodyPr/>
        <a:lstStyle/>
        <a:p>
          <a:endParaRPr lang="es-CL"/>
        </a:p>
      </dgm:t>
    </dgm:pt>
    <dgm:pt modelId="{028B2A79-79E3-41AC-A353-B63B553FE606}" type="pres">
      <dgm:prSet presAssocID="{C6F30728-C8CB-469B-BDEA-168713817D8E}" presName="childText" presStyleLbl="bgAcc1" presStyleIdx="15" presStyleCnt="22">
        <dgm:presLayoutVars>
          <dgm:bulletEnabled val="1"/>
        </dgm:presLayoutVars>
      </dgm:prSet>
      <dgm:spPr/>
      <dgm:t>
        <a:bodyPr/>
        <a:lstStyle/>
        <a:p>
          <a:endParaRPr lang="es-CL"/>
        </a:p>
      </dgm:t>
    </dgm:pt>
    <dgm:pt modelId="{8FA47F50-508D-4D05-88F1-ED9809BF9E01}" type="pres">
      <dgm:prSet presAssocID="{EB71A52E-C570-43AE-922C-2814B4EDEBD6}" presName="Name13" presStyleLbl="parChTrans1D2" presStyleIdx="16" presStyleCnt="22"/>
      <dgm:spPr/>
      <dgm:t>
        <a:bodyPr/>
        <a:lstStyle/>
        <a:p>
          <a:endParaRPr lang="es-CL"/>
        </a:p>
      </dgm:t>
    </dgm:pt>
    <dgm:pt modelId="{2D51C480-0477-4C9F-BBEA-86131B63038E}" type="pres">
      <dgm:prSet presAssocID="{672E01BF-9D60-415A-AB5D-A26EE2136538}" presName="childText" presStyleLbl="bgAcc1" presStyleIdx="16" presStyleCnt="22">
        <dgm:presLayoutVars>
          <dgm:bulletEnabled val="1"/>
        </dgm:presLayoutVars>
      </dgm:prSet>
      <dgm:spPr/>
      <dgm:t>
        <a:bodyPr/>
        <a:lstStyle/>
        <a:p>
          <a:endParaRPr lang="es-CL"/>
        </a:p>
      </dgm:t>
    </dgm:pt>
    <dgm:pt modelId="{012AE546-2EE7-4495-8131-B59730EE9F91}" type="pres">
      <dgm:prSet presAssocID="{CD17F6C6-A483-480D-AAA5-1E4067DD7DEE}" presName="Name13" presStyleLbl="parChTrans1D2" presStyleIdx="17" presStyleCnt="22"/>
      <dgm:spPr/>
      <dgm:t>
        <a:bodyPr/>
        <a:lstStyle/>
        <a:p>
          <a:endParaRPr lang="es-CL"/>
        </a:p>
      </dgm:t>
    </dgm:pt>
    <dgm:pt modelId="{8C5BB120-78D5-4937-8DFE-AE5AD214A93D}" type="pres">
      <dgm:prSet presAssocID="{A7A4796B-0136-4542-BE25-C66828D6C5BA}" presName="childText" presStyleLbl="bgAcc1" presStyleIdx="17" presStyleCnt="22">
        <dgm:presLayoutVars>
          <dgm:bulletEnabled val="1"/>
        </dgm:presLayoutVars>
      </dgm:prSet>
      <dgm:spPr/>
      <dgm:t>
        <a:bodyPr/>
        <a:lstStyle/>
        <a:p>
          <a:endParaRPr lang="es-CL"/>
        </a:p>
      </dgm:t>
    </dgm:pt>
    <dgm:pt modelId="{B9C53591-5AEA-44DE-8898-A51744631141}" type="pres">
      <dgm:prSet presAssocID="{73BF058E-068D-4F1B-B9F1-FE219FB3D042}" presName="Name13" presStyleLbl="parChTrans1D2" presStyleIdx="18" presStyleCnt="22"/>
      <dgm:spPr/>
      <dgm:t>
        <a:bodyPr/>
        <a:lstStyle/>
        <a:p>
          <a:endParaRPr lang="es-CL"/>
        </a:p>
      </dgm:t>
    </dgm:pt>
    <dgm:pt modelId="{443CE1EB-1D7C-41D5-9B41-5160C89D6B1C}" type="pres">
      <dgm:prSet presAssocID="{94480267-4322-44D7-807B-42798A286565}" presName="childText" presStyleLbl="bgAcc1" presStyleIdx="18" presStyleCnt="22">
        <dgm:presLayoutVars>
          <dgm:bulletEnabled val="1"/>
        </dgm:presLayoutVars>
      </dgm:prSet>
      <dgm:spPr/>
      <dgm:t>
        <a:bodyPr/>
        <a:lstStyle/>
        <a:p>
          <a:endParaRPr lang="es-CL"/>
        </a:p>
      </dgm:t>
    </dgm:pt>
    <dgm:pt modelId="{61E5A021-8FAB-40F3-A713-C3015B069664}" type="pres">
      <dgm:prSet presAssocID="{D1CF750C-C771-42EF-B276-CB735585A7D6}" presName="Name13" presStyleLbl="parChTrans1D2" presStyleIdx="19" presStyleCnt="22"/>
      <dgm:spPr/>
      <dgm:t>
        <a:bodyPr/>
        <a:lstStyle/>
        <a:p>
          <a:endParaRPr lang="es-CL"/>
        </a:p>
      </dgm:t>
    </dgm:pt>
    <dgm:pt modelId="{DACCEA78-5525-40E7-8F6F-9183458E18FA}" type="pres">
      <dgm:prSet presAssocID="{3DEEDAF1-1DF7-4443-A717-8FC84BF3CC0D}" presName="childText" presStyleLbl="bgAcc1" presStyleIdx="19" presStyleCnt="22">
        <dgm:presLayoutVars>
          <dgm:bulletEnabled val="1"/>
        </dgm:presLayoutVars>
      </dgm:prSet>
      <dgm:spPr/>
      <dgm:t>
        <a:bodyPr/>
        <a:lstStyle/>
        <a:p>
          <a:endParaRPr lang="es-CL"/>
        </a:p>
      </dgm:t>
    </dgm:pt>
    <dgm:pt modelId="{7C636446-327D-45EA-8DCB-2D35AD3543B8}" type="pres">
      <dgm:prSet presAssocID="{AB64B8E7-A3D3-41E2-9BA9-026112B3F43F}" presName="Name13" presStyleLbl="parChTrans1D2" presStyleIdx="20" presStyleCnt="22"/>
      <dgm:spPr/>
      <dgm:t>
        <a:bodyPr/>
        <a:lstStyle/>
        <a:p>
          <a:endParaRPr lang="es-CL"/>
        </a:p>
      </dgm:t>
    </dgm:pt>
    <dgm:pt modelId="{D28E84AE-B8E0-48A1-9E9C-CA1A75B382B2}" type="pres">
      <dgm:prSet presAssocID="{EB10629F-422A-46A9-8A93-3760A7912321}" presName="childText" presStyleLbl="bgAcc1" presStyleIdx="20" presStyleCnt="22">
        <dgm:presLayoutVars>
          <dgm:bulletEnabled val="1"/>
        </dgm:presLayoutVars>
      </dgm:prSet>
      <dgm:spPr/>
      <dgm:t>
        <a:bodyPr/>
        <a:lstStyle/>
        <a:p>
          <a:endParaRPr lang="es-CL"/>
        </a:p>
      </dgm:t>
    </dgm:pt>
    <dgm:pt modelId="{81A19B44-C284-40E5-9BB0-00B42A0F0A62}" type="pres">
      <dgm:prSet presAssocID="{66F33F1A-2495-42AB-8BCF-180E51420039}" presName="Name13" presStyleLbl="parChTrans1D2" presStyleIdx="21" presStyleCnt="22"/>
      <dgm:spPr/>
      <dgm:t>
        <a:bodyPr/>
        <a:lstStyle/>
        <a:p>
          <a:endParaRPr lang="es-CL"/>
        </a:p>
      </dgm:t>
    </dgm:pt>
    <dgm:pt modelId="{9FA2F4E5-BF44-4BEB-9FC8-C0E6AB0056D8}" type="pres">
      <dgm:prSet presAssocID="{9259B3C6-C7E1-4D45-A2D2-36861632B599}" presName="childText" presStyleLbl="bgAcc1" presStyleIdx="21" presStyleCnt="22">
        <dgm:presLayoutVars>
          <dgm:bulletEnabled val="1"/>
        </dgm:presLayoutVars>
      </dgm:prSet>
      <dgm:spPr/>
      <dgm:t>
        <a:bodyPr/>
        <a:lstStyle/>
        <a:p>
          <a:endParaRPr lang="es-CL"/>
        </a:p>
      </dgm:t>
    </dgm:pt>
  </dgm:ptLst>
  <dgm:cxnLst>
    <dgm:cxn modelId="{60B22D66-0B80-4E41-85A3-B6A460437870}" type="presOf" srcId="{508F95DB-1A73-4742-8B88-A347E961D0C2}" destId="{9D2B6187-EDD7-4EE4-BD62-746205D9A467}" srcOrd="0" destOrd="0" presId="urn:microsoft.com/office/officeart/2005/8/layout/hierarchy3"/>
    <dgm:cxn modelId="{AE3BF35F-1920-4B8C-9D79-679DF1C06834}" srcId="{2408223E-573A-4281-991A-296B348D74A9}" destId="{D57918E6-2FB5-4386-BE01-94443D5E8693}" srcOrd="2" destOrd="0" parTransId="{964DB72C-F2A2-479E-B70D-975BC9EA3858}" sibTransId="{A2145C47-75B3-4107-9485-16A14DC101B9}"/>
    <dgm:cxn modelId="{3B11EA58-6535-4636-808B-58E086289067}" srcId="{6E42E840-CBFA-4570-8212-1AFB2E385DE6}" destId="{509E468B-39EE-440D-B0F2-4144600BBD4F}" srcOrd="6" destOrd="0" parTransId="{58B04F09-AF73-4EB9-A96B-EFEB548FCB29}" sibTransId="{FA80A512-9EFB-42E2-AF35-E291F7DC2AB1}"/>
    <dgm:cxn modelId="{3B64A6FE-023F-4CE3-82B9-512277D1C8F0}" type="presOf" srcId="{C6F30728-C8CB-469B-BDEA-168713817D8E}" destId="{028B2A79-79E3-41AC-A353-B63B553FE606}" srcOrd="0" destOrd="0" presId="urn:microsoft.com/office/officeart/2005/8/layout/hierarchy3"/>
    <dgm:cxn modelId="{CB3A9AEF-B03C-4CB5-B238-1857E93BA578}" type="presOf" srcId="{0337FFD1-7A8F-48B2-8DEA-6D06E69A9A34}" destId="{AD147C18-F798-4F5B-BFC3-A07FC6961177}" srcOrd="0" destOrd="0" presId="urn:microsoft.com/office/officeart/2005/8/layout/hierarchy3"/>
    <dgm:cxn modelId="{E32E4AC4-BBE9-439F-9836-8CFA13E454C7}" type="presOf" srcId="{58B04F09-AF73-4EB9-A96B-EFEB548FCB29}" destId="{285357AB-43AA-4E68-B4ED-C9F11E8F7EE8}" srcOrd="0" destOrd="0" presId="urn:microsoft.com/office/officeart/2005/8/layout/hierarchy3"/>
    <dgm:cxn modelId="{A2F18AED-DCF6-4038-98DF-F9A1A85C9C20}" type="presOf" srcId="{D1CF750C-C771-42EF-B276-CB735585A7D6}" destId="{61E5A021-8FAB-40F3-A713-C3015B069664}" srcOrd="0" destOrd="0" presId="urn:microsoft.com/office/officeart/2005/8/layout/hierarchy3"/>
    <dgm:cxn modelId="{543C733C-2AA8-4142-B90F-B451FFCA0FF1}" type="presOf" srcId="{15CF10D7-A061-493B-B6E1-F0F3BB13FA6E}" destId="{7DD9F9F3-B3B1-42AA-8815-98CA1F518FD3}" srcOrd="0" destOrd="0" presId="urn:microsoft.com/office/officeart/2005/8/layout/hierarchy3"/>
    <dgm:cxn modelId="{E3BB2A13-90DE-442C-8B4B-AF278089A0FE}" type="presOf" srcId="{1DE872CD-372B-4339-A129-B88B0C44C081}" destId="{3FCCC2C5-E651-43B8-83F2-1425F485B02F}" srcOrd="0" destOrd="0" presId="urn:microsoft.com/office/officeart/2005/8/layout/hierarchy3"/>
    <dgm:cxn modelId="{A200FEB9-0674-49D1-B7FA-4048CEAC2BC7}" type="presOf" srcId="{408A43F3-A2E3-4826-B929-96E08BDB3A96}" destId="{814DE38B-C6F7-4A55-AABC-D92EA00D32CE}" srcOrd="0" destOrd="0" presId="urn:microsoft.com/office/officeart/2005/8/layout/hierarchy3"/>
    <dgm:cxn modelId="{6954DFCD-50EB-4F9D-8802-22074EF0E152}" srcId="{65FAC0D0-3496-4338-A84E-065EA30C5B56}" destId="{EB10629F-422A-46A9-8A93-3760A7912321}" srcOrd="6" destOrd="0" parTransId="{AB64B8E7-A3D3-41E2-9BA9-026112B3F43F}" sibTransId="{1387628D-D196-4847-9AEC-516E53E13221}"/>
    <dgm:cxn modelId="{FF8BD870-5464-4FFC-935C-411F84E5CE69}" type="presOf" srcId="{6E42E840-CBFA-4570-8212-1AFB2E385DE6}" destId="{487CF62F-FDAC-4258-AFF1-F851E22C79B7}" srcOrd="0" destOrd="0" presId="urn:microsoft.com/office/officeart/2005/8/layout/hierarchy3"/>
    <dgm:cxn modelId="{07C81B5A-7701-404C-BC40-0D50AD706BFA}" srcId="{F83DB59B-2223-4C35-943B-5ABF21186ED5}" destId="{C1E0F24A-5EC4-42BA-A38F-49B5D12B7E04}" srcOrd="1" destOrd="0" parTransId="{3725724C-E722-4250-9C82-25A305C2EF4C}" sibTransId="{C0A18670-5F3F-4EC7-A797-40844F4631E2}"/>
    <dgm:cxn modelId="{38C8193E-655C-481B-81C4-558211C82416}" srcId="{F83DB59B-2223-4C35-943B-5ABF21186ED5}" destId="{DC778F4A-6A22-480B-BF17-7D8E7C97B25B}" srcOrd="0" destOrd="0" parTransId="{408A43F3-A2E3-4826-B929-96E08BDB3A96}" sibTransId="{65C2E31D-4D39-4A33-9EF2-F90801010C5D}"/>
    <dgm:cxn modelId="{9D3829A4-5112-423F-A6C8-84B227C34CDA}" srcId="{65FAC0D0-3496-4338-A84E-065EA30C5B56}" destId="{C6F30728-C8CB-469B-BDEA-168713817D8E}" srcOrd="1" destOrd="0" parTransId="{0F04CC5A-7470-41CE-8547-960410E333A9}" sibTransId="{895A32F0-F834-45B9-BC3A-DB4F86574317}"/>
    <dgm:cxn modelId="{197111ED-2F56-4F06-B5FD-D180FD158DA9}" srcId="{65FAC0D0-3496-4338-A84E-065EA30C5B56}" destId="{94480267-4322-44D7-807B-42798A286565}" srcOrd="4" destOrd="0" parTransId="{73BF058E-068D-4F1B-B9F1-FE219FB3D042}" sibTransId="{0AC31258-12C1-405F-A568-4F66AE8E9517}"/>
    <dgm:cxn modelId="{DB91B25E-3DB1-4353-A046-72FE2287750D}" srcId="{65FAC0D0-3496-4338-A84E-065EA30C5B56}" destId="{672E01BF-9D60-415A-AB5D-A26EE2136538}" srcOrd="2" destOrd="0" parTransId="{EB71A52E-C570-43AE-922C-2814B4EDEBD6}" sibTransId="{C5B5DB28-8AC3-4B6F-A601-EDD19DC66328}"/>
    <dgm:cxn modelId="{55B4F348-C73B-43D3-B54F-C3F3877B6D9C}" srcId="{65FAC0D0-3496-4338-A84E-065EA30C5B56}" destId="{3DEEDAF1-1DF7-4443-A717-8FC84BF3CC0D}" srcOrd="5" destOrd="0" parTransId="{D1CF750C-C771-42EF-B276-CB735585A7D6}" sibTransId="{42DE386D-FFF2-4EEE-A716-75682579A328}"/>
    <dgm:cxn modelId="{E7FBD318-3C0E-4274-8FB5-9330451FCD2C}" type="presOf" srcId="{73BF058E-068D-4F1B-B9F1-FE219FB3D042}" destId="{B9C53591-5AEA-44DE-8898-A51744631141}" srcOrd="0" destOrd="0" presId="urn:microsoft.com/office/officeart/2005/8/layout/hierarchy3"/>
    <dgm:cxn modelId="{2051027D-F9D7-41DF-A3A3-A0404A665159}" srcId="{2408223E-573A-4281-991A-296B348D74A9}" destId="{709BB49A-5B08-41D9-96E3-8B1F74D6A849}" srcOrd="1" destOrd="0" parTransId="{65E8A07A-9CDF-47B3-AD23-6D44C891E73E}" sibTransId="{13E4EA84-0134-4B2C-BB45-082AF8397B4C}"/>
    <dgm:cxn modelId="{D19A03D1-6C63-4F2E-B3A4-6BF6159F02AF}" type="presOf" srcId="{D57918E6-2FB5-4386-BE01-94443D5E8693}" destId="{6C9BAA68-C804-4F54-87F3-0DF3A264C3F5}" srcOrd="0" destOrd="0" presId="urn:microsoft.com/office/officeart/2005/8/layout/hierarchy3"/>
    <dgm:cxn modelId="{E4B52445-C694-487A-B43C-96F2628966CD}" type="presOf" srcId="{A7A4796B-0136-4542-BE25-C66828D6C5BA}" destId="{8C5BB120-78D5-4937-8DFE-AE5AD214A93D}" srcOrd="0" destOrd="0" presId="urn:microsoft.com/office/officeart/2005/8/layout/hierarchy3"/>
    <dgm:cxn modelId="{6569A5A2-3D17-4FE0-B741-D89EF119190A}" type="presOf" srcId="{820ED094-F21D-49E9-A380-B54FBF69564A}" destId="{97939319-6D7C-4C1C-B66C-54A3070C99E3}" srcOrd="0" destOrd="0" presId="urn:microsoft.com/office/officeart/2005/8/layout/hierarchy3"/>
    <dgm:cxn modelId="{A1076D64-9A5D-42F6-9A96-340D06FE2555}" srcId="{6E42E840-CBFA-4570-8212-1AFB2E385DE6}" destId="{69833DD9-9286-456D-AAE5-4B51DAFB0CF0}" srcOrd="1" destOrd="0" parTransId="{790E6F06-6B16-447C-AE53-B212D2BE0500}" sibTransId="{28E5753C-F198-4573-89BA-7465B565621F}"/>
    <dgm:cxn modelId="{0C5D0C7B-123D-45EE-BDA7-75D3DB3DDF91}" type="presOf" srcId="{EF679733-38ED-4D7F-8BF5-60BBEAB64B15}" destId="{F6CCD357-155B-4AB8-84F1-003FC804D2B5}" srcOrd="0" destOrd="0" presId="urn:microsoft.com/office/officeart/2005/8/layout/hierarchy3"/>
    <dgm:cxn modelId="{56CC67AB-C7F6-409D-B896-8525ECB6D799}" srcId="{93D72858-194C-4222-8CD5-269E37E674EF}" destId="{2408223E-573A-4281-991A-296B348D74A9}" srcOrd="1" destOrd="0" parTransId="{0D21DD36-0F4E-41E8-B933-1DEC950DCA4B}" sibTransId="{175443C0-5C73-45B2-AE18-AF1316C337D3}"/>
    <dgm:cxn modelId="{D0AF58E3-4FAF-4E01-B8DB-BA48650F88ED}" srcId="{F83DB59B-2223-4C35-943B-5ABF21186ED5}" destId="{6FFB5A66-D841-4C9F-BDF7-3912B838D72E}" srcOrd="2" destOrd="0" parTransId="{0BB50A3E-ACE8-44AE-92D1-3C6E0F22E524}" sibTransId="{50826496-62BC-4E59-8F39-0B78219E3B89}"/>
    <dgm:cxn modelId="{DA187666-47D0-41C9-8FF6-22C8D3953E22}" srcId="{65FAC0D0-3496-4338-A84E-065EA30C5B56}" destId="{B29228D4-3901-4E1A-BD6E-1875C18FF8B3}" srcOrd="0" destOrd="0" parTransId="{8C29983A-F320-4F61-A1B7-B7D8A7E52145}" sibTransId="{17DCAF7A-FAC1-4B7E-A1CF-00D269D06482}"/>
    <dgm:cxn modelId="{E01D9B95-CA41-47E9-80B4-A92FD289901C}" srcId="{65FAC0D0-3496-4338-A84E-065EA30C5B56}" destId="{A7A4796B-0136-4542-BE25-C66828D6C5BA}" srcOrd="3" destOrd="0" parTransId="{CD17F6C6-A483-480D-AAA5-1E4067DD7DEE}" sibTransId="{E48F51A0-8762-476F-A8E3-04B80597488F}"/>
    <dgm:cxn modelId="{CDFE9E50-6D96-4F07-BC7F-780696CE0AE0}" type="presOf" srcId="{509E468B-39EE-440D-B0F2-4144600BBD4F}" destId="{1BC855D3-8C10-4253-854A-C1995CBB9E98}" srcOrd="0" destOrd="0" presId="urn:microsoft.com/office/officeart/2005/8/layout/hierarchy3"/>
    <dgm:cxn modelId="{B45CD89E-123F-4248-9E1A-C1A51B0235E6}" type="presOf" srcId="{531EE406-C0D4-45A7-831F-B0780285F226}" destId="{2FE80EA6-A281-4D8C-BD3F-0145FAE34C58}" srcOrd="0" destOrd="0" presId="urn:microsoft.com/office/officeart/2005/8/layout/hierarchy3"/>
    <dgm:cxn modelId="{F822E217-D0CB-4162-81EB-DF8DDA03652E}" srcId="{93D72858-194C-4222-8CD5-269E37E674EF}" destId="{65FAC0D0-3496-4338-A84E-065EA30C5B56}" srcOrd="3" destOrd="0" parTransId="{86CECF78-92E8-4FF4-BFF8-91C33E36A6EB}" sibTransId="{64E4DCE3-5672-4B2A-B25C-D74B8A565BB6}"/>
    <dgm:cxn modelId="{771D48DE-8383-452F-A53F-785657F3949B}" type="presOf" srcId="{6FFB5A66-D841-4C9F-BDF7-3912B838D72E}" destId="{24A71A95-094C-43B5-A1F2-FDDFD2C5FE10}" srcOrd="0" destOrd="0" presId="urn:microsoft.com/office/officeart/2005/8/layout/hierarchy3"/>
    <dgm:cxn modelId="{2A1DAA37-B65F-4250-B8CD-AEC21B21B156}" type="presOf" srcId="{65FAC0D0-3496-4338-A84E-065EA30C5B56}" destId="{EF300E7A-BA2A-408E-B961-293C678BDF48}" srcOrd="1" destOrd="0" presId="urn:microsoft.com/office/officeart/2005/8/layout/hierarchy3"/>
    <dgm:cxn modelId="{82D5F52C-DA0A-42AF-9A98-33FEFCB4D84C}" type="presOf" srcId="{C530C12C-7311-45FF-9557-476AFB016B3D}" destId="{4BC19D7D-3005-47A9-B9EA-7C5595E0DFA5}" srcOrd="0" destOrd="0" presId="urn:microsoft.com/office/officeart/2005/8/layout/hierarchy3"/>
    <dgm:cxn modelId="{D1E43DFD-D44B-402B-B01B-D9CA4C60F25E}" type="presOf" srcId="{A28D4586-5010-485B-B55A-938E9B77F607}" destId="{562F9BAF-5864-4AFB-91C5-92CE467F1C4A}" srcOrd="0" destOrd="0" presId="urn:microsoft.com/office/officeart/2005/8/layout/hierarchy3"/>
    <dgm:cxn modelId="{A0F58BF3-491C-4339-96E4-E8346A44EA12}" type="presOf" srcId="{0BB50A3E-ACE8-44AE-92D1-3C6E0F22E524}" destId="{1919C0B8-28D7-412C-A8F7-141304A3C4F3}" srcOrd="0" destOrd="0" presId="urn:microsoft.com/office/officeart/2005/8/layout/hierarchy3"/>
    <dgm:cxn modelId="{F977B4AB-4507-4D31-A26F-EAF2D46F17F6}" type="presOf" srcId="{709BB49A-5B08-41D9-96E3-8B1F74D6A849}" destId="{6C30662F-6A9C-4212-9245-D0ECC8F819E5}" srcOrd="0" destOrd="0" presId="urn:microsoft.com/office/officeart/2005/8/layout/hierarchy3"/>
    <dgm:cxn modelId="{998CF376-C461-4B28-8B9C-DE7956776148}" type="presOf" srcId="{9259B3C6-C7E1-4D45-A2D2-36861632B599}" destId="{9FA2F4E5-BF44-4BEB-9FC8-C0E6AB0056D8}" srcOrd="0" destOrd="0" presId="urn:microsoft.com/office/officeart/2005/8/layout/hierarchy3"/>
    <dgm:cxn modelId="{B0BF1241-65A0-44FD-A3DA-BD7EE2AAA8FD}" type="presOf" srcId="{8C29983A-F320-4F61-A1B7-B7D8A7E52145}" destId="{3289BF65-329F-4E20-8FD4-48C379A02607}" srcOrd="0" destOrd="0" presId="urn:microsoft.com/office/officeart/2005/8/layout/hierarchy3"/>
    <dgm:cxn modelId="{086FB8E6-CC36-41B7-82FC-F0D85888E793}" type="presOf" srcId="{932BE25A-BB76-4F16-9762-E3C0561252BE}" destId="{6D5D6089-7E35-48C0-B5E1-8A2895E61D55}" srcOrd="0" destOrd="0" presId="urn:microsoft.com/office/officeart/2005/8/layout/hierarchy3"/>
    <dgm:cxn modelId="{1BC49C2C-9B56-4A1E-A605-18BB66D93AFF}" type="presOf" srcId="{B29228D4-3901-4E1A-BD6E-1875C18FF8B3}" destId="{B371E8E8-5BE8-46AD-B1C5-5874ABC42EF9}" srcOrd="0" destOrd="0" presId="urn:microsoft.com/office/officeart/2005/8/layout/hierarchy3"/>
    <dgm:cxn modelId="{7DB68E9C-D1E8-46BD-8E9B-5BE7ED1A3203}" type="presOf" srcId="{69833DD9-9286-456D-AAE5-4B51DAFB0CF0}" destId="{7C53913C-1A15-49C9-8D5D-2C8A9BB32BDB}" srcOrd="0" destOrd="0" presId="urn:microsoft.com/office/officeart/2005/8/layout/hierarchy3"/>
    <dgm:cxn modelId="{4D18C487-DBED-4026-80A0-3CABE947D784}" type="presOf" srcId="{3725724C-E722-4250-9C82-25A305C2EF4C}" destId="{6BB78529-38C2-4CDD-8DA1-EF5199C3B25F}" srcOrd="0" destOrd="0" presId="urn:microsoft.com/office/officeart/2005/8/layout/hierarchy3"/>
    <dgm:cxn modelId="{7CC7AEF8-106E-4D9D-A320-75B3F34114AE}" type="presOf" srcId="{0F04CC5A-7470-41CE-8547-960410E333A9}" destId="{A580A8D8-C943-499E-A5FD-7AADEC51F020}" srcOrd="0" destOrd="0" presId="urn:microsoft.com/office/officeart/2005/8/layout/hierarchy3"/>
    <dgm:cxn modelId="{26EB8492-7647-4050-BE85-A35FB7043CAE}" srcId="{6E42E840-CBFA-4570-8212-1AFB2E385DE6}" destId="{15CF10D7-A061-493B-B6E1-F0F3BB13FA6E}" srcOrd="3" destOrd="0" parTransId="{508F95DB-1A73-4742-8B88-A347E961D0C2}" sibTransId="{94CCAEA8-16DB-448B-9CAF-A298A533F912}"/>
    <dgm:cxn modelId="{7CB44646-03A4-4CD6-9F4B-A2E50E455259}" srcId="{6E42E840-CBFA-4570-8212-1AFB2E385DE6}" destId="{EF679733-38ED-4D7F-8BF5-60BBEAB64B15}" srcOrd="2" destOrd="0" parTransId="{443F5487-9831-4139-9EE7-6A3FA13FAA89}" sibTransId="{340D7C46-5EE8-4CCF-9AE6-52E995485A56}"/>
    <dgm:cxn modelId="{5BDEA7C7-B4F9-4A3B-A514-27D1622BC3D2}" type="presOf" srcId="{94480267-4322-44D7-807B-42798A286565}" destId="{443CE1EB-1D7C-41D5-9B41-5160C89D6B1C}" srcOrd="0" destOrd="0" presId="urn:microsoft.com/office/officeart/2005/8/layout/hierarchy3"/>
    <dgm:cxn modelId="{7BB7C18B-5A62-4BBD-BA37-814F53BEB6C7}" srcId="{6E42E840-CBFA-4570-8212-1AFB2E385DE6}" destId="{C530C12C-7311-45FF-9557-476AFB016B3D}" srcOrd="5" destOrd="0" parTransId="{5C523A0C-0C1D-4AE2-B00A-8353DBAF2C51}" sibTransId="{DC8D39FC-F30E-4344-A020-8576065FBDB6}"/>
    <dgm:cxn modelId="{BA30F20C-8D51-41FB-B462-DA2BC6CD1AF4}" srcId="{2408223E-573A-4281-991A-296B348D74A9}" destId="{9EC4677E-8B90-4A7D-AEE7-527A246DD8F4}" srcOrd="0" destOrd="0" parTransId="{AF6B99ED-6B15-4BA5-8C52-8C33F585C607}" sibTransId="{0AFABEF6-735F-4A0B-998D-2D2859C2CA2E}"/>
    <dgm:cxn modelId="{66DE940D-F339-455E-9B41-30490DD33901}" srcId="{93D72858-194C-4222-8CD5-269E37E674EF}" destId="{F83DB59B-2223-4C35-943B-5ABF21186ED5}" srcOrd="0" destOrd="0" parTransId="{341D344B-4F04-4087-92AC-58B4424C46A6}" sibTransId="{A99C8F44-A826-44D5-B807-A331DB07D82D}"/>
    <dgm:cxn modelId="{70FE5132-2CED-4938-92A5-F78FBEA12A56}" srcId="{6E42E840-CBFA-4570-8212-1AFB2E385DE6}" destId="{A28D4586-5010-485B-B55A-938E9B77F607}" srcOrd="4" destOrd="0" parTransId="{820ED094-F21D-49E9-A380-B54FBF69564A}" sibTransId="{413301DF-E593-4259-BC90-8AA7416A1657}"/>
    <dgm:cxn modelId="{38270417-238B-40D1-964D-90AC3538A865}" type="presOf" srcId="{AF6B99ED-6B15-4BA5-8C52-8C33F585C607}" destId="{59F4EA6D-2012-4CA8-BCC7-482AC9463CBB}" srcOrd="0" destOrd="0" presId="urn:microsoft.com/office/officeart/2005/8/layout/hierarchy3"/>
    <dgm:cxn modelId="{FB655749-C410-40C5-90F5-E1EC187E0A7F}" type="presOf" srcId="{93D72858-194C-4222-8CD5-269E37E674EF}" destId="{39902A63-8300-4840-A1E5-7CB3377A2130}" srcOrd="0" destOrd="0" presId="urn:microsoft.com/office/officeart/2005/8/layout/hierarchy3"/>
    <dgm:cxn modelId="{509BDA47-38AF-4E1B-9402-D5A58D455E9F}" type="presOf" srcId="{CD17F6C6-A483-480D-AAA5-1E4067DD7DEE}" destId="{012AE546-2EE7-4495-8131-B59730EE9F91}" srcOrd="0" destOrd="0" presId="urn:microsoft.com/office/officeart/2005/8/layout/hierarchy3"/>
    <dgm:cxn modelId="{244D4958-552A-419E-A124-3AB1A965C8D0}" type="presOf" srcId="{AB64B8E7-A3D3-41E2-9BA9-026112B3F43F}" destId="{7C636446-327D-45EA-8DCB-2D35AD3543B8}" srcOrd="0" destOrd="0" presId="urn:microsoft.com/office/officeart/2005/8/layout/hierarchy3"/>
    <dgm:cxn modelId="{547C16F7-09DA-4D48-9768-033F8C4CAF26}" srcId="{93D72858-194C-4222-8CD5-269E37E674EF}" destId="{6E42E840-CBFA-4570-8212-1AFB2E385DE6}" srcOrd="2" destOrd="0" parTransId="{92B59FCF-D299-4C7B-8F6D-45C53413513B}" sibTransId="{FBC55408-40B3-4553-9C8A-D39A7FFE2D84}"/>
    <dgm:cxn modelId="{68A791C2-AB81-4F45-9FCC-A27FD4A3FC65}" srcId="{F83DB59B-2223-4C35-943B-5ABF21186ED5}" destId="{0337FFD1-7A8F-48B2-8DEA-6D06E69A9A34}" srcOrd="3" destOrd="0" parTransId="{932BE25A-BB76-4F16-9762-E3C0561252BE}" sibTransId="{9936D718-35BE-4FC3-8A49-3B4455F858F4}"/>
    <dgm:cxn modelId="{583CD849-5D21-4F14-9DE9-AE30394D8713}" srcId="{65FAC0D0-3496-4338-A84E-065EA30C5B56}" destId="{9259B3C6-C7E1-4D45-A2D2-36861632B599}" srcOrd="7" destOrd="0" parTransId="{66F33F1A-2495-42AB-8BCF-180E51420039}" sibTransId="{BCA34BC6-5A6C-4C65-9323-DE281A32086C}"/>
    <dgm:cxn modelId="{6BF271CE-1CB4-4618-A0BD-1EC466BE234C}" srcId="{6E42E840-CBFA-4570-8212-1AFB2E385DE6}" destId="{531EE406-C0D4-45A7-831F-B0780285F226}" srcOrd="0" destOrd="0" parTransId="{1DE872CD-372B-4339-A129-B88B0C44C081}" sibTransId="{74FF05D3-87F9-4F29-ABFA-96BC4D3FBF20}"/>
    <dgm:cxn modelId="{BB2B7790-A3B9-4135-A10A-209EF7FEAC0D}" type="presOf" srcId="{EB10629F-422A-46A9-8A93-3760A7912321}" destId="{D28E84AE-B8E0-48A1-9E9C-CA1A75B382B2}" srcOrd="0" destOrd="0" presId="urn:microsoft.com/office/officeart/2005/8/layout/hierarchy3"/>
    <dgm:cxn modelId="{C81E3CC4-837F-4C96-8D32-2C191D5DA682}" type="presOf" srcId="{EB71A52E-C570-43AE-922C-2814B4EDEBD6}" destId="{8FA47F50-508D-4D05-88F1-ED9809BF9E01}" srcOrd="0" destOrd="0" presId="urn:microsoft.com/office/officeart/2005/8/layout/hierarchy3"/>
    <dgm:cxn modelId="{F3109FF8-5D88-4482-A6DC-14D1C6F4801A}" type="presOf" srcId="{6E42E840-CBFA-4570-8212-1AFB2E385DE6}" destId="{7EA4981E-D35F-4775-B251-A1CFC2F83130}" srcOrd="1" destOrd="0" presId="urn:microsoft.com/office/officeart/2005/8/layout/hierarchy3"/>
    <dgm:cxn modelId="{23531353-5419-40DF-AFAE-47D309BB8ED8}" type="presOf" srcId="{2408223E-573A-4281-991A-296B348D74A9}" destId="{97ECBF71-40F3-4DF6-88B1-DD49ADBEE394}" srcOrd="1" destOrd="0" presId="urn:microsoft.com/office/officeart/2005/8/layout/hierarchy3"/>
    <dgm:cxn modelId="{3FEFD583-1A2E-4A48-875E-EFF2A13212B7}" type="presOf" srcId="{5C523A0C-0C1D-4AE2-B00A-8353DBAF2C51}" destId="{C7001B5C-4B6B-48A0-9790-4ADE735D26BB}" srcOrd="0" destOrd="0" presId="urn:microsoft.com/office/officeart/2005/8/layout/hierarchy3"/>
    <dgm:cxn modelId="{4F2DE1AD-4175-4C21-A359-8DCFDA59E073}" type="presOf" srcId="{65E8A07A-9CDF-47B3-AD23-6D44C891E73E}" destId="{7F3BFC2B-ED5E-4718-876B-935F471782EB}" srcOrd="0" destOrd="0" presId="urn:microsoft.com/office/officeart/2005/8/layout/hierarchy3"/>
    <dgm:cxn modelId="{7CB3DA81-0CF8-4654-AFC0-6D519C3B319D}" type="presOf" srcId="{9EC4677E-8B90-4A7D-AEE7-527A246DD8F4}" destId="{AB787B6C-1E83-432F-9B59-2CC5F836231A}" srcOrd="0" destOrd="0" presId="urn:microsoft.com/office/officeart/2005/8/layout/hierarchy3"/>
    <dgm:cxn modelId="{2DD853D1-F2C8-4AB8-A7E0-3741B781FE91}" type="presOf" srcId="{F83DB59B-2223-4C35-943B-5ABF21186ED5}" destId="{A72EE474-F2C9-4308-AE9E-4A4A97E2F543}" srcOrd="0" destOrd="0" presId="urn:microsoft.com/office/officeart/2005/8/layout/hierarchy3"/>
    <dgm:cxn modelId="{AC3139D6-49A7-4B54-91FB-52766CC07FB7}" type="presOf" srcId="{672E01BF-9D60-415A-AB5D-A26EE2136538}" destId="{2D51C480-0477-4C9F-BBEA-86131B63038E}" srcOrd="0" destOrd="0" presId="urn:microsoft.com/office/officeart/2005/8/layout/hierarchy3"/>
    <dgm:cxn modelId="{7628F0F0-A6EE-464E-BCCC-CED57AE51344}" type="presOf" srcId="{65FAC0D0-3496-4338-A84E-065EA30C5B56}" destId="{EC588C09-45FD-4D6C-A285-0AAC9C0EC2E3}" srcOrd="0" destOrd="0" presId="urn:microsoft.com/office/officeart/2005/8/layout/hierarchy3"/>
    <dgm:cxn modelId="{1A767EF2-919C-42C9-9970-ADFBF56441F7}" type="presOf" srcId="{F83DB59B-2223-4C35-943B-5ABF21186ED5}" destId="{906539FA-F988-41AD-B57F-B4D15EEEA44E}" srcOrd="1" destOrd="0" presId="urn:microsoft.com/office/officeart/2005/8/layout/hierarchy3"/>
    <dgm:cxn modelId="{5B6334CC-3C80-496B-B7C9-B875FDE46552}" type="presOf" srcId="{C1E0F24A-5EC4-42BA-A38F-49B5D12B7E04}" destId="{7D152A10-4CB1-474E-BF70-D4B6363B9F14}" srcOrd="0" destOrd="0" presId="urn:microsoft.com/office/officeart/2005/8/layout/hierarchy3"/>
    <dgm:cxn modelId="{C4B0B078-9E43-45D6-BA5C-63ECD549EA84}" type="presOf" srcId="{964DB72C-F2A2-479E-B70D-975BC9EA3858}" destId="{4FD5630D-F5E2-452F-BC34-7FDB8CFDFD0F}" srcOrd="0" destOrd="0" presId="urn:microsoft.com/office/officeart/2005/8/layout/hierarchy3"/>
    <dgm:cxn modelId="{6EA3275B-17FE-4DB0-8902-7236695212C4}" type="presOf" srcId="{443F5487-9831-4139-9EE7-6A3FA13FAA89}" destId="{88DF206B-1A41-4B31-8C04-30E80E790A87}" srcOrd="0" destOrd="0" presId="urn:microsoft.com/office/officeart/2005/8/layout/hierarchy3"/>
    <dgm:cxn modelId="{88A8F737-A513-46DB-8DDD-DA2D3CF8ACCA}" type="presOf" srcId="{2408223E-573A-4281-991A-296B348D74A9}" destId="{63EA51FE-87EE-4254-8E3E-527CB4C515F1}" srcOrd="0" destOrd="0" presId="urn:microsoft.com/office/officeart/2005/8/layout/hierarchy3"/>
    <dgm:cxn modelId="{09E4E53C-3DCF-419E-A5F7-7840C726E2E2}" type="presOf" srcId="{790E6F06-6B16-447C-AE53-B212D2BE0500}" destId="{F2AE9CB7-3B21-46BF-B2AF-3A5D5D62A8DE}" srcOrd="0" destOrd="0" presId="urn:microsoft.com/office/officeart/2005/8/layout/hierarchy3"/>
    <dgm:cxn modelId="{94BB724E-6153-4B0F-95A9-CC90F7079EE6}" type="presOf" srcId="{DC778F4A-6A22-480B-BF17-7D8E7C97B25B}" destId="{722786FE-D23A-4045-BF5C-66CF6D17642C}" srcOrd="0" destOrd="0" presId="urn:microsoft.com/office/officeart/2005/8/layout/hierarchy3"/>
    <dgm:cxn modelId="{333EAB1F-26DC-4095-BAFA-A19E9C48313A}" type="presOf" srcId="{66F33F1A-2495-42AB-8BCF-180E51420039}" destId="{81A19B44-C284-40E5-9BB0-00B42A0F0A62}" srcOrd="0" destOrd="0" presId="urn:microsoft.com/office/officeart/2005/8/layout/hierarchy3"/>
    <dgm:cxn modelId="{49FF9D51-A011-4643-BAB2-670002D095F3}" type="presOf" srcId="{3DEEDAF1-1DF7-4443-A717-8FC84BF3CC0D}" destId="{DACCEA78-5525-40E7-8F6F-9183458E18FA}" srcOrd="0" destOrd="0" presId="urn:microsoft.com/office/officeart/2005/8/layout/hierarchy3"/>
    <dgm:cxn modelId="{0690FFBA-D5BB-4B57-B47F-1B732FC010FE}" type="presParOf" srcId="{39902A63-8300-4840-A1E5-7CB3377A2130}" destId="{6517BDC4-2B18-4E6E-8626-D8ACEB4D1543}" srcOrd="0" destOrd="0" presId="urn:microsoft.com/office/officeart/2005/8/layout/hierarchy3"/>
    <dgm:cxn modelId="{8ACFF7E7-8737-490E-A987-AD2E8081578C}" type="presParOf" srcId="{6517BDC4-2B18-4E6E-8626-D8ACEB4D1543}" destId="{CBBB949B-38EB-406A-A5AC-C0D790AF9ED3}" srcOrd="0" destOrd="0" presId="urn:microsoft.com/office/officeart/2005/8/layout/hierarchy3"/>
    <dgm:cxn modelId="{39528BC0-CCB4-4568-BC12-3ED2016392AA}" type="presParOf" srcId="{CBBB949B-38EB-406A-A5AC-C0D790AF9ED3}" destId="{A72EE474-F2C9-4308-AE9E-4A4A97E2F543}" srcOrd="0" destOrd="0" presId="urn:microsoft.com/office/officeart/2005/8/layout/hierarchy3"/>
    <dgm:cxn modelId="{0589DB69-8E81-42D7-B286-B6814610CE9E}" type="presParOf" srcId="{CBBB949B-38EB-406A-A5AC-C0D790AF9ED3}" destId="{906539FA-F988-41AD-B57F-B4D15EEEA44E}" srcOrd="1" destOrd="0" presId="urn:microsoft.com/office/officeart/2005/8/layout/hierarchy3"/>
    <dgm:cxn modelId="{9AD06174-6EEA-405F-983C-22AC05FFE923}" type="presParOf" srcId="{6517BDC4-2B18-4E6E-8626-D8ACEB4D1543}" destId="{DC892DCA-5704-48CF-BC8F-0F6B7D0DE67D}" srcOrd="1" destOrd="0" presId="urn:microsoft.com/office/officeart/2005/8/layout/hierarchy3"/>
    <dgm:cxn modelId="{FB59CC77-E8FE-4174-8F76-8C30DDE4559D}" type="presParOf" srcId="{DC892DCA-5704-48CF-BC8F-0F6B7D0DE67D}" destId="{814DE38B-C6F7-4A55-AABC-D92EA00D32CE}" srcOrd="0" destOrd="0" presId="urn:microsoft.com/office/officeart/2005/8/layout/hierarchy3"/>
    <dgm:cxn modelId="{A2FFBCFB-A779-4E67-BA33-03635DC451C2}" type="presParOf" srcId="{DC892DCA-5704-48CF-BC8F-0F6B7D0DE67D}" destId="{722786FE-D23A-4045-BF5C-66CF6D17642C}" srcOrd="1" destOrd="0" presId="urn:microsoft.com/office/officeart/2005/8/layout/hierarchy3"/>
    <dgm:cxn modelId="{1025E431-BA92-4A00-B2AD-F60924B228E1}" type="presParOf" srcId="{DC892DCA-5704-48CF-BC8F-0F6B7D0DE67D}" destId="{6BB78529-38C2-4CDD-8DA1-EF5199C3B25F}" srcOrd="2" destOrd="0" presId="urn:microsoft.com/office/officeart/2005/8/layout/hierarchy3"/>
    <dgm:cxn modelId="{EB155530-2845-4369-A867-6248C0442064}" type="presParOf" srcId="{DC892DCA-5704-48CF-BC8F-0F6B7D0DE67D}" destId="{7D152A10-4CB1-474E-BF70-D4B6363B9F14}" srcOrd="3" destOrd="0" presId="urn:microsoft.com/office/officeart/2005/8/layout/hierarchy3"/>
    <dgm:cxn modelId="{8B800FEA-33E5-47C6-9395-496F04F945E5}" type="presParOf" srcId="{DC892DCA-5704-48CF-BC8F-0F6B7D0DE67D}" destId="{1919C0B8-28D7-412C-A8F7-141304A3C4F3}" srcOrd="4" destOrd="0" presId="urn:microsoft.com/office/officeart/2005/8/layout/hierarchy3"/>
    <dgm:cxn modelId="{D16A6203-1C88-493A-B778-D4B3D4DCA7CD}" type="presParOf" srcId="{DC892DCA-5704-48CF-BC8F-0F6B7D0DE67D}" destId="{24A71A95-094C-43B5-A1F2-FDDFD2C5FE10}" srcOrd="5" destOrd="0" presId="urn:microsoft.com/office/officeart/2005/8/layout/hierarchy3"/>
    <dgm:cxn modelId="{B5EB9DF5-C209-477B-9F51-BCACFCF87723}" type="presParOf" srcId="{DC892DCA-5704-48CF-BC8F-0F6B7D0DE67D}" destId="{6D5D6089-7E35-48C0-B5E1-8A2895E61D55}" srcOrd="6" destOrd="0" presId="urn:microsoft.com/office/officeart/2005/8/layout/hierarchy3"/>
    <dgm:cxn modelId="{98F89692-1ED2-4589-9D6E-3DD6B898E398}" type="presParOf" srcId="{DC892DCA-5704-48CF-BC8F-0F6B7D0DE67D}" destId="{AD147C18-F798-4F5B-BFC3-A07FC6961177}" srcOrd="7" destOrd="0" presId="urn:microsoft.com/office/officeart/2005/8/layout/hierarchy3"/>
    <dgm:cxn modelId="{DC9A6ACA-ED2C-4C1D-8A04-D0B4F29A9EC2}" type="presParOf" srcId="{39902A63-8300-4840-A1E5-7CB3377A2130}" destId="{9174A61A-8F63-4715-8EB1-B76757F1B7B0}" srcOrd="1" destOrd="0" presId="urn:microsoft.com/office/officeart/2005/8/layout/hierarchy3"/>
    <dgm:cxn modelId="{22CB1AC4-F1FB-4CD1-8B2B-276467A15998}" type="presParOf" srcId="{9174A61A-8F63-4715-8EB1-B76757F1B7B0}" destId="{19BF5C6A-15C8-4732-AC15-F97BFA7290E5}" srcOrd="0" destOrd="0" presId="urn:microsoft.com/office/officeart/2005/8/layout/hierarchy3"/>
    <dgm:cxn modelId="{CF322CDB-DFF6-4D9B-9580-E40A8234CC75}" type="presParOf" srcId="{19BF5C6A-15C8-4732-AC15-F97BFA7290E5}" destId="{63EA51FE-87EE-4254-8E3E-527CB4C515F1}" srcOrd="0" destOrd="0" presId="urn:microsoft.com/office/officeart/2005/8/layout/hierarchy3"/>
    <dgm:cxn modelId="{A45B8726-AA4F-40C5-B7DA-775E69EFF52A}" type="presParOf" srcId="{19BF5C6A-15C8-4732-AC15-F97BFA7290E5}" destId="{97ECBF71-40F3-4DF6-88B1-DD49ADBEE394}" srcOrd="1" destOrd="0" presId="urn:microsoft.com/office/officeart/2005/8/layout/hierarchy3"/>
    <dgm:cxn modelId="{C0C49031-4ACA-469A-8DFE-EDE5F50F325E}" type="presParOf" srcId="{9174A61A-8F63-4715-8EB1-B76757F1B7B0}" destId="{6C89B917-82FD-40DE-BAB2-37D419D96336}" srcOrd="1" destOrd="0" presId="urn:microsoft.com/office/officeart/2005/8/layout/hierarchy3"/>
    <dgm:cxn modelId="{AC627ED9-DD74-4A62-A227-C300E6737934}" type="presParOf" srcId="{6C89B917-82FD-40DE-BAB2-37D419D96336}" destId="{59F4EA6D-2012-4CA8-BCC7-482AC9463CBB}" srcOrd="0" destOrd="0" presId="urn:microsoft.com/office/officeart/2005/8/layout/hierarchy3"/>
    <dgm:cxn modelId="{1AD6031C-7C8B-414E-BB18-93F656812E5D}" type="presParOf" srcId="{6C89B917-82FD-40DE-BAB2-37D419D96336}" destId="{AB787B6C-1E83-432F-9B59-2CC5F836231A}" srcOrd="1" destOrd="0" presId="urn:microsoft.com/office/officeart/2005/8/layout/hierarchy3"/>
    <dgm:cxn modelId="{E2744636-F39C-4041-8CE4-50FFD0DDD117}" type="presParOf" srcId="{6C89B917-82FD-40DE-BAB2-37D419D96336}" destId="{7F3BFC2B-ED5E-4718-876B-935F471782EB}" srcOrd="2" destOrd="0" presId="urn:microsoft.com/office/officeart/2005/8/layout/hierarchy3"/>
    <dgm:cxn modelId="{2ED5254E-05E8-4821-98C7-1CE8F956DA1B}" type="presParOf" srcId="{6C89B917-82FD-40DE-BAB2-37D419D96336}" destId="{6C30662F-6A9C-4212-9245-D0ECC8F819E5}" srcOrd="3" destOrd="0" presId="urn:microsoft.com/office/officeart/2005/8/layout/hierarchy3"/>
    <dgm:cxn modelId="{DA5D4F08-1BFB-4A27-B3A3-17C66B5A8820}" type="presParOf" srcId="{6C89B917-82FD-40DE-BAB2-37D419D96336}" destId="{4FD5630D-F5E2-452F-BC34-7FDB8CFDFD0F}" srcOrd="4" destOrd="0" presId="urn:microsoft.com/office/officeart/2005/8/layout/hierarchy3"/>
    <dgm:cxn modelId="{2EADA48E-8D22-43EF-A9B8-CFE3CA5D6F85}" type="presParOf" srcId="{6C89B917-82FD-40DE-BAB2-37D419D96336}" destId="{6C9BAA68-C804-4F54-87F3-0DF3A264C3F5}" srcOrd="5" destOrd="0" presId="urn:microsoft.com/office/officeart/2005/8/layout/hierarchy3"/>
    <dgm:cxn modelId="{0C65793E-63AF-4241-A63B-2F199122C6C7}" type="presParOf" srcId="{39902A63-8300-4840-A1E5-7CB3377A2130}" destId="{A3D55676-AE70-4A37-8670-DCCD403BCE13}" srcOrd="2" destOrd="0" presId="urn:microsoft.com/office/officeart/2005/8/layout/hierarchy3"/>
    <dgm:cxn modelId="{BCDC4E8D-593E-4F4A-BEE9-024CC7A45F5C}" type="presParOf" srcId="{A3D55676-AE70-4A37-8670-DCCD403BCE13}" destId="{3D25567D-E1E2-448F-BBE6-3FBC3A37DD8C}" srcOrd="0" destOrd="0" presId="urn:microsoft.com/office/officeart/2005/8/layout/hierarchy3"/>
    <dgm:cxn modelId="{CB24AD05-35F8-4A84-8A29-783D1CF5B4E2}" type="presParOf" srcId="{3D25567D-E1E2-448F-BBE6-3FBC3A37DD8C}" destId="{487CF62F-FDAC-4258-AFF1-F851E22C79B7}" srcOrd="0" destOrd="0" presId="urn:microsoft.com/office/officeart/2005/8/layout/hierarchy3"/>
    <dgm:cxn modelId="{CA0C2D08-FE6A-4EC5-A37C-0A97CF0925CA}" type="presParOf" srcId="{3D25567D-E1E2-448F-BBE6-3FBC3A37DD8C}" destId="{7EA4981E-D35F-4775-B251-A1CFC2F83130}" srcOrd="1" destOrd="0" presId="urn:microsoft.com/office/officeart/2005/8/layout/hierarchy3"/>
    <dgm:cxn modelId="{EFBF063B-441B-48CC-95A5-7BCF5C7E80C0}" type="presParOf" srcId="{A3D55676-AE70-4A37-8670-DCCD403BCE13}" destId="{2F8BEA0B-FE27-4588-A127-A91614B3BFFA}" srcOrd="1" destOrd="0" presId="urn:microsoft.com/office/officeart/2005/8/layout/hierarchy3"/>
    <dgm:cxn modelId="{367CDF63-9F29-4242-92C8-0B5141DCB128}" type="presParOf" srcId="{2F8BEA0B-FE27-4588-A127-A91614B3BFFA}" destId="{3FCCC2C5-E651-43B8-83F2-1425F485B02F}" srcOrd="0" destOrd="0" presId="urn:microsoft.com/office/officeart/2005/8/layout/hierarchy3"/>
    <dgm:cxn modelId="{1E11D0B6-52D3-40AE-BFFE-E35714FDC6BD}" type="presParOf" srcId="{2F8BEA0B-FE27-4588-A127-A91614B3BFFA}" destId="{2FE80EA6-A281-4D8C-BD3F-0145FAE34C58}" srcOrd="1" destOrd="0" presId="urn:microsoft.com/office/officeart/2005/8/layout/hierarchy3"/>
    <dgm:cxn modelId="{4E2ACF0A-7022-47BD-A403-DBA79507426E}" type="presParOf" srcId="{2F8BEA0B-FE27-4588-A127-A91614B3BFFA}" destId="{F2AE9CB7-3B21-46BF-B2AF-3A5D5D62A8DE}" srcOrd="2" destOrd="0" presId="urn:microsoft.com/office/officeart/2005/8/layout/hierarchy3"/>
    <dgm:cxn modelId="{01922E16-606E-4865-B388-A5960E7B3C9F}" type="presParOf" srcId="{2F8BEA0B-FE27-4588-A127-A91614B3BFFA}" destId="{7C53913C-1A15-49C9-8D5D-2C8A9BB32BDB}" srcOrd="3" destOrd="0" presId="urn:microsoft.com/office/officeart/2005/8/layout/hierarchy3"/>
    <dgm:cxn modelId="{2C5952A2-0A31-46C7-AC74-BC2DC3AB2FD7}" type="presParOf" srcId="{2F8BEA0B-FE27-4588-A127-A91614B3BFFA}" destId="{88DF206B-1A41-4B31-8C04-30E80E790A87}" srcOrd="4" destOrd="0" presId="urn:microsoft.com/office/officeart/2005/8/layout/hierarchy3"/>
    <dgm:cxn modelId="{9EF99A36-4FDC-484D-A5E4-86B76A0DE082}" type="presParOf" srcId="{2F8BEA0B-FE27-4588-A127-A91614B3BFFA}" destId="{F6CCD357-155B-4AB8-84F1-003FC804D2B5}" srcOrd="5" destOrd="0" presId="urn:microsoft.com/office/officeart/2005/8/layout/hierarchy3"/>
    <dgm:cxn modelId="{6697E058-5D92-46C2-B346-CD5605FCECFA}" type="presParOf" srcId="{2F8BEA0B-FE27-4588-A127-A91614B3BFFA}" destId="{9D2B6187-EDD7-4EE4-BD62-746205D9A467}" srcOrd="6" destOrd="0" presId="urn:microsoft.com/office/officeart/2005/8/layout/hierarchy3"/>
    <dgm:cxn modelId="{18737D4F-A543-47DF-9B51-391C7A317A76}" type="presParOf" srcId="{2F8BEA0B-FE27-4588-A127-A91614B3BFFA}" destId="{7DD9F9F3-B3B1-42AA-8815-98CA1F518FD3}" srcOrd="7" destOrd="0" presId="urn:microsoft.com/office/officeart/2005/8/layout/hierarchy3"/>
    <dgm:cxn modelId="{C18E32F0-4076-4D1C-9701-3957BE1B8DEE}" type="presParOf" srcId="{2F8BEA0B-FE27-4588-A127-A91614B3BFFA}" destId="{97939319-6D7C-4C1C-B66C-54A3070C99E3}" srcOrd="8" destOrd="0" presId="urn:microsoft.com/office/officeart/2005/8/layout/hierarchy3"/>
    <dgm:cxn modelId="{0E5FBD23-785E-40DF-84A7-F5D79060034E}" type="presParOf" srcId="{2F8BEA0B-FE27-4588-A127-A91614B3BFFA}" destId="{562F9BAF-5864-4AFB-91C5-92CE467F1C4A}" srcOrd="9" destOrd="0" presId="urn:microsoft.com/office/officeart/2005/8/layout/hierarchy3"/>
    <dgm:cxn modelId="{D7517380-02FB-41C3-AB89-E41484FF852B}" type="presParOf" srcId="{2F8BEA0B-FE27-4588-A127-A91614B3BFFA}" destId="{C7001B5C-4B6B-48A0-9790-4ADE735D26BB}" srcOrd="10" destOrd="0" presId="urn:microsoft.com/office/officeart/2005/8/layout/hierarchy3"/>
    <dgm:cxn modelId="{9C4E6203-B3F0-4F80-83AE-B118EB0FFB0F}" type="presParOf" srcId="{2F8BEA0B-FE27-4588-A127-A91614B3BFFA}" destId="{4BC19D7D-3005-47A9-B9EA-7C5595E0DFA5}" srcOrd="11" destOrd="0" presId="urn:microsoft.com/office/officeart/2005/8/layout/hierarchy3"/>
    <dgm:cxn modelId="{E724D361-7D70-4172-986B-81991C58BD0E}" type="presParOf" srcId="{2F8BEA0B-FE27-4588-A127-A91614B3BFFA}" destId="{285357AB-43AA-4E68-B4ED-C9F11E8F7EE8}" srcOrd="12" destOrd="0" presId="urn:microsoft.com/office/officeart/2005/8/layout/hierarchy3"/>
    <dgm:cxn modelId="{E7AC0D22-A6ED-4C34-90C9-D35ACF04DA7B}" type="presParOf" srcId="{2F8BEA0B-FE27-4588-A127-A91614B3BFFA}" destId="{1BC855D3-8C10-4253-854A-C1995CBB9E98}" srcOrd="13" destOrd="0" presId="urn:microsoft.com/office/officeart/2005/8/layout/hierarchy3"/>
    <dgm:cxn modelId="{6D7FD459-CE1C-4BA8-BB15-AA9D447CE503}" type="presParOf" srcId="{39902A63-8300-4840-A1E5-7CB3377A2130}" destId="{ABB73A72-870C-4612-8FA0-F442D2D556B3}" srcOrd="3" destOrd="0" presId="urn:microsoft.com/office/officeart/2005/8/layout/hierarchy3"/>
    <dgm:cxn modelId="{3E9C49C5-2075-447B-9675-40A192ACDCF8}" type="presParOf" srcId="{ABB73A72-870C-4612-8FA0-F442D2D556B3}" destId="{D574D51A-5EB3-4FBD-A739-CEEEB9466B49}" srcOrd="0" destOrd="0" presId="urn:microsoft.com/office/officeart/2005/8/layout/hierarchy3"/>
    <dgm:cxn modelId="{E0F9FF8B-B00C-4DBE-A08C-751CFBD914E3}" type="presParOf" srcId="{D574D51A-5EB3-4FBD-A739-CEEEB9466B49}" destId="{EC588C09-45FD-4D6C-A285-0AAC9C0EC2E3}" srcOrd="0" destOrd="0" presId="urn:microsoft.com/office/officeart/2005/8/layout/hierarchy3"/>
    <dgm:cxn modelId="{75413ADF-D053-49EF-A061-2637C1ED2B61}" type="presParOf" srcId="{D574D51A-5EB3-4FBD-A739-CEEEB9466B49}" destId="{EF300E7A-BA2A-408E-B961-293C678BDF48}" srcOrd="1" destOrd="0" presId="urn:microsoft.com/office/officeart/2005/8/layout/hierarchy3"/>
    <dgm:cxn modelId="{7E491674-9A66-4265-B8BD-C26AD065155A}" type="presParOf" srcId="{ABB73A72-870C-4612-8FA0-F442D2D556B3}" destId="{F049AD72-E5B7-4E74-A359-8B317EFC69AE}" srcOrd="1" destOrd="0" presId="urn:microsoft.com/office/officeart/2005/8/layout/hierarchy3"/>
    <dgm:cxn modelId="{5A1A0AF1-3D4F-4CBA-BC60-A49A385A23F7}" type="presParOf" srcId="{F049AD72-E5B7-4E74-A359-8B317EFC69AE}" destId="{3289BF65-329F-4E20-8FD4-48C379A02607}" srcOrd="0" destOrd="0" presId="urn:microsoft.com/office/officeart/2005/8/layout/hierarchy3"/>
    <dgm:cxn modelId="{36D6E0F9-8787-4AF1-968A-3C9A258FBF93}" type="presParOf" srcId="{F049AD72-E5B7-4E74-A359-8B317EFC69AE}" destId="{B371E8E8-5BE8-46AD-B1C5-5874ABC42EF9}" srcOrd="1" destOrd="0" presId="urn:microsoft.com/office/officeart/2005/8/layout/hierarchy3"/>
    <dgm:cxn modelId="{B587DA10-B2C8-41F3-8569-633CB335887D}" type="presParOf" srcId="{F049AD72-E5B7-4E74-A359-8B317EFC69AE}" destId="{A580A8D8-C943-499E-A5FD-7AADEC51F020}" srcOrd="2" destOrd="0" presId="urn:microsoft.com/office/officeart/2005/8/layout/hierarchy3"/>
    <dgm:cxn modelId="{BCB971F4-D377-452D-ADF1-3001E3195B9E}" type="presParOf" srcId="{F049AD72-E5B7-4E74-A359-8B317EFC69AE}" destId="{028B2A79-79E3-41AC-A353-B63B553FE606}" srcOrd="3" destOrd="0" presId="urn:microsoft.com/office/officeart/2005/8/layout/hierarchy3"/>
    <dgm:cxn modelId="{901009C2-3375-4169-9685-CA783EDF7A3D}" type="presParOf" srcId="{F049AD72-E5B7-4E74-A359-8B317EFC69AE}" destId="{8FA47F50-508D-4D05-88F1-ED9809BF9E01}" srcOrd="4" destOrd="0" presId="urn:microsoft.com/office/officeart/2005/8/layout/hierarchy3"/>
    <dgm:cxn modelId="{AF7ECEA7-46DF-4CDA-943A-F72228380138}" type="presParOf" srcId="{F049AD72-E5B7-4E74-A359-8B317EFC69AE}" destId="{2D51C480-0477-4C9F-BBEA-86131B63038E}" srcOrd="5" destOrd="0" presId="urn:microsoft.com/office/officeart/2005/8/layout/hierarchy3"/>
    <dgm:cxn modelId="{E6EFC4D8-5A60-4B63-9FEB-1A076E403A1A}" type="presParOf" srcId="{F049AD72-E5B7-4E74-A359-8B317EFC69AE}" destId="{012AE546-2EE7-4495-8131-B59730EE9F91}" srcOrd="6" destOrd="0" presId="urn:microsoft.com/office/officeart/2005/8/layout/hierarchy3"/>
    <dgm:cxn modelId="{7C18D9EE-CD8C-4B97-BBFE-06F479E3CFC2}" type="presParOf" srcId="{F049AD72-E5B7-4E74-A359-8B317EFC69AE}" destId="{8C5BB120-78D5-4937-8DFE-AE5AD214A93D}" srcOrd="7" destOrd="0" presId="urn:microsoft.com/office/officeart/2005/8/layout/hierarchy3"/>
    <dgm:cxn modelId="{4F572869-A817-4411-B974-DEB1C7FEBE10}" type="presParOf" srcId="{F049AD72-E5B7-4E74-A359-8B317EFC69AE}" destId="{B9C53591-5AEA-44DE-8898-A51744631141}" srcOrd="8" destOrd="0" presId="urn:microsoft.com/office/officeart/2005/8/layout/hierarchy3"/>
    <dgm:cxn modelId="{AC8E750F-60F9-4725-BBF8-AF8A49ED88E2}" type="presParOf" srcId="{F049AD72-E5B7-4E74-A359-8B317EFC69AE}" destId="{443CE1EB-1D7C-41D5-9B41-5160C89D6B1C}" srcOrd="9" destOrd="0" presId="urn:microsoft.com/office/officeart/2005/8/layout/hierarchy3"/>
    <dgm:cxn modelId="{FA830BF7-81DB-45C5-AC27-CF5F000315CD}" type="presParOf" srcId="{F049AD72-E5B7-4E74-A359-8B317EFC69AE}" destId="{61E5A021-8FAB-40F3-A713-C3015B069664}" srcOrd="10" destOrd="0" presId="urn:microsoft.com/office/officeart/2005/8/layout/hierarchy3"/>
    <dgm:cxn modelId="{F75CD40E-A7EB-4579-8F5E-459B02D5266F}" type="presParOf" srcId="{F049AD72-E5B7-4E74-A359-8B317EFC69AE}" destId="{DACCEA78-5525-40E7-8F6F-9183458E18FA}" srcOrd="11" destOrd="0" presId="urn:microsoft.com/office/officeart/2005/8/layout/hierarchy3"/>
    <dgm:cxn modelId="{02BAAE1E-49C6-47C0-9EF6-5130D9F401C2}" type="presParOf" srcId="{F049AD72-E5B7-4E74-A359-8B317EFC69AE}" destId="{7C636446-327D-45EA-8DCB-2D35AD3543B8}" srcOrd="12" destOrd="0" presId="urn:microsoft.com/office/officeart/2005/8/layout/hierarchy3"/>
    <dgm:cxn modelId="{7E68BDAF-D48E-4750-AD56-BE76B0987916}" type="presParOf" srcId="{F049AD72-E5B7-4E74-A359-8B317EFC69AE}" destId="{D28E84AE-B8E0-48A1-9E9C-CA1A75B382B2}" srcOrd="13" destOrd="0" presId="urn:microsoft.com/office/officeart/2005/8/layout/hierarchy3"/>
    <dgm:cxn modelId="{D5994DBA-8E45-4386-8C12-682259F139F9}" type="presParOf" srcId="{F049AD72-E5B7-4E74-A359-8B317EFC69AE}" destId="{81A19B44-C284-40E5-9BB0-00B42A0F0A62}" srcOrd="14" destOrd="0" presId="urn:microsoft.com/office/officeart/2005/8/layout/hierarchy3"/>
    <dgm:cxn modelId="{5846AFE1-883F-44AC-BC37-2BD087515293}" type="presParOf" srcId="{F049AD72-E5B7-4E74-A359-8B317EFC69AE}" destId="{9FA2F4E5-BF44-4BEB-9FC8-C0E6AB0056D8}" srcOrd="15" destOrd="0" presId="urn:microsoft.com/office/officeart/2005/8/layout/hierarchy3"/>
  </dgm:cxnLst>
  <dgm:bg/>
  <dgm:whole/>
  <dgm:extLst>
    <a:ext uri="http://schemas.microsoft.com/office/drawing/2008/diagram">
      <dsp:dataModelExt xmlns:dsp="http://schemas.microsoft.com/office/drawing/2008/diagram" relId="rId46"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7AE223C0-3097-4D9A-BE68-0BB652C9566A}" type="doc">
      <dgm:prSet loTypeId="urn:microsoft.com/office/officeart/2005/8/layout/hierarchy3" loCatId="list" qsTypeId="urn:microsoft.com/office/officeart/2005/8/quickstyle/simple1" qsCatId="simple" csTypeId="urn:microsoft.com/office/officeart/2005/8/colors/accent0_1" csCatId="mainScheme" phldr="1"/>
      <dgm:spPr/>
      <dgm:t>
        <a:bodyPr/>
        <a:lstStyle/>
        <a:p>
          <a:endParaRPr lang="es-CL"/>
        </a:p>
      </dgm:t>
    </dgm:pt>
    <dgm:pt modelId="{86657E60-BF53-4B78-A3F6-19F38E18C299}">
      <dgm:prSet phldrT="[Texto]" custT="1"/>
      <dgm:spPr/>
      <dgm:t>
        <a:bodyPr/>
        <a:lstStyle/>
        <a:p>
          <a:r>
            <a:rPr lang="es-CL" sz="1000">
              <a:latin typeface="Arial" panose="020B0604020202020204" pitchFamily="34" charset="0"/>
              <a:cs typeface="Arial" panose="020B0604020202020204" pitchFamily="34" charset="0"/>
            </a:rPr>
            <a:t>Territorialidad</a:t>
          </a:r>
        </a:p>
      </dgm:t>
    </dgm:pt>
    <dgm:pt modelId="{B8D2505D-F7A2-4CAC-B810-C768473414AA}" type="parTrans" cxnId="{D82809EC-AE86-4BB7-9D1B-7B1A506531A2}">
      <dgm:prSet/>
      <dgm:spPr/>
      <dgm:t>
        <a:bodyPr/>
        <a:lstStyle/>
        <a:p>
          <a:endParaRPr lang="es-CL" sz="2000">
            <a:latin typeface="Arial" panose="020B0604020202020204" pitchFamily="34" charset="0"/>
            <a:cs typeface="Arial" panose="020B0604020202020204" pitchFamily="34" charset="0"/>
          </a:endParaRPr>
        </a:p>
      </dgm:t>
    </dgm:pt>
    <dgm:pt modelId="{EBA5BCC3-F0D4-41CE-BA47-18557B5FA5F8}" type="sibTrans" cxnId="{D82809EC-AE86-4BB7-9D1B-7B1A506531A2}">
      <dgm:prSet/>
      <dgm:spPr/>
      <dgm:t>
        <a:bodyPr/>
        <a:lstStyle/>
        <a:p>
          <a:endParaRPr lang="es-CL" sz="2000">
            <a:latin typeface="Arial" panose="020B0604020202020204" pitchFamily="34" charset="0"/>
            <a:cs typeface="Arial" panose="020B0604020202020204" pitchFamily="34" charset="0"/>
          </a:endParaRPr>
        </a:p>
      </dgm:t>
    </dgm:pt>
    <dgm:pt modelId="{A049D925-FDF6-41CE-A4CD-4D963C75C312}">
      <dgm:prSet phldrT="[Texto]" custT="1"/>
      <dgm:spPr/>
      <dgm:t>
        <a:bodyPr/>
        <a:lstStyle/>
        <a:p>
          <a:r>
            <a:rPr lang="es-CL" sz="800">
              <a:latin typeface="Arial" panose="020B0604020202020204" pitchFamily="34" charset="0"/>
              <a:cs typeface="Arial" panose="020B0604020202020204" pitchFamily="34" charset="0"/>
            </a:rPr>
            <a:t>Actividades agrícolas</a:t>
          </a:r>
        </a:p>
      </dgm:t>
    </dgm:pt>
    <dgm:pt modelId="{810E038D-A145-4387-9427-BB4F69480CA6}" type="parTrans" cxnId="{FDDE71C1-8546-411B-97C3-AEC3104EF266}">
      <dgm:prSet/>
      <dgm:spPr/>
      <dgm:t>
        <a:bodyPr/>
        <a:lstStyle/>
        <a:p>
          <a:endParaRPr lang="es-CL" sz="2000">
            <a:latin typeface="Arial" panose="020B0604020202020204" pitchFamily="34" charset="0"/>
            <a:cs typeface="Arial" panose="020B0604020202020204" pitchFamily="34" charset="0"/>
          </a:endParaRPr>
        </a:p>
      </dgm:t>
    </dgm:pt>
    <dgm:pt modelId="{60C7E677-E95F-4CE7-9A9F-AA467A601CD7}" type="sibTrans" cxnId="{FDDE71C1-8546-411B-97C3-AEC3104EF266}">
      <dgm:prSet/>
      <dgm:spPr/>
      <dgm:t>
        <a:bodyPr/>
        <a:lstStyle/>
        <a:p>
          <a:endParaRPr lang="es-CL" sz="2000">
            <a:latin typeface="Arial" panose="020B0604020202020204" pitchFamily="34" charset="0"/>
            <a:cs typeface="Arial" panose="020B0604020202020204" pitchFamily="34" charset="0"/>
          </a:endParaRPr>
        </a:p>
      </dgm:t>
    </dgm:pt>
    <dgm:pt modelId="{327AA5BD-A2D8-43A1-B423-1A16D00BFF1C}">
      <dgm:prSet phldrT="[Texto]" custT="1"/>
      <dgm:spPr/>
      <dgm:t>
        <a:bodyPr/>
        <a:lstStyle/>
        <a:p>
          <a:r>
            <a:rPr lang="es-CL" sz="800">
              <a:latin typeface="Arial" panose="020B0604020202020204" pitchFamily="34" charset="0"/>
              <a:cs typeface="Arial" panose="020B0604020202020204" pitchFamily="34" charset="0"/>
            </a:rPr>
            <a:t>Ganadería trashumante</a:t>
          </a:r>
        </a:p>
      </dgm:t>
    </dgm:pt>
    <dgm:pt modelId="{75A4F596-41B0-4C37-A6AE-6362CE64CFA4}" type="parTrans" cxnId="{FCB7AFD1-CE40-474A-8334-FA05092DB0A6}">
      <dgm:prSet/>
      <dgm:spPr/>
      <dgm:t>
        <a:bodyPr/>
        <a:lstStyle/>
        <a:p>
          <a:endParaRPr lang="es-CL" sz="2000">
            <a:latin typeface="Arial" panose="020B0604020202020204" pitchFamily="34" charset="0"/>
            <a:cs typeface="Arial" panose="020B0604020202020204" pitchFamily="34" charset="0"/>
          </a:endParaRPr>
        </a:p>
      </dgm:t>
    </dgm:pt>
    <dgm:pt modelId="{EB6D1132-23B0-4724-ABD6-0E83AFAAAFD1}" type="sibTrans" cxnId="{FCB7AFD1-CE40-474A-8334-FA05092DB0A6}">
      <dgm:prSet/>
      <dgm:spPr/>
      <dgm:t>
        <a:bodyPr/>
        <a:lstStyle/>
        <a:p>
          <a:endParaRPr lang="es-CL" sz="2000">
            <a:latin typeface="Arial" panose="020B0604020202020204" pitchFamily="34" charset="0"/>
            <a:cs typeface="Arial" panose="020B0604020202020204" pitchFamily="34" charset="0"/>
          </a:endParaRPr>
        </a:p>
      </dgm:t>
    </dgm:pt>
    <dgm:pt modelId="{4C8F56B4-5DDB-4FC7-94C7-6592AB40C1AA}">
      <dgm:prSet phldrT="[Texto]" custT="1"/>
      <dgm:spPr/>
      <dgm:t>
        <a:bodyPr/>
        <a:lstStyle/>
        <a:p>
          <a:r>
            <a:rPr lang="es-CL" sz="1000">
              <a:latin typeface="Arial" panose="020B0604020202020204" pitchFamily="34" charset="0"/>
              <a:cs typeface="Arial" panose="020B0604020202020204" pitchFamily="34" charset="0"/>
            </a:rPr>
            <a:t>Desarrollo Local </a:t>
          </a:r>
        </a:p>
      </dgm:t>
    </dgm:pt>
    <dgm:pt modelId="{5F5944C5-ABCF-4E8B-9175-1DDB92C4FFB5}" type="parTrans" cxnId="{9A361F3A-8C3A-4B64-A4CA-6442AC62731F}">
      <dgm:prSet/>
      <dgm:spPr/>
      <dgm:t>
        <a:bodyPr/>
        <a:lstStyle/>
        <a:p>
          <a:endParaRPr lang="es-CL" sz="2000">
            <a:latin typeface="Arial" panose="020B0604020202020204" pitchFamily="34" charset="0"/>
            <a:cs typeface="Arial" panose="020B0604020202020204" pitchFamily="34" charset="0"/>
          </a:endParaRPr>
        </a:p>
      </dgm:t>
    </dgm:pt>
    <dgm:pt modelId="{E62C8125-53DE-494B-957E-8B29EC3192C9}" type="sibTrans" cxnId="{9A361F3A-8C3A-4B64-A4CA-6442AC62731F}">
      <dgm:prSet/>
      <dgm:spPr/>
      <dgm:t>
        <a:bodyPr/>
        <a:lstStyle/>
        <a:p>
          <a:endParaRPr lang="es-CL" sz="2000">
            <a:latin typeface="Arial" panose="020B0604020202020204" pitchFamily="34" charset="0"/>
            <a:cs typeface="Arial" panose="020B0604020202020204" pitchFamily="34" charset="0"/>
          </a:endParaRPr>
        </a:p>
      </dgm:t>
    </dgm:pt>
    <dgm:pt modelId="{D1C37BAF-E33F-40A4-A5EB-1CB770F87A92}">
      <dgm:prSet phldrT="[Texto]" custT="1"/>
      <dgm:spPr/>
      <dgm:t>
        <a:bodyPr/>
        <a:lstStyle/>
        <a:p>
          <a:r>
            <a:rPr lang="es-CL" sz="800">
              <a:latin typeface="Arial" panose="020B0604020202020204" pitchFamily="34" charset="0"/>
              <a:cs typeface="Arial" panose="020B0604020202020204" pitchFamily="34" charset="0"/>
            </a:rPr>
            <a:t>Agricultura y ganadería de subsistencia</a:t>
          </a:r>
        </a:p>
      </dgm:t>
    </dgm:pt>
    <dgm:pt modelId="{7299DBE1-5762-4960-9A7F-168209707C60}" type="parTrans" cxnId="{8C0A321E-5F87-4993-B60B-545C99F99E8F}">
      <dgm:prSet/>
      <dgm:spPr/>
      <dgm:t>
        <a:bodyPr/>
        <a:lstStyle/>
        <a:p>
          <a:endParaRPr lang="es-CL" sz="2000">
            <a:latin typeface="Arial" panose="020B0604020202020204" pitchFamily="34" charset="0"/>
            <a:cs typeface="Arial" panose="020B0604020202020204" pitchFamily="34" charset="0"/>
          </a:endParaRPr>
        </a:p>
      </dgm:t>
    </dgm:pt>
    <dgm:pt modelId="{E653F987-84A9-4550-B5D3-1A82C20F7AD1}" type="sibTrans" cxnId="{8C0A321E-5F87-4993-B60B-545C99F99E8F}">
      <dgm:prSet/>
      <dgm:spPr/>
      <dgm:t>
        <a:bodyPr/>
        <a:lstStyle/>
        <a:p>
          <a:endParaRPr lang="es-CL" sz="2000">
            <a:latin typeface="Arial" panose="020B0604020202020204" pitchFamily="34" charset="0"/>
            <a:cs typeface="Arial" panose="020B0604020202020204" pitchFamily="34" charset="0"/>
          </a:endParaRPr>
        </a:p>
      </dgm:t>
    </dgm:pt>
    <dgm:pt modelId="{54296CF1-1E7C-4D4B-AAA9-CF58C85ACCAF}">
      <dgm:prSet phldrT="[Texto]" custT="1"/>
      <dgm:spPr/>
      <dgm:t>
        <a:bodyPr/>
        <a:lstStyle/>
        <a:p>
          <a:r>
            <a:rPr lang="es-CL" sz="800">
              <a:latin typeface="Arial" panose="020B0604020202020204" pitchFamily="34" charset="0"/>
              <a:cs typeface="Arial" panose="020B0604020202020204" pitchFamily="34" charset="0"/>
            </a:rPr>
            <a:t>Escaso desarrolo sectores rurales</a:t>
          </a:r>
        </a:p>
      </dgm:t>
    </dgm:pt>
    <dgm:pt modelId="{04F3CFD7-6EF9-472D-90A5-0DF449AB795E}" type="parTrans" cxnId="{AFF306EE-029D-48FB-B93C-A0E5D7645183}">
      <dgm:prSet/>
      <dgm:spPr/>
      <dgm:t>
        <a:bodyPr/>
        <a:lstStyle/>
        <a:p>
          <a:endParaRPr lang="es-CL" sz="2000">
            <a:latin typeface="Arial" panose="020B0604020202020204" pitchFamily="34" charset="0"/>
            <a:cs typeface="Arial" panose="020B0604020202020204" pitchFamily="34" charset="0"/>
          </a:endParaRPr>
        </a:p>
      </dgm:t>
    </dgm:pt>
    <dgm:pt modelId="{B7583A12-5250-40E0-AAD8-22FDB61ADBAB}" type="sibTrans" cxnId="{AFF306EE-029D-48FB-B93C-A0E5D7645183}">
      <dgm:prSet/>
      <dgm:spPr/>
      <dgm:t>
        <a:bodyPr/>
        <a:lstStyle/>
        <a:p>
          <a:endParaRPr lang="es-CL" sz="2000">
            <a:latin typeface="Arial" panose="020B0604020202020204" pitchFamily="34" charset="0"/>
            <a:cs typeface="Arial" panose="020B0604020202020204" pitchFamily="34" charset="0"/>
          </a:endParaRPr>
        </a:p>
      </dgm:t>
    </dgm:pt>
    <dgm:pt modelId="{94AC9610-CE54-4A84-A634-2CB96D5AAF15}">
      <dgm:prSet phldrT="[Texto]" custT="1"/>
      <dgm:spPr/>
      <dgm:t>
        <a:bodyPr/>
        <a:lstStyle/>
        <a:p>
          <a:r>
            <a:rPr lang="es-CL" sz="800">
              <a:latin typeface="Arial" panose="020B0604020202020204" pitchFamily="34" charset="0"/>
              <a:cs typeface="Arial" panose="020B0604020202020204" pitchFamily="34" charset="0"/>
            </a:rPr>
            <a:t>Minería</a:t>
          </a:r>
        </a:p>
      </dgm:t>
    </dgm:pt>
    <dgm:pt modelId="{27563AD0-768B-4D71-B6E0-5147B658E8D4}" type="parTrans" cxnId="{B7CB4ABD-3CF5-4452-886C-2D5F294DD563}">
      <dgm:prSet/>
      <dgm:spPr/>
      <dgm:t>
        <a:bodyPr/>
        <a:lstStyle/>
        <a:p>
          <a:endParaRPr lang="es-CL" sz="2000">
            <a:latin typeface="Arial" panose="020B0604020202020204" pitchFamily="34" charset="0"/>
            <a:cs typeface="Arial" panose="020B0604020202020204" pitchFamily="34" charset="0"/>
          </a:endParaRPr>
        </a:p>
      </dgm:t>
    </dgm:pt>
    <dgm:pt modelId="{0A522358-907B-44EF-B488-D8680D43BA0A}" type="sibTrans" cxnId="{B7CB4ABD-3CF5-4452-886C-2D5F294DD563}">
      <dgm:prSet/>
      <dgm:spPr/>
      <dgm:t>
        <a:bodyPr/>
        <a:lstStyle/>
        <a:p>
          <a:endParaRPr lang="es-CL" sz="2000">
            <a:latin typeface="Arial" panose="020B0604020202020204" pitchFamily="34" charset="0"/>
            <a:cs typeface="Arial" panose="020B0604020202020204" pitchFamily="34" charset="0"/>
          </a:endParaRPr>
        </a:p>
      </dgm:t>
    </dgm:pt>
    <dgm:pt modelId="{9927EFA2-E048-4DFA-B2C6-48D429A6CC9D}">
      <dgm:prSet phldrT="[Texto]" custT="1"/>
      <dgm:spPr/>
      <dgm:t>
        <a:bodyPr/>
        <a:lstStyle/>
        <a:p>
          <a:r>
            <a:rPr lang="es-CL" sz="800">
              <a:latin typeface="Arial" panose="020B0604020202020204" pitchFamily="34" charset="0"/>
              <a:cs typeface="Arial" panose="020B0604020202020204" pitchFamily="34" charset="0"/>
            </a:rPr>
            <a:t>Pérdida de uso colectivo</a:t>
          </a:r>
        </a:p>
      </dgm:t>
    </dgm:pt>
    <dgm:pt modelId="{FDA5A473-CFC5-450B-ADD9-376AA4C67CEC}" type="parTrans" cxnId="{2B78BD17-AF16-4FC9-8517-04BEC8C4B754}">
      <dgm:prSet/>
      <dgm:spPr/>
      <dgm:t>
        <a:bodyPr/>
        <a:lstStyle/>
        <a:p>
          <a:endParaRPr lang="es-CL" sz="2000">
            <a:latin typeface="Arial" panose="020B0604020202020204" pitchFamily="34" charset="0"/>
            <a:cs typeface="Arial" panose="020B0604020202020204" pitchFamily="34" charset="0"/>
          </a:endParaRPr>
        </a:p>
      </dgm:t>
    </dgm:pt>
    <dgm:pt modelId="{D3588116-A80E-4CC8-8E1E-DBB41F2E462A}" type="sibTrans" cxnId="{2B78BD17-AF16-4FC9-8517-04BEC8C4B754}">
      <dgm:prSet/>
      <dgm:spPr/>
      <dgm:t>
        <a:bodyPr/>
        <a:lstStyle/>
        <a:p>
          <a:endParaRPr lang="es-CL" sz="2000">
            <a:latin typeface="Arial" panose="020B0604020202020204" pitchFamily="34" charset="0"/>
            <a:cs typeface="Arial" panose="020B0604020202020204" pitchFamily="34" charset="0"/>
          </a:endParaRPr>
        </a:p>
      </dgm:t>
    </dgm:pt>
    <dgm:pt modelId="{9AE8A77E-D2E1-4D1B-9E99-E99CF7A0839F}">
      <dgm:prSet phldrT="[Texto]" custT="1"/>
      <dgm:spPr/>
      <dgm:t>
        <a:bodyPr/>
        <a:lstStyle/>
        <a:p>
          <a:r>
            <a:rPr lang="es-CL" sz="800">
              <a:latin typeface="Arial" panose="020B0604020202020204" pitchFamily="34" charset="0"/>
              <a:cs typeface="Arial" panose="020B0604020202020204" pitchFamily="34" charset="0"/>
            </a:rPr>
            <a:t>Desarrollo asociado a minería </a:t>
          </a:r>
        </a:p>
      </dgm:t>
    </dgm:pt>
    <dgm:pt modelId="{19DC218E-0F53-4F03-A798-0068E2FD4412}" type="parTrans" cxnId="{9166F3C1-52D7-4C8A-8627-4E0DF3775B71}">
      <dgm:prSet/>
      <dgm:spPr/>
      <dgm:t>
        <a:bodyPr/>
        <a:lstStyle/>
        <a:p>
          <a:endParaRPr lang="es-CL" sz="2000">
            <a:latin typeface="Arial" panose="020B0604020202020204" pitchFamily="34" charset="0"/>
            <a:cs typeface="Arial" panose="020B0604020202020204" pitchFamily="34" charset="0"/>
          </a:endParaRPr>
        </a:p>
      </dgm:t>
    </dgm:pt>
    <dgm:pt modelId="{8C5D6FB2-A1BB-41A9-A0D3-186B954DC82F}" type="sibTrans" cxnId="{9166F3C1-52D7-4C8A-8627-4E0DF3775B71}">
      <dgm:prSet/>
      <dgm:spPr/>
      <dgm:t>
        <a:bodyPr/>
        <a:lstStyle/>
        <a:p>
          <a:endParaRPr lang="es-CL" sz="2000">
            <a:latin typeface="Arial" panose="020B0604020202020204" pitchFamily="34" charset="0"/>
            <a:cs typeface="Arial" panose="020B0604020202020204" pitchFamily="34" charset="0"/>
          </a:endParaRPr>
        </a:p>
      </dgm:t>
    </dgm:pt>
    <dgm:pt modelId="{5F4E7182-B5B0-44C2-8097-89F74345F294}">
      <dgm:prSet phldrT="[Texto]" custT="1"/>
      <dgm:spPr/>
      <dgm:t>
        <a:bodyPr/>
        <a:lstStyle/>
        <a:p>
          <a:r>
            <a:rPr lang="es-CL" sz="800">
              <a:latin typeface="Arial" panose="020B0604020202020204" pitchFamily="34" charset="0"/>
              <a:cs typeface="Arial" panose="020B0604020202020204" pitchFamily="34" charset="0"/>
            </a:rPr>
            <a:t>Demanda mano de obra</a:t>
          </a:r>
        </a:p>
      </dgm:t>
    </dgm:pt>
    <dgm:pt modelId="{8BDC94E4-0451-4E60-A6D8-09CACD6315BA}" type="parTrans" cxnId="{0AD4E38B-FE19-4A10-96B1-C45B824BBDC1}">
      <dgm:prSet/>
      <dgm:spPr/>
      <dgm:t>
        <a:bodyPr/>
        <a:lstStyle/>
        <a:p>
          <a:endParaRPr lang="es-CL" sz="2000">
            <a:latin typeface="Arial" panose="020B0604020202020204" pitchFamily="34" charset="0"/>
            <a:cs typeface="Arial" panose="020B0604020202020204" pitchFamily="34" charset="0"/>
          </a:endParaRPr>
        </a:p>
      </dgm:t>
    </dgm:pt>
    <dgm:pt modelId="{54B57D00-4142-43A5-A456-1AAB72E91D24}" type="sibTrans" cxnId="{0AD4E38B-FE19-4A10-96B1-C45B824BBDC1}">
      <dgm:prSet/>
      <dgm:spPr/>
      <dgm:t>
        <a:bodyPr/>
        <a:lstStyle/>
        <a:p>
          <a:endParaRPr lang="es-CL" sz="2000">
            <a:latin typeface="Arial" panose="020B0604020202020204" pitchFamily="34" charset="0"/>
            <a:cs typeface="Arial" panose="020B0604020202020204" pitchFamily="34" charset="0"/>
          </a:endParaRPr>
        </a:p>
      </dgm:t>
    </dgm:pt>
    <dgm:pt modelId="{1214407F-6EF2-4D6D-A21C-A4C3B2FCFF03}">
      <dgm:prSet phldrT="[Texto]" custT="1"/>
      <dgm:spPr/>
      <dgm:t>
        <a:bodyPr/>
        <a:lstStyle/>
        <a:p>
          <a:r>
            <a:rPr lang="es-CL" sz="800">
              <a:latin typeface="Arial" panose="020B0604020202020204" pitchFamily="34" charset="0"/>
              <a:cs typeface="Arial" panose="020B0604020202020204" pitchFamily="34" charset="0"/>
            </a:rPr>
            <a:t>Ausencia desarrollo turismo</a:t>
          </a:r>
        </a:p>
      </dgm:t>
    </dgm:pt>
    <dgm:pt modelId="{29D8FB97-E210-43D8-B8BF-CB7EE57ADC38}" type="parTrans" cxnId="{D36636EE-49D2-4EBD-A1E4-6FE84D32221B}">
      <dgm:prSet/>
      <dgm:spPr/>
      <dgm:t>
        <a:bodyPr/>
        <a:lstStyle/>
        <a:p>
          <a:endParaRPr lang="es-CL" sz="2000">
            <a:latin typeface="Arial" panose="020B0604020202020204" pitchFamily="34" charset="0"/>
            <a:cs typeface="Arial" panose="020B0604020202020204" pitchFamily="34" charset="0"/>
          </a:endParaRPr>
        </a:p>
      </dgm:t>
    </dgm:pt>
    <dgm:pt modelId="{12E385C8-9406-471C-A47C-C99B87C39C90}" type="sibTrans" cxnId="{D36636EE-49D2-4EBD-A1E4-6FE84D32221B}">
      <dgm:prSet/>
      <dgm:spPr/>
      <dgm:t>
        <a:bodyPr/>
        <a:lstStyle/>
        <a:p>
          <a:endParaRPr lang="es-CL" sz="2000">
            <a:latin typeface="Arial" panose="020B0604020202020204" pitchFamily="34" charset="0"/>
            <a:cs typeface="Arial" panose="020B0604020202020204" pitchFamily="34" charset="0"/>
          </a:endParaRPr>
        </a:p>
      </dgm:t>
    </dgm:pt>
    <dgm:pt modelId="{3749BD5E-DC41-41ED-993F-B4FE3A3E4B28}">
      <dgm:prSet phldrT="[Texto]" custT="1"/>
      <dgm:spPr/>
      <dgm:t>
        <a:bodyPr/>
        <a:lstStyle/>
        <a:p>
          <a:r>
            <a:rPr lang="es-CL" sz="800">
              <a:latin typeface="Arial" panose="020B0604020202020204" pitchFamily="34" charset="0"/>
              <a:cs typeface="Arial" panose="020B0604020202020204" pitchFamily="34" charset="0"/>
            </a:rPr>
            <a:t>Baja comercialización productos locales</a:t>
          </a:r>
        </a:p>
      </dgm:t>
    </dgm:pt>
    <dgm:pt modelId="{1624B35F-9466-4891-AD5C-0A683F87093D}" type="parTrans" cxnId="{01341401-C3D5-496F-ADD7-0F6248D4820B}">
      <dgm:prSet/>
      <dgm:spPr/>
      <dgm:t>
        <a:bodyPr/>
        <a:lstStyle/>
        <a:p>
          <a:endParaRPr lang="es-CL" sz="2000">
            <a:latin typeface="Arial" panose="020B0604020202020204" pitchFamily="34" charset="0"/>
            <a:cs typeface="Arial" panose="020B0604020202020204" pitchFamily="34" charset="0"/>
          </a:endParaRPr>
        </a:p>
      </dgm:t>
    </dgm:pt>
    <dgm:pt modelId="{8E63E39B-E964-43B8-B159-9C8D1DF6319C}" type="sibTrans" cxnId="{01341401-C3D5-496F-ADD7-0F6248D4820B}">
      <dgm:prSet/>
      <dgm:spPr/>
      <dgm:t>
        <a:bodyPr/>
        <a:lstStyle/>
        <a:p>
          <a:endParaRPr lang="es-CL" sz="2000">
            <a:latin typeface="Arial" panose="020B0604020202020204" pitchFamily="34" charset="0"/>
            <a:cs typeface="Arial" panose="020B0604020202020204" pitchFamily="34" charset="0"/>
          </a:endParaRPr>
        </a:p>
      </dgm:t>
    </dgm:pt>
    <dgm:pt modelId="{A28E6847-AB3F-4CB9-9FEA-B1F4782D84D6}">
      <dgm:prSet phldrT="[Texto]" custT="1"/>
      <dgm:spPr/>
      <dgm:t>
        <a:bodyPr/>
        <a:lstStyle/>
        <a:p>
          <a:r>
            <a:rPr lang="es-CL" sz="800">
              <a:latin typeface="Arial" panose="020B0604020202020204" pitchFamily="34" charset="0"/>
              <a:cs typeface="Arial" panose="020B0604020202020204" pitchFamily="34" charset="0"/>
            </a:rPr>
            <a:t>Escasos Servición complementarios</a:t>
          </a:r>
        </a:p>
      </dgm:t>
    </dgm:pt>
    <dgm:pt modelId="{A18C61E6-AB5E-4118-9C73-12ECEC6EA3C8}" type="parTrans" cxnId="{95E3C0A4-C514-4B1D-98A6-7F5BF26A5B16}">
      <dgm:prSet/>
      <dgm:spPr/>
      <dgm:t>
        <a:bodyPr/>
        <a:lstStyle/>
        <a:p>
          <a:endParaRPr lang="es-CL" sz="2000">
            <a:latin typeface="Arial" panose="020B0604020202020204" pitchFamily="34" charset="0"/>
            <a:cs typeface="Arial" panose="020B0604020202020204" pitchFamily="34" charset="0"/>
          </a:endParaRPr>
        </a:p>
      </dgm:t>
    </dgm:pt>
    <dgm:pt modelId="{6E59E861-4062-4583-B5D8-8FD36D5A72E6}" type="sibTrans" cxnId="{95E3C0A4-C514-4B1D-98A6-7F5BF26A5B16}">
      <dgm:prSet/>
      <dgm:spPr/>
      <dgm:t>
        <a:bodyPr/>
        <a:lstStyle/>
        <a:p>
          <a:endParaRPr lang="es-CL" sz="2000">
            <a:latin typeface="Arial" panose="020B0604020202020204" pitchFamily="34" charset="0"/>
            <a:cs typeface="Arial" panose="020B0604020202020204" pitchFamily="34" charset="0"/>
          </a:endParaRPr>
        </a:p>
      </dgm:t>
    </dgm:pt>
    <dgm:pt modelId="{4E5DA964-17A4-4ABB-AF22-C475DC8ACC9A}">
      <dgm:prSet phldrT="[Texto]" custT="1"/>
      <dgm:spPr/>
      <dgm:t>
        <a:bodyPr/>
        <a:lstStyle/>
        <a:p>
          <a:r>
            <a:rPr lang="es-CL" sz="1000">
              <a:latin typeface="Arial" panose="020B0604020202020204" pitchFamily="34" charset="0"/>
              <a:cs typeface="Arial" panose="020B0604020202020204" pitchFamily="34" charset="0"/>
            </a:rPr>
            <a:t>Servicios e infraestructura pública</a:t>
          </a:r>
        </a:p>
      </dgm:t>
    </dgm:pt>
    <dgm:pt modelId="{2A6C9E78-B38C-4648-B912-30FD8303E326}" type="parTrans" cxnId="{D92A9F0E-E132-4329-825F-B08772AC75E0}">
      <dgm:prSet/>
      <dgm:spPr/>
      <dgm:t>
        <a:bodyPr/>
        <a:lstStyle/>
        <a:p>
          <a:endParaRPr lang="es-CL" sz="2000">
            <a:latin typeface="Arial" panose="020B0604020202020204" pitchFamily="34" charset="0"/>
            <a:cs typeface="Arial" panose="020B0604020202020204" pitchFamily="34" charset="0"/>
          </a:endParaRPr>
        </a:p>
      </dgm:t>
    </dgm:pt>
    <dgm:pt modelId="{F7B7FAF5-D6B0-468C-ADD3-78E694E769F9}" type="sibTrans" cxnId="{D92A9F0E-E132-4329-825F-B08772AC75E0}">
      <dgm:prSet/>
      <dgm:spPr/>
      <dgm:t>
        <a:bodyPr/>
        <a:lstStyle/>
        <a:p>
          <a:endParaRPr lang="es-CL" sz="2000">
            <a:latin typeface="Arial" panose="020B0604020202020204" pitchFamily="34" charset="0"/>
            <a:cs typeface="Arial" panose="020B0604020202020204" pitchFamily="34" charset="0"/>
          </a:endParaRPr>
        </a:p>
      </dgm:t>
    </dgm:pt>
    <dgm:pt modelId="{F5DAA79C-41B2-4956-86F7-90479823F12C}">
      <dgm:prSet phldrT="[Texto]" custT="1"/>
      <dgm:spPr/>
      <dgm:t>
        <a:bodyPr/>
        <a:lstStyle/>
        <a:p>
          <a:r>
            <a:rPr lang="es-CL" sz="800">
              <a:latin typeface="Arial" panose="020B0604020202020204" pitchFamily="34" charset="0"/>
              <a:cs typeface="Arial" panose="020B0604020202020204" pitchFamily="34" charset="0"/>
            </a:rPr>
            <a:t>Reucida conectividad</a:t>
          </a:r>
        </a:p>
      </dgm:t>
    </dgm:pt>
    <dgm:pt modelId="{3A3BC01A-44DB-4827-9FEA-96595C88704B}" type="parTrans" cxnId="{4A6F31F3-99B2-4EC6-8DA5-4D91839FB427}">
      <dgm:prSet/>
      <dgm:spPr/>
      <dgm:t>
        <a:bodyPr/>
        <a:lstStyle/>
        <a:p>
          <a:endParaRPr lang="es-CL" sz="2000">
            <a:latin typeface="Arial" panose="020B0604020202020204" pitchFamily="34" charset="0"/>
            <a:cs typeface="Arial" panose="020B0604020202020204" pitchFamily="34" charset="0"/>
          </a:endParaRPr>
        </a:p>
      </dgm:t>
    </dgm:pt>
    <dgm:pt modelId="{F7F30AC3-B905-4F3C-AEA3-E02CAB412980}" type="sibTrans" cxnId="{4A6F31F3-99B2-4EC6-8DA5-4D91839FB427}">
      <dgm:prSet/>
      <dgm:spPr/>
      <dgm:t>
        <a:bodyPr/>
        <a:lstStyle/>
        <a:p>
          <a:endParaRPr lang="es-CL" sz="2000">
            <a:latin typeface="Arial" panose="020B0604020202020204" pitchFamily="34" charset="0"/>
            <a:cs typeface="Arial" panose="020B0604020202020204" pitchFamily="34" charset="0"/>
          </a:endParaRPr>
        </a:p>
      </dgm:t>
    </dgm:pt>
    <dgm:pt modelId="{35969047-78F6-41B1-9950-D297E635FEDB}">
      <dgm:prSet phldrT="[Texto]" custT="1"/>
      <dgm:spPr/>
      <dgm:t>
        <a:bodyPr/>
        <a:lstStyle/>
        <a:p>
          <a:r>
            <a:rPr lang="es-CL" sz="800">
              <a:latin typeface="Arial" panose="020B0604020202020204" pitchFamily="34" charset="0"/>
              <a:cs typeface="Arial" panose="020B0604020202020204" pitchFamily="34" charset="0"/>
            </a:rPr>
            <a:t>Educación incompleta y de baja calidad</a:t>
          </a:r>
        </a:p>
      </dgm:t>
    </dgm:pt>
    <dgm:pt modelId="{6B16A919-D1FF-4D93-810F-15352C718B97}" type="parTrans" cxnId="{495465E5-1942-4558-837B-A7D73508E04D}">
      <dgm:prSet/>
      <dgm:spPr/>
      <dgm:t>
        <a:bodyPr/>
        <a:lstStyle/>
        <a:p>
          <a:endParaRPr lang="es-CL" sz="2000">
            <a:latin typeface="Arial" panose="020B0604020202020204" pitchFamily="34" charset="0"/>
            <a:cs typeface="Arial" panose="020B0604020202020204" pitchFamily="34" charset="0"/>
          </a:endParaRPr>
        </a:p>
      </dgm:t>
    </dgm:pt>
    <dgm:pt modelId="{E4680D02-99EF-499F-A6B6-5E2E1E7DF417}" type="sibTrans" cxnId="{495465E5-1942-4558-837B-A7D73508E04D}">
      <dgm:prSet/>
      <dgm:spPr/>
      <dgm:t>
        <a:bodyPr/>
        <a:lstStyle/>
        <a:p>
          <a:endParaRPr lang="es-CL" sz="2000">
            <a:latin typeface="Arial" panose="020B0604020202020204" pitchFamily="34" charset="0"/>
            <a:cs typeface="Arial" panose="020B0604020202020204" pitchFamily="34" charset="0"/>
          </a:endParaRPr>
        </a:p>
      </dgm:t>
    </dgm:pt>
    <dgm:pt modelId="{9AB4BF6F-9271-470C-A219-35FF89196E08}">
      <dgm:prSet phldrT="[Texto]" custT="1"/>
      <dgm:spPr/>
      <dgm:t>
        <a:bodyPr/>
        <a:lstStyle/>
        <a:p>
          <a:r>
            <a:rPr lang="es-CL" sz="800">
              <a:latin typeface="Arial" panose="020B0604020202020204" pitchFamily="34" charset="0"/>
              <a:cs typeface="Arial" panose="020B0604020202020204" pitchFamily="34" charset="0"/>
            </a:rPr>
            <a:t>Deficit atención salud</a:t>
          </a:r>
        </a:p>
      </dgm:t>
    </dgm:pt>
    <dgm:pt modelId="{24E5C447-88E2-4A2A-95FF-1469AAB56F56}" type="parTrans" cxnId="{E0CA46E8-8E60-4F1A-8767-94808736E04D}">
      <dgm:prSet/>
      <dgm:spPr/>
      <dgm:t>
        <a:bodyPr/>
        <a:lstStyle/>
        <a:p>
          <a:endParaRPr lang="es-CL" sz="2000">
            <a:latin typeface="Arial" panose="020B0604020202020204" pitchFamily="34" charset="0"/>
            <a:cs typeface="Arial" panose="020B0604020202020204" pitchFamily="34" charset="0"/>
          </a:endParaRPr>
        </a:p>
      </dgm:t>
    </dgm:pt>
    <dgm:pt modelId="{47BCDBDC-0C34-4A40-9460-118004DF4005}" type="sibTrans" cxnId="{E0CA46E8-8E60-4F1A-8767-94808736E04D}">
      <dgm:prSet/>
      <dgm:spPr/>
      <dgm:t>
        <a:bodyPr/>
        <a:lstStyle/>
        <a:p>
          <a:endParaRPr lang="es-CL" sz="2000">
            <a:latin typeface="Arial" panose="020B0604020202020204" pitchFamily="34" charset="0"/>
            <a:cs typeface="Arial" panose="020B0604020202020204" pitchFamily="34" charset="0"/>
          </a:endParaRPr>
        </a:p>
      </dgm:t>
    </dgm:pt>
    <dgm:pt modelId="{201BF8D3-2069-47A5-9D69-22EA21EBCD81}">
      <dgm:prSet phldrT="[Texto]" custT="1"/>
      <dgm:spPr/>
      <dgm:t>
        <a:bodyPr/>
        <a:lstStyle/>
        <a:p>
          <a:r>
            <a:rPr lang="es-CL" sz="1000">
              <a:latin typeface="Arial" panose="020B0604020202020204" pitchFamily="34" charset="0"/>
              <a:cs typeface="Arial" panose="020B0604020202020204" pitchFamily="34" charset="0"/>
            </a:rPr>
            <a:t>Agricultura y ganadería</a:t>
          </a:r>
        </a:p>
      </dgm:t>
    </dgm:pt>
    <dgm:pt modelId="{856C7C17-81E8-49AB-8455-8B4BA09AF56C}" type="parTrans" cxnId="{26E02C70-A9E6-4DCB-8FF4-F37F2E04B98A}">
      <dgm:prSet/>
      <dgm:spPr/>
      <dgm:t>
        <a:bodyPr/>
        <a:lstStyle/>
        <a:p>
          <a:endParaRPr lang="es-CL" sz="2000">
            <a:latin typeface="Arial" panose="020B0604020202020204" pitchFamily="34" charset="0"/>
            <a:cs typeface="Arial" panose="020B0604020202020204" pitchFamily="34" charset="0"/>
          </a:endParaRPr>
        </a:p>
      </dgm:t>
    </dgm:pt>
    <dgm:pt modelId="{9C123845-1F35-45EF-B678-8EF0B325E207}" type="sibTrans" cxnId="{26E02C70-A9E6-4DCB-8FF4-F37F2E04B98A}">
      <dgm:prSet/>
      <dgm:spPr/>
      <dgm:t>
        <a:bodyPr/>
        <a:lstStyle/>
        <a:p>
          <a:endParaRPr lang="es-CL" sz="2000">
            <a:latin typeface="Arial" panose="020B0604020202020204" pitchFamily="34" charset="0"/>
            <a:cs typeface="Arial" panose="020B0604020202020204" pitchFamily="34" charset="0"/>
          </a:endParaRPr>
        </a:p>
      </dgm:t>
    </dgm:pt>
    <dgm:pt modelId="{872100AA-3676-4D57-B97D-34DE9DC86001}">
      <dgm:prSet phldrT="[Texto]" custT="1"/>
      <dgm:spPr/>
      <dgm:t>
        <a:bodyPr/>
        <a:lstStyle/>
        <a:p>
          <a:r>
            <a:rPr lang="es-CL" sz="800">
              <a:latin typeface="Arial" panose="020B0604020202020204" pitchFamily="34" charset="0"/>
              <a:cs typeface="Arial" panose="020B0604020202020204" pitchFamily="34" charset="0"/>
            </a:rPr>
            <a:t>Subsistencia a intensiva</a:t>
          </a:r>
        </a:p>
      </dgm:t>
    </dgm:pt>
    <dgm:pt modelId="{73D40895-A7B2-44CC-9F23-E15A250C3594}" type="parTrans" cxnId="{69CC7B13-F97D-4C9C-8FDC-3FD9D06AA49A}">
      <dgm:prSet/>
      <dgm:spPr/>
      <dgm:t>
        <a:bodyPr/>
        <a:lstStyle/>
        <a:p>
          <a:endParaRPr lang="es-CL" sz="2000">
            <a:latin typeface="Arial" panose="020B0604020202020204" pitchFamily="34" charset="0"/>
            <a:cs typeface="Arial" panose="020B0604020202020204" pitchFamily="34" charset="0"/>
          </a:endParaRPr>
        </a:p>
      </dgm:t>
    </dgm:pt>
    <dgm:pt modelId="{6645E706-3760-4AFE-A5CA-48E7812170FE}" type="sibTrans" cxnId="{69CC7B13-F97D-4C9C-8FDC-3FD9D06AA49A}">
      <dgm:prSet/>
      <dgm:spPr/>
      <dgm:t>
        <a:bodyPr/>
        <a:lstStyle/>
        <a:p>
          <a:endParaRPr lang="es-CL" sz="2000">
            <a:latin typeface="Arial" panose="020B0604020202020204" pitchFamily="34" charset="0"/>
            <a:cs typeface="Arial" panose="020B0604020202020204" pitchFamily="34" charset="0"/>
          </a:endParaRPr>
        </a:p>
      </dgm:t>
    </dgm:pt>
    <dgm:pt modelId="{8AFE3131-DE0A-49FF-B95B-04F3D063BC2D}">
      <dgm:prSet phldrT="[Texto]" custT="1"/>
      <dgm:spPr/>
      <dgm:t>
        <a:bodyPr/>
        <a:lstStyle/>
        <a:p>
          <a:r>
            <a:rPr lang="es-CL" sz="800">
              <a:latin typeface="Arial" panose="020B0604020202020204" pitchFamily="34" charset="0"/>
              <a:cs typeface="Arial" panose="020B0604020202020204" pitchFamily="34" charset="0"/>
            </a:rPr>
            <a:t>Bajo valor agregado</a:t>
          </a:r>
        </a:p>
      </dgm:t>
    </dgm:pt>
    <dgm:pt modelId="{E94C3B6A-D934-40C9-9F9C-1A42E01F30CF}" type="parTrans" cxnId="{472BD24C-39B9-4F5B-B1F3-8A03C6FBCC7D}">
      <dgm:prSet/>
      <dgm:spPr/>
      <dgm:t>
        <a:bodyPr/>
        <a:lstStyle/>
        <a:p>
          <a:endParaRPr lang="es-CL" sz="2000">
            <a:latin typeface="Arial" panose="020B0604020202020204" pitchFamily="34" charset="0"/>
            <a:cs typeface="Arial" panose="020B0604020202020204" pitchFamily="34" charset="0"/>
          </a:endParaRPr>
        </a:p>
      </dgm:t>
    </dgm:pt>
    <dgm:pt modelId="{F78BCC1F-26C1-449F-A6F9-6D141A1C3FE9}" type="sibTrans" cxnId="{472BD24C-39B9-4F5B-B1F3-8A03C6FBCC7D}">
      <dgm:prSet/>
      <dgm:spPr/>
      <dgm:t>
        <a:bodyPr/>
        <a:lstStyle/>
        <a:p>
          <a:endParaRPr lang="es-CL" sz="2000">
            <a:latin typeface="Arial" panose="020B0604020202020204" pitchFamily="34" charset="0"/>
            <a:cs typeface="Arial" panose="020B0604020202020204" pitchFamily="34" charset="0"/>
          </a:endParaRPr>
        </a:p>
      </dgm:t>
    </dgm:pt>
    <dgm:pt modelId="{834CFF88-17DE-429B-A2EE-9F14510FA0D2}">
      <dgm:prSet phldrT="[Texto]" custT="1"/>
      <dgm:spPr/>
      <dgm:t>
        <a:bodyPr/>
        <a:lstStyle/>
        <a:p>
          <a:r>
            <a:rPr lang="es-CL" sz="800">
              <a:latin typeface="Arial" panose="020B0604020202020204" pitchFamily="34" charset="0"/>
              <a:cs typeface="Arial" panose="020B0604020202020204" pitchFamily="34" charset="0"/>
            </a:rPr>
            <a:t>Comercio informal</a:t>
          </a:r>
        </a:p>
      </dgm:t>
    </dgm:pt>
    <dgm:pt modelId="{94BA3914-53FB-49A3-95BE-C2B4A7484BE4}" type="parTrans" cxnId="{988345F1-0718-40F3-A686-80C90BB1F16B}">
      <dgm:prSet/>
      <dgm:spPr/>
      <dgm:t>
        <a:bodyPr/>
        <a:lstStyle/>
        <a:p>
          <a:endParaRPr lang="es-CL" sz="2000">
            <a:latin typeface="Arial" panose="020B0604020202020204" pitchFamily="34" charset="0"/>
            <a:cs typeface="Arial" panose="020B0604020202020204" pitchFamily="34" charset="0"/>
          </a:endParaRPr>
        </a:p>
      </dgm:t>
    </dgm:pt>
    <dgm:pt modelId="{896EC405-77CE-4C95-AD36-F8180A0252EB}" type="sibTrans" cxnId="{988345F1-0718-40F3-A686-80C90BB1F16B}">
      <dgm:prSet/>
      <dgm:spPr/>
      <dgm:t>
        <a:bodyPr/>
        <a:lstStyle/>
        <a:p>
          <a:endParaRPr lang="es-CL" sz="2000">
            <a:latin typeface="Arial" panose="020B0604020202020204" pitchFamily="34" charset="0"/>
            <a:cs typeface="Arial" panose="020B0604020202020204" pitchFamily="34" charset="0"/>
          </a:endParaRPr>
        </a:p>
      </dgm:t>
    </dgm:pt>
    <dgm:pt modelId="{34A3A819-6BE7-4979-ADD1-4E56B782EEAE}">
      <dgm:prSet phldrT="[Texto]" custT="1"/>
      <dgm:spPr/>
      <dgm:t>
        <a:bodyPr/>
        <a:lstStyle/>
        <a:p>
          <a:r>
            <a:rPr lang="es-CL" sz="800">
              <a:latin typeface="Arial" panose="020B0604020202020204" pitchFamily="34" charset="0"/>
              <a:cs typeface="Arial" panose="020B0604020202020204" pitchFamily="34" charset="0"/>
            </a:rPr>
            <a:t>Recurso hídrico limitante</a:t>
          </a:r>
        </a:p>
      </dgm:t>
    </dgm:pt>
    <dgm:pt modelId="{2CD9D0F5-86CD-4310-9F66-91C9CE0479B7}" type="parTrans" cxnId="{6F8D9810-B3A2-42FB-9042-1D4C4D7D4599}">
      <dgm:prSet/>
      <dgm:spPr/>
      <dgm:t>
        <a:bodyPr/>
        <a:lstStyle/>
        <a:p>
          <a:endParaRPr lang="es-CL" sz="2000">
            <a:latin typeface="Arial" panose="020B0604020202020204" pitchFamily="34" charset="0"/>
            <a:cs typeface="Arial" panose="020B0604020202020204" pitchFamily="34" charset="0"/>
          </a:endParaRPr>
        </a:p>
      </dgm:t>
    </dgm:pt>
    <dgm:pt modelId="{98FCA04A-3C68-4236-9AF8-141B47A05A30}" type="sibTrans" cxnId="{6F8D9810-B3A2-42FB-9042-1D4C4D7D4599}">
      <dgm:prSet/>
      <dgm:spPr/>
      <dgm:t>
        <a:bodyPr/>
        <a:lstStyle/>
        <a:p>
          <a:endParaRPr lang="es-CL" sz="2000">
            <a:latin typeface="Arial" panose="020B0604020202020204" pitchFamily="34" charset="0"/>
            <a:cs typeface="Arial" panose="020B0604020202020204" pitchFamily="34" charset="0"/>
          </a:endParaRPr>
        </a:p>
      </dgm:t>
    </dgm:pt>
    <dgm:pt modelId="{2F2C268D-4F61-425A-A4E3-D1E79EBD51E1}">
      <dgm:prSet phldrT="[Texto]" custT="1"/>
      <dgm:spPr/>
      <dgm:t>
        <a:bodyPr/>
        <a:lstStyle/>
        <a:p>
          <a:r>
            <a:rPr lang="es-CL" sz="800">
              <a:latin typeface="Arial" panose="020B0604020202020204" pitchFamily="34" charset="0"/>
              <a:cs typeface="Arial" panose="020B0604020202020204" pitchFamily="34" charset="0"/>
            </a:rPr>
            <a:t>Contaminación actividades industriales</a:t>
          </a:r>
        </a:p>
      </dgm:t>
    </dgm:pt>
    <dgm:pt modelId="{8D5EAAF3-232C-4367-8BF7-C1317CE7F71B}" type="parTrans" cxnId="{A5AB21B8-A19B-4E6C-A0E2-212FE19ADE8F}">
      <dgm:prSet/>
      <dgm:spPr/>
      <dgm:t>
        <a:bodyPr/>
        <a:lstStyle/>
        <a:p>
          <a:endParaRPr lang="es-CL" sz="2000">
            <a:latin typeface="Arial" panose="020B0604020202020204" pitchFamily="34" charset="0"/>
            <a:cs typeface="Arial" panose="020B0604020202020204" pitchFamily="34" charset="0"/>
          </a:endParaRPr>
        </a:p>
      </dgm:t>
    </dgm:pt>
    <dgm:pt modelId="{7B0E429D-61A0-4168-911C-7E47DC730331}" type="sibTrans" cxnId="{A5AB21B8-A19B-4E6C-A0E2-212FE19ADE8F}">
      <dgm:prSet/>
      <dgm:spPr/>
      <dgm:t>
        <a:bodyPr/>
        <a:lstStyle/>
        <a:p>
          <a:endParaRPr lang="es-CL" sz="2000">
            <a:latin typeface="Arial" panose="020B0604020202020204" pitchFamily="34" charset="0"/>
            <a:cs typeface="Arial" panose="020B0604020202020204" pitchFamily="34" charset="0"/>
          </a:endParaRPr>
        </a:p>
      </dgm:t>
    </dgm:pt>
    <dgm:pt modelId="{8B49C642-DA4C-459D-8F3C-3A01B8B49246}">
      <dgm:prSet phldrT="[Texto]" custT="1"/>
      <dgm:spPr/>
      <dgm:t>
        <a:bodyPr/>
        <a:lstStyle/>
        <a:p>
          <a:r>
            <a:rPr lang="es-CL" sz="800">
              <a:latin typeface="Arial" panose="020B0604020202020204" pitchFamily="34" charset="0"/>
              <a:cs typeface="Arial" panose="020B0604020202020204" pitchFamily="34" charset="0"/>
            </a:rPr>
            <a:t>Valle virgen</a:t>
          </a:r>
        </a:p>
      </dgm:t>
    </dgm:pt>
    <dgm:pt modelId="{1038FD5B-5890-4868-8B65-94932D964E6A}" type="parTrans" cxnId="{B5746960-4D6C-4F81-ACE5-523EDA553DBF}">
      <dgm:prSet/>
      <dgm:spPr/>
      <dgm:t>
        <a:bodyPr/>
        <a:lstStyle/>
        <a:p>
          <a:endParaRPr lang="es-CL" sz="2000">
            <a:latin typeface="Arial" panose="020B0604020202020204" pitchFamily="34" charset="0"/>
            <a:cs typeface="Arial" panose="020B0604020202020204" pitchFamily="34" charset="0"/>
          </a:endParaRPr>
        </a:p>
      </dgm:t>
    </dgm:pt>
    <dgm:pt modelId="{D0913C66-84D2-49A9-9867-940CFF80E172}" type="sibTrans" cxnId="{B5746960-4D6C-4F81-ACE5-523EDA553DBF}">
      <dgm:prSet/>
      <dgm:spPr/>
      <dgm:t>
        <a:bodyPr/>
        <a:lstStyle/>
        <a:p>
          <a:endParaRPr lang="es-CL" sz="2000">
            <a:latin typeface="Arial" panose="020B0604020202020204" pitchFamily="34" charset="0"/>
            <a:cs typeface="Arial" panose="020B0604020202020204" pitchFamily="34" charset="0"/>
          </a:endParaRPr>
        </a:p>
      </dgm:t>
    </dgm:pt>
    <dgm:pt modelId="{0E085AA1-1DBB-43AE-BD9C-76894E0BBCE5}">
      <dgm:prSet phldrT="[Texto]" custT="1"/>
      <dgm:spPr/>
      <dgm:t>
        <a:bodyPr/>
        <a:lstStyle/>
        <a:p>
          <a:r>
            <a:rPr lang="es-CL" sz="800">
              <a:latin typeface="Arial" panose="020B0604020202020204" pitchFamily="34" charset="0"/>
              <a:cs typeface="Arial" panose="020B0604020202020204" pitchFamily="34" charset="0"/>
            </a:rPr>
            <a:t>Cooperativas de fomento</a:t>
          </a:r>
        </a:p>
      </dgm:t>
    </dgm:pt>
    <dgm:pt modelId="{F66FEC5E-747E-4ABD-B1EC-3518E93B597D}" type="parTrans" cxnId="{378A78E4-B8A6-42D5-B818-99B385F9E722}">
      <dgm:prSet/>
      <dgm:spPr/>
      <dgm:t>
        <a:bodyPr/>
        <a:lstStyle/>
        <a:p>
          <a:endParaRPr lang="es-CL" sz="2000">
            <a:latin typeface="Arial" panose="020B0604020202020204" pitchFamily="34" charset="0"/>
            <a:cs typeface="Arial" panose="020B0604020202020204" pitchFamily="34" charset="0"/>
          </a:endParaRPr>
        </a:p>
      </dgm:t>
    </dgm:pt>
    <dgm:pt modelId="{3D5837C3-462C-4340-BF6B-2D7AFDC426C6}" type="sibTrans" cxnId="{378A78E4-B8A6-42D5-B818-99B385F9E722}">
      <dgm:prSet/>
      <dgm:spPr/>
      <dgm:t>
        <a:bodyPr/>
        <a:lstStyle/>
        <a:p>
          <a:endParaRPr lang="es-CL" sz="2000">
            <a:latin typeface="Arial" panose="020B0604020202020204" pitchFamily="34" charset="0"/>
            <a:cs typeface="Arial" panose="020B0604020202020204" pitchFamily="34" charset="0"/>
          </a:endParaRPr>
        </a:p>
      </dgm:t>
    </dgm:pt>
    <dgm:pt modelId="{00BC754C-6A9E-4F35-85AD-92F707577884}">
      <dgm:prSet phldrT="[Texto]" custT="1"/>
      <dgm:spPr/>
      <dgm:t>
        <a:bodyPr lIns="0" rIns="0"/>
        <a:lstStyle/>
        <a:p>
          <a:r>
            <a:rPr lang="es-CL" sz="800">
              <a:latin typeface="Arial" panose="020B0604020202020204" pitchFamily="34" charset="0"/>
              <a:cs typeface="Arial" panose="020B0604020202020204" pitchFamily="34" charset="0"/>
            </a:rPr>
            <a:t>Implementación riego</a:t>
          </a:r>
        </a:p>
      </dgm:t>
    </dgm:pt>
    <dgm:pt modelId="{6A4EF591-93E5-4FE3-BCB5-C234BE89BF20}" type="parTrans" cxnId="{96601991-4B57-4F57-83B0-6F3481BB7223}">
      <dgm:prSet/>
      <dgm:spPr/>
      <dgm:t>
        <a:bodyPr/>
        <a:lstStyle/>
        <a:p>
          <a:endParaRPr lang="es-CL" sz="2000">
            <a:latin typeface="Arial" panose="020B0604020202020204" pitchFamily="34" charset="0"/>
            <a:cs typeface="Arial" panose="020B0604020202020204" pitchFamily="34" charset="0"/>
          </a:endParaRPr>
        </a:p>
      </dgm:t>
    </dgm:pt>
    <dgm:pt modelId="{55FB253D-C6A0-4688-8CE6-1E939CE34EBA}" type="sibTrans" cxnId="{96601991-4B57-4F57-83B0-6F3481BB7223}">
      <dgm:prSet/>
      <dgm:spPr/>
      <dgm:t>
        <a:bodyPr/>
        <a:lstStyle/>
        <a:p>
          <a:endParaRPr lang="es-CL" sz="2000">
            <a:latin typeface="Arial" panose="020B0604020202020204" pitchFamily="34" charset="0"/>
            <a:cs typeface="Arial" panose="020B0604020202020204" pitchFamily="34" charset="0"/>
          </a:endParaRPr>
        </a:p>
      </dgm:t>
    </dgm:pt>
    <dgm:pt modelId="{2F931443-2E25-49B7-9C17-70423742B963}" type="pres">
      <dgm:prSet presAssocID="{7AE223C0-3097-4D9A-BE68-0BB652C9566A}" presName="diagram" presStyleCnt="0">
        <dgm:presLayoutVars>
          <dgm:chPref val="1"/>
          <dgm:dir/>
          <dgm:animOne val="branch"/>
          <dgm:animLvl val="lvl"/>
          <dgm:resizeHandles/>
        </dgm:presLayoutVars>
      </dgm:prSet>
      <dgm:spPr/>
      <dgm:t>
        <a:bodyPr/>
        <a:lstStyle/>
        <a:p>
          <a:endParaRPr lang="es-CL"/>
        </a:p>
      </dgm:t>
    </dgm:pt>
    <dgm:pt modelId="{159095F1-1A35-437F-AA4C-B4EF50A49C1C}" type="pres">
      <dgm:prSet presAssocID="{86657E60-BF53-4B78-A3F6-19F38E18C299}" presName="root" presStyleCnt="0"/>
      <dgm:spPr/>
    </dgm:pt>
    <dgm:pt modelId="{E32CDCA6-455E-460A-8F71-C399AB501C85}" type="pres">
      <dgm:prSet presAssocID="{86657E60-BF53-4B78-A3F6-19F38E18C299}" presName="rootComposite" presStyleCnt="0"/>
      <dgm:spPr/>
    </dgm:pt>
    <dgm:pt modelId="{1EC737DC-A185-4946-867A-572AD620E22E}" type="pres">
      <dgm:prSet presAssocID="{86657E60-BF53-4B78-A3F6-19F38E18C299}" presName="rootText" presStyleLbl="node1" presStyleIdx="0" presStyleCnt="4"/>
      <dgm:spPr/>
      <dgm:t>
        <a:bodyPr/>
        <a:lstStyle/>
        <a:p>
          <a:endParaRPr lang="es-CL"/>
        </a:p>
      </dgm:t>
    </dgm:pt>
    <dgm:pt modelId="{310970EF-B943-49AC-AAAF-69B6899F6603}" type="pres">
      <dgm:prSet presAssocID="{86657E60-BF53-4B78-A3F6-19F38E18C299}" presName="rootConnector" presStyleLbl="node1" presStyleIdx="0" presStyleCnt="4"/>
      <dgm:spPr/>
      <dgm:t>
        <a:bodyPr/>
        <a:lstStyle/>
        <a:p>
          <a:endParaRPr lang="es-CL"/>
        </a:p>
      </dgm:t>
    </dgm:pt>
    <dgm:pt modelId="{ABC04D5F-E121-498B-8DD8-4FC7F80B1167}" type="pres">
      <dgm:prSet presAssocID="{86657E60-BF53-4B78-A3F6-19F38E18C299}" presName="childShape" presStyleCnt="0"/>
      <dgm:spPr/>
    </dgm:pt>
    <dgm:pt modelId="{A1F98B87-D9CB-4803-87BA-6D08F7B4C9DE}" type="pres">
      <dgm:prSet presAssocID="{810E038D-A145-4387-9427-BB4F69480CA6}" presName="Name13" presStyleLbl="parChTrans1D2" presStyleIdx="0" presStyleCnt="22"/>
      <dgm:spPr/>
      <dgm:t>
        <a:bodyPr/>
        <a:lstStyle/>
        <a:p>
          <a:endParaRPr lang="es-CL"/>
        </a:p>
      </dgm:t>
    </dgm:pt>
    <dgm:pt modelId="{6E440910-A3F8-43FB-B76D-AB8800A6969B}" type="pres">
      <dgm:prSet presAssocID="{A049D925-FDF6-41CE-A4CD-4D963C75C312}" presName="childText" presStyleLbl="bgAcc1" presStyleIdx="0" presStyleCnt="22">
        <dgm:presLayoutVars>
          <dgm:bulletEnabled val="1"/>
        </dgm:presLayoutVars>
      </dgm:prSet>
      <dgm:spPr/>
      <dgm:t>
        <a:bodyPr/>
        <a:lstStyle/>
        <a:p>
          <a:endParaRPr lang="es-CL"/>
        </a:p>
      </dgm:t>
    </dgm:pt>
    <dgm:pt modelId="{C8D589D2-CEF1-4ED8-8382-DC88D4A353D7}" type="pres">
      <dgm:prSet presAssocID="{75A4F596-41B0-4C37-A6AE-6362CE64CFA4}" presName="Name13" presStyleLbl="parChTrans1D2" presStyleIdx="1" presStyleCnt="22"/>
      <dgm:spPr/>
      <dgm:t>
        <a:bodyPr/>
        <a:lstStyle/>
        <a:p>
          <a:endParaRPr lang="es-CL"/>
        </a:p>
      </dgm:t>
    </dgm:pt>
    <dgm:pt modelId="{2D795005-5C26-4627-859C-68139AC17373}" type="pres">
      <dgm:prSet presAssocID="{327AA5BD-A2D8-43A1-B423-1A16D00BFF1C}" presName="childText" presStyleLbl="bgAcc1" presStyleIdx="1" presStyleCnt="22">
        <dgm:presLayoutVars>
          <dgm:bulletEnabled val="1"/>
        </dgm:presLayoutVars>
      </dgm:prSet>
      <dgm:spPr/>
      <dgm:t>
        <a:bodyPr/>
        <a:lstStyle/>
        <a:p>
          <a:endParaRPr lang="es-CL"/>
        </a:p>
      </dgm:t>
    </dgm:pt>
    <dgm:pt modelId="{715329C3-3E03-45AE-8A9F-275FD9ED0F85}" type="pres">
      <dgm:prSet presAssocID="{27563AD0-768B-4D71-B6E0-5147B658E8D4}" presName="Name13" presStyleLbl="parChTrans1D2" presStyleIdx="2" presStyleCnt="22"/>
      <dgm:spPr/>
      <dgm:t>
        <a:bodyPr/>
        <a:lstStyle/>
        <a:p>
          <a:endParaRPr lang="es-CL"/>
        </a:p>
      </dgm:t>
    </dgm:pt>
    <dgm:pt modelId="{C7E1D068-D452-4ED7-9251-F76E99DC17D2}" type="pres">
      <dgm:prSet presAssocID="{94AC9610-CE54-4A84-A634-2CB96D5AAF15}" presName="childText" presStyleLbl="bgAcc1" presStyleIdx="2" presStyleCnt="22">
        <dgm:presLayoutVars>
          <dgm:bulletEnabled val="1"/>
        </dgm:presLayoutVars>
      </dgm:prSet>
      <dgm:spPr/>
      <dgm:t>
        <a:bodyPr/>
        <a:lstStyle/>
        <a:p>
          <a:endParaRPr lang="es-CL"/>
        </a:p>
      </dgm:t>
    </dgm:pt>
    <dgm:pt modelId="{6625C6DB-488E-49A2-86E8-29EE3D202202}" type="pres">
      <dgm:prSet presAssocID="{FDA5A473-CFC5-450B-ADD9-376AA4C67CEC}" presName="Name13" presStyleLbl="parChTrans1D2" presStyleIdx="3" presStyleCnt="22"/>
      <dgm:spPr/>
      <dgm:t>
        <a:bodyPr/>
        <a:lstStyle/>
        <a:p>
          <a:endParaRPr lang="es-CL"/>
        </a:p>
      </dgm:t>
    </dgm:pt>
    <dgm:pt modelId="{2EF8CA90-B719-4C03-9B62-C401757FA8FE}" type="pres">
      <dgm:prSet presAssocID="{9927EFA2-E048-4DFA-B2C6-48D429A6CC9D}" presName="childText" presStyleLbl="bgAcc1" presStyleIdx="3" presStyleCnt="22">
        <dgm:presLayoutVars>
          <dgm:bulletEnabled val="1"/>
        </dgm:presLayoutVars>
      </dgm:prSet>
      <dgm:spPr/>
      <dgm:t>
        <a:bodyPr/>
        <a:lstStyle/>
        <a:p>
          <a:endParaRPr lang="es-CL"/>
        </a:p>
      </dgm:t>
    </dgm:pt>
    <dgm:pt modelId="{AB3F60AC-E8D9-4B45-804C-D9370AFF61F8}" type="pres">
      <dgm:prSet presAssocID="{4C8F56B4-5DDB-4FC7-94C7-6592AB40C1AA}" presName="root" presStyleCnt="0"/>
      <dgm:spPr/>
    </dgm:pt>
    <dgm:pt modelId="{79AD248F-8460-40D2-BA57-F2C5806D3924}" type="pres">
      <dgm:prSet presAssocID="{4C8F56B4-5DDB-4FC7-94C7-6592AB40C1AA}" presName="rootComposite" presStyleCnt="0"/>
      <dgm:spPr/>
    </dgm:pt>
    <dgm:pt modelId="{D2446104-3EA0-4C85-87BA-312BCFD96F45}" type="pres">
      <dgm:prSet presAssocID="{4C8F56B4-5DDB-4FC7-94C7-6592AB40C1AA}" presName="rootText" presStyleLbl="node1" presStyleIdx="1" presStyleCnt="4"/>
      <dgm:spPr/>
      <dgm:t>
        <a:bodyPr/>
        <a:lstStyle/>
        <a:p>
          <a:endParaRPr lang="es-CL"/>
        </a:p>
      </dgm:t>
    </dgm:pt>
    <dgm:pt modelId="{3256001C-FA74-46DC-8042-B827706E7D90}" type="pres">
      <dgm:prSet presAssocID="{4C8F56B4-5DDB-4FC7-94C7-6592AB40C1AA}" presName="rootConnector" presStyleLbl="node1" presStyleIdx="1" presStyleCnt="4"/>
      <dgm:spPr/>
      <dgm:t>
        <a:bodyPr/>
        <a:lstStyle/>
        <a:p>
          <a:endParaRPr lang="es-CL"/>
        </a:p>
      </dgm:t>
    </dgm:pt>
    <dgm:pt modelId="{E68728C0-B579-42F8-8DB1-3F72BCC69542}" type="pres">
      <dgm:prSet presAssocID="{4C8F56B4-5DDB-4FC7-94C7-6592AB40C1AA}" presName="childShape" presStyleCnt="0"/>
      <dgm:spPr/>
    </dgm:pt>
    <dgm:pt modelId="{7603A070-B153-461B-81D5-6A0DB2D8172B}" type="pres">
      <dgm:prSet presAssocID="{7299DBE1-5762-4960-9A7F-168209707C60}" presName="Name13" presStyleLbl="parChTrans1D2" presStyleIdx="4" presStyleCnt="22"/>
      <dgm:spPr/>
      <dgm:t>
        <a:bodyPr/>
        <a:lstStyle/>
        <a:p>
          <a:endParaRPr lang="es-CL"/>
        </a:p>
      </dgm:t>
    </dgm:pt>
    <dgm:pt modelId="{78B525D0-9401-4509-95F5-89A55399F7DC}" type="pres">
      <dgm:prSet presAssocID="{D1C37BAF-E33F-40A4-A5EB-1CB770F87A92}" presName="childText" presStyleLbl="bgAcc1" presStyleIdx="4" presStyleCnt="22">
        <dgm:presLayoutVars>
          <dgm:bulletEnabled val="1"/>
        </dgm:presLayoutVars>
      </dgm:prSet>
      <dgm:spPr/>
      <dgm:t>
        <a:bodyPr/>
        <a:lstStyle/>
        <a:p>
          <a:endParaRPr lang="es-CL"/>
        </a:p>
      </dgm:t>
    </dgm:pt>
    <dgm:pt modelId="{D103FB9E-C4D8-47A3-B201-9C844766C6FB}" type="pres">
      <dgm:prSet presAssocID="{04F3CFD7-6EF9-472D-90A5-0DF449AB795E}" presName="Name13" presStyleLbl="parChTrans1D2" presStyleIdx="5" presStyleCnt="22"/>
      <dgm:spPr/>
      <dgm:t>
        <a:bodyPr/>
        <a:lstStyle/>
        <a:p>
          <a:endParaRPr lang="es-CL"/>
        </a:p>
      </dgm:t>
    </dgm:pt>
    <dgm:pt modelId="{F36C8D1F-F39E-4B10-8E22-AD76AAF368AB}" type="pres">
      <dgm:prSet presAssocID="{54296CF1-1E7C-4D4B-AAA9-CF58C85ACCAF}" presName="childText" presStyleLbl="bgAcc1" presStyleIdx="5" presStyleCnt="22">
        <dgm:presLayoutVars>
          <dgm:bulletEnabled val="1"/>
        </dgm:presLayoutVars>
      </dgm:prSet>
      <dgm:spPr/>
      <dgm:t>
        <a:bodyPr/>
        <a:lstStyle/>
        <a:p>
          <a:endParaRPr lang="es-CL"/>
        </a:p>
      </dgm:t>
    </dgm:pt>
    <dgm:pt modelId="{19969FB1-D5C7-4289-B350-99C3C7C930FA}" type="pres">
      <dgm:prSet presAssocID="{19DC218E-0F53-4F03-A798-0068E2FD4412}" presName="Name13" presStyleLbl="parChTrans1D2" presStyleIdx="6" presStyleCnt="22"/>
      <dgm:spPr/>
      <dgm:t>
        <a:bodyPr/>
        <a:lstStyle/>
        <a:p>
          <a:endParaRPr lang="es-CL"/>
        </a:p>
      </dgm:t>
    </dgm:pt>
    <dgm:pt modelId="{5603AFFD-5AE9-4C5D-A381-BF38DF18045C}" type="pres">
      <dgm:prSet presAssocID="{9AE8A77E-D2E1-4D1B-9E99-E99CF7A0839F}" presName="childText" presStyleLbl="bgAcc1" presStyleIdx="6" presStyleCnt="22">
        <dgm:presLayoutVars>
          <dgm:bulletEnabled val="1"/>
        </dgm:presLayoutVars>
      </dgm:prSet>
      <dgm:spPr/>
      <dgm:t>
        <a:bodyPr/>
        <a:lstStyle/>
        <a:p>
          <a:endParaRPr lang="es-CL"/>
        </a:p>
      </dgm:t>
    </dgm:pt>
    <dgm:pt modelId="{5DBF48CA-E053-4ADC-9FCB-2F18D39C7F90}" type="pres">
      <dgm:prSet presAssocID="{8BDC94E4-0451-4E60-A6D8-09CACD6315BA}" presName="Name13" presStyleLbl="parChTrans1D2" presStyleIdx="7" presStyleCnt="22"/>
      <dgm:spPr/>
      <dgm:t>
        <a:bodyPr/>
        <a:lstStyle/>
        <a:p>
          <a:endParaRPr lang="es-CL"/>
        </a:p>
      </dgm:t>
    </dgm:pt>
    <dgm:pt modelId="{CF1E1759-83FE-4542-BA17-E8BEA0E047BA}" type="pres">
      <dgm:prSet presAssocID="{5F4E7182-B5B0-44C2-8097-89F74345F294}" presName="childText" presStyleLbl="bgAcc1" presStyleIdx="7" presStyleCnt="22">
        <dgm:presLayoutVars>
          <dgm:bulletEnabled val="1"/>
        </dgm:presLayoutVars>
      </dgm:prSet>
      <dgm:spPr/>
      <dgm:t>
        <a:bodyPr/>
        <a:lstStyle/>
        <a:p>
          <a:endParaRPr lang="es-CL"/>
        </a:p>
      </dgm:t>
    </dgm:pt>
    <dgm:pt modelId="{615C4564-0FE6-4D44-BC51-8BA425CE7DB3}" type="pres">
      <dgm:prSet presAssocID="{29D8FB97-E210-43D8-B8BF-CB7EE57ADC38}" presName="Name13" presStyleLbl="parChTrans1D2" presStyleIdx="8" presStyleCnt="22"/>
      <dgm:spPr/>
      <dgm:t>
        <a:bodyPr/>
        <a:lstStyle/>
        <a:p>
          <a:endParaRPr lang="es-CL"/>
        </a:p>
      </dgm:t>
    </dgm:pt>
    <dgm:pt modelId="{75DBE264-A5A1-4339-BE37-58F2CFF358F1}" type="pres">
      <dgm:prSet presAssocID="{1214407F-6EF2-4D6D-A21C-A4C3B2FCFF03}" presName="childText" presStyleLbl="bgAcc1" presStyleIdx="8" presStyleCnt="22">
        <dgm:presLayoutVars>
          <dgm:bulletEnabled val="1"/>
        </dgm:presLayoutVars>
      </dgm:prSet>
      <dgm:spPr/>
      <dgm:t>
        <a:bodyPr/>
        <a:lstStyle/>
        <a:p>
          <a:endParaRPr lang="es-CL"/>
        </a:p>
      </dgm:t>
    </dgm:pt>
    <dgm:pt modelId="{F657F0C8-2819-409E-8A4A-9DD157550E3D}" type="pres">
      <dgm:prSet presAssocID="{1624B35F-9466-4891-AD5C-0A683F87093D}" presName="Name13" presStyleLbl="parChTrans1D2" presStyleIdx="9" presStyleCnt="22"/>
      <dgm:spPr/>
      <dgm:t>
        <a:bodyPr/>
        <a:lstStyle/>
        <a:p>
          <a:endParaRPr lang="es-CL"/>
        </a:p>
      </dgm:t>
    </dgm:pt>
    <dgm:pt modelId="{05CB9851-C357-45F4-BE96-250B6625F4BF}" type="pres">
      <dgm:prSet presAssocID="{3749BD5E-DC41-41ED-993F-B4FE3A3E4B28}" presName="childText" presStyleLbl="bgAcc1" presStyleIdx="9" presStyleCnt="22">
        <dgm:presLayoutVars>
          <dgm:bulletEnabled val="1"/>
        </dgm:presLayoutVars>
      </dgm:prSet>
      <dgm:spPr/>
      <dgm:t>
        <a:bodyPr/>
        <a:lstStyle/>
        <a:p>
          <a:endParaRPr lang="es-CL"/>
        </a:p>
      </dgm:t>
    </dgm:pt>
    <dgm:pt modelId="{A4AB0E78-6D94-4737-A27C-99AAE441DA89}" type="pres">
      <dgm:prSet presAssocID="{A18C61E6-AB5E-4118-9C73-12ECEC6EA3C8}" presName="Name13" presStyleLbl="parChTrans1D2" presStyleIdx="10" presStyleCnt="22"/>
      <dgm:spPr/>
      <dgm:t>
        <a:bodyPr/>
        <a:lstStyle/>
        <a:p>
          <a:endParaRPr lang="es-CL"/>
        </a:p>
      </dgm:t>
    </dgm:pt>
    <dgm:pt modelId="{708A4090-AC0C-4D77-9F5D-8144C28EC26E}" type="pres">
      <dgm:prSet presAssocID="{A28E6847-AB3F-4CB9-9FEA-B1F4782D84D6}" presName="childText" presStyleLbl="bgAcc1" presStyleIdx="10" presStyleCnt="22">
        <dgm:presLayoutVars>
          <dgm:bulletEnabled val="1"/>
        </dgm:presLayoutVars>
      </dgm:prSet>
      <dgm:spPr/>
      <dgm:t>
        <a:bodyPr/>
        <a:lstStyle/>
        <a:p>
          <a:endParaRPr lang="es-CL"/>
        </a:p>
      </dgm:t>
    </dgm:pt>
    <dgm:pt modelId="{9060A926-DEE7-4670-BEB7-B591F8555811}" type="pres">
      <dgm:prSet presAssocID="{4E5DA964-17A4-4ABB-AF22-C475DC8ACC9A}" presName="root" presStyleCnt="0"/>
      <dgm:spPr/>
    </dgm:pt>
    <dgm:pt modelId="{944B3F7B-18BC-4C30-AA9B-A14BE6FE598E}" type="pres">
      <dgm:prSet presAssocID="{4E5DA964-17A4-4ABB-AF22-C475DC8ACC9A}" presName="rootComposite" presStyleCnt="0"/>
      <dgm:spPr/>
    </dgm:pt>
    <dgm:pt modelId="{C2EEA2BF-2A67-43BB-957B-8C27066543BE}" type="pres">
      <dgm:prSet presAssocID="{4E5DA964-17A4-4ABB-AF22-C475DC8ACC9A}" presName="rootText" presStyleLbl="node1" presStyleIdx="2" presStyleCnt="4"/>
      <dgm:spPr/>
      <dgm:t>
        <a:bodyPr/>
        <a:lstStyle/>
        <a:p>
          <a:endParaRPr lang="es-CL"/>
        </a:p>
      </dgm:t>
    </dgm:pt>
    <dgm:pt modelId="{D9C47B91-01EF-4501-9055-32DE32DD1E01}" type="pres">
      <dgm:prSet presAssocID="{4E5DA964-17A4-4ABB-AF22-C475DC8ACC9A}" presName="rootConnector" presStyleLbl="node1" presStyleIdx="2" presStyleCnt="4"/>
      <dgm:spPr/>
      <dgm:t>
        <a:bodyPr/>
        <a:lstStyle/>
        <a:p>
          <a:endParaRPr lang="es-CL"/>
        </a:p>
      </dgm:t>
    </dgm:pt>
    <dgm:pt modelId="{DA06F2B5-04E4-48C7-86DE-E3C57491BAD4}" type="pres">
      <dgm:prSet presAssocID="{4E5DA964-17A4-4ABB-AF22-C475DC8ACC9A}" presName="childShape" presStyleCnt="0"/>
      <dgm:spPr/>
    </dgm:pt>
    <dgm:pt modelId="{6CE5C7ED-F92A-46B2-9656-831ECA9CA32D}" type="pres">
      <dgm:prSet presAssocID="{3A3BC01A-44DB-4827-9FEA-96595C88704B}" presName="Name13" presStyleLbl="parChTrans1D2" presStyleIdx="11" presStyleCnt="22"/>
      <dgm:spPr/>
      <dgm:t>
        <a:bodyPr/>
        <a:lstStyle/>
        <a:p>
          <a:endParaRPr lang="es-CL"/>
        </a:p>
      </dgm:t>
    </dgm:pt>
    <dgm:pt modelId="{6E2D4613-217F-4995-8BF7-B2252E4ED39E}" type="pres">
      <dgm:prSet presAssocID="{F5DAA79C-41B2-4956-86F7-90479823F12C}" presName="childText" presStyleLbl="bgAcc1" presStyleIdx="11" presStyleCnt="22">
        <dgm:presLayoutVars>
          <dgm:bulletEnabled val="1"/>
        </dgm:presLayoutVars>
      </dgm:prSet>
      <dgm:spPr/>
      <dgm:t>
        <a:bodyPr/>
        <a:lstStyle/>
        <a:p>
          <a:endParaRPr lang="es-CL"/>
        </a:p>
      </dgm:t>
    </dgm:pt>
    <dgm:pt modelId="{5A74420C-D154-4CC5-A95D-7F0EA332C6FB}" type="pres">
      <dgm:prSet presAssocID="{6B16A919-D1FF-4D93-810F-15352C718B97}" presName="Name13" presStyleLbl="parChTrans1D2" presStyleIdx="12" presStyleCnt="22"/>
      <dgm:spPr/>
      <dgm:t>
        <a:bodyPr/>
        <a:lstStyle/>
        <a:p>
          <a:endParaRPr lang="es-CL"/>
        </a:p>
      </dgm:t>
    </dgm:pt>
    <dgm:pt modelId="{88122B9D-8139-4ACE-A6F2-8037D0D001FE}" type="pres">
      <dgm:prSet presAssocID="{35969047-78F6-41B1-9950-D297E635FEDB}" presName="childText" presStyleLbl="bgAcc1" presStyleIdx="12" presStyleCnt="22">
        <dgm:presLayoutVars>
          <dgm:bulletEnabled val="1"/>
        </dgm:presLayoutVars>
      </dgm:prSet>
      <dgm:spPr/>
      <dgm:t>
        <a:bodyPr/>
        <a:lstStyle/>
        <a:p>
          <a:endParaRPr lang="es-CL"/>
        </a:p>
      </dgm:t>
    </dgm:pt>
    <dgm:pt modelId="{8672BA74-D38E-47C6-9767-702FC05B4796}" type="pres">
      <dgm:prSet presAssocID="{24E5C447-88E2-4A2A-95FF-1469AAB56F56}" presName="Name13" presStyleLbl="parChTrans1D2" presStyleIdx="13" presStyleCnt="22"/>
      <dgm:spPr/>
      <dgm:t>
        <a:bodyPr/>
        <a:lstStyle/>
        <a:p>
          <a:endParaRPr lang="es-CL"/>
        </a:p>
      </dgm:t>
    </dgm:pt>
    <dgm:pt modelId="{6EABD8BF-4E60-4AA1-8C95-B5A352C92258}" type="pres">
      <dgm:prSet presAssocID="{9AB4BF6F-9271-470C-A219-35FF89196E08}" presName="childText" presStyleLbl="bgAcc1" presStyleIdx="13" presStyleCnt="22">
        <dgm:presLayoutVars>
          <dgm:bulletEnabled val="1"/>
        </dgm:presLayoutVars>
      </dgm:prSet>
      <dgm:spPr/>
      <dgm:t>
        <a:bodyPr/>
        <a:lstStyle/>
        <a:p>
          <a:endParaRPr lang="es-CL"/>
        </a:p>
      </dgm:t>
    </dgm:pt>
    <dgm:pt modelId="{66467A96-D0C4-4D96-A48C-C76D2D5388DC}" type="pres">
      <dgm:prSet presAssocID="{201BF8D3-2069-47A5-9D69-22EA21EBCD81}" presName="root" presStyleCnt="0"/>
      <dgm:spPr/>
    </dgm:pt>
    <dgm:pt modelId="{46E03A95-0FBF-43EE-B2E6-F26F93AFE709}" type="pres">
      <dgm:prSet presAssocID="{201BF8D3-2069-47A5-9D69-22EA21EBCD81}" presName="rootComposite" presStyleCnt="0"/>
      <dgm:spPr/>
    </dgm:pt>
    <dgm:pt modelId="{11CD4A67-1A27-4F69-8303-5842295C0121}" type="pres">
      <dgm:prSet presAssocID="{201BF8D3-2069-47A5-9D69-22EA21EBCD81}" presName="rootText" presStyleLbl="node1" presStyleIdx="3" presStyleCnt="4"/>
      <dgm:spPr/>
      <dgm:t>
        <a:bodyPr/>
        <a:lstStyle/>
        <a:p>
          <a:endParaRPr lang="es-CL"/>
        </a:p>
      </dgm:t>
    </dgm:pt>
    <dgm:pt modelId="{9F107148-4339-4E67-B556-7572721BB602}" type="pres">
      <dgm:prSet presAssocID="{201BF8D3-2069-47A5-9D69-22EA21EBCD81}" presName="rootConnector" presStyleLbl="node1" presStyleIdx="3" presStyleCnt="4"/>
      <dgm:spPr/>
      <dgm:t>
        <a:bodyPr/>
        <a:lstStyle/>
        <a:p>
          <a:endParaRPr lang="es-CL"/>
        </a:p>
      </dgm:t>
    </dgm:pt>
    <dgm:pt modelId="{94AF1DF3-15E2-4048-A001-8DBE262F6806}" type="pres">
      <dgm:prSet presAssocID="{201BF8D3-2069-47A5-9D69-22EA21EBCD81}" presName="childShape" presStyleCnt="0"/>
      <dgm:spPr/>
    </dgm:pt>
    <dgm:pt modelId="{E6CFD7B5-BEB8-4487-91B8-6077E2E4B8A5}" type="pres">
      <dgm:prSet presAssocID="{73D40895-A7B2-44CC-9F23-E15A250C3594}" presName="Name13" presStyleLbl="parChTrans1D2" presStyleIdx="14" presStyleCnt="22"/>
      <dgm:spPr/>
      <dgm:t>
        <a:bodyPr/>
        <a:lstStyle/>
        <a:p>
          <a:endParaRPr lang="es-CL"/>
        </a:p>
      </dgm:t>
    </dgm:pt>
    <dgm:pt modelId="{F6EB50E4-3670-434E-9FA5-1B2740274CE5}" type="pres">
      <dgm:prSet presAssocID="{872100AA-3676-4D57-B97D-34DE9DC86001}" presName="childText" presStyleLbl="bgAcc1" presStyleIdx="14" presStyleCnt="22">
        <dgm:presLayoutVars>
          <dgm:bulletEnabled val="1"/>
        </dgm:presLayoutVars>
      </dgm:prSet>
      <dgm:spPr/>
      <dgm:t>
        <a:bodyPr/>
        <a:lstStyle/>
        <a:p>
          <a:endParaRPr lang="es-CL"/>
        </a:p>
      </dgm:t>
    </dgm:pt>
    <dgm:pt modelId="{1D049DE2-3417-46E7-A654-C5462F7FD8FC}" type="pres">
      <dgm:prSet presAssocID="{E94C3B6A-D934-40C9-9F9C-1A42E01F30CF}" presName="Name13" presStyleLbl="parChTrans1D2" presStyleIdx="15" presStyleCnt="22"/>
      <dgm:spPr/>
      <dgm:t>
        <a:bodyPr/>
        <a:lstStyle/>
        <a:p>
          <a:endParaRPr lang="es-CL"/>
        </a:p>
      </dgm:t>
    </dgm:pt>
    <dgm:pt modelId="{126EA83D-6272-4596-A78D-7C85BCB94E1F}" type="pres">
      <dgm:prSet presAssocID="{8AFE3131-DE0A-49FF-B95B-04F3D063BC2D}" presName="childText" presStyleLbl="bgAcc1" presStyleIdx="15" presStyleCnt="22">
        <dgm:presLayoutVars>
          <dgm:bulletEnabled val="1"/>
        </dgm:presLayoutVars>
      </dgm:prSet>
      <dgm:spPr/>
      <dgm:t>
        <a:bodyPr/>
        <a:lstStyle/>
        <a:p>
          <a:endParaRPr lang="es-CL"/>
        </a:p>
      </dgm:t>
    </dgm:pt>
    <dgm:pt modelId="{61EB74DE-2E85-458F-B63B-07E533040FDE}" type="pres">
      <dgm:prSet presAssocID="{94BA3914-53FB-49A3-95BE-C2B4A7484BE4}" presName="Name13" presStyleLbl="parChTrans1D2" presStyleIdx="16" presStyleCnt="22"/>
      <dgm:spPr/>
      <dgm:t>
        <a:bodyPr/>
        <a:lstStyle/>
        <a:p>
          <a:endParaRPr lang="es-CL"/>
        </a:p>
      </dgm:t>
    </dgm:pt>
    <dgm:pt modelId="{99EF5348-60A0-4467-A2F0-E6705ACDC7D5}" type="pres">
      <dgm:prSet presAssocID="{834CFF88-17DE-429B-A2EE-9F14510FA0D2}" presName="childText" presStyleLbl="bgAcc1" presStyleIdx="16" presStyleCnt="22">
        <dgm:presLayoutVars>
          <dgm:bulletEnabled val="1"/>
        </dgm:presLayoutVars>
      </dgm:prSet>
      <dgm:spPr/>
      <dgm:t>
        <a:bodyPr/>
        <a:lstStyle/>
        <a:p>
          <a:endParaRPr lang="es-CL"/>
        </a:p>
      </dgm:t>
    </dgm:pt>
    <dgm:pt modelId="{0DBE81F7-1CFE-446B-89B7-FB9CF303A721}" type="pres">
      <dgm:prSet presAssocID="{2CD9D0F5-86CD-4310-9F66-91C9CE0479B7}" presName="Name13" presStyleLbl="parChTrans1D2" presStyleIdx="17" presStyleCnt="22"/>
      <dgm:spPr/>
      <dgm:t>
        <a:bodyPr/>
        <a:lstStyle/>
        <a:p>
          <a:endParaRPr lang="es-CL"/>
        </a:p>
      </dgm:t>
    </dgm:pt>
    <dgm:pt modelId="{1E11641E-68D6-4D30-B53B-ACC724C49555}" type="pres">
      <dgm:prSet presAssocID="{34A3A819-6BE7-4979-ADD1-4E56B782EEAE}" presName="childText" presStyleLbl="bgAcc1" presStyleIdx="17" presStyleCnt="22">
        <dgm:presLayoutVars>
          <dgm:bulletEnabled val="1"/>
        </dgm:presLayoutVars>
      </dgm:prSet>
      <dgm:spPr/>
      <dgm:t>
        <a:bodyPr/>
        <a:lstStyle/>
        <a:p>
          <a:endParaRPr lang="es-CL"/>
        </a:p>
      </dgm:t>
    </dgm:pt>
    <dgm:pt modelId="{AFFC6603-9F72-44CD-8052-DAD0891A7680}" type="pres">
      <dgm:prSet presAssocID="{8D5EAAF3-232C-4367-8BF7-C1317CE7F71B}" presName="Name13" presStyleLbl="parChTrans1D2" presStyleIdx="18" presStyleCnt="22"/>
      <dgm:spPr/>
      <dgm:t>
        <a:bodyPr/>
        <a:lstStyle/>
        <a:p>
          <a:endParaRPr lang="es-CL"/>
        </a:p>
      </dgm:t>
    </dgm:pt>
    <dgm:pt modelId="{C6627FF9-3EB5-45BD-A65F-5FF4F931BF14}" type="pres">
      <dgm:prSet presAssocID="{2F2C268D-4F61-425A-A4E3-D1E79EBD51E1}" presName="childText" presStyleLbl="bgAcc1" presStyleIdx="18" presStyleCnt="22">
        <dgm:presLayoutVars>
          <dgm:bulletEnabled val="1"/>
        </dgm:presLayoutVars>
      </dgm:prSet>
      <dgm:spPr/>
      <dgm:t>
        <a:bodyPr/>
        <a:lstStyle/>
        <a:p>
          <a:endParaRPr lang="es-CL"/>
        </a:p>
      </dgm:t>
    </dgm:pt>
    <dgm:pt modelId="{3D798659-B23B-4900-8746-305F965F3749}" type="pres">
      <dgm:prSet presAssocID="{1038FD5B-5890-4868-8B65-94932D964E6A}" presName="Name13" presStyleLbl="parChTrans1D2" presStyleIdx="19" presStyleCnt="22"/>
      <dgm:spPr/>
      <dgm:t>
        <a:bodyPr/>
        <a:lstStyle/>
        <a:p>
          <a:endParaRPr lang="es-CL"/>
        </a:p>
      </dgm:t>
    </dgm:pt>
    <dgm:pt modelId="{7CBB414A-9103-4FA0-9C9A-8A8EE0C3D336}" type="pres">
      <dgm:prSet presAssocID="{8B49C642-DA4C-459D-8F3C-3A01B8B49246}" presName="childText" presStyleLbl="bgAcc1" presStyleIdx="19" presStyleCnt="22">
        <dgm:presLayoutVars>
          <dgm:bulletEnabled val="1"/>
        </dgm:presLayoutVars>
      </dgm:prSet>
      <dgm:spPr/>
      <dgm:t>
        <a:bodyPr/>
        <a:lstStyle/>
        <a:p>
          <a:endParaRPr lang="es-CL"/>
        </a:p>
      </dgm:t>
    </dgm:pt>
    <dgm:pt modelId="{DAB3E981-25D6-4703-8DCB-9B76B9221F03}" type="pres">
      <dgm:prSet presAssocID="{F66FEC5E-747E-4ABD-B1EC-3518E93B597D}" presName="Name13" presStyleLbl="parChTrans1D2" presStyleIdx="20" presStyleCnt="22"/>
      <dgm:spPr/>
      <dgm:t>
        <a:bodyPr/>
        <a:lstStyle/>
        <a:p>
          <a:endParaRPr lang="es-CL"/>
        </a:p>
      </dgm:t>
    </dgm:pt>
    <dgm:pt modelId="{0622265F-B1AF-4C57-B05F-6B72A13CD9C7}" type="pres">
      <dgm:prSet presAssocID="{0E085AA1-1DBB-43AE-BD9C-76894E0BBCE5}" presName="childText" presStyleLbl="bgAcc1" presStyleIdx="20" presStyleCnt="22">
        <dgm:presLayoutVars>
          <dgm:bulletEnabled val="1"/>
        </dgm:presLayoutVars>
      </dgm:prSet>
      <dgm:spPr/>
      <dgm:t>
        <a:bodyPr/>
        <a:lstStyle/>
        <a:p>
          <a:endParaRPr lang="es-CL"/>
        </a:p>
      </dgm:t>
    </dgm:pt>
    <dgm:pt modelId="{EB9D4609-FE0B-400A-89A8-6DBAD4F06CDB}" type="pres">
      <dgm:prSet presAssocID="{6A4EF591-93E5-4FE3-BCB5-C234BE89BF20}" presName="Name13" presStyleLbl="parChTrans1D2" presStyleIdx="21" presStyleCnt="22"/>
      <dgm:spPr/>
      <dgm:t>
        <a:bodyPr/>
        <a:lstStyle/>
        <a:p>
          <a:endParaRPr lang="es-CL"/>
        </a:p>
      </dgm:t>
    </dgm:pt>
    <dgm:pt modelId="{823B0E46-F97B-4303-B311-6CFC3FA24DE4}" type="pres">
      <dgm:prSet presAssocID="{00BC754C-6A9E-4F35-85AD-92F707577884}" presName="childText" presStyleLbl="bgAcc1" presStyleIdx="21" presStyleCnt="22">
        <dgm:presLayoutVars>
          <dgm:bulletEnabled val="1"/>
        </dgm:presLayoutVars>
      </dgm:prSet>
      <dgm:spPr/>
      <dgm:t>
        <a:bodyPr/>
        <a:lstStyle/>
        <a:p>
          <a:endParaRPr lang="es-CL"/>
        </a:p>
      </dgm:t>
    </dgm:pt>
  </dgm:ptLst>
  <dgm:cxnLst>
    <dgm:cxn modelId="{E0CA46E8-8E60-4F1A-8767-94808736E04D}" srcId="{4E5DA964-17A4-4ABB-AF22-C475DC8ACC9A}" destId="{9AB4BF6F-9271-470C-A219-35FF89196E08}" srcOrd="2" destOrd="0" parTransId="{24E5C447-88E2-4A2A-95FF-1469AAB56F56}" sibTransId="{47BCDBDC-0C34-4A40-9460-118004DF4005}"/>
    <dgm:cxn modelId="{8358FE9D-4495-4225-9265-4E1B10AB012D}" type="presOf" srcId="{19DC218E-0F53-4F03-A798-0068E2FD4412}" destId="{19969FB1-D5C7-4289-B350-99C3C7C930FA}" srcOrd="0" destOrd="0" presId="urn:microsoft.com/office/officeart/2005/8/layout/hierarchy3"/>
    <dgm:cxn modelId="{36120CF4-525B-43D1-8B4B-EBE51050A440}" type="presOf" srcId="{A18C61E6-AB5E-4118-9C73-12ECEC6EA3C8}" destId="{A4AB0E78-6D94-4737-A27C-99AAE441DA89}" srcOrd="0" destOrd="0" presId="urn:microsoft.com/office/officeart/2005/8/layout/hierarchy3"/>
    <dgm:cxn modelId="{0AD4E38B-FE19-4A10-96B1-C45B824BBDC1}" srcId="{4C8F56B4-5DDB-4FC7-94C7-6592AB40C1AA}" destId="{5F4E7182-B5B0-44C2-8097-89F74345F294}" srcOrd="3" destOrd="0" parTransId="{8BDC94E4-0451-4E60-A6D8-09CACD6315BA}" sibTransId="{54B57D00-4142-43A5-A456-1AAB72E91D24}"/>
    <dgm:cxn modelId="{96601991-4B57-4F57-83B0-6F3481BB7223}" srcId="{201BF8D3-2069-47A5-9D69-22EA21EBCD81}" destId="{00BC754C-6A9E-4F35-85AD-92F707577884}" srcOrd="7" destOrd="0" parTransId="{6A4EF591-93E5-4FE3-BCB5-C234BE89BF20}" sibTransId="{55FB253D-C6A0-4688-8CE6-1E939CE34EBA}"/>
    <dgm:cxn modelId="{9A361F3A-8C3A-4B64-A4CA-6442AC62731F}" srcId="{7AE223C0-3097-4D9A-BE68-0BB652C9566A}" destId="{4C8F56B4-5DDB-4FC7-94C7-6592AB40C1AA}" srcOrd="1" destOrd="0" parTransId="{5F5944C5-ABCF-4E8B-9175-1DDB92C4FFB5}" sibTransId="{E62C8125-53DE-494B-957E-8B29EC3192C9}"/>
    <dgm:cxn modelId="{B7CB4ABD-3CF5-4452-886C-2D5F294DD563}" srcId="{86657E60-BF53-4B78-A3F6-19F38E18C299}" destId="{94AC9610-CE54-4A84-A634-2CB96D5AAF15}" srcOrd="2" destOrd="0" parTransId="{27563AD0-768B-4D71-B6E0-5147B658E8D4}" sibTransId="{0A522358-907B-44EF-B488-D8680D43BA0A}"/>
    <dgm:cxn modelId="{9166F3C1-52D7-4C8A-8627-4E0DF3775B71}" srcId="{4C8F56B4-5DDB-4FC7-94C7-6592AB40C1AA}" destId="{9AE8A77E-D2E1-4D1B-9E99-E99CF7A0839F}" srcOrd="2" destOrd="0" parTransId="{19DC218E-0F53-4F03-A798-0068E2FD4412}" sibTransId="{8C5D6FB2-A1BB-41A9-A0D3-186B954DC82F}"/>
    <dgm:cxn modelId="{B5746960-4D6C-4F81-ACE5-523EDA553DBF}" srcId="{201BF8D3-2069-47A5-9D69-22EA21EBCD81}" destId="{8B49C642-DA4C-459D-8F3C-3A01B8B49246}" srcOrd="5" destOrd="0" parTransId="{1038FD5B-5890-4868-8B65-94932D964E6A}" sibTransId="{D0913C66-84D2-49A9-9867-940CFF80E172}"/>
    <dgm:cxn modelId="{6F8D9810-B3A2-42FB-9042-1D4C4D7D4599}" srcId="{201BF8D3-2069-47A5-9D69-22EA21EBCD81}" destId="{34A3A819-6BE7-4979-ADD1-4E56B782EEAE}" srcOrd="3" destOrd="0" parTransId="{2CD9D0F5-86CD-4310-9F66-91C9CE0479B7}" sibTransId="{98FCA04A-3C68-4236-9AF8-141B47A05A30}"/>
    <dgm:cxn modelId="{01341401-C3D5-496F-ADD7-0F6248D4820B}" srcId="{4C8F56B4-5DDB-4FC7-94C7-6592AB40C1AA}" destId="{3749BD5E-DC41-41ED-993F-B4FE3A3E4B28}" srcOrd="5" destOrd="0" parTransId="{1624B35F-9466-4891-AD5C-0A683F87093D}" sibTransId="{8E63E39B-E964-43B8-B159-9C8D1DF6319C}"/>
    <dgm:cxn modelId="{378A78E4-B8A6-42D5-B818-99B385F9E722}" srcId="{201BF8D3-2069-47A5-9D69-22EA21EBCD81}" destId="{0E085AA1-1DBB-43AE-BD9C-76894E0BBCE5}" srcOrd="6" destOrd="0" parTransId="{F66FEC5E-747E-4ABD-B1EC-3518E93B597D}" sibTransId="{3D5837C3-462C-4340-BF6B-2D7AFDC426C6}"/>
    <dgm:cxn modelId="{2ADCF6DB-1B68-4137-83F7-8CDFDF6DCFA7}" type="presOf" srcId="{FDA5A473-CFC5-450B-ADD9-376AA4C67CEC}" destId="{6625C6DB-488E-49A2-86E8-29EE3D202202}" srcOrd="0" destOrd="0" presId="urn:microsoft.com/office/officeart/2005/8/layout/hierarchy3"/>
    <dgm:cxn modelId="{C2894E01-9FA0-4946-8D25-DA52B401A016}" type="presOf" srcId="{2F2C268D-4F61-425A-A4E3-D1E79EBD51E1}" destId="{C6627FF9-3EB5-45BD-A65F-5FF4F931BF14}" srcOrd="0" destOrd="0" presId="urn:microsoft.com/office/officeart/2005/8/layout/hierarchy3"/>
    <dgm:cxn modelId="{54EF53D3-2F5A-4747-B33B-072B53E6062B}" type="presOf" srcId="{34A3A819-6BE7-4979-ADD1-4E56B782EEAE}" destId="{1E11641E-68D6-4D30-B53B-ACC724C49555}" srcOrd="0" destOrd="0" presId="urn:microsoft.com/office/officeart/2005/8/layout/hierarchy3"/>
    <dgm:cxn modelId="{6B546F34-EC9D-403A-8C8F-EE88E4DBC505}" type="presOf" srcId="{8B49C642-DA4C-459D-8F3C-3A01B8B49246}" destId="{7CBB414A-9103-4FA0-9C9A-8A8EE0C3D336}" srcOrd="0" destOrd="0" presId="urn:microsoft.com/office/officeart/2005/8/layout/hierarchy3"/>
    <dgm:cxn modelId="{4DBD6736-8E5A-4205-992E-6DD40E978EF2}" type="presOf" srcId="{9927EFA2-E048-4DFA-B2C6-48D429A6CC9D}" destId="{2EF8CA90-B719-4C03-9B62-C401757FA8FE}" srcOrd="0" destOrd="0" presId="urn:microsoft.com/office/officeart/2005/8/layout/hierarchy3"/>
    <dgm:cxn modelId="{BF66A816-8E33-4D63-A71E-535C59843C8D}" type="presOf" srcId="{2CD9D0F5-86CD-4310-9F66-91C9CE0479B7}" destId="{0DBE81F7-1CFE-446B-89B7-FB9CF303A721}" srcOrd="0" destOrd="0" presId="urn:microsoft.com/office/officeart/2005/8/layout/hierarchy3"/>
    <dgm:cxn modelId="{4569EDBC-9ECE-4E2A-88E2-D88EC65B610E}" type="presOf" srcId="{9AB4BF6F-9271-470C-A219-35FF89196E08}" destId="{6EABD8BF-4E60-4AA1-8C95-B5A352C92258}" srcOrd="0" destOrd="0" presId="urn:microsoft.com/office/officeart/2005/8/layout/hierarchy3"/>
    <dgm:cxn modelId="{988345F1-0718-40F3-A686-80C90BB1F16B}" srcId="{201BF8D3-2069-47A5-9D69-22EA21EBCD81}" destId="{834CFF88-17DE-429B-A2EE-9F14510FA0D2}" srcOrd="2" destOrd="0" parTransId="{94BA3914-53FB-49A3-95BE-C2B4A7484BE4}" sibTransId="{896EC405-77CE-4C95-AD36-F8180A0252EB}"/>
    <dgm:cxn modelId="{99928296-5D1B-4243-A805-38BA0E5823C2}" type="presOf" srcId="{75A4F596-41B0-4C37-A6AE-6362CE64CFA4}" destId="{C8D589D2-CEF1-4ED8-8382-DC88D4A353D7}" srcOrd="0" destOrd="0" presId="urn:microsoft.com/office/officeart/2005/8/layout/hierarchy3"/>
    <dgm:cxn modelId="{472BD24C-39B9-4F5B-B1F3-8A03C6FBCC7D}" srcId="{201BF8D3-2069-47A5-9D69-22EA21EBCD81}" destId="{8AFE3131-DE0A-49FF-B95B-04F3D063BC2D}" srcOrd="1" destOrd="0" parTransId="{E94C3B6A-D934-40C9-9F9C-1A42E01F30CF}" sibTransId="{F78BCC1F-26C1-449F-A6F9-6D141A1C3FE9}"/>
    <dgm:cxn modelId="{09BEA4A8-445B-4A53-903B-BB0CA5D0F4ED}" type="presOf" srcId="{4E5DA964-17A4-4ABB-AF22-C475DC8ACC9A}" destId="{D9C47B91-01EF-4501-9055-32DE32DD1E01}" srcOrd="1" destOrd="0" presId="urn:microsoft.com/office/officeart/2005/8/layout/hierarchy3"/>
    <dgm:cxn modelId="{171FFA55-29D5-4BFB-A5D0-E543FACC5838}" type="presOf" srcId="{3749BD5E-DC41-41ED-993F-B4FE3A3E4B28}" destId="{05CB9851-C357-45F4-BE96-250B6625F4BF}" srcOrd="0" destOrd="0" presId="urn:microsoft.com/office/officeart/2005/8/layout/hierarchy3"/>
    <dgm:cxn modelId="{FDDE71C1-8546-411B-97C3-AEC3104EF266}" srcId="{86657E60-BF53-4B78-A3F6-19F38E18C299}" destId="{A049D925-FDF6-41CE-A4CD-4D963C75C312}" srcOrd="0" destOrd="0" parTransId="{810E038D-A145-4387-9427-BB4F69480CA6}" sibTransId="{60C7E677-E95F-4CE7-9A9F-AA467A601CD7}"/>
    <dgm:cxn modelId="{E13C1404-7CF8-4A9F-8300-540597F44C7D}" type="presOf" srcId="{94BA3914-53FB-49A3-95BE-C2B4A7484BE4}" destId="{61EB74DE-2E85-458F-B63B-07E533040FDE}" srcOrd="0" destOrd="0" presId="urn:microsoft.com/office/officeart/2005/8/layout/hierarchy3"/>
    <dgm:cxn modelId="{05F61DCC-79FC-45FC-A9BA-C8AFD3AF312E}" type="presOf" srcId="{24E5C447-88E2-4A2A-95FF-1469AAB56F56}" destId="{8672BA74-D38E-47C6-9767-702FC05B4796}" srcOrd="0" destOrd="0" presId="urn:microsoft.com/office/officeart/2005/8/layout/hierarchy3"/>
    <dgm:cxn modelId="{AFF306EE-029D-48FB-B93C-A0E5D7645183}" srcId="{4C8F56B4-5DDB-4FC7-94C7-6592AB40C1AA}" destId="{54296CF1-1E7C-4D4B-AAA9-CF58C85ACCAF}" srcOrd="1" destOrd="0" parTransId="{04F3CFD7-6EF9-472D-90A5-0DF449AB795E}" sibTransId="{B7583A12-5250-40E0-AAD8-22FDB61ADBAB}"/>
    <dgm:cxn modelId="{495465E5-1942-4558-837B-A7D73508E04D}" srcId="{4E5DA964-17A4-4ABB-AF22-C475DC8ACC9A}" destId="{35969047-78F6-41B1-9950-D297E635FEDB}" srcOrd="1" destOrd="0" parTransId="{6B16A919-D1FF-4D93-810F-15352C718B97}" sibTransId="{E4680D02-99EF-499F-A6B6-5E2E1E7DF417}"/>
    <dgm:cxn modelId="{9137AB47-98E7-493C-BB8F-D4925EC5CD9B}" type="presOf" srcId="{0E085AA1-1DBB-43AE-BD9C-76894E0BBCE5}" destId="{0622265F-B1AF-4C57-B05F-6B72A13CD9C7}" srcOrd="0" destOrd="0" presId="urn:microsoft.com/office/officeart/2005/8/layout/hierarchy3"/>
    <dgm:cxn modelId="{D36636EE-49D2-4EBD-A1E4-6FE84D32221B}" srcId="{4C8F56B4-5DDB-4FC7-94C7-6592AB40C1AA}" destId="{1214407F-6EF2-4D6D-A21C-A4C3B2FCFF03}" srcOrd="4" destOrd="0" parTransId="{29D8FB97-E210-43D8-B8BF-CB7EE57ADC38}" sibTransId="{12E385C8-9406-471C-A47C-C99B87C39C90}"/>
    <dgm:cxn modelId="{835F6119-CB39-4880-A850-23A2FB357965}" type="presOf" srcId="{7AE223C0-3097-4D9A-BE68-0BB652C9566A}" destId="{2F931443-2E25-49B7-9C17-70423742B963}" srcOrd="0" destOrd="0" presId="urn:microsoft.com/office/officeart/2005/8/layout/hierarchy3"/>
    <dgm:cxn modelId="{9C0D6A5C-5FC9-4FAC-A823-7564444EEC61}" type="presOf" srcId="{A28E6847-AB3F-4CB9-9FEA-B1F4782D84D6}" destId="{708A4090-AC0C-4D77-9F5D-8144C28EC26E}" srcOrd="0" destOrd="0" presId="urn:microsoft.com/office/officeart/2005/8/layout/hierarchy3"/>
    <dgm:cxn modelId="{BE3DEF21-8615-4BAF-AD3F-55D2856A220C}" type="presOf" srcId="{D1C37BAF-E33F-40A4-A5EB-1CB770F87A92}" destId="{78B525D0-9401-4509-95F5-89A55399F7DC}" srcOrd="0" destOrd="0" presId="urn:microsoft.com/office/officeart/2005/8/layout/hierarchy3"/>
    <dgm:cxn modelId="{BFECFB90-DE1F-40E6-B582-8BDE13792274}" type="presOf" srcId="{00BC754C-6A9E-4F35-85AD-92F707577884}" destId="{823B0E46-F97B-4303-B311-6CFC3FA24DE4}" srcOrd="0" destOrd="0" presId="urn:microsoft.com/office/officeart/2005/8/layout/hierarchy3"/>
    <dgm:cxn modelId="{95E3C0A4-C514-4B1D-98A6-7F5BF26A5B16}" srcId="{4C8F56B4-5DDB-4FC7-94C7-6592AB40C1AA}" destId="{A28E6847-AB3F-4CB9-9FEA-B1F4782D84D6}" srcOrd="6" destOrd="0" parTransId="{A18C61E6-AB5E-4118-9C73-12ECEC6EA3C8}" sibTransId="{6E59E861-4062-4583-B5D8-8FD36D5A72E6}"/>
    <dgm:cxn modelId="{54A89282-A342-44E5-A2E2-552DCC6E8C92}" type="presOf" srcId="{201BF8D3-2069-47A5-9D69-22EA21EBCD81}" destId="{9F107148-4339-4E67-B556-7572721BB602}" srcOrd="1" destOrd="0" presId="urn:microsoft.com/office/officeart/2005/8/layout/hierarchy3"/>
    <dgm:cxn modelId="{F797CFA2-95E1-435C-82A5-177CA0F788E4}" type="presOf" srcId="{73D40895-A7B2-44CC-9F23-E15A250C3594}" destId="{E6CFD7B5-BEB8-4487-91B8-6077E2E4B8A5}" srcOrd="0" destOrd="0" presId="urn:microsoft.com/office/officeart/2005/8/layout/hierarchy3"/>
    <dgm:cxn modelId="{F551B920-A30F-48B4-A63C-4E0C9D93903B}" type="presOf" srcId="{4C8F56B4-5DDB-4FC7-94C7-6592AB40C1AA}" destId="{3256001C-FA74-46DC-8042-B827706E7D90}" srcOrd="1" destOrd="0" presId="urn:microsoft.com/office/officeart/2005/8/layout/hierarchy3"/>
    <dgm:cxn modelId="{3AEB58D8-147F-40C3-B996-E51E73BA4A39}" type="presOf" srcId="{3A3BC01A-44DB-4827-9FEA-96595C88704B}" destId="{6CE5C7ED-F92A-46B2-9656-831ECA9CA32D}" srcOrd="0" destOrd="0" presId="urn:microsoft.com/office/officeart/2005/8/layout/hierarchy3"/>
    <dgm:cxn modelId="{8DF68334-2832-4963-8A69-B2CA07B521F2}" type="presOf" srcId="{F5DAA79C-41B2-4956-86F7-90479823F12C}" destId="{6E2D4613-217F-4995-8BF7-B2252E4ED39E}" srcOrd="0" destOrd="0" presId="urn:microsoft.com/office/officeart/2005/8/layout/hierarchy3"/>
    <dgm:cxn modelId="{6CBF6B5B-9E30-449A-8E22-BBDBC4198487}" type="presOf" srcId="{1038FD5B-5890-4868-8B65-94932D964E6A}" destId="{3D798659-B23B-4900-8746-305F965F3749}" srcOrd="0" destOrd="0" presId="urn:microsoft.com/office/officeart/2005/8/layout/hierarchy3"/>
    <dgm:cxn modelId="{973B1610-F277-405A-932F-EC173CC2B931}" type="presOf" srcId="{9AE8A77E-D2E1-4D1B-9E99-E99CF7A0839F}" destId="{5603AFFD-5AE9-4C5D-A381-BF38DF18045C}" srcOrd="0" destOrd="0" presId="urn:microsoft.com/office/officeart/2005/8/layout/hierarchy3"/>
    <dgm:cxn modelId="{6FA68ECA-E317-46B3-851D-7F1E35AE1182}" type="presOf" srcId="{27563AD0-768B-4D71-B6E0-5147B658E8D4}" destId="{715329C3-3E03-45AE-8A9F-275FD9ED0F85}" srcOrd="0" destOrd="0" presId="urn:microsoft.com/office/officeart/2005/8/layout/hierarchy3"/>
    <dgm:cxn modelId="{EA40B1F1-C4D9-44F7-88D6-4DF0F894D176}" type="presOf" srcId="{872100AA-3676-4D57-B97D-34DE9DC86001}" destId="{F6EB50E4-3670-434E-9FA5-1B2740274CE5}" srcOrd="0" destOrd="0" presId="urn:microsoft.com/office/officeart/2005/8/layout/hierarchy3"/>
    <dgm:cxn modelId="{646097F3-8FDF-4BA5-AC3E-7DE570F321CE}" type="presOf" srcId="{8AFE3131-DE0A-49FF-B95B-04F3D063BC2D}" destId="{126EA83D-6272-4596-A78D-7C85BCB94E1F}" srcOrd="0" destOrd="0" presId="urn:microsoft.com/office/officeart/2005/8/layout/hierarchy3"/>
    <dgm:cxn modelId="{69CC7B13-F97D-4C9C-8FDC-3FD9D06AA49A}" srcId="{201BF8D3-2069-47A5-9D69-22EA21EBCD81}" destId="{872100AA-3676-4D57-B97D-34DE9DC86001}" srcOrd="0" destOrd="0" parTransId="{73D40895-A7B2-44CC-9F23-E15A250C3594}" sibTransId="{6645E706-3760-4AFE-A5CA-48E7812170FE}"/>
    <dgm:cxn modelId="{5A8F6576-39DB-4ACE-859C-FA332C068FE8}" type="presOf" srcId="{4C8F56B4-5DDB-4FC7-94C7-6592AB40C1AA}" destId="{D2446104-3EA0-4C85-87BA-312BCFD96F45}" srcOrd="0" destOrd="0" presId="urn:microsoft.com/office/officeart/2005/8/layout/hierarchy3"/>
    <dgm:cxn modelId="{06DE760A-95CF-44C7-8D38-799617C20BE2}" type="presOf" srcId="{1624B35F-9466-4891-AD5C-0A683F87093D}" destId="{F657F0C8-2819-409E-8A4A-9DD157550E3D}" srcOrd="0" destOrd="0" presId="urn:microsoft.com/office/officeart/2005/8/layout/hierarchy3"/>
    <dgm:cxn modelId="{8684D25F-3ED2-4D97-A2B4-D0D9B3B4CA0E}" type="presOf" srcId="{6B16A919-D1FF-4D93-810F-15352C718B97}" destId="{5A74420C-D154-4CC5-A95D-7F0EA332C6FB}" srcOrd="0" destOrd="0" presId="urn:microsoft.com/office/officeart/2005/8/layout/hierarchy3"/>
    <dgm:cxn modelId="{49EE8032-C03F-4B50-AE73-8ADB2C79B1B2}" type="presOf" srcId="{834CFF88-17DE-429B-A2EE-9F14510FA0D2}" destId="{99EF5348-60A0-4467-A2F0-E6705ACDC7D5}" srcOrd="0" destOrd="0" presId="urn:microsoft.com/office/officeart/2005/8/layout/hierarchy3"/>
    <dgm:cxn modelId="{8B37B342-9DAC-4892-AFE2-DC553A185B91}" type="presOf" srcId="{E94C3B6A-D934-40C9-9F9C-1A42E01F30CF}" destId="{1D049DE2-3417-46E7-A654-C5462F7FD8FC}" srcOrd="0" destOrd="0" presId="urn:microsoft.com/office/officeart/2005/8/layout/hierarchy3"/>
    <dgm:cxn modelId="{EA242216-CC16-45F3-A7D1-7A371259FB16}" type="presOf" srcId="{7299DBE1-5762-4960-9A7F-168209707C60}" destId="{7603A070-B153-461B-81D5-6A0DB2D8172B}" srcOrd="0" destOrd="0" presId="urn:microsoft.com/office/officeart/2005/8/layout/hierarchy3"/>
    <dgm:cxn modelId="{28B78F9D-AECA-4BE5-892B-7FC49EF70F68}" type="presOf" srcId="{86657E60-BF53-4B78-A3F6-19F38E18C299}" destId="{1EC737DC-A185-4946-867A-572AD620E22E}" srcOrd="0" destOrd="0" presId="urn:microsoft.com/office/officeart/2005/8/layout/hierarchy3"/>
    <dgm:cxn modelId="{2B78BD17-AF16-4FC9-8517-04BEC8C4B754}" srcId="{86657E60-BF53-4B78-A3F6-19F38E18C299}" destId="{9927EFA2-E048-4DFA-B2C6-48D429A6CC9D}" srcOrd="3" destOrd="0" parTransId="{FDA5A473-CFC5-450B-ADD9-376AA4C67CEC}" sibTransId="{D3588116-A80E-4CC8-8E1E-DBB41F2E462A}"/>
    <dgm:cxn modelId="{F35402F5-B841-4F9E-A6AB-2DAA180CCE9E}" type="presOf" srcId="{54296CF1-1E7C-4D4B-AAA9-CF58C85ACCAF}" destId="{F36C8D1F-F39E-4B10-8E22-AD76AAF368AB}" srcOrd="0" destOrd="0" presId="urn:microsoft.com/office/officeart/2005/8/layout/hierarchy3"/>
    <dgm:cxn modelId="{0199427F-5627-44CE-845D-F60EB142E5FB}" type="presOf" srcId="{4E5DA964-17A4-4ABB-AF22-C475DC8ACC9A}" destId="{C2EEA2BF-2A67-43BB-957B-8C27066543BE}" srcOrd="0" destOrd="0" presId="urn:microsoft.com/office/officeart/2005/8/layout/hierarchy3"/>
    <dgm:cxn modelId="{D82809EC-AE86-4BB7-9D1B-7B1A506531A2}" srcId="{7AE223C0-3097-4D9A-BE68-0BB652C9566A}" destId="{86657E60-BF53-4B78-A3F6-19F38E18C299}" srcOrd="0" destOrd="0" parTransId="{B8D2505D-F7A2-4CAC-B810-C768473414AA}" sibTransId="{EBA5BCC3-F0D4-41CE-BA47-18557B5FA5F8}"/>
    <dgm:cxn modelId="{4A6F31F3-99B2-4EC6-8DA5-4D91839FB427}" srcId="{4E5DA964-17A4-4ABB-AF22-C475DC8ACC9A}" destId="{F5DAA79C-41B2-4956-86F7-90479823F12C}" srcOrd="0" destOrd="0" parTransId="{3A3BC01A-44DB-4827-9FEA-96595C88704B}" sibTransId="{F7F30AC3-B905-4F3C-AEA3-E02CAB412980}"/>
    <dgm:cxn modelId="{D6544054-5357-41EF-817A-33FE8FD9C284}" type="presOf" srcId="{327AA5BD-A2D8-43A1-B423-1A16D00BFF1C}" destId="{2D795005-5C26-4627-859C-68139AC17373}" srcOrd="0" destOrd="0" presId="urn:microsoft.com/office/officeart/2005/8/layout/hierarchy3"/>
    <dgm:cxn modelId="{26E02C70-A9E6-4DCB-8FF4-F37F2E04B98A}" srcId="{7AE223C0-3097-4D9A-BE68-0BB652C9566A}" destId="{201BF8D3-2069-47A5-9D69-22EA21EBCD81}" srcOrd="3" destOrd="0" parTransId="{856C7C17-81E8-49AB-8455-8B4BA09AF56C}" sibTransId="{9C123845-1F35-45EF-B678-8EF0B325E207}"/>
    <dgm:cxn modelId="{30C3D4A4-AFF1-4B4A-A451-64B466916E1F}" type="presOf" srcId="{35969047-78F6-41B1-9950-D297E635FEDB}" destId="{88122B9D-8139-4ACE-A6F2-8037D0D001FE}" srcOrd="0" destOrd="0" presId="urn:microsoft.com/office/officeart/2005/8/layout/hierarchy3"/>
    <dgm:cxn modelId="{8C0A321E-5F87-4993-B60B-545C99F99E8F}" srcId="{4C8F56B4-5DDB-4FC7-94C7-6592AB40C1AA}" destId="{D1C37BAF-E33F-40A4-A5EB-1CB770F87A92}" srcOrd="0" destOrd="0" parTransId="{7299DBE1-5762-4960-9A7F-168209707C60}" sibTransId="{E653F987-84A9-4550-B5D3-1A82C20F7AD1}"/>
    <dgm:cxn modelId="{9B5890E9-44E3-43BC-BE38-8C1616C40DCA}" type="presOf" srcId="{8D5EAAF3-232C-4367-8BF7-C1317CE7F71B}" destId="{AFFC6603-9F72-44CD-8052-DAD0891A7680}" srcOrd="0" destOrd="0" presId="urn:microsoft.com/office/officeart/2005/8/layout/hierarchy3"/>
    <dgm:cxn modelId="{AF442E26-17F3-41FA-BFE4-31420388A676}" type="presOf" srcId="{8BDC94E4-0451-4E60-A6D8-09CACD6315BA}" destId="{5DBF48CA-E053-4ADC-9FCB-2F18D39C7F90}" srcOrd="0" destOrd="0" presId="urn:microsoft.com/office/officeart/2005/8/layout/hierarchy3"/>
    <dgm:cxn modelId="{4D51EFF1-E112-4153-A668-4B141776EA62}" type="presOf" srcId="{A049D925-FDF6-41CE-A4CD-4D963C75C312}" destId="{6E440910-A3F8-43FB-B76D-AB8800A6969B}" srcOrd="0" destOrd="0" presId="urn:microsoft.com/office/officeart/2005/8/layout/hierarchy3"/>
    <dgm:cxn modelId="{79A11BF4-619F-4ADD-9DAC-D493158E3218}" type="presOf" srcId="{5F4E7182-B5B0-44C2-8097-89F74345F294}" destId="{CF1E1759-83FE-4542-BA17-E8BEA0E047BA}" srcOrd="0" destOrd="0" presId="urn:microsoft.com/office/officeart/2005/8/layout/hierarchy3"/>
    <dgm:cxn modelId="{D92A9F0E-E132-4329-825F-B08772AC75E0}" srcId="{7AE223C0-3097-4D9A-BE68-0BB652C9566A}" destId="{4E5DA964-17A4-4ABB-AF22-C475DC8ACC9A}" srcOrd="2" destOrd="0" parTransId="{2A6C9E78-B38C-4648-B912-30FD8303E326}" sibTransId="{F7B7FAF5-D6B0-468C-ADD3-78E694E769F9}"/>
    <dgm:cxn modelId="{A225F89B-2D51-4F3D-AC91-664F29D0F987}" type="presOf" srcId="{F66FEC5E-747E-4ABD-B1EC-3518E93B597D}" destId="{DAB3E981-25D6-4703-8DCB-9B76B9221F03}" srcOrd="0" destOrd="0" presId="urn:microsoft.com/office/officeart/2005/8/layout/hierarchy3"/>
    <dgm:cxn modelId="{33EA38E1-E59B-462D-8A2A-1CCA15EF819E}" type="presOf" srcId="{29D8FB97-E210-43D8-B8BF-CB7EE57ADC38}" destId="{615C4564-0FE6-4D44-BC51-8BA425CE7DB3}" srcOrd="0" destOrd="0" presId="urn:microsoft.com/office/officeart/2005/8/layout/hierarchy3"/>
    <dgm:cxn modelId="{BDC7E700-F8DF-488C-AFDB-D979F5365D7C}" type="presOf" srcId="{04F3CFD7-6EF9-472D-90A5-0DF449AB795E}" destId="{D103FB9E-C4D8-47A3-B201-9C844766C6FB}" srcOrd="0" destOrd="0" presId="urn:microsoft.com/office/officeart/2005/8/layout/hierarchy3"/>
    <dgm:cxn modelId="{15627BC2-6F75-464D-896C-922644F329D9}" type="presOf" srcId="{94AC9610-CE54-4A84-A634-2CB96D5AAF15}" destId="{C7E1D068-D452-4ED7-9251-F76E99DC17D2}" srcOrd="0" destOrd="0" presId="urn:microsoft.com/office/officeart/2005/8/layout/hierarchy3"/>
    <dgm:cxn modelId="{00A75F42-D516-4EEB-A810-D499412ABCD0}" type="presOf" srcId="{6A4EF591-93E5-4FE3-BCB5-C234BE89BF20}" destId="{EB9D4609-FE0B-400A-89A8-6DBAD4F06CDB}" srcOrd="0" destOrd="0" presId="urn:microsoft.com/office/officeart/2005/8/layout/hierarchy3"/>
    <dgm:cxn modelId="{94D180AD-AC36-4A1A-A35E-0F12B4362EC6}" type="presOf" srcId="{810E038D-A145-4387-9427-BB4F69480CA6}" destId="{A1F98B87-D9CB-4803-87BA-6D08F7B4C9DE}" srcOrd="0" destOrd="0" presId="urn:microsoft.com/office/officeart/2005/8/layout/hierarchy3"/>
    <dgm:cxn modelId="{FCB7AFD1-CE40-474A-8334-FA05092DB0A6}" srcId="{86657E60-BF53-4B78-A3F6-19F38E18C299}" destId="{327AA5BD-A2D8-43A1-B423-1A16D00BFF1C}" srcOrd="1" destOrd="0" parTransId="{75A4F596-41B0-4C37-A6AE-6362CE64CFA4}" sibTransId="{EB6D1132-23B0-4724-ABD6-0E83AFAAAFD1}"/>
    <dgm:cxn modelId="{A5AB21B8-A19B-4E6C-A0E2-212FE19ADE8F}" srcId="{201BF8D3-2069-47A5-9D69-22EA21EBCD81}" destId="{2F2C268D-4F61-425A-A4E3-D1E79EBD51E1}" srcOrd="4" destOrd="0" parTransId="{8D5EAAF3-232C-4367-8BF7-C1317CE7F71B}" sibTransId="{7B0E429D-61A0-4168-911C-7E47DC730331}"/>
    <dgm:cxn modelId="{4CCD32C5-22DB-450C-B318-171F782D20CD}" type="presOf" srcId="{201BF8D3-2069-47A5-9D69-22EA21EBCD81}" destId="{11CD4A67-1A27-4F69-8303-5842295C0121}" srcOrd="0" destOrd="0" presId="urn:microsoft.com/office/officeart/2005/8/layout/hierarchy3"/>
    <dgm:cxn modelId="{4E4DC24E-A65F-4DFF-A3E6-23FEA1DB970C}" type="presOf" srcId="{86657E60-BF53-4B78-A3F6-19F38E18C299}" destId="{310970EF-B943-49AC-AAAF-69B6899F6603}" srcOrd="1" destOrd="0" presId="urn:microsoft.com/office/officeart/2005/8/layout/hierarchy3"/>
    <dgm:cxn modelId="{A134A433-4680-4A58-BCF3-75819884FEA7}" type="presOf" srcId="{1214407F-6EF2-4D6D-A21C-A4C3B2FCFF03}" destId="{75DBE264-A5A1-4339-BE37-58F2CFF358F1}" srcOrd="0" destOrd="0" presId="urn:microsoft.com/office/officeart/2005/8/layout/hierarchy3"/>
    <dgm:cxn modelId="{DE1E62AD-2F79-47D9-9634-AF78168EA208}" type="presParOf" srcId="{2F931443-2E25-49B7-9C17-70423742B963}" destId="{159095F1-1A35-437F-AA4C-B4EF50A49C1C}" srcOrd="0" destOrd="0" presId="urn:microsoft.com/office/officeart/2005/8/layout/hierarchy3"/>
    <dgm:cxn modelId="{1EAC937A-562D-4529-9F43-758B625E9E91}" type="presParOf" srcId="{159095F1-1A35-437F-AA4C-B4EF50A49C1C}" destId="{E32CDCA6-455E-460A-8F71-C399AB501C85}" srcOrd="0" destOrd="0" presId="urn:microsoft.com/office/officeart/2005/8/layout/hierarchy3"/>
    <dgm:cxn modelId="{B292AEF8-8F96-446D-981C-DA9564FA0A94}" type="presParOf" srcId="{E32CDCA6-455E-460A-8F71-C399AB501C85}" destId="{1EC737DC-A185-4946-867A-572AD620E22E}" srcOrd="0" destOrd="0" presId="urn:microsoft.com/office/officeart/2005/8/layout/hierarchy3"/>
    <dgm:cxn modelId="{D60C5272-8518-4EA2-A046-AF234951C501}" type="presParOf" srcId="{E32CDCA6-455E-460A-8F71-C399AB501C85}" destId="{310970EF-B943-49AC-AAAF-69B6899F6603}" srcOrd="1" destOrd="0" presId="urn:microsoft.com/office/officeart/2005/8/layout/hierarchy3"/>
    <dgm:cxn modelId="{F42FB608-D197-40A0-AC80-18D1ABCAC35C}" type="presParOf" srcId="{159095F1-1A35-437F-AA4C-B4EF50A49C1C}" destId="{ABC04D5F-E121-498B-8DD8-4FC7F80B1167}" srcOrd="1" destOrd="0" presId="urn:microsoft.com/office/officeart/2005/8/layout/hierarchy3"/>
    <dgm:cxn modelId="{8E50C8C2-B0B2-4B08-9979-B384741C563A}" type="presParOf" srcId="{ABC04D5F-E121-498B-8DD8-4FC7F80B1167}" destId="{A1F98B87-D9CB-4803-87BA-6D08F7B4C9DE}" srcOrd="0" destOrd="0" presId="urn:microsoft.com/office/officeart/2005/8/layout/hierarchy3"/>
    <dgm:cxn modelId="{FB3DA5F6-D4F8-4B07-B9ED-ACD2F35357B0}" type="presParOf" srcId="{ABC04D5F-E121-498B-8DD8-4FC7F80B1167}" destId="{6E440910-A3F8-43FB-B76D-AB8800A6969B}" srcOrd="1" destOrd="0" presId="urn:microsoft.com/office/officeart/2005/8/layout/hierarchy3"/>
    <dgm:cxn modelId="{B249F021-3C55-42A2-89CC-5EF5695F06A7}" type="presParOf" srcId="{ABC04D5F-E121-498B-8DD8-4FC7F80B1167}" destId="{C8D589D2-CEF1-4ED8-8382-DC88D4A353D7}" srcOrd="2" destOrd="0" presId="urn:microsoft.com/office/officeart/2005/8/layout/hierarchy3"/>
    <dgm:cxn modelId="{079FC6FB-6D18-4DCE-ABFF-DCC78E27BBF4}" type="presParOf" srcId="{ABC04D5F-E121-498B-8DD8-4FC7F80B1167}" destId="{2D795005-5C26-4627-859C-68139AC17373}" srcOrd="3" destOrd="0" presId="urn:microsoft.com/office/officeart/2005/8/layout/hierarchy3"/>
    <dgm:cxn modelId="{35699C85-7018-447F-BC77-3D86EFE90BD7}" type="presParOf" srcId="{ABC04D5F-E121-498B-8DD8-4FC7F80B1167}" destId="{715329C3-3E03-45AE-8A9F-275FD9ED0F85}" srcOrd="4" destOrd="0" presId="urn:microsoft.com/office/officeart/2005/8/layout/hierarchy3"/>
    <dgm:cxn modelId="{CEF6BE5D-703C-44C7-BC20-9EE543E9D906}" type="presParOf" srcId="{ABC04D5F-E121-498B-8DD8-4FC7F80B1167}" destId="{C7E1D068-D452-4ED7-9251-F76E99DC17D2}" srcOrd="5" destOrd="0" presId="urn:microsoft.com/office/officeart/2005/8/layout/hierarchy3"/>
    <dgm:cxn modelId="{C4D33E65-4700-4DFA-9F01-08866BAB8FF8}" type="presParOf" srcId="{ABC04D5F-E121-498B-8DD8-4FC7F80B1167}" destId="{6625C6DB-488E-49A2-86E8-29EE3D202202}" srcOrd="6" destOrd="0" presId="urn:microsoft.com/office/officeart/2005/8/layout/hierarchy3"/>
    <dgm:cxn modelId="{C521822F-5681-4428-A986-049BD22D7AFA}" type="presParOf" srcId="{ABC04D5F-E121-498B-8DD8-4FC7F80B1167}" destId="{2EF8CA90-B719-4C03-9B62-C401757FA8FE}" srcOrd="7" destOrd="0" presId="urn:microsoft.com/office/officeart/2005/8/layout/hierarchy3"/>
    <dgm:cxn modelId="{36BADE3D-3711-48E7-8415-BE36402BF69C}" type="presParOf" srcId="{2F931443-2E25-49B7-9C17-70423742B963}" destId="{AB3F60AC-E8D9-4B45-804C-D9370AFF61F8}" srcOrd="1" destOrd="0" presId="urn:microsoft.com/office/officeart/2005/8/layout/hierarchy3"/>
    <dgm:cxn modelId="{D9A66739-BA2C-46A3-A68B-2826FA7AC03B}" type="presParOf" srcId="{AB3F60AC-E8D9-4B45-804C-D9370AFF61F8}" destId="{79AD248F-8460-40D2-BA57-F2C5806D3924}" srcOrd="0" destOrd="0" presId="urn:microsoft.com/office/officeart/2005/8/layout/hierarchy3"/>
    <dgm:cxn modelId="{29156BD8-D7C1-4AE2-B911-25128F0DD3D0}" type="presParOf" srcId="{79AD248F-8460-40D2-BA57-F2C5806D3924}" destId="{D2446104-3EA0-4C85-87BA-312BCFD96F45}" srcOrd="0" destOrd="0" presId="urn:microsoft.com/office/officeart/2005/8/layout/hierarchy3"/>
    <dgm:cxn modelId="{884EBF15-F05A-4CEF-B9FE-91397EFD6BF0}" type="presParOf" srcId="{79AD248F-8460-40D2-BA57-F2C5806D3924}" destId="{3256001C-FA74-46DC-8042-B827706E7D90}" srcOrd="1" destOrd="0" presId="urn:microsoft.com/office/officeart/2005/8/layout/hierarchy3"/>
    <dgm:cxn modelId="{744AF2EE-8491-47B4-9F47-62C070431D52}" type="presParOf" srcId="{AB3F60AC-E8D9-4B45-804C-D9370AFF61F8}" destId="{E68728C0-B579-42F8-8DB1-3F72BCC69542}" srcOrd="1" destOrd="0" presId="urn:microsoft.com/office/officeart/2005/8/layout/hierarchy3"/>
    <dgm:cxn modelId="{F40B7E10-24CC-45C4-9172-499F7777A7C6}" type="presParOf" srcId="{E68728C0-B579-42F8-8DB1-3F72BCC69542}" destId="{7603A070-B153-461B-81D5-6A0DB2D8172B}" srcOrd="0" destOrd="0" presId="urn:microsoft.com/office/officeart/2005/8/layout/hierarchy3"/>
    <dgm:cxn modelId="{798F923A-F52E-4A55-AD2A-74491B6A7472}" type="presParOf" srcId="{E68728C0-B579-42F8-8DB1-3F72BCC69542}" destId="{78B525D0-9401-4509-95F5-89A55399F7DC}" srcOrd="1" destOrd="0" presId="urn:microsoft.com/office/officeart/2005/8/layout/hierarchy3"/>
    <dgm:cxn modelId="{9062D40F-2F60-4E94-95A9-1DACAEE08038}" type="presParOf" srcId="{E68728C0-B579-42F8-8DB1-3F72BCC69542}" destId="{D103FB9E-C4D8-47A3-B201-9C844766C6FB}" srcOrd="2" destOrd="0" presId="urn:microsoft.com/office/officeart/2005/8/layout/hierarchy3"/>
    <dgm:cxn modelId="{8CB5C116-0BDA-413E-B3AE-5A625455B490}" type="presParOf" srcId="{E68728C0-B579-42F8-8DB1-3F72BCC69542}" destId="{F36C8D1F-F39E-4B10-8E22-AD76AAF368AB}" srcOrd="3" destOrd="0" presId="urn:microsoft.com/office/officeart/2005/8/layout/hierarchy3"/>
    <dgm:cxn modelId="{7CAB0445-28F6-47EE-8D33-8B88882BA496}" type="presParOf" srcId="{E68728C0-B579-42F8-8DB1-3F72BCC69542}" destId="{19969FB1-D5C7-4289-B350-99C3C7C930FA}" srcOrd="4" destOrd="0" presId="urn:microsoft.com/office/officeart/2005/8/layout/hierarchy3"/>
    <dgm:cxn modelId="{6585868A-E33F-4F6A-9B83-7B751895612B}" type="presParOf" srcId="{E68728C0-B579-42F8-8DB1-3F72BCC69542}" destId="{5603AFFD-5AE9-4C5D-A381-BF38DF18045C}" srcOrd="5" destOrd="0" presId="urn:microsoft.com/office/officeart/2005/8/layout/hierarchy3"/>
    <dgm:cxn modelId="{2B17DAC9-B15C-4D8B-8D95-D871213EF1C6}" type="presParOf" srcId="{E68728C0-B579-42F8-8DB1-3F72BCC69542}" destId="{5DBF48CA-E053-4ADC-9FCB-2F18D39C7F90}" srcOrd="6" destOrd="0" presId="urn:microsoft.com/office/officeart/2005/8/layout/hierarchy3"/>
    <dgm:cxn modelId="{9A7C6AE6-680C-4893-AA2C-5E42448DC285}" type="presParOf" srcId="{E68728C0-B579-42F8-8DB1-3F72BCC69542}" destId="{CF1E1759-83FE-4542-BA17-E8BEA0E047BA}" srcOrd="7" destOrd="0" presId="urn:microsoft.com/office/officeart/2005/8/layout/hierarchy3"/>
    <dgm:cxn modelId="{330A0A0E-A055-4C8E-9885-298787557920}" type="presParOf" srcId="{E68728C0-B579-42F8-8DB1-3F72BCC69542}" destId="{615C4564-0FE6-4D44-BC51-8BA425CE7DB3}" srcOrd="8" destOrd="0" presId="urn:microsoft.com/office/officeart/2005/8/layout/hierarchy3"/>
    <dgm:cxn modelId="{82F27DD8-41A4-4710-825C-86D376F7E899}" type="presParOf" srcId="{E68728C0-B579-42F8-8DB1-3F72BCC69542}" destId="{75DBE264-A5A1-4339-BE37-58F2CFF358F1}" srcOrd="9" destOrd="0" presId="urn:microsoft.com/office/officeart/2005/8/layout/hierarchy3"/>
    <dgm:cxn modelId="{F51D415A-63C1-44E6-B812-63E145119C01}" type="presParOf" srcId="{E68728C0-B579-42F8-8DB1-3F72BCC69542}" destId="{F657F0C8-2819-409E-8A4A-9DD157550E3D}" srcOrd="10" destOrd="0" presId="urn:microsoft.com/office/officeart/2005/8/layout/hierarchy3"/>
    <dgm:cxn modelId="{95EB5CBC-89D5-4FF2-A975-E0A1B9EF4F45}" type="presParOf" srcId="{E68728C0-B579-42F8-8DB1-3F72BCC69542}" destId="{05CB9851-C357-45F4-BE96-250B6625F4BF}" srcOrd="11" destOrd="0" presId="urn:microsoft.com/office/officeart/2005/8/layout/hierarchy3"/>
    <dgm:cxn modelId="{8D383A3D-D636-4331-BB4C-9C0FE3BB1B90}" type="presParOf" srcId="{E68728C0-B579-42F8-8DB1-3F72BCC69542}" destId="{A4AB0E78-6D94-4737-A27C-99AAE441DA89}" srcOrd="12" destOrd="0" presId="urn:microsoft.com/office/officeart/2005/8/layout/hierarchy3"/>
    <dgm:cxn modelId="{CAA630BE-D0A8-4941-B447-681A387E249D}" type="presParOf" srcId="{E68728C0-B579-42F8-8DB1-3F72BCC69542}" destId="{708A4090-AC0C-4D77-9F5D-8144C28EC26E}" srcOrd="13" destOrd="0" presId="urn:microsoft.com/office/officeart/2005/8/layout/hierarchy3"/>
    <dgm:cxn modelId="{8E5C9B42-2A2A-4385-B460-91BE1CEDC616}" type="presParOf" srcId="{2F931443-2E25-49B7-9C17-70423742B963}" destId="{9060A926-DEE7-4670-BEB7-B591F8555811}" srcOrd="2" destOrd="0" presId="urn:microsoft.com/office/officeart/2005/8/layout/hierarchy3"/>
    <dgm:cxn modelId="{1C406849-0EFC-49EE-8FFF-B4B21514BEAE}" type="presParOf" srcId="{9060A926-DEE7-4670-BEB7-B591F8555811}" destId="{944B3F7B-18BC-4C30-AA9B-A14BE6FE598E}" srcOrd="0" destOrd="0" presId="urn:microsoft.com/office/officeart/2005/8/layout/hierarchy3"/>
    <dgm:cxn modelId="{FD4C987E-18A7-4459-9E03-B4E3C98ED82C}" type="presParOf" srcId="{944B3F7B-18BC-4C30-AA9B-A14BE6FE598E}" destId="{C2EEA2BF-2A67-43BB-957B-8C27066543BE}" srcOrd="0" destOrd="0" presId="urn:microsoft.com/office/officeart/2005/8/layout/hierarchy3"/>
    <dgm:cxn modelId="{6DCC396F-0AB6-455B-8C8C-17837B8BACF8}" type="presParOf" srcId="{944B3F7B-18BC-4C30-AA9B-A14BE6FE598E}" destId="{D9C47B91-01EF-4501-9055-32DE32DD1E01}" srcOrd="1" destOrd="0" presId="urn:microsoft.com/office/officeart/2005/8/layout/hierarchy3"/>
    <dgm:cxn modelId="{62A0688B-9813-456C-8034-F87D70D40909}" type="presParOf" srcId="{9060A926-DEE7-4670-BEB7-B591F8555811}" destId="{DA06F2B5-04E4-48C7-86DE-E3C57491BAD4}" srcOrd="1" destOrd="0" presId="urn:microsoft.com/office/officeart/2005/8/layout/hierarchy3"/>
    <dgm:cxn modelId="{0D68D0D0-4261-4122-AEAD-A15B29912C90}" type="presParOf" srcId="{DA06F2B5-04E4-48C7-86DE-E3C57491BAD4}" destId="{6CE5C7ED-F92A-46B2-9656-831ECA9CA32D}" srcOrd="0" destOrd="0" presId="urn:microsoft.com/office/officeart/2005/8/layout/hierarchy3"/>
    <dgm:cxn modelId="{F5B5114F-E6EC-4945-A124-23E74FBF8A54}" type="presParOf" srcId="{DA06F2B5-04E4-48C7-86DE-E3C57491BAD4}" destId="{6E2D4613-217F-4995-8BF7-B2252E4ED39E}" srcOrd="1" destOrd="0" presId="urn:microsoft.com/office/officeart/2005/8/layout/hierarchy3"/>
    <dgm:cxn modelId="{FEBA219C-7BC2-4D78-984B-8509C47A2A53}" type="presParOf" srcId="{DA06F2B5-04E4-48C7-86DE-E3C57491BAD4}" destId="{5A74420C-D154-4CC5-A95D-7F0EA332C6FB}" srcOrd="2" destOrd="0" presId="urn:microsoft.com/office/officeart/2005/8/layout/hierarchy3"/>
    <dgm:cxn modelId="{4AB3A202-51A7-455E-AF11-E61D7CA118D2}" type="presParOf" srcId="{DA06F2B5-04E4-48C7-86DE-E3C57491BAD4}" destId="{88122B9D-8139-4ACE-A6F2-8037D0D001FE}" srcOrd="3" destOrd="0" presId="urn:microsoft.com/office/officeart/2005/8/layout/hierarchy3"/>
    <dgm:cxn modelId="{AD073A56-DCCE-4140-8C47-97BCF1EBE931}" type="presParOf" srcId="{DA06F2B5-04E4-48C7-86DE-E3C57491BAD4}" destId="{8672BA74-D38E-47C6-9767-702FC05B4796}" srcOrd="4" destOrd="0" presId="urn:microsoft.com/office/officeart/2005/8/layout/hierarchy3"/>
    <dgm:cxn modelId="{1B1F5643-2E0F-4BF1-964F-F84207D3ADA0}" type="presParOf" srcId="{DA06F2B5-04E4-48C7-86DE-E3C57491BAD4}" destId="{6EABD8BF-4E60-4AA1-8C95-B5A352C92258}" srcOrd="5" destOrd="0" presId="urn:microsoft.com/office/officeart/2005/8/layout/hierarchy3"/>
    <dgm:cxn modelId="{E1EEB03D-9C17-42A2-8DA5-8EB011DD7543}" type="presParOf" srcId="{2F931443-2E25-49B7-9C17-70423742B963}" destId="{66467A96-D0C4-4D96-A48C-C76D2D5388DC}" srcOrd="3" destOrd="0" presId="urn:microsoft.com/office/officeart/2005/8/layout/hierarchy3"/>
    <dgm:cxn modelId="{C477963B-9264-4722-B8E1-02066884354E}" type="presParOf" srcId="{66467A96-D0C4-4D96-A48C-C76D2D5388DC}" destId="{46E03A95-0FBF-43EE-B2E6-F26F93AFE709}" srcOrd="0" destOrd="0" presId="urn:microsoft.com/office/officeart/2005/8/layout/hierarchy3"/>
    <dgm:cxn modelId="{9DD4E286-ED33-4EB8-A99E-9FCB0865292B}" type="presParOf" srcId="{46E03A95-0FBF-43EE-B2E6-F26F93AFE709}" destId="{11CD4A67-1A27-4F69-8303-5842295C0121}" srcOrd="0" destOrd="0" presId="urn:microsoft.com/office/officeart/2005/8/layout/hierarchy3"/>
    <dgm:cxn modelId="{4CD42BB5-7C7F-4835-9049-90B5F0548E78}" type="presParOf" srcId="{46E03A95-0FBF-43EE-B2E6-F26F93AFE709}" destId="{9F107148-4339-4E67-B556-7572721BB602}" srcOrd="1" destOrd="0" presId="urn:microsoft.com/office/officeart/2005/8/layout/hierarchy3"/>
    <dgm:cxn modelId="{3734B7C5-ACF3-401A-9F54-70CB9941FEEF}" type="presParOf" srcId="{66467A96-D0C4-4D96-A48C-C76D2D5388DC}" destId="{94AF1DF3-15E2-4048-A001-8DBE262F6806}" srcOrd="1" destOrd="0" presId="urn:microsoft.com/office/officeart/2005/8/layout/hierarchy3"/>
    <dgm:cxn modelId="{C78726E0-D7E1-4E13-9EAE-E9D37B831F60}" type="presParOf" srcId="{94AF1DF3-15E2-4048-A001-8DBE262F6806}" destId="{E6CFD7B5-BEB8-4487-91B8-6077E2E4B8A5}" srcOrd="0" destOrd="0" presId="urn:microsoft.com/office/officeart/2005/8/layout/hierarchy3"/>
    <dgm:cxn modelId="{60B7CDD3-8957-4781-AFFF-4F8B1544EF62}" type="presParOf" srcId="{94AF1DF3-15E2-4048-A001-8DBE262F6806}" destId="{F6EB50E4-3670-434E-9FA5-1B2740274CE5}" srcOrd="1" destOrd="0" presId="urn:microsoft.com/office/officeart/2005/8/layout/hierarchy3"/>
    <dgm:cxn modelId="{21C940E1-30B0-4505-A7F5-695B536DD2A2}" type="presParOf" srcId="{94AF1DF3-15E2-4048-A001-8DBE262F6806}" destId="{1D049DE2-3417-46E7-A654-C5462F7FD8FC}" srcOrd="2" destOrd="0" presId="urn:microsoft.com/office/officeart/2005/8/layout/hierarchy3"/>
    <dgm:cxn modelId="{D0C76C71-4CEF-4C92-88EA-84A6E8E8EBC8}" type="presParOf" srcId="{94AF1DF3-15E2-4048-A001-8DBE262F6806}" destId="{126EA83D-6272-4596-A78D-7C85BCB94E1F}" srcOrd="3" destOrd="0" presId="urn:microsoft.com/office/officeart/2005/8/layout/hierarchy3"/>
    <dgm:cxn modelId="{08DF01A2-A367-4177-BC2A-B7346E6F02C6}" type="presParOf" srcId="{94AF1DF3-15E2-4048-A001-8DBE262F6806}" destId="{61EB74DE-2E85-458F-B63B-07E533040FDE}" srcOrd="4" destOrd="0" presId="urn:microsoft.com/office/officeart/2005/8/layout/hierarchy3"/>
    <dgm:cxn modelId="{050D1904-BC1E-4C8B-8E8A-15DE2D20DCD7}" type="presParOf" srcId="{94AF1DF3-15E2-4048-A001-8DBE262F6806}" destId="{99EF5348-60A0-4467-A2F0-E6705ACDC7D5}" srcOrd="5" destOrd="0" presId="urn:microsoft.com/office/officeart/2005/8/layout/hierarchy3"/>
    <dgm:cxn modelId="{05FBAB3D-F0DA-4A5D-A14C-331FBF67DD2D}" type="presParOf" srcId="{94AF1DF3-15E2-4048-A001-8DBE262F6806}" destId="{0DBE81F7-1CFE-446B-89B7-FB9CF303A721}" srcOrd="6" destOrd="0" presId="urn:microsoft.com/office/officeart/2005/8/layout/hierarchy3"/>
    <dgm:cxn modelId="{E1C28748-0A71-48D7-ACAB-7D86E7BA9B1F}" type="presParOf" srcId="{94AF1DF3-15E2-4048-A001-8DBE262F6806}" destId="{1E11641E-68D6-4D30-B53B-ACC724C49555}" srcOrd="7" destOrd="0" presId="urn:microsoft.com/office/officeart/2005/8/layout/hierarchy3"/>
    <dgm:cxn modelId="{3FB5DDF3-CE19-454E-B35E-AECFD281237F}" type="presParOf" srcId="{94AF1DF3-15E2-4048-A001-8DBE262F6806}" destId="{AFFC6603-9F72-44CD-8052-DAD0891A7680}" srcOrd="8" destOrd="0" presId="urn:microsoft.com/office/officeart/2005/8/layout/hierarchy3"/>
    <dgm:cxn modelId="{9F9AA154-DAFA-497F-8B98-C3F9873DC1EF}" type="presParOf" srcId="{94AF1DF3-15E2-4048-A001-8DBE262F6806}" destId="{C6627FF9-3EB5-45BD-A65F-5FF4F931BF14}" srcOrd="9" destOrd="0" presId="urn:microsoft.com/office/officeart/2005/8/layout/hierarchy3"/>
    <dgm:cxn modelId="{E23B0749-81A3-4012-89C4-7E290D2CECD8}" type="presParOf" srcId="{94AF1DF3-15E2-4048-A001-8DBE262F6806}" destId="{3D798659-B23B-4900-8746-305F965F3749}" srcOrd="10" destOrd="0" presId="urn:microsoft.com/office/officeart/2005/8/layout/hierarchy3"/>
    <dgm:cxn modelId="{FF2609D5-8DBE-438B-9634-3895F0DB399C}" type="presParOf" srcId="{94AF1DF3-15E2-4048-A001-8DBE262F6806}" destId="{7CBB414A-9103-4FA0-9C9A-8A8EE0C3D336}" srcOrd="11" destOrd="0" presId="urn:microsoft.com/office/officeart/2005/8/layout/hierarchy3"/>
    <dgm:cxn modelId="{1F38CDFE-F80C-4697-BDD1-8C9433E5BDF4}" type="presParOf" srcId="{94AF1DF3-15E2-4048-A001-8DBE262F6806}" destId="{DAB3E981-25D6-4703-8DCB-9B76B9221F03}" srcOrd="12" destOrd="0" presId="urn:microsoft.com/office/officeart/2005/8/layout/hierarchy3"/>
    <dgm:cxn modelId="{296601C8-6900-40D2-B3D4-5962B2430D08}" type="presParOf" srcId="{94AF1DF3-15E2-4048-A001-8DBE262F6806}" destId="{0622265F-B1AF-4C57-B05F-6B72A13CD9C7}" srcOrd="13" destOrd="0" presId="urn:microsoft.com/office/officeart/2005/8/layout/hierarchy3"/>
    <dgm:cxn modelId="{3C428A9C-9930-48F9-9DB2-931B361D0BCC}" type="presParOf" srcId="{94AF1DF3-15E2-4048-A001-8DBE262F6806}" destId="{EB9D4609-FE0B-400A-89A8-6DBAD4F06CDB}" srcOrd="14" destOrd="0" presId="urn:microsoft.com/office/officeart/2005/8/layout/hierarchy3"/>
    <dgm:cxn modelId="{F6A3CDDB-3C85-4B21-BC5E-2D47AD450D16}" type="presParOf" srcId="{94AF1DF3-15E2-4048-A001-8DBE262F6806}" destId="{823B0E46-F97B-4303-B311-6CFC3FA24DE4}" srcOrd="15" destOrd="0" presId="urn:microsoft.com/office/officeart/2005/8/layout/hierarchy3"/>
  </dgm:cxnLst>
  <dgm:bg/>
  <dgm:whole/>
  <dgm:extLst>
    <a:ext uri="http://schemas.microsoft.com/office/drawing/2008/diagram">
      <dsp:dataModelExt xmlns:dsp="http://schemas.microsoft.com/office/drawing/2008/diagram" relId="rId51"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0BAE0BDB-5E58-4C45-996D-5DBB44BB846C}" type="doc">
      <dgm:prSet loTypeId="urn:microsoft.com/office/officeart/2005/8/layout/hierarchy3" loCatId="list" qsTypeId="urn:microsoft.com/office/officeart/2005/8/quickstyle/simple1" qsCatId="simple" csTypeId="urn:microsoft.com/office/officeart/2005/8/colors/accent0_1" csCatId="mainScheme" phldr="1"/>
      <dgm:spPr/>
      <dgm:t>
        <a:bodyPr/>
        <a:lstStyle/>
        <a:p>
          <a:endParaRPr lang="es-CL"/>
        </a:p>
      </dgm:t>
    </dgm:pt>
    <dgm:pt modelId="{A2DF4CD9-DC68-4469-ABD5-4A5C4E6F0D5E}">
      <dgm:prSet phldrT="[Texto]" custT="1"/>
      <dgm:spPr/>
      <dgm:t>
        <a:bodyPr/>
        <a:lstStyle/>
        <a:p>
          <a:r>
            <a:rPr lang="es-CL" sz="1000">
              <a:latin typeface="Arial" panose="020B0604020202020204" pitchFamily="34" charset="0"/>
              <a:cs typeface="Arial" panose="020B0604020202020204" pitchFamily="34" charset="0"/>
            </a:rPr>
            <a:t>Patrimonio Identidad</a:t>
          </a:r>
        </a:p>
      </dgm:t>
    </dgm:pt>
    <dgm:pt modelId="{223647AF-4BF2-413E-8D4D-CADB4690CA86}" type="parTrans" cxnId="{C1123C97-9317-4013-8ED3-6C6BB1432617}">
      <dgm:prSet/>
      <dgm:spPr/>
      <dgm:t>
        <a:bodyPr/>
        <a:lstStyle/>
        <a:p>
          <a:endParaRPr lang="es-CL" sz="2400">
            <a:latin typeface="Arial" panose="020B0604020202020204" pitchFamily="34" charset="0"/>
            <a:cs typeface="Arial" panose="020B0604020202020204" pitchFamily="34" charset="0"/>
          </a:endParaRPr>
        </a:p>
      </dgm:t>
    </dgm:pt>
    <dgm:pt modelId="{C31F4B7E-93B8-4E6D-8857-F9CD12ED9511}" type="sibTrans" cxnId="{C1123C97-9317-4013-8ED3-6C6BB1432617}">
      <dgm:prSet/>
      <dgm:spPr/>
      <dgm:t>
        <a:bodyPr/>
        <a:lstStyle/>
        <a:p>
          <a:endParaRPr lang="es-CL" sz="2400">
            <a:latin typeface="Arial" panose="020B0604020202020204" pitchFamily="34" charset="0"/>
            <a:cs typeface="Arial" panose="020B0604020202020204" pitchFamily="34" charset="0"/>
          </a:endParaRPr>
        </a:p>
      </dgm:t>
    </dgm:pt>
    <dgm:pt modelId="{AA628A93-7EDA-4833-A1E4-B7200F19E831}">
      <dgm:prSet phldrT="[Texto]" custT="1"/>
      <dgm:spPr/>
      <dgm:t>
        <a:bodyPr/>
        <a:lstStyle/>
        <a:p>
          <a:r>
            <a:rPr lang="es-CL" sz="800">
              <a:latin typeface="Arial" panose="020B0604020202020204" pitchFamily="34" charset="0"/>
              <a:cs typeface="Arial" panose="020B0604020202020204" pitchFamily="34" charset="0"/>
            </a:rPr>
            <a:t>Asentamientos indígenas y mineros</a:t>
          </a:r>
        </a:p>
      </dgm:t>
    </dgm:pt>
    <dgm:pt modelId="{4B652F28-588A-4994-AC2F-59B0D32B7437}" type="parTrans" cxnId="{90BE2FF1-9ADE-4DC4-95AC-9734A525579A}">
      <dgm:prSet/>
      <dgm:spPr/>
      <dgm:t>
        <a:bodyPr/>
        <a:lstStyle/>
        <a:p>
          <a:endParaRPr lang="es-CL" sz="2400">
            <a:latin typeface="Arial" panose="020B0604020202020204" pitchFamily="34" charset="0"/>
            <a:cs typeface="Arial" panose="020B0604020202020204" pitchFamily="34" charset="0"/>
          </a:endParaRPr>
        </a:p>
      </dgm:t>
    </dgm:pt>
    <dgm:pt modelId="{F4910781-8ADF-4D4B-85C2-7A62CA33B940}" type="sibTrans" cxnId="{90BE2FF1-9ADE-4DC4-95AC-9734A525579A}">
      <dgm:prSet/>
      <dgm:spPr/>
      <dgm:t>
        <a:bodyPr/>
        <a:lstStyle/>
        <a:p>
          <a:endParaRPr lang="es-CL" sz="2400">
            <a:latin typeface="Arial" panose="020B0604020202020204" pitchFamily="34" charset="0"/>
            <a:cs typeface="Arial" panose="020B0604020202020204" pitchFamily="34" charset="0"/>
          </a:endParaRPr>
        </a:p>
      </dgm:t>
    </dgm:pt>
    <dgm:pt modelId="{294EC836-031D-419E-A644-4AA163B4468C}">
      <dgm:prSet phldrT="[Texto]" custT="1"/>
      <dgm:spPr/>
      <dgm:t>
        <a:bodyPr/>
        <a:lstStyle/>
        <a:p>
          <a:r>
            <a:rPr lang="es-CL" sz="800">
              <a:latin typeface="Arial" panose="020B0604020202020204" pitchFamily="34" charset="0"/>
              <a:cs typeface="Arial" panose="020B0604020202020204" pitchFamily="34" charset="0"/>
            </a:rPr>
            <a:t>Reforma Agraria</a:t>
          </a:r>
        </a:p>
      </dgm:t>
    </dgm:pt>
    <dgm:pt modelId="{D1B27366-1D9A-4C3E-8676-C9445EA50846}" type="parTrans" cxnId="{46790711-DF0A-4CB5-9CC5-2D77C128283D}">
      <dgm:prSet/>
      <dgm:spPr/>
      <dgm:t>
        <a:bodyPr/>
        <a:lstStyle/>
        <a:p>
          <a:endParaRPr lang="es-CL" sz="2400">
            <a:latin typeface="Arial" panose="020B0604020202020204" pitchFamily="34" charset="0"/>
            <a:cs typeface="Arial" panose="020B0604020202020204" pitchFamily="34" charset="0"/>
          </a:endParaRPr>
        </a:p>
      </dgm:t>
    </dgm:pt>
    <dgm:pt modelId="{D85525A4-B68F-4869-BF96-37FD16B80A2D}" type="sibTrans" cxnId="{46790711-DF0A-4CB5-9CC5-2D77C128283D}">
      <dgm:prSet/>
      <dgm:spPr/>
      <dgm:t>
        <a:bodyPr/>
        <a:lstStyle/>
        <a:p>
          <a:endParaRPr lang="es-CL" sz="2400">
            <a:latin typeface="Arial" panose="020B0604020202020204" pitchFamily="34" charset="0"/>
            <a:cs typeface="Arial" panose="020B0604020202020204" pitchFamily="34" charset="0"/>
          </a:endParaRPr>
        </a:p>
      </dgm:t>
    </dgm:pt>
    <dgm:pt modelId="{21523CCF-8AE6-4CE6-AB5A-B530D3809277}">
      <dgm:prSet phldrT="[Texto]" custT="1"/>
      <dgm:spPr/>
      <dgm:t>
        <a:bodyPr/>
        <a:lstStyle/>
        <a:p>
          <a:r>
            <a:rPr lang="es-CL" sz="1000">
              <a:latin typeface="Arial" panose="020B0604020202020204" pitchFamily="34" charset="0"/>
              <a:cs typeface="Arial" panose="020B0604020202020204" pitchFamily="34" charset="0"/>
            </a:rPr>
            <a:t>Medio Ambiente</a:t>
          </a:r>
        </a:p>
      </dgm:t>
    </dgm:pt>
    <dgm:pt modelId="{A5D8FCDB-55B0-40FB-86AC-DEC322DEFE3D}" type="parTrans" cxnId="{21CE8C9E-950D-4E45-BA19-B90E83C6926B}">
      <dgm:prSet/>
      <dgm:spPr/>
      <dgm:t>
        <a:bodyPr/>
        <a:lstStyle/>
        <a:p>
          <a:endParaRPr lang="es-CL" sz="2400">
            <a:latin typeface="Arial" panose="020B0604020202020204" pitchFamily="34" charset="0"/>
            <a:cs typeface="Arial" panose="020B0604020202020204" pitchFamily="34" charset="0"/>
          </a:endParaRPr>
        </a:p>
      </dgm:t>
    </dgm:pt>
    <dgm:pt modelId="{7AA1FE66-3BC1-4EC1-9630-8F5431312CFC}" type="sibTrans" cxnId="{21CE8C9E-950D-4E45-BA19-B90E83C6926B}">
      <dgm:prSet/>
      <dgm:spPr/>
      <dgm:t>
        <a:bodyPr/>
        <a:lstStyle/>
        <a:p>
          <a:endParaRPr lang="es-CL" sz="2400">
            <a:latin typeface="Arial" panose="020B0604020202020204" pitchFamily="34" charset="0"/>
            <a:cs typeface="Arial" panose="020B0604020202020204" pitchFamily="34" charset="0"/>
          </a:endParaRPr>
        </a:p>
      </dgm:t>
    </dgm:pt>
    <dgm:pt modelId="{FBC29B18-5D5D-47AA-88E9-6237A49473C2}">
      <dgm:prSet phldrT="[Texto]" custT="1"/>
      <dgm:spPr/>
      <dgm:t>
        <a:bodyPr/>
        <a:lstStyle/>
        <a:p>
          <a:r>
            <a:rPr lang="es-CL" sz="800">
              <a:latin typeface="Arial" panose="020B0604020202020204" pitchFamily="34" charset="0"/>
              <a:cs typeface="Arial" panose="020B0604020202020204" pitchFamily="34" charset="0"/>
            </a:rPr>
            <a:t>Contaminación Aire</a:t>
          </a:r>
        </a:p>
      </dgm:t>
    </dgm:pt>
    <dgm:pt modelId="{F89A3243-A813-48C0-8B85-BAF00771A527}" type="parTrans" cxnId="{A84240DE-7A66-435D-8656-692778503A6C}">
      <dgm:prSet/>
      <dgm:spPr/>
      <dgm:t>
        <a:bodyPr/>
        <a:lstStyle/>
        <a:p>
          <a:endParaRPr lang="es-CL" sz="2400">
            <a:latin typeface="Arial" panose="020B0604020202020204" pitchFamily="34" charset="0"/>
            <a:cs typeface="Arial" panose="020B0604020202020204" pitchFamily="34" charset="0"/>
          </a:endParaRPr>
        </a:p>
      </dgm:t>
    </dgm:pt>
    <dgm:pt modelId="{8226C704-BDE9-4CA7-A5D8-28B10B6F4BAD}" type="sibTrans" cxnId="{A84240DE-7A66-435D-8656-692778503A6C}">
      <dgm:prSet/>
      <dgm:spPr/>
      <dgm:t>
        <a:bodyPr/>
        <a:lstStyle/>
        <a:p>
          <a:endParaRPr lang="es-CL" sz="2400">
            <a:latin typeface="Arial" panose="020B0604020202020204" pitchFamily="34" charset="0"/>
            <a:cs typeface="Arial" panose="020B0604020202020204" pitchFamily="34" charset="0"/>
          </a:endParaRPr>
        </a:p>
      </dgm:t>
    </dgm:pt>
    <dgm:pt modelId="{781363B2-9464-4E88-AE51-B34071DC23DB}">
      <dgm:prSet phldrT="[Texto]" custT="1"/>
      <dgm:spPr/>
      <dgm:t>
        <a:bodyPr/>
        <a:lstStyle/>
        <a:p>
          <a:r>
            <a:rPr lang="es-CL" sz="800">
              <a:latin typeface="Arial" panose="020B0604020202020204" pitchFamily="34" charset="0"/>
              <a:cs typeface="Arial" panose="020B0604020202020204" pitchFamily="34" charset="0"/>
            </a:rPr>
            <a:t>Contaminación agua</a:t>
          </a:r>
        </a:p>
      </dgm:t>
    </dgm:pt>
    <dgm:pt modelId="{2E6F635D-EA49-49B0-BE9B-74DA4BEBC0AC}" type="parTrans" cxnId="{4CFDB8A5-2A7A-424A-B3E2-3D4D642641A7}">
      <dgm:prSet/>
      <dgm:spPr/>
      <dgm:t>
        <a:bodyPr/>
        <a:lstStyle/>
        <a:p>
          <a:endParaRPr lang="es-CL" sz="2400">
            <a:latin typeface="Arial" panose="020B0604020202020204" pitchFamily="34" charset="0"/>
            <a:cs typeface="Arial" panose="020B0604020202020204" pitchFamily="34" charset="0"/>
          </a:endParaRPr>
        </a:p>
      </dgm:t>
    </dgm:pt>
    <dgm:pt modelId="{AB28BCD4-B6AF-4FBC-9113-9AAA2E4DDF76}" type="sibTrans" cxnId="{4CFDB8A5-2A7A-424A-B3E2-3D4D642641A7}">
      <dgm:prSet/>
      <dgm:spPr/>
      <dgm:t>
        <a:bodyPr/>
        <a:lstStyle/>
        <a:p>
          <a:endParaRPr lang="es-CL" sz="2400">
            <a:latin typeface="Arial" panose="020B0604020202020204" pitchFamily="34" charset="0"/>
            <a:cs typeface="Arial" panose="020B0604020202020204" pitchFamily="34" charset="0"/>
          </a:endParaRPr>
        </a:p>
      </dgm:t>
    </dgm:pt>
    <dgm:pt modelId="{18B8B338-4C34-450E-B30B-50C95EC9CF19}">
      <dgm:prSet phldrT="[Texto]" custT="1"/>
      <dgm:spPr/>
      <dgm:t>
        <a:bodyPr/>
        <a:lstStyle/>
        <a:p>
          <a:r>
            <a:rPr lang="es-CL" sz="800">
              <a:latin typeface="Arial" panose="020B0604020202020204" pitchFamily="34" charset="0"/>
              <a:cs typeface="Arial" panose="020B0604020202020204" pitchFamily="34" charset="0"/>
            </a:rPr>
            <a:t>Fiestas locales religiosas</a:t>
          </a:r>
        </a:p>
      </dgm:t>
    </dgm:pt>
    <dgm:pt modelId="{4D3A4227-EEBA-43E3-AE32-D26260CF5DB8}" type="parTrans" cxnId="{3F779891-C739-44FC-B61D-066CA52AE33C}">
      <dgm:prSet/>
      <dgm:spPr/>
      <dgm:t>
        <a:bodyPr/>
        <a:lstStyle/>
        <a:p>
          <a:endParaRPr lang="es-CL" sz="2400">
            <a:latin typeface="Arial" panose="020B0604020202020204" pitchFamily="34" charset="0"/>
            <a:cs typeface="Arial" panose="020B0604020202020204" pitchFamily="34" charset="0"/>
          </a:endParaRPr>
        </a:p>
      </dgm:t>
    </dgm:pt>
    <dgm:pt modelId="{6CADA37F-5F57-4911-B37F-7341F8F0D80B}" type="sibTrans" cxnId="{3F779891-C739-44FC-B61D-066CA52AE33C}">
      <dgm:prSet/>
      <dgm:spPr/>
      <dgm:t>
        <a:bodyPr/>
        <a:lstStyle/>
        <a:p>
          <a:endParaRPr lang="es-CL" sz="2400">
            <a:latin typeface="Arial" panose="020B0604020202020204" pitchFamily="34" charset="0"/>
            <a:cs typeface="Arial" panose="020B0604020202020204" pitchFamily="34" charset="0"/>
          </a:endParaRPr>
        </a:p>
      </dgm:t>
    </dgm:pt>
    <dgm:pt modelId="{F7691CA4-EBBE-4DF4-A295-F47A57895884}">
      <dgm:prSet phldrT="[Texto]" custT="1"/>
      <dgm:spPr/>
      <dgm:t>
        <a:bodyPr/>
        <a:lstStyle/>
        <a:p>
          <a:r>
            <a:rPr lang="es-CL" sz="800">
              <a:latin typeface="Arial" panose="020B0604020202020204" pitchFamily="34" charset="0"/>
              <a:cs typeface="Arial" panose="020B0604020202020204" pitchFamily="34" charset="0"/>
            </a:rPr>
            <a:t>Reducidas iniciativas formento</a:t>
          </a:r>
        </a:p>
      </dgm:t>
    </dgm:pt>
    <dgm:pt modelId="{D12A9F36-99A8-45FF-B0C1-751443D1FB0D}" type="parTrans" cxnId="{00F693B2-99FD-4A4B-B764-CCAB3FD35B69}">
      <dgm:prSet/>
      <dgm:spPr/>
      <dgm:t>
        <a:bodyPr/>
        <a:lstStyle/>
        <a:p>
          <a:endParaRPr lang="es-CL" sz="2400">
            <a:latin typeface="Arial" panose="020B0604020202020204" pitchFamily="34" charset="0"/>
            <a:cs typeface="Arial" panose="020B0604020202020204" pitchFamily="34" charset="0"/>
          </a:endParaRPr>
        </a:p>
      </dgm:t>
    </dgm:pt>
    <dgm:pt modelId="{8AC7C40A-BF0B-4997-90A5-09631A02C0D5}" type="sibTrans" cxnId="{00F693B2-99FD-4A4B-B764-CCAB3FD35B69}">
      <dgm:prSet/>
      <dgm:spPr/>
      <dgm:t>
        <a:bodyPr/>
        <a:lstStyle/>
        <a:p>
          <a:endParaRPr lang="es-CL" sz="2400">
            <a:latin typeface="Arial" panose="020B0604020202020204" pitchFamily="34" charset="0"/>
            <a:cs typeface="Arial" panose="020B0604020202020204" pitchFamily="34" charset="0"/>
          </a:endParaRPr>
        </a:p>
      </dgm:t>
    </dgm:pt>
    <dgm:pt modelId="{F73AD7AA-5858-4E69-844D-3A89C31E1E45}">
      <dgm:prSet phldrT="[Texto]" custT="1"/>
      <dgm:spPr/>
      <dgm:t>
        <a:bodyPr/>
        <a:lstStyle/>
        <a:p>
          <a:r>
            <a:rPr lang="es-CL" sz="800">
              <a:latin typeface="Arial" panose="020B0604020202020204" pitchFamily="34" charset="0"/>
              <a:cs typeface="Arial" panose="020B0604020202020204" pitchFamily="34" charset="0"/>
            </a:rPr>
            <a:t>Contaminación suelo</a:t>
          </a:r>
        </a:p>
      </dgm:t>
    </dgm:pt>
    <dgm:pt modelId="{12CA8DBE-C61D-43A7-947F-5EF8D222C7A1}" type="parTrans" cxnId="{BC02F125-645A-43C2-88A9-A8A68520CBDA}">
      <dgm:prSet/>
      <dgm:spPr/>
      <dgm:t>
        <a:bodyPr/>
        <a:lstStyle/>
        <a:p>
          <a:endParaRPr lang="es-CL" sz="2400">
            <a:latin typeface="Arial" panose="020B0604020202020204" pitchFamily="34" charset="0"/>
            <a:cs typeface="Arial" panose="020B0604020202020204" pitchFamily="34" charset="0"/>
          </a:endParaRPr>
        </a:p>
      </dgm:t>
    </dgm:pt>
    <dgm:pt modelId="{29EAE62F-0ED0-4D60-BFF9-E0034ABB705D}" type="sibTrans" cxnId="{BC02F125-645A-43C2-88A9-A8A68520CBDA}">
      <dgm:prSet/>
      <dgm:spPr/>
      <dgm:t>
        <a:bodyPr/>
        <a:lstStyle/>
        <a:p>
          <a:endParaRPr lang="es-CL" sz="2400">
            <a:latin typeface="Arial" panose="020B0604020202020204" pitchFamily="34" charset="0"/>
            <a:cs typeface="Arial" panose="020B0604020202020204" pitchFamily="34" charset="0"/>
          </a:endParaRPr>
        </a:p>
      </dgm:t>
    </dgm:pt>
    <dgm:pt modelId="{81BB37A0-1C86-4DBC-B8AB-8C134E5BE30E}">
      <dgm:prSet phldrT="[Texto]" custT="1"/>
      <dgm:spPr/>
      <dgm:t>
        <a:bodyPr/>
        <a:lstStyle/>
        <a:p>
          <a:r>
            <a:rPr lang="es-CL" sz="800">
              <a:latin typeface="Arial" panose="020B0604020202020204" pitchFamily="34" charset="0"/>
              <a:cs typeface="Arial" panose="020B0604020202020204" pitchFamily="34" charset="0"/>
            </a:rPr>
            <a:t>Mitigación insuficiente</a:t>
          </a:r>
        </a:p>
      </dgm:t>
    </dgm:pt>
    <dgm:pt modelId="{FD75B518-47D9-4CFA-BD33-1C32053415B9}" type="parTrans" cxnId="{9B8D3560-21DC-47C1-8348-14B8E1122E2A}">
      <dgm:prSet/>
      <dgm:spPr/>
      <dgm:t>
        <a:bodyPr/>
        <a:lstStyle/>
        <a:p>
          <a:endParaRPr lang="es-CL" sz="2400">
            <a:latin typeface="Arial" panose="020B0604020202020204" pitchFamily="34" charset="0"/>
            <a:cs typeface="Arial" panose="020B0604020202020204" pitchFamily="34" charset="0"/>
          </a:endParaRPr>
        </a:p>
      </dgm:t>
    </dgm:pt>
    <dgm:pt modelId="{91D1775B-0034-4608-B547-B75D0246C66B}" type="sibTrans" cxnId="{9B8D3560-21DC-47C1-8348-14B8E1122E2A}">
      <dgm:prSet/>
      <dgm:spPr/>
      <dgm:t>
        <a:bodyPr/>
        <a:lstStyle/>
        <a:p>
          <a:endParaRPr lang="es-CL" sz="2400">
            <a:latin typeface="Arial" panose="020B0604020202020204" pitchFamily="34" charset="0"/>
            <a:cs typeface="Arial" panose="020B0604020202020204" pitchFamily="34" charset="0"/>
          </a:endParaRPr>
        </a:p>
      </dgm:t>
    </dgm:pt>
    <dgm:pt modelId="{A5FCA0B9-E1FF-4B48-A1CB-5DF5A6870BEB}">
      <dgm:prSet phldrT="[Texto]" custT="1"/>
      <dgm:spPr/>
      <dgm:t>
        <a:bodyPr/>
        <a:lstStyle/>
        <a:p>
          <a:r>
            <a:rPr lang="es-CL" sz="800">
              <a:latin typeface="Arial" panose="020B0604020202020204" pitchFamily="34" charset="0"/>
              <a:cs typeface="Arial" panose="020B0604020202020204" pitchFamily="34" charset="0"/>
            </a:rPr>
            <a:t>Riesgo colapso relave</a:t>
          </a:r>
        </a:p>
      </dgm:t>
    </dgm:pt>
    <dgm:pt modelId="{A8BA697B-A104-43A7-924C-BBA157F589AB}" type="parTrans" cxnId="{C0B68514-4EAC-49C5-84E8-B4F08B1FE2FB}">
      <dgm:prSet/>
      <dgm:spPr/>
      <dgm:t>
        <a:bodyPr/>
        <a:lstStyle/>
        <a:p>
          <a:endParaRPr lang="es-CL" sz="2400">
            <a:latin typeface="Arial" panose="020B0604020202020204" pitchFamily="34" charset="0"/>
            <a:cs typeface="Arial" panose="020B0604020202020204" pitchFamily="34" charset="0"/>
          </a:endParaRPr>
        </a:p>
      </dgm:t>
    </dgm:pt>
    <dgm:pt modelId="{F63AD08E-3C55-47CF-A9FB-F2E394794EFE}" type="sibTrans" cxnId="{C0B68514-4EAC-49C5-84E8-B4F08B1FE2FB}">
      <dgm:prSet/>
      <dgm:spPr/>
      <dgm:t>
        <a:bodyPr/>
        <a:lstStyle/>
        <a:p>
          <a:endParaRPr lang="es-CL" sz="2400">
            <a:latin typeface="Arial" panose="020B0604020202020204" pitchFamily="34" charset="0"/>
            <a:cs typeface="Arial" panose="020B0604020202020204" pitchFamily="34" charset="0"/>
          </a:endParaRPr>
        </a:p>
      </dgm:t>
    </dgm:pt>
    <dgm:pt modelId="{8D838214-9BBE-4D19-A90F-F98A94F00A72}">
      <dgm:prSet phldrT="[Texto]" custT="1"/>
      <dgm:spPr/>
      <dgm:t>
        <a:bodyPr/>
        <a:lstStyle/>
        <a:p>
          <a:r>
            <a:rPr lang="es-CL" sz="1000">
              <a:latin typeface="Arial" panose="020B0604020202020204" pitchFamily="34" charset="0"/>
              <a:cs typeface="Arial" panose="020B0604020202020204" pitchFamily="34" charset="0"/>
            </a:rPr>
            <a:t>Recurso Hídrico</a:t>
          </a:r>
        </a:p>
      </dgm:t>
    </dgm:pt>
    <dgm:pt modelId="{353102F2-5062-4CC9-AE7F-25253F164989}" type="parTrans" cxnId="{9B5FA03A-416B-4DBD-9886-E37241BBFD0D}">
      <dgm:prSet/>
      <dgm:spPr/>
      <dgm:t>
        <a:bodyPr/>
        <a:lstStyle/>
        <a:p>
          <a:endParaRPr lang="es-CL" sz="2400">
            <a:latin typeface="Arial" panose="020B0604020202020204" pitchFamily="34" charset="0"/>
            <a:cs typeface="Arial" panose="020B0604020202020204" pitchFamily="34" charset="0"/>
          </a:endParaRPr>
        </a:p>
      </dgm:t>
    </dgm:pt>
    <dgm:pt modelId="{7DC2139E-F4D2-4BBA-8BA6-515A5587B2B5}" type="sibTrans" cxnId="{9B5FA03A-416B-4DBD-9886-E37241BBFD0D}">
      <dgm:prSet/>
      <dgm:spPr/>
      <dgm:t>
        <a:bodyPr/>
        <a:lstStyle/>
        <a:p>
          <a:endParaRPr lang="es-CL" sz="2400">
            <a:latin typeface="Arial" panose="020B0604020202020204" pitchFamily="34" charset="0"/>
            <a:cs typeface="Arial" panose="020B0604020202020204" pitchFamily="34" charset="0"/>
          </a:endParaRPr>
        </a:p>
      </dgm:t>
    </dgm:pt>
    <dgm:pt modelId="{FA03F7ED-3EF2-4088-B174-3EC753ED37DC}">
      <dgm:prSet phldrT="[Texto]" custT="1"/>
      <dgm:spPr/>
      <dgm:t>
        <a:bodyPr/>
        <a:lstStyle/>
        <a:p>
          <a:r>
            <a:rPr lang="es-CL" sz="800">
              <a:latin typeface="Arial" panose="020B0604020202020204" pitchFamily="34" charset="0"/>
              <a:cs typeface="Arial" panose="020B0604020202020204" pitchFamily="34" charset="0"/>
            </a:rPr>
            <a:t>Limitante</a:t>
          </a:r>
        </a:p>
      </dgm:t>
    </dgm:pt>
    <dgm:pt modelId="{528FEB4A-B873-4733-AD85-CA13C78D4D1A}" type="parTrans" cxnId="{20207A03-256A-4EE1-811F-781C17246E77}">
      <dgm:prSet/>
      <dgm:spPr/>
      <dgm:t>
        <a:bodyPr/>
        <a:lstStyle/>
        <a:p>
          <a:endParaRPr lang="es-CL" sz="2400">
            <a:latin typeface="Arial" panose="020B0604020202020204" pitchFamily="34" charset="0"/>
            <a:cs typeface="Arial" panose="020B0604020202020204" pitchFamily="34" charset="0"/>
          </a:endParaRPr>
        </a:p>
      </dgm:t>
    </dgm:pt>
    <dgm:pt modelId="{3F6469EB-C4F6-424F-BF87-F1CA54119D9B}" type="sibTrans" cxnId="{20207A03-256A-4EE1-811F-781C17246E77}">
      <dgm:prSet/>
      <dgm:spPr/>
      <dgm:t>
        <a:bodyPr/>
        <a:lstStyle/>
        <a:p>
          <a:endParaRPr lang="es-CL" sz="2400">
            <a:latin typeface="Arial" panose="020B0604020202020204" pitchFamily="34" charset="0"/>
            <a:cs typeface="Arial" panose="020B0604020202020204" pitchFamily="34" charset="0"/>
          </a:endParaRPr>
        </a:p>
      </dgm:t>
    </dgm:pt>
    <dgm:pt modelId="{3AC62B98-6498-4E7B-B9A1-F92889DEC8C1}">
      <dgm:prSet phldrT="[Texto]" custT="1"/>
      <dgm:spPr/>
      <dgm:t>
        <a:bodyPr/>
        <a:lstStyle/>
        <a:p>
          <a:r>
            <a:rPr lang="es-CL" sz="800">
              <a:latin typeface="Arial" panose="020B0604020202020204" pitchFamily="34" charset="0"/>
              <a:cs typeface="Arial" panose="020B0604020202020204" pitchFamily="34" charset="0"/>
            </a:rPr>
            <a:t>Escasez, uso intensivo, cambio climático</a:t>
          </a:r>
        </a:p>
      </dgm:t>
    </dgm:pt>
    <dgm:pt modelId="{78934234-EC80-441D-9433-74EBB800B62C}" type="parTrans" cxnId="{9904FBF8-CD37-405E-B0F5-6DA415B0CBB2}">
      <dgm:prSet/>
      <dgm:spPr/>
      <dgm:t>
        <a:bodyPr/>
        <a:lstStyle/>
        <a:p>
          <a:endParaRPr lang="es-CL" sz="2400">
            <a:latin typeface="Arial" panose="020B0604020202020204" pitchFamily="34" charset="0"/>
            <a:cs typeface="Arial" panose="020B0604020202020204" pitchFamily="34" charset="0"/>
          </a:endParaRPr>
        </a:p>
      </dgm:t>
    </dgm:pt>
    <dgm:pt modelId="{54E3CAA1-3936-4270-B4E9-2E42C33841CA}" type="sibTrans" cxnId="{9904FBF8-CD37-405E-B0F5-6DA415B0CBB2}">
      <dgm:prSet/>
      <dgm:spPr/>
      <dgm:t>
        <a:bodyPr/>
        <a:lstStyle/>
        <a:p>
          <a:endParaRPr lang="es-CL" sz="2400">
            <a:latin typeface="Arial" panose="020B0604020202020204" pitchFamily="34" charset="0"/>
            <a:cs typeface="Arial" panose="020B0604020202020204" pitchFamily="34" charset="0"/>
          </a:endParaRPr>
        </a:p>
      </dgm:t>
    </dgm:pt>
    <dgm:pt modelId="{40F8B629-D3F6-400D-AD90-9A15721334CF}">
      <dgm:prSet phldrT="[Texto]" custT="1"/>
      <dgm:spPr/>
      <dgm:t>
        <a:bodyPr/>
        <a:lstStyle/>
        <a:p>
          <a:r>
            <a:rPr lang="es-CL" sz="800">
              <a:latin typeface="Arial" panose="020B0604020202020204" pitchFamily="34" charset="0"/>
              <a:cs typeface="Arial" panose="020B0604020202020204" pitchFamily="34" charset="0"/>
            </a:rPr>
            <a:t>Darechos de agua (Bien de consumo)</a:t>
          </a:r>
        </a:p>
      </dgm:t>
    </dgm:pt>
    <dgm:pt modelId="{9DD2622E-8EA4-47AF-BA7B-AA06CF5A739B}" type="parTrans" cxnId="{D0494663-EEDE-4D37-B1D0-EDF6388E5F14}">
      <dgm:prSet/>
      <dgm:spPr/>
      <dgm:t>
        <a:bodyPr/>
        <a:lstStyle/>
        <a:p>
          <a:endParaRPr lang="es-CL" sz="2400">
            <a:latin typeface="Arial" panose="020B0604020202020204" pitchFamily="34" charset="0"/>
            <a:cs typeface="Arial" panose="020B0604020202020204" pitchFamily="34" charset="0"/>
          </a:endParaRPr>
        </a:p>
      </dgm:t>
    </dgm:pt>
    <dgm:pt modelId="{75FCA6ED-F023-4443-9693-DFBCBE234F1C}" type="sibTrans" cxnId="{D0494663-EEDE-4D37-B1D0-EDF6388E5F14}">
      <dgm:prSet/>
      <dgm:spPr/>
      <dgm:t>
        <a:bodyPr/>
        <a:lstStyle/>
        <a:p>
          <a:endParaRPr lang="es-CL" sz="2400">
            <a:latin typeface="Arial" panose="020B0604020202020204" pitchFamily="34" charset="0"/>
            <a:cs typeface="Arial" panose="020B0604020202020204" pitchFamily="34" charset="0"/>
          </a:endParaRPr>
        </a:p>
      </dgm:t>
    </dgm:pt>
    <dgm:pt modelId="{8EC9E5F9-AEB7-4B84-BDCD-D8CD91671DE6}">
      <dgm:prSet phldrT="[Texto]" custT="1"/>
      <dgm:spPr/>
      <dgm:t>
        <a:bodyPr/>
        <a:lstStyle/>
        <a:p>
          <a:r>
            <a:rPr lang="es-CL" sz="800">
              <a:latin typeface="Arial" panose="020B0604020202020204" pitchFamily="34" charset="0"/>
              <a:cs typeface="Arial" panose="020B0604020202020204" pitchFamily="34" charset="0"/>
            </a:rPr>
            <a:t>Contaminado</a:t>
          </a:r>
        </a:p>
      </dgm:t>
    </dgm:pt>
    <dgm:pt modelId="{03D00840-FF47-464A-923D-41AFCD11849A}" type="parTrans" cxnId="{50321882-8DDA-4AB1-B9C6-CAAF42284F3D}">
      <dgm:prSet/>
      <dgm:spPr/>
      <dgm:t>
        <a:bodyPr/>
        <a:lstStyle/>
        <a:p>
          <a:endParaRPr lang="es-CL" sz="2400">
            <a:latin typeface="Arial" panose="020B0604020202020204" pitchFamily="34" charset="0"/>
            <a:cs typeface="Arial" panose="020B0604020202020204" pitchFamily="34" charset="0"/>
          </a:endParaRPr>
        </a:p>
      </dgm:t>
    </dgm:pt>
    <dgm:pt modelId="{A7890077-163A-4467-A24C-5A31CC3905E3}" type="sibTrans" cxnId="{50321882-8DDA-4AB1-B9C6-CAAF42284F3D}">
      <dgm:prSet/>
      <dgm:spPr/>
      <dgm:t>
        <a:bodyPr/>
        <a:lstStyle/>
        <a:p>
          <a:endParaRPr lang="es-CL" sz="2400">
            <a:latin typeface="Arial" panose="020B0604020202020204" pitchFamily="34" charset="0"/>
            <a:cs typeface="Arial" panose="020B0604020202020204" pitchFamily="34" charset="0"/>
          </a:endParaRPr>
        </a:p>
      </dgm:t>
    </dgm:pt>
    <dgm:pt modelId="{3CC01DAA-7596-446B-9DF1-E8A0AA1CF0E5}">
      <dgm:prSet phldrT="[Texto]" custT="1"/>
      <dgm:spPr/>
      <dgm:t>
        <a:bodyPr/>
        <a:lstStyle/>
        <a:p>
          <a:r>
            <a:rPr lang="es-CL" sz="800">
              <a:latin typeface="Arial" panose="020B0604020202020204" pitchFamily="34" charset="0"/>
              <a:cs typeface="Arial" panose="020B0604020202020204" pitchFamily="34" charset="0"/>
            </a:rPr>
            <a:t>Baja Eficiencia hídrica</a:t>
          </a:r>
        </a:p>
      </dgm:t>
    </dgm:pt>
    <dgm:pt modelId="{6EF5CF89-E288-4369-8109-68A25BF52300}" type="parTrans" cxnId="{458D3BF5-E916-4862-B4E8-6E8E85A9ADCC}">
      <dgm:prSet/>
      <dgm:spPr/>
      <dgm:t>
        <a:bodyPr/>
        <a:lstStyle/>
        <a:p>
          <a:endParaRPr lang="es-CL" sz="2400">
            <a:latin typeface="Arial" panose="020B0604020202020204" pitchFamily="34" charset="0"/>
            <a:cs typeface="Arial" panose="020B0604020202020204" pitchFamily="34" charset="0"/>
          </a:endParaRPr>
        </a:p>
      </dgm:t>
    </dgm:pt>
    <dgm:pt modelId="{AB12DE19-DB76-4CAA-ABA4-59CE71F9E7DA}" type="sibTrans" cxnId="{458D3BF5-E916-4862-B4E8-6E8E85A9ADCC}">
      <dgm:prSet/>
      <dgm:spPr/>
      <dgm:t>
        <a:bodyPr/>
        <a:lstStyle/>
        <a:p>
          <a:endParaRPr lang="es-CL" sz="2400">
            <a:latin typeface="Arial" panose="020B0604020202020204" pitchFamily="34" charset="0"/>
            <a:cs typeface="Arial" panose="020B0604020202020204" pitchFamily="34" charset="0"/>
          </a:endParaRPr>
        </a:p>
      </dgm:t>
    </dgm:pt>
    <dgm:pt modelId="{C1535D1F-73C6-4F9F-A14A-AA670AC4D4C0}">
      <dgm:prSet phldrT="[Texto]" custT="1"/>
      <dgm:spPr/>
      <dgm:t>
        <a:bodyPr/>
        <a:lstStyle/>
        <a:p>
          <a:r>
            <a:rPr lang="es-CL" sz="800">
              <a:latin typeface="Arial" panose="020B0604020202020204" pitchFamily="34" charset="0"/>
              <a:cs typeface="Arial" panose="020B0604020202020204" pitchFamily="34" charset="0"/>
            </a:rPr>
            <a:t>Falta asociación a territorio</a:t>
          </a:r>
        </a:p>
      </dgm:t>
    </dgm:pt>
    <dgm:pt modelId="{31FF1382-6CFF-4A18-8FBF-A12E49FAA7CB}" type="parTrans" cxnId="{C65F0370-0086-40C7-A680-A48F397AAA24}">
      <dgm:prSet/>
      <dgm:spPr/>
      <dgm:t>
        <a:bodyPr/>
        <a:lstStyle/>
        <a:p>
          <a:endParaRPr lang="es-CL" sz="2400">
            <a:latin typeface="Arial" panose="020B0604020202020204" pitchFamily="34" charset="0"/>
            <a:cs typeface="Arial" panose="020B0604020202020204" pitchFamily="34" charset="0"/>
          </a:endParaRPr>
        </a:p>
      </dgm:t>
    </dgm:pt>
    <dgm:pt modelId="{D9C813E5-937D-407F-9ED0-F3333F593773}" type="sibTrans" cxnId="{C65F0370-0086-40C7-A680-A48F397AAA24}">
      <dgm:prSet/>
      <dgm:spPr/>
      <dgm:t>
        <a:bodyPr/>
        <a:lstStyle/>
        <a:p>
          <a:endParaRPr lang="es-CL" sz="2400">
            <a:latin typeface="Arial" panose="020B0604020202020204" pitchFamily="34" charset="0"/>
            <a:cs typeface="Arial" panose="020B0604020202020204" pitchFamily="34" charset="0"/>
          </a:endParaRPr>
        </a:p>
      </dgm:t>
    </dgm:pt>
    <dgm:pt modelId="{829F5E65-32F1-475A-948C-C2B5C9EE2B52}">
      <dgm:prSet phldrT="[Texto]" custT="1"/>
      <dgm:spPr/>
      <dgm:t>
        <a:bodyPr/>
        <a:lstStyle/>
        <a:p>
          <a:r>
            <a:rPr lang="es-CL" sz="1000">
              <a:latin typeface="Arial" panose="020B0604020202020204" pitchFamily="34" charset="0"/>
              <a:cs typeface="Arial" panose="020B0604020202020204" pitchFamily="34" charset="0"/>
            </a:rPr>
            <a:t>Minería</a:t>
          </a:r>
        </a:p>
      </dgm:t>
    </dgm:pt>
    <dgm:pt modelId="{0E9F350D-0F19-4A6E-8644-4D02DDDC97FE}" type="parTrans" cxnId="{4BA2892B-7FC4-4A62-9FBA-2D450FEAE403}">
      <dgm:prSet/>
      <dgm:spPr/>
      <dgm:t>
        <a:bodyPr/>
        <a:lstStyle/>
        <a:p>
          <a:endParaRPr lang="es-CL" sz="2400">
            <a:latin typeface="Arial" panose="020B0604020202020204" pitchFamily="34" charset="0"/>
            <a:cs typeface="Arial" panose="020B0604020202020204" pitchFamily="34" charset="0"/>
          </a:endParaRPr>
        </a:p>
      </dgm:t>
    </dgm:pt>
    <dgm:pt modelId="{B5089562-4BB2-4C90-A1A0-62F32ACED6F5}" type="sibTrans" cxnId="{4BA2892B-7FC4-4A62-9FBA-2D450FEAE403}">
      <dgm:prSet/>
      <dgm:spPr/>
      <dgm:t>
        <a:bodyPr/>
        <a:lstStyle/>
        <a:p>
          <a:endParaRPr lang="es-CL" sz="2400">
            <a:latin typeface="Arial" panose="020B0604020202020204" pitchFamily="34" charset="0"/>
            <a:cs typeface="Arial" panose="020B0604020202020204" pitchFamily="34" charset="0"/>
          </a:endParaRPr>
        </a:p>
      </dgm:t>
    </dgm:pt>
    <dgm:pt modelId="{7CAD2C90-01EA-4523-B0EB-6A2F23ABE69C}">
      <dgm:prSet phldrT="[Texto]" custT="1"/>
      <dgm:spPr/>
      <dgm:t>
        <a:bodyPr/>
        <a:lstStyle/>
        <a:p>
          <a:r>
            <a:rPr lang="es-CL" sz="800">
              <a:latin typeface="Arial" panose="020B0604020202020204" pitchFamily="34" charset="0"/>
              <a:cs typeface="Arial" panose="020B0604020202020204" pitchFamily="34" charset="0"/>
            </a:rPr>
            <a:t>Gran minería</a:t>
          </a:r>
        </a:p>
      </dgm:t>
    </dgm:pt>
    <dgm:pt modelId="{7CDB37FE-2938-490D-B295-664B89CF517B}" type="parTrans" cxnId="{048A5F66-DEE1-4F89-A881-A8DD29465AAE}">
      <dgm:prSet/>
      <dgm:spPr/>
      <dgm:t>
        <a:bodyPr/>
        <a:lstStyle/>
        <a:p>
          <a:endParaRPr lang="es-CL" sz="2400">
            <a:latin typeface="Arial" panose="020B0604020202020204" pitchFamily="34" charset="0"/>
            <a:cs typeface="Arial" panose="020B0604020202020204" pitchFamily="34" charset="0"/>
          </a:endParaRPr>
        </a:p>
      </dgm:t>
    </dgm:pt>
    <dgm:pt modelId="{7A300DB4-C0CE-4412-BBEE-D45F43F5CB16}" type="sibTrans" cxnId="{048A5F66-DEE1-4F89-A881-A8DD29465AAE}">
      <dgm:prSet/>
      <dgm:spPr/>
      <dgm:t>
        <a:bodyPr/>
        <a:lstStyle/>
        <a:p>
          <a:endParaRPr lang="es-CL" sz="2400">
            <a:latin typeface="Arial" panose="020B0604020202020204" pitchFamily="34" charset="0"/>
            <a:cs typeface="Arial" panose="020B0604020202020204" pitchFamily="34" charset="0"/>
          </a:endParaRPr>
        </a:p>
      </dgm:t>
    </dgm:pt>
    <dgm:pt modelId="{B6E0F3E8-1402-4F0F-958E-1333C5B9BB96}">
      <dgm:prSet phldrT="[Texto]" custT="1"/>
      <dgm:spPr/>
      <dgm:t>
        <a:bodyPr/>
        <a:lstStyle/>
        <a:p>
          <a:r>
            <a:rPr lang="es-CL" sz="800">
              <a:latin typeface="Arial" panose="020B0604020202020204" pitchFamily="34" charset="0"/>
              <a:cs typeface="Arial" panose="020B0604020202020204" pitchFamily="34" charset="0"/>
            </a:rPr>
            <a:t>Actividad contaminante</a:t>
          </a:r>
        </a:p>
      </dgm:t>
    </dgm:pt>
    <dgm:pt modelId="{9CA71AD0-6E21-4528-B381-49C90524ADAB}" type="parTrans" cxnId="{66ADAE77-A181-4BAF-9CF8-215B17F8AB6D}">
      <dgm:prSet/>
      <dgm:spPr/>
      <dgm:t>
        <a:bodyPr/>
        <a:lstStyle/>
        <a:p>
          <a:endParaRPr lang="es-CL" sz="2400">
            <a:latin typeface="Arial" panose="020B0604020202020204" pitchFamily="34" charset="0"/>
            <a:cs typeface="Arial" panose="020B0604020202020204" pitchFamily="34" charset="0"/>
          </a:endParaRPr>
        </a:p>
      </dgm:t>
    </dgm:pt>
    <dgm:pt modelId="{4CC05388-F93A-4373-B81D-C6F63EB100A8}" type="sibTrans" cxnId="{66ADAE77-A181-4BAF-9CF8-215B17F8AB6D}">
      <dgm:prSet/>
      <dgm:spPr/>
      <dgm:t>
        <a:bodyPr/>
        <a:lstStyle/>
        <a:p>
          <a:endParaRPr lang="es-CL" sz="2400">
            <a:latin typeface="Arial" panose="020B0604020202020204" pitchFamily="34" charset="0"/>
            <a:cs typeface="Arial" panose="020B0604020202020204" pitchFamily="34" charset="0"/>
          </a:endParaRPr>
        </a:p>
      </dgm:t>
    </dgm:pt>
    <dgm:pt modelId="{157E08F9-1345-4B9D-882B-59BF41A0F528}">
      <dgm:prSet phldrT="[Texto]" custT="1"/>
      <dgm:spPr/>
      <dgm:t>
        <a:bodyPr/>
        <a:lstStyle/>
        <a:p>
          <a:r>
            <a:rPr lang="es-CL" sz="800">
              <a:latin typeface="Arial" panose="020B0604020202020204" pitchFamily="34" charset="0"/>
              <a:cs typeface="Arial" panose="020B0604020202020204" pitchFamily="34" charset="0"/>
            </a:rPr>
            <a:t>Desconfianza, desinformación</a:t>
          </a:r>
        </a:p>
      </dgm:t>
    </dgm:pt>
    <dgm:pt modelId="{BF4D1C6A-E8F2-4568-8EFA-B186BEF33B16}" type="parTrans" cxnId="{9C44DB92-9B2D-44AC-97D4-08C3BF500EF6}">
      <dgm:prSet/>
      <dgm:spPr/>
      <dgm:t>
        <a:bodyPr/>
        <a:lstStyle/>
        <a:p>
          <a:endParaRPr lang="es-CL" sz="2400">
            <a:latin typeface="Arial" panose="020B0604020202020204" pitchFamily="34" charset="0"/>
            <a:cs typeface="Arial" panose="020B0604020202020204" pitchFamily="34" charset="0"/>
          </a:endParaRPr>
        </a:p>
      </dgm:t>
    </dgm:pt>
    <dgm:pt modelId="{C297BD2A-4DC4-4BC4-8F01-059D138FE3FB}" type="sibTrans" cxnId="{9C44DB92-9B2D-44AC-97D4-08C3BF500EF6}">
      <dgm:prSet/>
      <dgm:spPr/>
      <dgm:t>
        <a:bodyPr/>
        <a:lstStyle/>
        <a:p>
          <a:endParaRPr lang="es-CL" sz="2400">
            <a:latin typeface="Arial" panose="020B0604020202020204" pitchFamily="34" charset="0"/>
            <a:cs typeface="Arial" panose="020B0604020202020204" pitchFamily="34" charset="0"/>
          </a:endParaRPr>
        </a:p>
      </dgm:t>
    </dgm:pt>
    <dgm:pt modelId="{3C128094-1249-486A-BA25-1D8CD46A75B7}">
      <dgm:prSet phldrT="[Texto]" custT="1"/>
      <dgm:spPr/>
      <dgm:t>
        <a:bodyPr/>
        <a:lstStyle/>
        <a:p>
          <a:r>
            <a:rPr lang="es-CL" sz="800">
              <a:latin typeface="Arial" panose="020B0604020202020204" pitchFamily="34" charset="0"/>
              <a:cs typeface="Arial" panose="020B0604020202020204" pitchFamily="34" charset="0"/>
            </a:rPr>
            <a:t>Oportunidad laboral, mejora condiciones socioeconómicas</a:t>
          </a:r>
        </a:p>
      </dgm:t>
    </dgm:pt>
    <dgm:pt modelId="{79EE7B36-A815-4B26-8402-A3778F6E0D58}" type="parTrans" cxnId="{90B29919-FD2A-432E-ABE0-E3B3D4B14F72}">
      <dgm:prSet/>
      <dgm:spPr/>
      <dgm:t>
        <a:bodyPr/>
        <a:lstStyle/>
        <a:p>
          <a:endParaRPr lang="es-CL" sz="2400">
            <a:latin typeface="Arial" panose="020B0604020202020204" pitchFamily="34" charset="0"/>
            <a:cs typeface="Arial" panose="020B0604020202020204" pitchFamily="34" charset="0"/>
          </a:endParaRPr>
        </a:p>
      </dgm:t>
    </dgm:pt>
    <dgm:pt modelId="{5D724043-0160-4C20-996F-AFA11BBBF4B1}" type="sibTrans" cxnId="{90B29919-FD2A-432E-ABE0-E3B3D4B14F72}">
      <dgm:prSet/>
      <dgm:spPr/>
      <dgm:t>
        <a:bodyPr/>
        <a:lstStyle/>
        <a:p>
          <a:endParaRPr lang="es-CL" sz="2400">
            <a:latin typeface="Arial" panose="020B0604020202020204" pitchFamily="34" charset="0"/>
            <a:cs typeface="Arial" panose="020B0604020202020204" pitchFamily="34" charset="0"/>
          </a:endParaRPr>
        </a:p>
      </dgm:t>
    </dgm:pt>
    <dgm:pt modelId="{14C5B5EA-CAA3-4485-BADB-6562400024F5}">
      <dgm:prSet phldrT="[Texto]" custT="1"/>
      <dgm:spPr/>
      <dgm:t>
        <a:bodyPr/>
        <a:lstStyle/>
        <a:p>
          <a:r>
            <a:rPr lang="es-CL" sz="800">
              <a:latin typeface="Arial" panose="020B0604020202020204" pitchFamily="34" charset="0"/>
              <a:cs typeface="Arial" panose="020B0604020202020204" pitchFamily="34" charset="0"/>
            </a:rPr>
            <a:t>Visión sectorial</a:t>
          </a:r>
        </a:p>
      </dgm:t>
    </dgm:pt>
    <dgm:pt modelId="{0E5FFB5B-31B4-4687-A075-C15E3B18F8D3}" type="parTrans" cxnId="{0E7EE713-8159-418D-8EC1-7017DB806D44}">
      <dgm:prSet/>
      <dgm:spPr/>
      <dgm:t>
        <a:bodyPr/>
        <a:lstStyle/>
        <a:p>
          <a:endParaRPr lang="es-CL" sz="2400">
            <a:latin typeface="Arial" panose="020B0604020202020204" pitchFamily="34" charset="0"/>
            <a:cs typeface="Arial" panose="020B0604020202020204" pitchFamily="34" charset="0"/>
          </a:endParaRPr>
        </a:p>
      </dgm:t>
    </dgm:pt>
    <dgm:pt modelId="{392EB3A4-245B-4F78-9225-5D4670D662DB}" type="sibTrans" cxnId="{0E7EE713-8159-418D-8EC1-7017DB806D44}">
      <dgm:prSet/>
      <dgm:spPr/>
      <dgm:t>
        <a:bodyPr/>
        <a:lstStyle/>
        <a:p>
          <a:endParaRPr lang="es-CL" sz="2400">
            <a:latin typeface="Arial" panose="020B0604020202020204" pitchFamily="34" charset="0"/>
            <a:cs typeface="Arial" panose="020B0604020202020204" pitchFamily="34" charset="0"/>
          </a:endParaRPr>
        </a:p>
      </dgm:t>
    </dgm:pt>
    <dgm:pt modelId="{A986712A-5856-4947-960D-5A04172FC37B}">
      <dgm:prSet phldrT="[Texto]" custT="1"/>
      <dgm:spPr/>
      <dgm:t>
        <a:bodyPr/>
        <a:lstStyle/>
        <a:p>
          <a:r>
            <a:rPr lang="es-CL" sz="800">
              <a:latin typeface="Arial" panose="020B0604020202020204" pitchFamily="34" charset="0"/>
              <a:cs typeface="Arial" panose="020B0604020202020204" pitchFamily="34" charset="0"/>
            </a:rPr>
            <a:t>Dependencia monetaria</a:t>
          </a:r>
        </a:p>
      </dgm:t>
    </dgm:pt>
    <dgm:pt modelId="{D1236A7F-B8C4-491B-9E02-C87624698D30}" type="parTrans" cxnId="{55B2D303-D503-4CEE-839D-C0C74C62AB78}">
      <dgm:prSet/>
      <dgm:spPr/>
      <dgm:t>
        <a:bodyPr/>
        <a:lstStyle/>
        <a:p>
          <a:endParaRPr lang="es-CL" sz="2400">
            <a:latin typeface="Arial" panose="020B0604020202020204" pitchFamily="34" charset="0"/>
            <a:cs typeface="Arial" panose="020B0604020202020204" pitchFamily="34" charset="0"/>
          </a:endParaRPr>
        </a:p>
      </dgm:t>
    </dgm:pt>
    <dgm:pt modelId="{6A05D01D-5E02-4122-B5A9-D9BBCA01AA7F}" type="sibTrans" cxnId="{55B2D303-D503-4CEE-839D-C0C74C62AB78}">
      <dgm:prSet/>
      <dgm:spPr/>
      <dgm:t>
        <a:bodyPr/>
        <a:lstStyle/>
        <a:p>
          <a:endParaRPr lang="es-CL" sz="2400">
            <a:latin typeface="Arial" panose="020B0604020202020204" pitchFamily="34" charset="0"/>
            <a:cs typeface="Arial" panose="020B0604020202020204" pitchFamily="34" charset="0"/>
          </a:endParaRPr>
        </a:p>
      </dgm:t>
    </dgm:pt>
    <dgm:pt modelId="{16E876AC-A414-47F7-89D3-EEB18C65FCFF}" type="pres">
      <dgm:prSet presAssocID="{0BAE0BDB-5E58-4C45-996D-5DBB44BB846C}" presName="diagram" presStyleCnt="0">
        <dgm:presLayoutVars>
          <dgm:chPref val="1"/>
          <dgm:dir/>
          <dgm:animOne val="branch"/>
          <dgm:animLvl val="lvl"/>
          <dgm:resizeHandles/>
        </dgm:presLayoutVars>
      </dgm:prSet>
      <dgm:spPr/>
      <dgm:t>
        <a:bodyPr/>
        <a:lstStyle/>
        <a:p>
          <a:endParaRPr lang="es-CL"/>
        </a:p>
      </dgm:t>
    </dgm:pt>
    <dgm:pt modelId="{C2BF0752-D037-4542-9C9E-D3840E060B0B}" type="pres">
      <dgm:prSet presAssocID="{A2DF4CD9-DC68-4469-ABD5-4A5C4E6F0D5E}" presName="root" presStyleCnt="0"/>
      <dgm:spPr/>
    </dgm:pt>
    <dgm:pt modelId="{E7749A86-1AF5-47EE-B5A7-71A78D706BE2}" type="pres">
      <dgm:prSet presAssocID="{A2DF4CD9-DC68-4469-ABD5-4A5C4E6F0D5E}" presName="rootComposite" presStyleCnt="0"/>
      <dgm:spPr/>
    </dgm:pt>
    <dgm:pt modelId="{A7F8AE73-3C6C-48CC-81B7-F61C0FC64232}" type="pres">
      <dgm:prSet presAssocID="{A2DF4CD9-DC68-4469-ABD5-4A5C4E6F0D5E}" presName="rootText" presStyleLbl="node1" presStyleIdx="0" presStyleCnt="4"/>
      <dgm:spPr/>
      <dgm:t>
        <a:bodyPr/>
        <a:lstStyle/>
        <a:p>
          <a:endParaRPr lang="es-CL"/>
        </a:p>
      </dgm:t>
    </dgm:pt>
    <dgm:pt modelId="{FF1A56B1-D490-46F2-BFD0-82C73E342641}" type="pres">
      <dgm:prSet presAssocID="{A2DF4CD9-DC68-4469-ABD5-4A5C4E6F0D5E}" presName="rootConnector" presStyleLbl="node1" presStyleIdx="0" presStyleCnt="4"/>
      <dgm:spPr/>
      <dgm:t>
        <a:bodyPr/>
        <a:lstStyle/>
        <a:p>
          <a:endParaRPr lang="es-CL"/>
        </a:p>
      </dgm:t>
    </dgm:pt>
    <dgm:pt modelId="{0CB5D369-4AFD-4664-A7E2-64F3E894038A}" type="pres">
      <dgm:prSet presAssocID="{A2DF4CD9-DC68-4469-ABD5-4A5C4E6F0D5E}" presName="childShape" presStyleCnt="0"/>
      <dgm:spPr/>
    </dgm:pt>
    <dgm:pt modelId="{2BF9861B-68BA-471D-A166-CC4252004C49}" type="pres">
      <dgm:prSet presAssocID="{4B652F28-588A-4994-AC2F-59B0D32B7437}" presName="Name13" presStyleLbl="parChTrans1D2" presStyleIdx="0" presStyleCnt="21"/>
      <dgm:spPr/>
      <dgm:t>
        <a:bodyPr/>
        <a:lstStyle/>
        <a:p>
          <a:endParaRPr lang="es-CL"/>
        </a:p>
      </dgm:t>
    </dgm:pt>
    <dgm:pt modelId="{710E6B37-D226-4E38-B30F-E2B7430081FB}" type="pres">
      <dgm:prSet presAssocID="{AA628A93-7EDA-4833-A1E4-B7200F19E831}" presName="childText" presStyleLbl="bgAcc1" presStyleIdx="0" presStyleCnt="21">
        <dgm:presLayoutVars>
          <dgm:bulletEnabled val="1"/>
        </dgm:presLayoutVars>
      </dgm:prSet>
      <dgm:spPr/>
      <dgm:t>
        <a:bodyPr/>
        <a:lstStyle/>
        <a:p>
          <a:endParaRPr lang="es-CL"/>
        </a:p>
      </dgm:t>
    </dgm:pt>
    <dgm:pt modelId="{8BCC0226-7CBC-4298-990C-A47350D31E46}" type="pres">
      <dgm:prSet presAssocID="{D1B27366-1D9A-4C3E-8676-C9445EA50846}" presName="Name13" presStyleLbl="parChTrans1D2" presStyleIdx="1" presStyleCnt="21"/>
      <dgm:spPr/>
      <dgm:t>
        <a:bodyPr/>
        <a:lstStyle/>
        <a:p>
          <a:endParaRPr lang="es-CL"/>
        </a:p>
      </dgm:t>
    </dgm:pt>
    <dgm:pt modelId="{1ED73F84-A4D9-4DA5-B2DF-8FF627221139}" type="pres">
      <dgm:prSet presAssocID="{294EC836-031D-419E-A644-4AA163B4468C}" presName="childText" presStyleLbl="bgAcc1" presStyleIdx="1" presStyleCnt="21">
        <dgm:presLayoutVars>
          <dgm:bulletEnabled val="1"/>
        </dgm:presLayoutVars>
      </dgm:prSet>
      <dgm:spPr/>
      <dgm:t>
        <a:bodyPr/>
        <a:lstStyle/>
        <a:p>
          <a:endParaRPr lang="es-CL"/>
        </a:p>
      </dgm:t>
    </dgm:pt>
    <dgm:pt modelId="{956C4FCD-1B24-45F8-903C-7643D218CEAB}" type="pres">
      <dgm:prSet presAssocID="{4D3A4227-EEBA-43E3-AE32-D26260CF5DB8}" presName="Name13" presStyleLbl="parChTrans1D2" presStyleIdx="2" presStyleCnt="21"/>
      <dgm:spPr/>
      <dgm:t>
        <a:bodyPr/>
        <a:lstStyle/>
        <a:p>
          <a:endParaRPr lang="es-CL"/>
        </a:p>
      </dgm:t>
    </dgm:pt>
    <dgm:pt modelId="{F4F01CD6-D991-440A-96C4-733A55C5DB2E}" type="pres">
      <dgm:prSet presAssocID="{18B8B338-4C34-450E-B30B-50C95EC9CF19}" presName="childText" presStyleLbl="bgAcc1" presStyleIdx="2" presStyleCnt="21">
        <dgm:presLayoutVars>
          <dgm:bulletEnabled val="1"/>
        </dgm:presLayoutVars>
      </dgm:prSet>
      <dgm:spPr/>
      <dgm:t>
        <a:bodyPr/>
        <a:lstStyle/>
        <a:p>
          <a:endParaRPr lang="es-CL"/>
        </a:p>
      </dgm:t>
    </dgm:pt>
    <dgm:pt modelId="{FDCDE185-7C60-49CF-8492-DA15297BBF6E}" type="pres">
      <dgm:prSet presAssocID="{D12A9F36-99A8-45FF-B0C1-751443D1FB0D}" presName="Name13" presStyleLbl="parChTrans1D2" presStyleIdx="3" presStyleCnt="21"/>
      <dgm:spPr/>
      <dgm:t>
        <a:bodyPr/>
        <a:lstStyle/>
        <a:p>
          <a:endParaRPr lang="es-CL"/>
        </a:p>
      </dgm:t>
    </dgm:pt>
    <dgm:pt modelId="{7FC88A00-DC76-4E23-B3A4-3F6B65EC589C}" type="pres">
      <dgm:prSet presAssocID="{F7691CA4-EBBE-4DF4-A295-F47A57895884}" presName="childText" presStyleLbl="bgAcc1" presStyleIdx="3" presStyleCnt="21">
        <dgm:presLayoutVars>
          <dgm:bulletEnabled val="1"/>
        </dgm:presLayoutVars>
      </dgm:prSet>
      <dgm:spPr/>
      <dgm:t>
        <a:bodyPr/>
        <a:lstStyle/>
        <a:p>
          <a:endParaRPr lang="es-CL"/>
        </a:p>
      </dgm:t>
    </dgm:pt>
    <dgm:pt modelId="{C580B91D-836C-4056-B65D-1291E16023DC}" type="pres">
      <dgm:prSet presAssocID="{21523CCF-8AE6-4CE6-AB5A-B530D3809277}" presName="root" presStyleCnt="0"/>
      <dgm:spPr/>
    </dgm:pt>
    <dgm:pt modelId="{D4F6ADDA-8DAD-4C2C-888D-231789A6F310}" type="pres">
      <dgm:prSet presAssocID="{21523CCF-8AE6-4CE6-AB5A-B530D3809277}" presName="rootComposite" presStyleCnt="0"/>
      <dgm:spPr/>
    </dgm:pt>
    <dgm:pt modelId="{0616FDC5-63E3-4FEE-8AF3-241E7C91B7E6}" type="pres">
      <dgm:prSet presAssocID="{21523CCF-8AE6-4CE6-AB5A-B530D3809277}" presName="rootText" presStyleLbl="node1" presStyleIdx="1" presStyleCnt="4"/>
      <dgm:spPr/>
      <dgm:t>
        <a:bodyPr/>
        <a:lstStyle/>
        <a:p>
          <a:endParaRPr lang="es-CL"/>
        </a:p>
      </dgm:t>
    </dgm:pt>
    <dgm:pt modelId="{04C5E194-71B2-41D3-89DA-FA61C943C462}" type="pres">
      <dgm:prSet presAssocID="{21523CCF-8AE6-4CE6-AB5A-B530D3809277}" presName="rootConnector" presStyleLbl="node1" presStyleIdx="1" presStyleCnt="4"/>
      <dgm:spPr/>
      <dgm:t>
        <a:bodyPr/>
        <a:lstStyle/>
        <a:p>
          <a:endParaRPr lang="es-CL"/>
        </a:p>
      </dgm:t>
    </dgm:pt>
    <dgm:pt modelId="{5D034E34-582F-447E-BB72-D38A86DF51B8}" type="pres">
      <dgm:prSet presAssocID="{21523CCF-8AE6-4CE6-AB5A-B530D3809277}" presName="childShape" presStyleCnt="0"/>
      <dgm:spPr/>
    </dgm:pt>
    <dgm:pt modelId="{B429B257-B2E1-4871-8A1F-F0CCD22E2B80}" type="pres">
      <dgm:prSet presAssocID="{F89A3243-A813-48C0-8B85-BAF00771A527}" presName="Name13" presStyleLbl="parChTrans1D2" presStyleIdx="4" presStyleCnt="21"/>
      <dgm:spPr/>
      <dgm:t>
        <a:bodyPr/>
        <a:lstStyle/>
        <a:p>
          <a:endParaRPr lang="es-CL"/>
        </a:p>
      </dgm:t>
    </dgm:pt>
    <dgm:pt modelId="{715D89F1-0F19-4EBA-BEDE-83D6BC5184C3}" type="pres">
      <dgm:prSet presAssocID="{FBC29B18-5D5D-47AA-88E9-6237A49473C2}" presName="childText" presStyleLbl="bgAcc1" presStyleIdx="4" presStyleCnt="21">
        <dgm:presLayoutVars>
          <dgm:bulletEnabled val="1"/>
        </dgm:presLayoutVars>
      </dgm:prSet>
      <dgm:spPr/>
      <dgm:t>
        <a:bodyPr/>
        <a:lstStyle/>
        <a:p>
          <a:endParaRPr lang="es-CL"/>
        </a:p>
      </dgm:t>
    </dgm:pt>
    <dgm:pt modelId="{B56DB984-1421-4E3C-AC4C-D1F9D6D3C8A0}" type="pres">
      <dgm:prSet presAssocID="{2E6F635D-EA49-49B0-BE9B-74DA4BEBC0AC}" presName="Name13" presStyleLbl="parChTrans1D2" presStyleIdx="5" presStyleCnt="21"/>
      <dgm:spPr/>
      <dgm:t>
        <a:bodyPr/>
        <a:lstStyle/>
        <a:p>
          <a:endParaRPr lang="es-CL"/>
        </a:p>
      </dgm:t>
    </dgm:pt>
    <dgm:pt modelId="{1CB3FD78-A038-42CB-A653-E4CF390CBCD2}" type="pres">
      <dgm:prSet presAssocID="{781363B2-9464-4E88-AE51-B34071DC23DB}" presName="childText" presStyleLbl="bgAcc1" presStyleIdx="5" presStyleCnt="21">
        <dgm:presLayoutVars>
          <dgm:bulletEnabled val="1"/>
        </dgm:presLayoutVars>
      </dgm:prSet>
      <dgm:spPr/>
      <dgm:t>
        <a:bodyPr/>
        <a:lstStyle/>
        <a:p>
          <a:endParaRPr lang="es-CL"/>
        </a:p>
      </dgm:t>
    </dgm:pt>
    <dgm:pt modelId="{9B294835-A51B-4D39-9ABB-96BE79AB77B2}" type="pres">
      <dgm:prSet presAssocID="{12CA8DBE-C61D-43A7-947F-5EF8D222C7A1}" presName="Name13" presStyleLbl="parChTrans1D2" presStyleIdx="6" presStyleCnt="21"/>
      <dgm:spPr/>
      <dgm:t>
        <a:bodyPr/>
        <a:lstStyle/>
        <a:p>
          <a:endParaRPr lang="es-CL"/>
        </a:p>
      </dgm:t>
    </dgm:pt>
    <dgm:pt modelId="{7031F581-F107-458E-B747-F4B5F793475F}" type="pres">
      <dgm:prSet presAssocID="{F73AD7AA-5858-4E69-844D-3A89C31E1E45}" presName="childText" presStyleLbl="bgAcc1" presStyleIdx="6" presStyleCnt="21">
        <dgm:presLayoutVars>
          <dgm:bulletEnabled val="1"/>
        </dgm:presLayoutVars>
      </dgm:prSet>
      <dgm:spPr/>
      <dgm:t>
        <a:bodyPr/>
        <a:lstStyle/>
        <a:p>
          <a:endParaRPr lang="es-CL"/>
        </a:p>
      </dgm:t>
    </dgm:pt>
    <dgm:pt modelId="{0ED3EF19-5889-4CDF-9620-E82369726ECF}" type="pres">
      <dgm:prSet presAssocID="{FD75B518-47D9-4CFA-BD33-1C32053415B9}" presName="Name13" presStyleLbl="parChTrans1D2" presStyleIdx="7" presStyleCnt="21"/>
      <dgm:spPr/>
      <dgm:t>
        <a:bodyPr/>
        <a:lstStyle/>
        <a:p>
          <a:endParaRPr lang="es-CL"/>
        </a:p>
      </dgm:t>
    </dgm:pt>
    <dgm:pt modelId="{6E18330D-B87C-4AFA-B044-BA5ADC9A3194}" type="pres">
      <dgm:prSet presAssocID="{81BB37A0-1C86-4DBC-B8AB-8C134E5BE30E}" presName="childText" presStyleLbl="bgAcc1" presStyleIdx="7" presStyleCnt="21">
        <dgm:presLayoutVars>
          <dgm:bulletEnabled val="1"/>
        </dgm:presLayoutVars>
      </dgm:prSet>
      <dgm:spPr/>
      <dgm:t>
        <a:bodyPr/>
        <a:lstStyle/>
        <a:p>
          <a:endParaRPr lang="es-CL"/>
        </a:p>
      </dgm:t>
    </dgm:pt>
    <dgm:pt modelId="{3160924C-6123-45A0-A4E4-9E616DE321E4}" type="pres">
      <dgm:prSet presAssocID="{A8BA697B-A104-43A7-924C-BBA157F589AB}" presName="Name13" presStyleLbl="parChTrans1D2" presStyleIdx="8" presStyleCnt="21"/>
      <dgm:spPr/>
      <dgm:t>
        <a:bodyPr/>
        <a:lstStyle/>
        <a:p>
          <a:endParaRPr lang="es-CL"/>
        </a:p>
      </dgm:t>
    </dgm:pt>
    <dgm:pt modelId="{E873CD97-03D2-421B-9DD4-61CF0BAA40A8}" type="pres">
      <dgm:prSet presAssocID="{A5FCA0B9-E1FF-4B48-A1CB-5DF5A6870BEB}" presName="childText" presStyleLbl="bgAcc1" presStyleIdx="8" presStyleCnt="21">
        <dgm:presLayoutVars>
          <dgm:bulletEnabled val="1"/>
        </dgm:presLayoutVars>
      </dgm:prSet>
      <dgm:spPr/>
      <dgm:t>
        <a:bodyPr/>
        <a:lstStyle/>
        <a:p>
          <a:endParaRPr lang="es-CL"/>
        </a:p>
      </dgm:t>
    </dgm:pt>
    <dgm:pt modelId="{DD9DB769-8646-4403-8078-8D28407E5C1B}" type="pres">
      <dgm:prSet presAssocID="{8D838214-9BBE-4D19-A90F-F98A94F00A72}" presName="root" presStyleCnt="0"/>
      <dgm:spPr/>
    </dgm:pt>
    <dgm:pt modelId="{CF436B54-DACA-484F-B745-1B6F838CDC28}" type="pres">
      <dgm:prSet presAssocID="{8D838214-9BBE-4D19-A90F-F98A94F00A72}" presName="rootComposite" presStyleCnt="0"/>
      <dgm:spPr/>
    </dgm:pt>
    <dgm:pt modelId="{EF310C09-AFA2-41BE-990D-17DF679C64B1}" type="pres">
      <dgm:prSet presAssocID="{8D838214-9BBE-4D19-A90F-F98A94F00A72}" presName="rootText" presStyleLbl="node1" presStyleIdx="2" presStyleCnt="4"/>
      <dgm:spPr/>
      <dgm:t>
        <a:bodyPr/>
        <a:lstStyle/>
        <a:p>
          <a:endParaRPr lang="es-CL"/>
        </a:p>
      </dgm:t>
    </dgm:pt>
    <dgm:pt modelId="{DFC63EB8-72EB-49CE-885B-194882A17E35}" type="pres">
      <dgm:prSet presAssocID="{8D838214-9BBE-4D19-A90F-F98A94F00A72}" presName="rootConnector" presStyleLbl="node1" presStyleIdx="2" presStyleCnt="4"/>
      <dgm:spPr/>
      <dgm:t>
        <a:bodyPr/>
        <a:lstStyle/>
        <a:p>
          <a:endParaRPr lang="es-CL"/>
        </a:p>
      </dgm:t>
    </dgm:pt>
    <dgm:pt modelId="{14E25DEC-E551-47F5-AD5D-B9A18573EE7F}" type="pres">
      <dgm:prSet presAssocID="{8D838214-9BBE-4D19-A90F-F98A94F00A72}" presName="childShape" presStyleCnt="0"/>
      <dgm:spPr/>
    </dgm:pt>
    <dgm:pt modelId="{3434515F-1531-4183-BE56-5A37D65CF178}" type="pres">
      <dgm:prSet presAssocID="{528FEB4A-B873-4733-AD85-CA13C78D4D1A}" presName="Name13" presStyleLbl="parChTrans1D2" presStyleIdx="9" presStyleCnt="21"/>
      <dgm:spPr/>
      <dgm:t>
        <a:bodyPr/>
        <a:lstStyle/>
        <a:p>
          <a:endParaRPr lang="es-CL"/>
        </a:p>
      </dgm:t>
    </dgm:pt>
    <dgm:pt modelId="{08A86381-A4E2-42C0-8BAE-2B1FD01ECD81}" type="pres">
      <dgm:prSet presAssocID="{FA03F7ED-3EF2-4088-B174-3EC753ED37DC}" presName="childText" presStyleLbl="bgAcc1" presStyleIdx="9" presStyleCnt="21">
        <dgm:presLayoutVars>
          <dgm:bulletEnabled val="1"/>
        </dgm:presLayoutVars>
      </dgm:prSet>
      <dgm:spPr/>
      <dgm:t>
        <a:bodyPr/>
        <a:lstStyle/>
        <a:p>
          <a:endParaRPr lang="es-CL"/>
        </a:p>
      </dgm:t>
    </dgm:pt>
    <dgm:pt modelId="{02D5ACBD-2944-4706-B7AA-41190FF971A9}" type="pres">
      <dgm:prSet presAssocID="{78934234-EC80-441D-9433-74EBB800B62C}" presName="Name13" presStyleLbl="parChTrans1D2" presStyleIdx="10" presStyleCnt="21"/>
      <dgm:spPr/>
      <dgm:t>
        <a:bodyPr/>
        <a:lstStyle/>
        <a:p>
          <a:endParaRPr lang="es-CL"/>
        </a:p>
      </dgm:t>
    </dgm:pt>
    <dgm:pt modelId="{841B052C-9E31-4F77-888E-B4EB27131483}" type="pres">
      <dgm:prSet presAssocID="{3AC62B98-6498-4E7B-B9A1-F92889DEC8C1}" presName="childText" presStyleLbl="bgAcc1" presStyleIdx="10" presStyleCnt="21">
        <dgm:presLayoutVars>
          <dgm:bulletEnabled val="1"/>
        </dgm:presLayoutVars>
      </dgm:prSet>
      <dgm:spPr/>
      <dgm:t>
        <a:bodyPr/>
        <a:lstStyle/>
        <a:p>
          <a:endParaRPr lang="es-CL"/>
        </a:p>
      </dgm:t>
    </dgm:pt>
    <dgm:pt modelId="{68BCE9DA-D86E-42EC-8C81-A2421074DBBF}" type="pres">
      <dgm:prSet presAssocID="{9DD2622E-8EA4-47AF-BA7B-AA06CF5A739B}" presName="Name13" presStyleLbl="parChTrans1D2" presStyleIdx="11" presStyleCnt="21"/>
      <dgm:spPr/>
      <dgm:t>
        <a:bodyPr/>
        <a:lstStyle/>
        <a:p>
          <a:endParaRPr lang="es-CL"/>
        </a:p>
      </dgm:t>
    </dgm:pt>
    <dgm:pt modelId="{961DB55A-0405-4D22-A04F-2BC227ECEBE8}" type="pres">
      <dgm:prSet presAssocID="{40F8B629-D3F6-400D-AD90-9A15721334CF}" presName="childText" presStyleLbl="bgAcc1" presStyleIdx="11" presStyleCnt="21">
        <dgm:presLayoutVars>
          <dgm:bulletEnabled val="1"/>
        </dgm:presLayoutVars>
      </dgm:prSet>
      <dgm:spPr/>
      <dgm:t>
        <a:bodyPr/>
        <a:lstStyle/>
        <a:p>
          <a:endParaRPr lang="es-CL"/>
        </a:p>
      </dgm:t>
    </dgm:pt>
    <dgm:pt modelId="{AA6CFDD6-8968-47E7-A9C9-FAE69B174B30}" type="pres">
      <dgm:prSet presAssocID="{03D00840-FF47-464A-923D-41AFCD11849A}" presName="Name13" presStyleLbl="parChTrans1D2" presStyleIdx="12" presStyleCnt="21"/>
      <dgm:spPr/>
      <dgm:t>
        <a:bodyPr/>
        <a:lstStyle/>
        <a:p>
          <a:endParaRPr lang="es-CL"/>
        </a:p>
      </dgm:t>
    </dgm:pt>
    <dgm:pt modelId="{CBA51BC3-3317-4321-9FE6-AC2EFC56B650}" type="pres">
      <dgm:prSet presAssocID="{8EC9E5F9-AEB7-4B84-BDCD-D8CD91671DE6}" presName="childText" presStyleLbl="bgAcc1" presStyleIdx="12" presStyleCnt="21">
        <dgm:presLayoutVars>
          <dgm:bulletEnabled val="1"/>
        </dgm:presLayoutVars>
      </dgm:prSet>
      <dgm:spPr/>
      <dgm:t>
        <a:bodyPr/>
        <a:lstStyle/>
        <a:p>
          <a:endParaRPr lang="es-CL"/>
        </a:p>
      </dgm:t>
    </dgm:pt>
    <dgm:pt modelId="{E4603BA6-35E6-4DC1-BDEA-897FBA028ED5}" type="pres">
      <dgm:prSet presAssocID="{6EF5CF89-E288-4369-8109-68A25BF52300}" presName="Name13" presStyleLbl="parChTrans1D2" presStyleIdx="13" presStyleCnt="21"/>
      <dgm:spPr/>
      <dgm:t>
        <a:bodyPr/>
        <a:lstStyle/>
        <a:p>
          <a:endParaRPr lang="es-CL"/>
        </a:p>
      </dgm:t>
    </dgm:pt>
    <dgm:pt modelId="{00B19458-41D7-45F8-A1FC-B4B7A09FA5BE}" type="pres">
      <dgm:prSet presAssocID="{3CC01DAA-7596-446B-9DF1-E8A0AA1CF0E5}" presName="childText" presStyleLbl="bgAcc1" presStyleIdx="13" presStyleCnt="21">
        <dgm:presLayoutVars>
          <dgm:bulletEnabled val="1"/>
        </dgm:presLayoutVars>
      </dgm:prSet>
      <dgm:spPr/>
      <dgm:t>
        <a:bodyPr/>
        <a:lstStyle/>
        <a:p>
          <a:endParaRPr lang="es-CL"/>
        </a:p>
      </dgm:t>
    </dgm:pt>
    <dgm:pt modelId="{23C16C91-9E8D-4E58-BBEA-0A0ADABCE765}" type="pres">
      <dgm:prSet presAssocID="{31FF1382-6CFF-4A18-8FBF-A12E49FAA7CB}" presName="Name13" presStyleLbl="parChTrans1D2" presStyleIdx="14" presStyleCnt="21"/>
      <dgm:spPr/>
      <dgm:t>
        <a:bodyPr/>
        <a:lstStyle/>
        <a:p>
          <a:endParaRPr lang="es-CL"/>
        </a:p>
      </dgm:t>
    </dgm:pt>
    <dgm:pt modelId="{B222F29C-1E66-44A2-A497-8F350E571D33}" type="pres">
      <dgm:prSet presAssocID="{C1535D1F-73C6-4F9F-A14A-AA670AC4D4C0}" presName="childText" presStyleLbl="bgAcc1" presStyleIdx="14" presStyleCnt="21">
        <dgm:presLayoutVars>
          <dgm:bulletEnabled val="1"/>
        </dgm:presLayoutVars>
      </dgm:prSet>
      <dgm:spPr/>
      <dgm:t>
        <a:bodyPr/>
        <a:lstStyle/>
        <a:p>
          <a:endParaRPr lang="es-CL"/>
        </a:p>
      </dgm:t>
    </dgm:pt>
    <dgm:pt modelId="{5EEF60EB-8B2B-4A5D-B3C7-E4E75515F0C8}" type="pres">
      <dgm:prSet presAssocID="{829F5E65-32F1-475A-948C-C2B5C9EE2B52}" presName="root" presStyleCnt="0"/>
      <dgm:spPr/>
    </dgm:pt>
    <dgm:pt modelId="{0DF24B4C-0847-4A75-8D2D-70016EF49D62}" type="pres">
      <dgm:prSet presAssocID="{829F5E65-32F1-475A-948C-C2B5C9EE2B52}" presName="rootComposite" presStyleCnt="0"/>
      <dgm:spPr/>
    </dgm:pt>
    <dgm:pt modelId="{C66F0159-88ED-45E8-A234-4DB79654887D}" type="pres">
      <dgm:prSet presAssocID="{829F5E65-32F1-475A-948C-C2B5C9EE2B52}" presName="rootText" presStyleLbl="node1" presStyleIdx="3" presStyleCnt="4"/>
      <dgm:spPr/>
      <dgm:t>
        <a:bodyPr/>
        <a:lstStyle/>
        <a:p>
          <a:endParaRPr lang="es-CL"/>
        </a:p>
      </dgm:t>
    </dgm:pt>
    <dgm:pt modelId="{4300476A-6FCA-4175-BE4F-6EC553FB179B}" type="pres">
      <dgm:prSet presAssocID="{829F5E65-32F1-475A-948C-C2B5C9EE2B52}" presName="rootConnector" presStyleLbl="node1" presStyleIdx="3" presStyleCnt="4"/>
      <dgm:spPr/>
      <dgm:t>
        <a:bodyPr/>
        <a:lstStyle/>
        <a:p>
          <a:endParaRPr lang="es-CL"/>
        </a:p>
      </dgm:t>
    </dgm:pt>
    <dgm:pt modelId="{AA903E8B-4A74-4520-A19F-B8A2DF920AB1}" type="pres">
      <dgm:prSet presAssocID="{829F5E65-32F1-475A-948C-C2B5C9EE2B52}" presName="childShape" presStyleCnt="0"/>
      <dgm:spPr/>
    </dgm:pt>
    <dgm:pt modelId="{E2BD2DEE-D80A-47F8-AACD-278E1B18BC5A}" type="pres">
      <dgm:prSet presAssocID="{7CDB37FE-2938-490D-B295-664B89CF517B}" presName="Name13" presStyleLbl="parChTrans1D2" presStyleIdx="15" presStyleCnt="21"/>
      <dgm:spPr/>
      <dgm:t>
        <a:bodyPr/>
        <a:lstStyle/>
        <a:p>
          <a:endParaRPr lang="es-CL"/>
        </a:p>
      </dgm:t>
    </dgm:pt>
    <dgm:pt modelId="{6A8E61D8-FC3B-4538-97A0-4D39F70BA990}" type="pres">
      <dgm:prSet presAssocID="{7CAD2C90-01EA-4523-B0EB-6A2F23ABE69C}" presName="childText" presStyleLbl="bgAcc1" presStyleIdx="15" presStyleCnt="21">
        <dgm:presLayoutVars>
          <dgm:bulletEnabled val="1"/>
        </dgm:presLayoutVars>
      </dgm:prSet>
      <dgm:spPr/>
      <dgm:t>
        <a:bodyPr/>
        <a:lstStyle/>
        <a:p>
          <a:endParaRPr lang="es-CL"/>
        </a:p>
      </dgm:t>
    </dgm:pt>
    <dgm:pt modelId="{329E4E51-D0EA-4032-B46A-31BD4F94CD63}" type="pres">
      <dgm:prSet presAssocID="{9CA71AD0-6E21-4528-B381-49C90524ADAB}" presName="Name13" presStyleLbl="parChTrans1D2" presStyleIdx="16" presStyleCnt="21"/>
      <dgm:spPr/>
      <dgm:t>
        <a:bodyPr/>
        <a:lstStyle/>
        <a:p>
          <a:endParaRPr lang="es-CL"/>
        </a:p>
      </dgm:t>
    </dgm:pt>
    <dgm:pt modelId="{9A544FA6-944A-4F4C-8906-6C61EE9ED5D4}" type="pres">
      <dgm:prSet presAssocID="{B6E0F3E8-1402-4F0F-958E-1333C5B9BB96}" presName="childText" presStyleLbl="bgAcc1" presStyleIdx="16" presStyleCnt="21">
        <dgm:presLayoutVars>
          <dgm:bulletEnabled val="1"/>
        </dgm:presLayoutVars>
      </dgm:prSet>
      <dgm:spPr/>
      <dgm:t>
        <a:bodyPr/>
        <a:lstStyle/>
        <a:p>
          <a:endParaRPr lang="es-CL"/>
        </a:p>
      </dgm:t>
    </dgm:pt>
    <dgm:pt modelId="{1B5BBB1B-34A3-4D15-B18C-84E9214135E6}" type="pres">
      <dgm:prSet presAssocID="{BF4D1C6A-E8F2-4568-8EFA-B186BEF33B16}" presName="Name13" presStyleLbl="parChTrans1D2" presStyleIdx="17" presStyleCnt="21"/>
      <dgm:spPr/>
      <dgm:t>
        <a:bodyPr/>
        <a:lstStyle/>
        <a:p>
          <a:endParaRPr lang="es-CL"/>
        </a:p>
      </dgm:t>
    </dgm:pt>
    <dgm:pt modelId="{83D957E9-1F70-430F-86ED-6C925A78CF94}" type="pres">
      <dgm:prSet presAssocID="{157E08F9-1345-4B9D-882B-59BF41A0F528}" presName="childText" presStyleLbl="bgAcc1" presStyleIdx="17" presStyleCnt="21">
        <dgm:presLayoutVars>
          <dgm:bulletEnabled val="1"/>
        </dgm:presLayoutVars>
      </dgm:prSet>
      <dgm:spPr/>
      <dgm:t>
        <a:bodyPr/>
        <a:lstStyle/>
        <a:p>
          <a:endParaRPr lang="es-CL"/>
        </a:p>
      </dgm:t>
    </dgm:pt>
    <dgm:pt modelId="{35B5B712-2D8F-42CD-AF04-804284FE4E1B}" type="pres">
      <dgm:prSet presAssocID="{79EE7B36-A815-4B26-8402-A3778F6E0D58}" presName="Name13" presStyleLbl="parChTrans1D2" presStyleIdx="18" presStyleCnt="21"/>
      <dgm:spPr/>
      <dgm:t>
        <a:bodyPr/>
        <a:lstStyle/>
        <a:p>
          <a:endParaRPr lang="es-CL"/>
        </a:p>
      </dgm:t>
    </dgm:pt>
    <dgm:pt modelId="{760A6AEE-65CD-46FB-958D-439FCC8053DE}" type="pres">
      <dgm:prSet presAssocID="{3C128094-1249-486A-BA25-1D8CD46A75B7}" presName="childText" presStyleLbl="bgAcc1" presStyleIdx="18" presStyleCnt="21">
        <dgm:presLayoutVars>
          <dgm:bulletEnabled val="1"/>
        </dgm:presLayoutVars>
      </dgm:prSet>
      <dgm:spPr/>
      <dgm:t>
        <a:bodyPr/>
        <a:lstStyle/>
        <a:p>
          <a:endParaRPr lang="es-CL"/>
        </a:p>
      </dgm:t>
    </dgm:pt>
    <dgm:pt modelId="{15A31137-FD0B-4675-838F-1C169D6A85C6}" type="pres">
      <dgm:prSet presAssocID="{D1236A7F-B8C4-491B-9E02-C87624698D30}" presName="Name13" presStyleLbl="parChTrans1D2" presStyleIdx="19" presStyleCnt="21"/>
      <dgm:spPr/>
      <dgm:t>
        <a:bodyPr/>
        <a:lstStyle/>
        <a:p>
          <a:endParaRPr lang="es-CL"/>
        </a:p>
      </dgm:t>
    </dgm:pt>
    <dgm:pt modelId="{AB527E45-4A2C-4B70-B7E5-EAD48EA0078B}" type="pres">
      <dgm:prSet presAssocID="{A986712A-5856-4947-960D-5A04172FC37B}" presName="childText" presStyleLbl="bgAcc1" presStyleIdx="19" presStyleCnt="21">
        <dgm:presLayoutVars>
          <dgm:bulletEnabled val="1"/>
        </dgm:presLayoutVars>
      </dgm:prSet>
      <dgm:spPr/>
      <dgm:t>
        <a:bodyPr/>
        <a:lstStyle/>
        <a:p>
          <a:endParaRPr lang="es-CL"/>
        </a:p>
      </dgm:t>
    </dgm:pt>
    <dgm:pt modelId="{392564A6-D0BE-4874-AB6F-3D939F9FC148}" type="pres">
      <dgm:prSet presAssocID="{0E5FFB5B-31B4-4687-A075-C15E3B18F8D3}" presName="Name13" presStyleLbl="parChTrans1D2" presStyleIdx="20" presStyleCnt="21"/>
      <dgm:spPr/>
      <dgm:t>
        <a:bodyPr/>
        <a:lstStyle/>
        <a:p>
          <a:endParaRPr lang="es-CL"/>
        </a:p>
      </dgm:t>
    </dgm:pt>
    <dgm:pt modelId="{BD7F00FB-2E17-42D8-B27C-98AF31928F8C}" type="pres">
      <dgm:prSet presAssocID="{14C5B5EA-CAA3-4485-BADB-6562400024F5}" presName="childText" presStyleLbl="bgAcc1" presStyleIdx="20" presStyleCnt="21">
        <dgm:presLayoutVars>
          <dgm:bulletEnabled val="1"/>
        </dgm:presLayoutVars>
      </dgm:prSet>
      <dgm:spPr/>
      <dgm:t>
        <a:bodyPr/>
        <a:lstStyle/>
        <a:p>
          <a:endParaRPr lang="es-CL"/>
        </a:p>
      </dgm:t>
    </dgm:pt>
  </dgm:ptLst>
  <dgm:cxnLst>
    <dgm:cxn modelId="{50321882-8DDA-4AB1-B9C6-CAAF42284F3D}" srcId="{8D838214-9BBE-4D19-A90F-F98A94F00A72}" destId="{8EC9E5F9-AEB7-4B84-BDCD-D8CD91671DE6}" srcOrd="3" destOrd="0" parTransId="{03D00840-FF47-464A-923D-41AFCD11849A}" sibTransId="{A7890077-163A-4467-A24C-5A31CC3905E3}"/>
    <dgm:cxn modelId="{BC65E69A-F5EE-409C-B0C6-F44EE7065147}" type="presOf" srcId="{18B8B338-4C34-450E-B30B-50C95EC9CF19}" destId="{F4F01CD6-D991-440A-96C4-733A55C5DB2E}" srcOrd="0" destOrd="0" presId="urn:microsoft.com/office/officeart/2005/8/layout/hierarchy3"/>
    <dgm:cxn modelId="{B9A01E5D-3EB8-4962-925B-DE8C9BEF525C}" type="presOf" srcId="{81BB37A0-1C86-4DBC-B8AB-8C134E5BE30E}" destId="{6E18330D-B87C-4AFA-B044-BA5ADC9A3194}" srcOrd="0" destOrd="0" presId="urn:microsoft.com/office/officeart/2005/8/layout/hierarchy3"/>
    <dgm:cxn modelId="{2458199E-597B-4EEC-954E-3814C62AAC66}" type="presOf" srcId="{D12A9F36-99A8-45FF-B0C1-751443D1FB0D}" destId="{FDCDE185-7C60-49CF-8492-DA15297BBF6E}" srcOrd="0" destOrd="0" presId="urn:microsoft.com/office/officeart/2005/8/layout/hierarchy3"/>
    <dgm:cxn modelId="{00F693B2-99FD-4A4B-B764-CCAB3FD35B69}" srcId="{A2DF4CD9-DC68-4469-ABD5-4A5C4E6F0D5E}" destId="{F7691CA4-EBBE-4DF4-A295-F47A57895884}" srcOrd="3" destOrd="0" parTransId="{D12A9F36-99A8-45FF-B0C1-751443D1FB0D}" sibTransId="{8AC7C40A-BF0B-4997-90A5-09631A02C0D5}"/>
    <dgm:cxn modelId="{BC268A3A-C2C1-4DE4-A18B-02542FC59352}" type="presOf" srcId="{D1B27366-1D9A-4C3E-8676-C9445EA50846}" destId="{8BCC0226-7CBC-4298-990C-A47350D31E46}" srcOrd="0" destOrd="0" presId="urn:microsoft.com/office/officeart/2005/8/layout/hierarchy3"/>
    <dgm:cxn modelId="{C218E796-0611-4532-A6C4-7F27C3B7E2A8}" type="presOf" srcId="{781363B2-9464-4E88-AE51-B34071DC23DB}" destId="{1CB3FD78-A038-42CB-A653-E4CF390CBCD2}" srcOrd="0" destOrd="0" presId="urn:microsoft.com/office/officeart/2005/8/layout/hierarchy3"/>
    <dgm:cxn modelId="{77FD1190-62D2-4138-A6CE-5F36326D9EA0}" type="presOf" srcId="{12CA8DBE-C61D-43A7-947F-5EF8D222C7A1}" destId="{9B294835-A51B-4D39-9ABB-96BE79AB77B2}" srcOrd="0" destOrd="0" presId="urn:microsoft.com/office/officeart/2005/8/layout/hierarchy3"/>
    <dgm:cxn modelId="{9C44DB92-9B2D-44AC-97D4-08C3BF500EF6}" srcId="{829F5E65-32F1-475A-948C-C2B5C9EE2B52}" destId="{157E08F9-1345-4B9D-882B-59BF41A0F528}" srcOrd="2" destOrd="0" parTransId="{BF4D1C6A-E8F2-4568-8EFA-B186BEF33B16}" sibTransId="{C297BD2A-4DC4-4BC4-8F01-059D138FE3FB}"/>
    <dgm:cxn modelId="{14EB9374-2FC4-459C-B83F-DFB7066C1354}" type="presOf" srcId="{B6E0F3E8-1402-4F0F-958E-1333C5B9BB96}" destId="{9A544FA6-944A-4F4C-8906-6C61EE9ED5D4}" srcOrd="0" destOrd="0" presId="urn:microsoft.com/office/officeart/2005/8/layout/hierarchy3"/>
    <dgm:cxn modelId="{048A5F66-DEE1-4F89-A881-A8DD29465AAE}" srcId="{829F5E65-32F1-475A-948C-C2B5C9EE2B52}" destId="{7CAD2C90-01EA-4523-B0EB-6A2F23ABE69C}" srcOrd="0" destOrd="0" parTransId="{7CDB37FE-2938-490D-B295-664B89CF517B}" sibTransId="{7A300DB4-C0CE-4412-BBEE-D45F43F5CB16}"/>
    <dgm:cxn modelId="{4CFDB8A5-2A7A-424A-B3E2-3D4D642641A7}" srcId="{21523CCF-8AE6-4CE6-AB5A-B530D3809277}" destId="{781363B2-9464-4E88-AE51-B34071DC23DB}" srcOrd="1" destOrd="0" parTransId="{2E6F635D-EA49-49B0-BE9B-74DA4BEBC0AC}" sibTransId="{AB28BCD4-B6AF-4FBC-9113-9AAA2E4DDF76}"/>
    <dgm:cxn modelId="{1EFA532D-BEBD-49D5-9D45-DE0706DCD24F}" type="presOf" srcId="{BF4D1C6A-E8F2-4568-8EFA-B186BEF33B16}" destId="{1B5BBB1B-34A3-4D15-B18C-84E9214135E6}" srcOrd="0" destOrd="0" presId="urn:microsoft.com/office/officeart/2005/8/layout/hierarchy3"/>
    <dgm:cxn modelId="{20207A03-256A-4EE1-811F-781C17246E77}" srcId="{8D838214-9BBE-4D19-A90F-F98A94F00A72}" destId="{FA03F7ED-3EF2-4088-B174-3EC753ED37DC}" srcOrd="0" destOrd="0" parTransId="{528FEB4A-B873-4733-AD85-CA13C78D4D1A}" sibTransId="{3F6469EB-C4F6-424F-BF87-F1CA54119D9B}"/>
    <dgm:cxn modelId="{130980C0-807D-45D4-864A-3D6686799851}" type="presOf" srcId="{D1236A7F-B8C4-491B-9E02-C87624698D30}" destId="{15A31137-FD0B-4675-838F-1C169D6A85C6}" srcOrd="0" destOrd="0" presId="urn:microsoft.com/office/officeart/2005/8/layout/hierarchy3"/>
    <dgm:cxn modelId="{A0560D62-15EF-4B29-B129-6F81BEE92F6D}" type="presOf" srcId="{FBC29B18-5D5D-47AA-88E9-6237A49473C2}" destId="{715D89F1-0F19-4EBA-BEDE-83D6BC5184C3}" srcOrd="0" destOrd="0" presId="urn:microsoft.com/office/officeart/2005/8/layout/hierarchy3"/>
    <dgm:cxn modelId="{E6EC5599-31CB-433A-8D81-326B7207D94F}" type="presOf" srcId="{3AC62B98-6498-4E7B-B9A1-F92889DEC8C1}" destId="{841B052C-9E31-4F77-888E-B4EB27131483}" srcOrd="0" destOrd="0" presId="urn:microsoft.com/office/officeart/2005/8/layout/hierarchy3"/>
    <dgm:cxn modelId="{1D374C07-96CA-43E6-B904-76835C5227EB}" type="presOf" srcId="{21523CCF-8AE6-4CE6-AB5A-B530D3809277}" destId="{04C5E194-71B2-41D3-89DA-FA61C943C462}" srcOrd="1" destOrd="0" presId="urn:microsoft.com/office/officeart/2005/8/layout/hierarchy3"/>
    <dgm:cxn modelId="{EBA38419-D2C1-42DB-93BE-4BA1E442AF0F}" type="presOf" srcId="{FD75B518-47D9-4CFA-BD33-1C32053415B9}" destId="{0ED3EF19-5889-4CDF-9620-E82369726ECF}" srcOrd="0" destOrd="0" presId="urn:microsoft.com/office/officeart/2005/8/layout/hierarchy3"/>
    <dgm:cxn modelId="{D0562518-BEA9-4011-A7FE-7E8B04044BEC}" type="presOf" srcId="{21523CCF-8AE6-4CE6-AB5A-B530D3809277}" destId="{0616FDC5-63E3-4FEE-8AF3-241E7C91B7E6}" srcOrd="0" destOrd="0" presId="urn:microsoft.com/office/officeart/2005/8/layout/hierarchy3"/>
    <dgm:cxn modelId="{70C7FF5C-9878-4C6A-B552-296AEBAA455E}" type="presOf" srcId="{79EE7B36-A815-4B26-8402-A3778F6E0D58}" destId="{35B5B712-2D8F-42CD-AF04-804284FE4E1B}" srcOrd="0" destOrd="0" presId="urn:microsoft.com/office/officeart/2005/8/layout/hierarchy3"/>
    <dgm:cxn modelId="{4BA2892B-7FC4-4A62-9FBA-2D450FEAE403}" srcId="{0BAE0BDB-5E58-4C45-996D-5DBB44BB846C}" destId="{829F5E65-32F1-475A-948C-C2B5C9EE2B52}" srcOrd="3" destOrd="0" parTransId="{0E9F350D-0F19-4A6E-8644-4D02DDDC97FE}" sibTransId="{B5089562-4BB2-4C90-A1A0-62F32ACED6F5}"/>
    <dgm:cxn modelId="{55B2D303-D503-4CEE-839D-C0C74C62AB78}" srcId="{829F5E65-32F1-475A-948C-C2B5C9EE2B52}" destId="{A986712A-5856-4947-960D-5A04172FC37B}" srcOrd="4" destOrd="0" parTransId="{D1236A7F-B8C4-491B-9E02-C87624698D30}" sibTransId="{6A05D01D-5E02-4122-B5A9-D9BBCA01AA7F}"/>
    <dgm:cxn modelId="{3F779891-C739-44FC-B61D-066CA52AE33C}" srcId="{A2DF4CD9-DC68-4469-ABD5-4A5C4E6F0D5E}" destId="{18B8B338-4C34-450E-B30B-50C95EC9CF19}" srcOrd="2" destOrd="0" parTransId="{4D3A4227-EEBA-43E3-AE32-D26260CF5DB8}" sibTransId="{6CADA37F-5F57-4911-B37F-7341F8F0D80B}"/>
    <dgm:cxn modelId="{0F5B5615-2606-470E-8C12-93DED49D1EA2}" type="presOf" srcId="{157E08F9-1345-4B9D-882B-59BF41A0F528}" destId="{83D957E9-1F70-430F-86ED-6C925A78CF94}" srcOrd="0" destOrd="0" presId="urn:microsoft.com/office/officeart/2005/8/layout/hierarchy3"/>
    <dgm:cxn modelId="{BE050002-7393-484E-8E2B-FFD664A0A947}" type="presOf" srcId="{14C5B5EA-CAA3-4485-BADB-6562400024F5}" destId="{BD7F00FB-2E17-42D8-B27C-98AF31928F8C}" srcOrd="0" destOrd="0" presId="urn:microsoft.com/office/officeart/2005/8/layout/hierarchy3"/>
    <dgm:cxn modelId="{32B4AAAC-9C72-4127-8352-ABE01C82165B}" type="presOf" srcId="{4D3A4227-EEBA-43E3-AE32-D26260CF5DB8}" destId="{956C4FCD-1B24-45F8-903C-7643D218CEAB}" srcOrd="0" destOrd="0" presId="urn:microsoft.com/office/officeart/2005/8/layout/hierarchy3"/>
    <dgm:cxn modelId="{A871B898-177B-4E42-8A30-7CD7061CB4A9}" type="presOf" srcId="{3CC01DAA-7596-446B-9DF1-E8A0AA1CF0E5}" destId="{00B19458-41D7-45F8-A1FC-B4B7A09FA5BE}" srcOrd="0" destOrd="0" presId="urn:microsoft.com/office/officeart/2005/8/layout/hierarchy3"/>
    <dgm:cxn modelId="{EA855C6B-F7EC-43AD-9A4E-1AEAE0263954}" type="presOf" srcId="{F89A3243-A813-48C0-8B85-BAF00771A527}" destId="{B429B257-B2E1-4871-8A1F-F0CCD22E2B80}" srcOrd="0" destOrd="0" presId="urn:microsoft.com/office/officeart/2005/8/layout/hierarchy3"/>
    <dgm:cxn modelId="{75F19980-C069-40EF-8420-623A012348BD}" type="presOf" srcId="{03D00840-FF47-464A-923D-41AFCD11849A}" destId="{AA6CFDD6-8968-47E7-A9C9-FAE69B174B30}" srcOrd="0" destOrd="0" presId="urn:microsoft.com/office/officeart/2005/8/layout/hierarchy3"/>
    <dgm:cxn modelId="{7D36AB39-A6CB-40DF-B8F1-CCB1CAF51AD5}" type="presOf" srcId="{4B652F28-588A-4994-AC2F-59B0D32B7437}" destId="{2BF9861B-68BA-471D-A166-CC4252004C49}" srcOrd="0" destOrd="0" presId="urn:microsoft.com/office/officeart/2005/8/layout/hierarchy3"/>
    <dgm:cxn modelId="{C1123C97-9317-4013-8ED3-6C6BB1432617}" srcId="{0BAE0BDB-5E58-4C45-996D-5DBB44BB846C}" destId="{A2DF4CD9-DC68-4469-ABD5-4A5C4E6F0D5E}" srcOrd="0" destOrd="0" parTransId="{223647AF-4BF2-413E-8D4D-CADB4690CA86}" sibTransId="{C31F4B7E-93B8-4E6D-8857-F9CD12ED9511}"/>
    <dgm:cxn modelId="{FD7F9A2F-2DBB-4F69-83C7-C39084780368}" type="presOf" srcId="{FA03F7ED-3EF2-4088-B174-3EC753ED37DC}" destId="{08A86381-A4E2-42C0-8BAE-2B1FD01ECD81}" srcOrd="0" destOrd="0" presId="urn:microsoft.com/office/officeart/2005/8/layout/hierarchy3"/>
    <dgm:cxn modelId="{B5D502FA-3064-4A12-95B9-B9DAD94C88AF}" type="presOf" srcId="{40F8B629-D3F6-400D-AD90-9A15721334CF}" destId="{961DB55A-0405-4D22-A04F-2BC227ECEBE8}" srcOrd="0" destOrd="0" presId="urn:microsoft.com/office/officeart/2005/8/layout/hierarchy3"/>
    <dgm:cxn modelId="{A84240DE-7A66-435D-8656-692778503A6C}" srcId="{21523CCF-8AE6-4CE6-AB5A-B530D3809277}" destId="{FBC29B18-5D5D-47AA-88E9-6237A49473C2}" srcOrd="0" destOrd="0" parTransId="{F89A3243-A813-48C0-8B85-BAF00771A527}" sibTransId="{8226C704-BDE9-4CA7-A5D8-28B10B6F4BAD}"/>
    <dgm:cxn modelId="{81970AF1-09FF-4220-9381-F067019CCD64}" type="presOf" srcId="{8D838214-9BBE-4D19-A90F-F98A94F00A72}" destId="{EF310C09-AFA2-41BE-990D-17DF679C64B1}" srcOrd="0" destOrd="0" presId="urn:microsoft.com/office/officeart/2005/8/layout/hierarchy3"/>
    <dgm:cxn modelId="{1A097A9D-CA5C-4ED4-9706-EF3E744FC07D}" type="presOf" srcId="{829F5E65-32F1-475A-948C-C2B5C9EE2B52}" destId="{C66F0159-88ED-45E8-A234-4DB79654887D}" srcOrd="0" destOrd="0" presId="urn:microsoft.com/office/officeart/2005/8/layout/hierarchy3"/>
    <dgm:cxn modelId="{BC02F125-645A-43C2-88A9-A8A68520CBDA}" srcId="{21523CCF-8AE6-4CE6-AB5A-B530D3809277}" destId="{F73AD7AA-5858-4E69-844D-3A89C31E1E45}" srcOrd="2" destOrd="0" parTransId="{12CA8DBE-C61D-43A7-947F-5EF8D222C7A1}" sibTransId="{29EAE62F-0ED0-4D60-BFF9-E0034ABB705D}"/>
    <dgm:cxn modelId="{458D3BF5-E916-4862-B4E8-6E8E85A9ADCC}" srcId="{8D838214-9BBE-4D19-A90F-F98A94F00A72}" destId="{3CC01DAA-7596-446B-9DF1-E8A0AA1CF0E5}" srcOrd="4" destOrd="0" parTransId="{6EF5CF89-E288-4369-8109-68A25BF52300}" sibTransId="{AB12DE19-DB76-4CAA-ABA4-59CE71F9E7DA}"/>
    <dgm:cxn modelId="{1629290E-4288-4EFF-9119-E7EF21DF98B2}" type="presOf" srcId="{7CDB37FE-2938-490D-B295-664B89CF517B}" destId="{E2BD2DEE-D80A-47F8-AACD-278E1B18BC5A}" srcOrd="0" destOrd="0" presId="urn:microsoft.com/office/officeart/2005/8/layout/hierarchy3"/>
    <dgm:cxn modelId="{0E7EE713-8159-418D-8EC1-7017DB806D44}" srcId="{829F5E65-32F1-475A-948C-C2B5C9EE2B52}" destId="{14C5B5EA-CAA3-4485-BADB-6562400024F5}" srcOrd="5" destOrd="0" parTransId="{0E5FFB5B-31B4-4687-A075-C15E3B18F8D3}" sibTransId="{392EB3A4-245B-4F78-9225-5D4670D662DB}"/>
    <dgm:cxn modelId="{28325D1E-2134-487B-92C7-7F13F3ECAAE7}" type="presOf" srcId="{9DD2622E-8EA4-47AF-BA7B-AA06CF5A739B}" destId="{68BCE9DA-D86E-42EC-8C81-A2421074DBBF}" srcOrd="0" destOrd="0" presId="urn:microsoft.com/office/officeart/2005/8/layout/hierarchy3"/>
    <dgm:cxn modelId="{90BE2FF1-9ADE-4DC4-95AC-9734A525579A}" srcId="{A2DF4CD9-DC68-4469-ABD5-4A5C4E6F0D5E}" destId="{AA628A93-7EDA-4833-A1E4-B7200F19E831}" srcOrd="0" destOrd="0" parTransId="{4B652F28-588A-4994-AC2F-59B0D32B7437}" sibTransId="{F4910781-8ADF-4D4B-85C2-7A62CA33B940}"/>
    <dgm:cxn modelId="{8A716421-8F3D-4B8E-93A3-B1723AE4D08E}" type="presOf" srcId="{3C128094-1249-486A-BA25-1D8CD46A75B7}" destId="{760A6AEE-65CD-46FB-958D-439FCC8053DE}" srcOrd="0" destOrd="0" presId="urn:microsoft.com/office/officeart/2005/8/layout/hierarchy3"/>
    <dgm:cxn modelId="{BF1F11C8-92DB-4A74-BC91-76FFE26D93B1}" type="presOf" srcId="{78934234-EC80-441D-9433-74EBB800B62C}" destId="{02D5ACBD-2944-4706-B7AA-41190FF971A9}" srcOrd="0" destOrd="0" presId="urn:microsoft.com/office/officeart/2005/8/layout/hierarchy3"/>
    <dgm:cxn modelId="{66ADAE77-A181-4BAF-9CF8-215B17F8AB6D}" srcId="{829F5E65-32F1-475A-948C-C2B5C9EE2B52}" destId="{B6E0F3E8-1402-4F0F-958E-1333C5B9BB96}" srcOrd="1" destOrd="0" parTransId="{9CA71AD0-6E21-4528-B381-49C90524ADAB}" sibTransId="{4CC05388-F93A-4373-B81D-C6F63EB100A8}"/>
    <dgm:cxn modelId="{7912866C-195F-4026-AFB8-09ED1686FC1A}" type="presOf" srcId="{528FEB4A-B873-4733-AD85-CA13C78D4D1A}" destId="{3434515F-1531-4183-BE56-5A37D65CF178}" srcOrd="0" destOrd="0" presId="urn:microsoft.com/office/officeart/2005/8/layout/hierarchy3"/>
    <dgm:cxn modelId="{92DB3D3B-289D-4D0D-B0BE-E97D02463FFB}" type="presOf" srcId="{7CAD2C90-01EA-4523-B0EB-6A2F23ABE69C}" destId="{6A8E61D8-FC3B-4538-97A0-4D39F70BA990}" srcOrd="0" destOrd="0" presId="urn:microsoft.com/office/officeart/2005/8/layout/hierarchy3"/>
    <dgm:cxn modelId="{B86D5563-5097-49EC-B85C-46512B63D7CD}" type="presOf" srcId="{0E5FFB5B-31B4-4687-A075-C15E3B18F8D3}" destId="{392564A6-D0BE-4874-AB6F-3D939F9FC148}" srcOrd="0" destOrd="0" presId="urn:microsoft.com/office/officeart/2005/8/layout/hierarchy3"/>
    <dgm:cxn modelId="{74BB4FCA-EE95-41BE-B093-A9BB65E8CDDA}" type="presOf" srcId="{31FF1382-6CFF-4A18-8FBF-A12E49FAA7CB}" destId="{23C16C91-9E8D-4E58-BBEA-0A0ADABCE765}" srcOrd="0" destOrd="0" presId="urn:microsoft.com/office/officeart/2005/8/layout/hierarchy3"/>
    <dgm:cxn modelId="{3C2F5BF3-0D9A-4C2F-B290-C37F219ADBA2}" type="presOf" srcId="{A5FCA0B9-E1FF-4B48-A1CB-5DF5A6870BEB}" destId="{E873CD97-03D2-421B-9DD4-61CF0BAA40A8}" srcOrd="0" destOrd="0" presId="urn:microsoft.com/office/officeart/2005/8/layout/hierarchy3"/>
    <dgm:cxn modelId="{C0B68514-4EAC-49C5-84E8-B4F08B1FE2FB}" srcId="{21523CCF-8AE6-4CE6-AB5A-B530D3809277}" destId="{A5FCA0B9-E1FF-4B48-A1CB-5DF5A6870BEB}" srcOrd="4" destOrd="0" parTransId="{A8BA697B-A104-43A7-924C-BBA157F589AB}" sibTransId="{F63AD08E-3C55-47CF-A9FB-F2E394794EFE}"/>
    <dgm:cxn modelId="{0C77E29B-1E64-478B-BE53-22DC1525D120}" type="presOf" srcId="{8EC9E5F9-AEB7-4B84-BDCD-D8CD91671DE6}" destId="{CBA51BC3-3317-4321-9FE6-AC2EFC56B650}" srcOrd="0" destOrd="0" presId="urn:microsoft.com/office/officeart/2005/8/layout/hierarchy3"/>
    <dgm:cxn modelId="{F2B55164-6261-4EC0-A407-1FB832DC6E88}" type="presOf" srcId="{F73AD7AA-5858-4E69-844D-3A89C31E1E45}" destId="{7031F581-F107-458E-B747-F4B5F793475F}" srcOrd="0" destOrd="0" presId="urn:microsoft.com/office/officeart/2005/8/layout/hierarchy3"/>
    <dgm:cxn modelId="{2CE3B0D1-16B1-4DC2-B3C0-424E9AF8955F}" type="presOf" srcId="{0BAE0BDB-5E58-4C45-996D-5DBB44BB846C}" destId="{16E876AC-A414-47F7-89D3-EEB18C65FCFF}" srcOrd="0" destOrd="0" presId="urn:microsoft.com/office/officeart/2005/8/layout/hierarchy3"/>
    <dgm:cxn modelId="{12FCC848-A4CE-4958-951A-22FADBC29655}" type="presOf" srcId="{A2DF4CD9-DC68-4469-ABD5-4A5C4E6F0D5E}" destId="{FF1A56B1-D490-46F2-BFD0-82C73E342641}" srcOrd="1" destOrd="0" presId="urn:microsoft.com/office/officeart/2005/8/layout/hierarchy3"/>
    <dgm:cxn modelId="{7BA4F6F8-75F3-4228-8247-A803CCBF95B1}" type="presOf" srcId="{829F5E65-32F1-475A-948C-C2B5C9EE2B52}" destId="{4300476A-6FCA-4175-BE4F-6EC553FB179B}" srcOrd="1" destOrd="0" presId="urn:microsoft.com/office/officeart/2005/8/layout/hierarchy3"/>
    <dgm:cxn modelId="{6D1C4BD6-CEE7-4D4A-919B-B1068427B346}" type="presOf" srcId="{6EF5CF89-E288-4369-8109-68A25BF52300}" destId="{E4603BA6-35E6-4DC1-BDEA-897FBA028ED5}" srcOrd="0" destOrd="0" presId="urn:microsoft.com/office/officeart/2005/8/layout/hierarchy3"/>
    <dgm:cxn modelId="{21CE8C9E-950D-4E45-BA19-B90E83C6926B}" srcId="{0BAE0BDB-5E58-4C45-996D-5DBB44BB846C}" destId="{21523CCF-8AE6-4CE6-AB5A-B530D3809277}" srcOrd="1" destOrd="0" parTransId="{A5D8FCDB-55B0-40FB-86AC-DEC322DEFE3D}" sibTransId="{7AA1FE66-3BC1-4EC1-9630-8F5431312CFC}"/>
    <dgm:cxn modelId="{D0494663-EEDE-4D37-B1D0-EDF6388E5F14}" srcId="{8D838214-9BBE-4D19-A90F-F98A94F00A72}" destId="{40F8B629-D3F6-400D-AD90-9A15721334CF}" srcOrd="2" destOrd="0" parTransId="{9DD2622E-8EA4-47AF-BA7B-AA06CF5A739B}" sibTransId="{75FCA6ED-F023-4443-9693-DFBCBE234F1C}"/>
    <dgm:cxn modelId="{0A4B6368-0F27-425C-BF48-5FAE2C652232}" type="presOf" srcId="{9CA71AD0-6E21-4528-B381-49C90524ADAB}" destId="{329E4E51-D0EA-4032-B46A-31BD4F94CD63}" srcOrd="0" destOrd="0" presId="urn:microsoft.com/office/officeart/2005/8/layout/hierarchy3"/>
    <dgm:cxn modelId="{06F43166-EF68-47B3-ADD9-AB0C0E606FB7}" type="presOf" srcId="{AA628A93-7EDA-4833-A1E4-B7200F19E831}" destId="{710E6B37-D226-4E38-B30F-E2B7430081FB}" srcOrd="0" destOrd="0" presId="urn:microsoft.com/office/officeart/2005/8/layout/hierarchy3"/>
    <dgm:cxn modelId="{2BA31409-BC8C-489F-A70C-D3271347210F}" type="presOf" srcId="{A986712A-5856-4947-960D-5A04172FC37B}" destId="{AB527E45-4A2C-4B70-B7E5-EAD48EA0078B}" srcOrd="0" destOrd="0" presId="urn:microsoft.com/office/officeart/2005/8/layout/hierarchy3"/>
    <dgm:cxn modelId="{87972A38-3671-4D22-BA2D-D82A3261E9C7}" type="presOf" srcId="{C1535D1F-73C6-4F9F-A14A-AA670AC4D4C0}" destId="{B222F29C-1E66-44A2-A497-8F350E571D33}" srcOrd="0" destOrd="0" presId="urn:microsoft.com/office/officeart/2005/8/layout/hierarchy3"/>
    <dgm:cxn modelId="{37B819EF-D019-4B04-8F02-1548577BE8DC}" type="presOf" srcId="{294EC836-031D-419E-A644-4AA163B4468C}" destId="{1ED73F84-A4D9-4DA5-B2DF-8FF627221139}" srcOrd="0" destOrd="0" presId="urn:microsoft.com/office/officeart/2005/8/layout/hierarchy3"/>
    <dgm:cxn modelId="{9B5FA03A-416B-4DBD-9886-E37241BBFD0D}" srcId="{0BAE0BDB-5E58-4C45-996D-5DBB44BB846C}" destId="{8D838214-9BBE-4D19-A90F-F98A94F00A72}" srcOrd="2" destOrd="0" parTransId="{353102F2-5062-4CC9-AE7F-25253F164989}" sibTransId="{7DC2139E-F4D2-4BBA-8BA6-515A5587B2B5}"/>
    <dgm:cxn modelId="{C292F151-03B8-455D-AAD9-CF2CC37058D1}" type="presOf" srcId="{8D838214-9BBE-4D19-A90F-F98A94F00A72}" destId="{DFC63EB8-72EB-49CE-885B-194882A17E35}" srcOrd="1" destOrd="0" presId="urn:microsoft.com/office/officeart/2005/8/layout/hierarchy3"/>
    <dgm:cxn modelId="{9B8D3560-21DC-47C1-8348-14B8E1122E2A}" srcId="{21523CCF-8AE6-4CE6-AB5A-B530D3809277}" destId="{81BB37A0-1C86-4DBC-B8AB-8C134E5BE30E}" srcOrd="3" destOrd="0" parTransId="{FD75B518-47D9-4CFA-BD33-1C32053415B9}" sibTransId="{91D1775B-0034-4608-B547-B75D0246C66B}"/>
    <dgm:cxn modelId="{8B8DDDAA-56D5-4E57-BD5E-419B19120F71}" type="presOf" srcId="{A2DF4CD9-DC68-4469-ABD5-4A5C4E6F0D5E}" destId="{A7F8AE73-3C6C-48CC-81B7-F61C0FC64232}" srcOrd="0" destOrd="0" presId="urn:microsoft.com/office/officeart/2005/8/layout/hierarchy3"/>
    <dgm:cxn modelId="{46790711-DF0A-4CB5-9CC5-2D77C128283D}" srcId="{A2DF4CD9-DC68-4469-ABD5-4A5C4E6F0D5E}" destId="{294EC836-031D-419E-A644-4AA163B4468C}" srcOrd="1" destOrd="0" parTransId="{D1B27366-1D9A-4C3E-8676-C9445EA50846}" sibTransId="{D85525A4-B68F-4869-BF96-37FD16B80A2D}"/>
    <dgm:cxn modelId="{C65F0370-0086-40C7-A680-A48F397AAA24}" srcId="{8D838214-9BBE-4D19-A90F-F98A94F00A72}" destId="{C1535D1F-73C6-4F9F-A14A-AA670AC4D4C0}" srcOrd="5" destOrd="0" parTransId="{31FF1382-6CFF-4A18-8FBF-A12E49FAA7CB}" sibTransId="{D9C813E5-937D-407F-9ED0-F3333F593773}"/>
    <dgm:cxn modelId="{9904FBF8-CD37-405E-B0F5-6DA415B0CBB2}" srcId="{8D838214-9BBE-4D19-A90F-F98A94F00A72}" destId="{3AC62B98-6498-4E7B-B9A1-F92889DEC8C1}" srcOrd="1" destOrd="0" parTransId="{78934234-EC80-441D-9433-74EBB800B62C}" sibTransId="{54E3CAA1-3936-4270-B4E9-2E42C33841CA}"/>
    <dgm:cxn modelId="{4DF84F37-9506-4CD7-B24B-A209C5BAE5AB}" type="presOf" srcId="{2E6F635D-EA49-49B0-BE9B-74DA4BEBC0AC}" destId="{B56DB984-1421-4E3C-AC4C-D1F9D6D3C8A0}" srcOrd="0" destOrd="0" presId="urn:microsoft.com/office/officeart/2005/8/layout/hierarchy3"/>
    <dgm:cxn modelId="{90B29919-FD2A-432E-ABE0-E3B3D4B14F72}" srcId="{829F5E65-32F1-475A-948C-C2B5C9EE2B52}" destId="{3C128094-1249-486A-BA25-1D8CD46A75B7}" srcOrd="3" destOrd="0" parTransId="{79EE7B36-A815-4B26-8402-A3778F6E0D58}" sibTransId="{5D724043-0160-4C20-996F-AFA11BBBF4B1}"/>
    <dgm:cxn modelId="{32E10DEF-1215-416C-9F18-B7133A9B31D1}" type="presOf" srcId="{F7691CA4-EBBE-4DF4-A295-F47A57895884}" destId="{7FC88A00-DC76-4E23-B3A4-3F6B65EC589C}" srcOrd="0" destOrd="0" presId="urn:microsoft.com/office/officeart/2005/8/layout/hierarchy3"/>
    <dgm:cxn modelId="{D773B087-E1AE-4713-9813-845A35F2044C}" type="presOf" srcId="{A8BA697B-A104-43A7-924C-BBA157F589AB}" destId="{3160924C-6123-45A0-A4E4-9E616DE321E4}" srcOrd="0" destOrd="0" presId="urn:microsoft.com/office/officeart/2005/8/layout/hierarchy3"/>
    <dgm:cxn modelId="{61369A7B-80EE-4351-A2B1-F9F25DC2630F}" type="presParOf" srcId="{16E876AC-A414-47F7-89D3-EEB18C65FCFF}" destId="{C2BF0752-D037-4542-9C9E-D3840E060B0B}" srcOrd="0" destOrd="0" presId="urn:microsoft.com/office/officeart/2005/8/layout/hierarchy3"/>
    <dgm:cxn modelId="{97184B6B-3EDC-4EDA-98CE-770FEAC15C76}" type="presParOf" srcId="{C2BF0752-D037-4542-9C9E-D3840E060B0B}" destId="{E7749A86-1AF5-47EE-B5A7-71A78D706BE2}" srcOrd="0" destOrd="0" presId="urn:microsoft.com/office/officeart/2005/8/layout/hierarchy3"/>
    <dgm:cxn modelId="{606AC0A3-B0E1-4E81-8B74-9313DFE6CC7D}" type="presParOf" srcId="{E7749A86-1AF5-47EE-B5A7-71A78D706BE2}" destId="{A7F8AE73-3C6C-48CC-81B7-F61C0FC64232}" srcOrd="0" destOrd="0" presId="urn:microsoft.com/office/officeart/2005/8/layout/hierarchy3"/>
    <dgm:cxn modelId="{D758746F-1E82-4094-8B63-B111C684B285}" type="presParOf" srcId="{E7749A86-1AF5-47EE-B5A7-71A78D706BE2}" destId="{FF1A56B1-D490-46F2-BFD0-82C73E342641}" srcOrd="1" destOrd="0" presId="urn:microsoft.com/office/officeart/2005/8/layout/hierarchy3"/>
    <dgm:cxn modelId="{17549D23-05AE-42DD-BC93-D0F430381625}" type="presParOf" srcId="{C2BF0752-D037-4542-9C9E-D3840E060B0B}" destId="{0CB5D369-4AFD-4664-A7E2-64F3E894038A}" srcOrd="1" destOrd="0" presId="urn:microsoft.com/office/officeart/2005/8/layout/hierarchy3"/>
    <dgm:cxn modelId="{B18A8371-AAD3-4E71-B6CC-DBF9DFB6B4A0}" type="presParOf" srcId="{0CB5D369-4AFD-4664-A7E2-64F3E894038A}" destId="{2BF9861B-68BA-471D-A166-CC4252004C49}" srcOrd="0" destOrd="0" presId="urn:microsoft.com/office/officeart/2005/8/layout/hierarchy3"/>
    <dgm:cxn modelId="{DA6123CF-676A-4F1C-9606-33EF79FC8DE7}" type="presParOf" srcId="{0CB5D369-4AFD-4664-A7E2-64F3E894038A}" destId="{710E6B37-D226-4E38-B30F-E2B7430081FB}" srcOrd="1" destOrd="0" presId="urn:microsoft.com/office/officeart/2005/8/layout/hierarchy3"/>
    <dgm:cxn modelId="{856A753C-75BF-4EE5-957D-79ACA9BFA40E}" type="presParOf" srcId="{0CB5D369-4AFD-4664-A7E2-64F3E894038A}" destId="{8BCC0226-7CBC-4298-990C-A47350D31E46}" srcOrd="2" destOrd="0" presId="urn:microsoft.com/office/officeart/2005/8/layout/hierarchy3"/>
    <dgm:cxn modelId="{9FB45CCC-A644-4A00-821D-0A9DBB9DFDFC}" type="presParOf" srcId="{0CB5D369-4AFD-4664-A7E2-64F3E894038A}" destId="{1ED73F84-A4D9-4DA5-B2DF-8FF627221139}" srcOrd="3" destOrd="0" presId="urn:microsoft.com/office/officeart/2005/8/layout/hierarchy3"/>
    <dgm:cxn modelId="{46801CAE-82B4-402F-BE32-09DB0942A8DB}" type="presParOf" srcId="{0CB5D369-4AFD-4664-A7E2-64F3E894038A}" destId="{956C4FCD-1B24-45F8-903C-7643D218CEAB}" srcOrd="4" destOrd="0" presId="urn:microsoft.com/office/officeart/2005/8/layout/hierarchy3"/>
    <dgm:cxn modelId="{A6332FD3-6DB0-4A41-B9A0-8EA21C8D6897}" type="presParOf" srcId="{0CB5D369-4AFD-4664-A7E2-64F3E894038A}" destId="{F4F01CD6-D991-440A-96C4-733A55C5DB2E}" srcOrd="5" destOrd="0" presId="urn:microsoft.com/office/officeart/2005/8/layout/hierarchy3"/>
    <dgm:cxn modelId="{F61904A2-D94B-4895-8D04-79E3803B6459}" type="presParOf" srcId="{0CB5D369-4AFD-4664-A7E2-64F3E894038A}" destId="{FDCDE185-7C60-49CF-8492-DA15297BBF6E}" srcOrd="6" destOrd="0" presId="urn:microsoft.com/office/officeart/2005/8/layout/hierarchy3"/>
    <dgm:cxn modelId="{6B182619-CFF0-4072-A221-33FBC0E28501}" type="presParOf" srcId="{0CB5D369-4AFD-4664-A7E2-64F3E894038A}" destId="{7FC88A00-DC76-4E23-B3A4-3F6B65EC589C}" srcOrd="7" destOrd="0" presId="urn:microsoft.com/office/officeart/2005/8/layout/hierarchy3"/>
    <dgm:cxn modelId="{E9718048-91C5-453A-AA31-1E4005E6FD00}" type="presParOf" srcId="{16E876AC-A414-47F7-89D3-EEB18C65FCFF}" destId="{C580B91D-836C-4056-B65D-1291E16023DC}" srcOrd="1" destOrd="0" presId="urn:microsoft.com/office/officeart/2005/8/layout/hierarchy3"/>
    <dgm:cxn modelId="{B228AEF7-39C4-4D9B-9EAC-F31E294BD6A0}" type="presParOf" srcId="{C580B91D-836C-4056-B65D-1291E16023DC}" destId="{D4F6ADDA-8DAD-4C2C-888D-231789A6F310}" srcOrd="0" destOrd="0" presId="urn:microsoft.com/office/officeart/2005/8/layout/hierarchy3"/>
    <dgm:cxn modelId="{245CA43C-A880-470C-BD21-F21B853B69B8}" type="presParOf" srcId="{D4F6ADDA-8DAD-4C2C-888D-231789A6F310}" destId="{0616FDC5-63E3-4FEE-8AF3-241E7C91B7E6}" srcOrd="0" destOrd="0" presId="urn:microsoft.com/office/officeart/2005/8/layout/hierarchy3"/>
    <dgm:cxn modelId="{5BEB98A5-29BF-4FE0-A891-1FABB2CD7E6B}" type="presParOf" srcId="{D4F6ADDA-8DAD-4C2C-888D-231789A6F310}" destId="{04C5E194-71B2-41D3-89DA-FA61C943C462}" srcOrd="1" destOrd="0" presId="urn:microsoft.com/office/officeart/2005/8/layout/hierarchy3"/>
    <dgm:cxn modelId="{9AE599D3-55FD-41C2-9C7B-6F662AAB8EBA}" type="presParOf" srcId="{C580B91D-836C-4056-B65D-1291E16023DC}" destId="{5D034E34-582F-447E-BB72-D38A86DF51B8}" srcOrd="1" destOrd="0" presId="urn:microsoft.com/office/officeart/2005/8/layout/hierarchy3"/>
    <dgm:cxn modelId="{FC7BCEEF-14D7-4021-8D3C-168B795B85DB}" type="presParOf" srcId="{5D034E34-582F-447E-BB72-D38A86DF51B8}" destId="{B429B257-B2E1-4871-8A1F-F0CCD22E2B80}" srcOrd="0" destOrd="0" presId="urn:microsoft.com/office/officeart/2005/8/layout/hierarchy3"/>
    <dgm:cxn modelId="{DC74E0F4-1F00-4B1B-AA20-A0BD5064D286}" type="presParOf" srcId="{5D034E34-582F-447E-BB72-D38A86DF51B8}" destId="{715D89F1-0F19-4EBA-BEDE-83D6BC5184C3}" srcOrd="1" destOrd="0" presId="urn:microsoft.com/office/officeart/2005/8/layout/hierarchy3"/>
    <dgm:cxn modelId="{8AE74797-0B03-4288-BA63-F58ECD5550FB}" type="presParOf" srcId="{5D034E34-582F-447E-BB72-D38A86DF51B8}" destId="{B56DB984-1421-4E3C-AC4C-D1F9D6D3C8A0}" srcOrd="2" destOrd="0" presId="urn:microsoft.com/office/officeart/2005/8/layout/hierarchy3"/>
    <dgm:cxn modelId="{6733F1AA-186F-4F8F-894F-F396174B4153}" type="presParOf" srcId="{5D034E34-582F-447E-BB72-D38A86DF51B8}" destId="{1CB3FD78-A038-42CB-A653-E4CF390CBCD2}" srcOrd="3" destOrd="0" presId="urn:microsoft.com/office/officeart/2005/8/layout/hierarchy3"/>
    <dgm:cxn modelId="{BD23ED97-A95C-4109-9B3B-EC9513A71EF2}" type="presParOf" srcId="{5D034E34-582F-447E-BB72-D38A86DF51B8}" destId="{9B294835-A51B-4D39-9ABB-96BE79AB77B2}" srcOrd="4" destOrd="0" presId="urn:microsoft.com/office/officeart/2005/8/layout/hierarchy3"/>
    <dgm:cxn modelId="{925C71E6-E70A-4355-A9BB-944C89D232A3}" type="presParOf" srcId="{5D034E34-582F-447E-BB72-D38A86DF51B8}" destId="{7031F581-F107-458E-B747-F4B5F793475F}" srcOrd="5" destOrd="0" presId="urn:microsoft.com/office/officeart/2005/8/layout/hierarchy3"/>
    <dgm:cxn modelId="{73AAFEB5-1199-4D09-B2F5-735DCB4D89B0}" type="presParOf" srcId="{5D034E34-582F-447E-BB72-D38A86DF51B8}" destId="{0ED3EF19-5889-4CDF-9620-E82369726ECF}" srcOrd="6" destOrd="0" presId="urn:microsoft.com/office/officeart/2005/8/layout/hierarchy3"/>
    <dgm:cxn modelId="{1CEC0603-6C16-4BB5-AC31-C4FB9FD4C898}" type="presParOf" srcId="{5D034E34-582F-447E-BB72-D38A86DF51B8}" destId="{6E18330D-B87C-4AFA-B044-BA5ADC9A3194}" srcOrd="7" destOrd="0" presId="urn:microsoft.com/office/officeart/2005/8/layout/hierarchy3"/>
    <dgm:cxn modelId="{7BD51345-17A4-48CF-A2BF-545D50B9A1B1}" type="presParOf" srcId="{5D034E34-582F-447E-BB72-D38A86DF51B8}" destId="{3160924C-6123-45A0-A4E4-9E616DE321E4}" srcOrd="8" destOrd="0" presId="urn:microsoft.com/office/officeart/2005/8/layout/hierarchy3"/>
    <dgm:cxn modelId="{CDC587B5-615E-41D8-B372-743FC8C5C380}" type="presParOf" srcId="{5D034E34-582F-447E-BB72-D38A86DF51B8}" destId="{E873CD97-03D2-421B-9DD4-61CF0BAA40A8}" srcOrd="9" destOrd="0" presId="urn:microsoft.com/office/officeart/2005/8/layout/hierarchy3"/>
    <dgm:cxn modelId="{207B27D9-9936-4479-AF4B-11819C6ADDFB}" type="presParOf" srcId="{16E876AC-A414-47F7-89D3-EEB18C65FCFF}" destId="{DD9DB769-8646-4403-8078-8D28407E5C1B}" srcOrd="2" destOrd="0" presId="urn:microsoft.com/office/officeart/2005/8/layout/hierarchy3"/>
    <dgm:cxn modelId="{159802C6-C3EA-468A-928C-36B595DD628F}" type="presParOf" srcId="{DD9DB769-8646-4403-8078-8D28407E5C1B}" destId="{CF436B54-DACA-484F-B745-1B6F838CDC28}" srcOrd="0" destOrd="0" presId="urn:microsoft.com/office/officeart/2005/8/layout/hierarchy3"/>
    <dgm:cxn modelId="{0A008976-7F86-428E-AE77-0CDAB93D9C19}" type="presParOf" srcId="{CF436B54-DACA-484F-B745-1B6F838CDC28}" destId="{EF310C09-AFA2-41BE-990D-17DF679C64B1}" srcOrd="0" destOrd="0" presId="urn:microsoft.com/office/officeart/2005/8/layout/hierarchy3"/>
    <dgm:cxn modelId="{398F56B9-4242-4FB8-9403-BA8EA14C4E34}" type="presParOf" srcId="{CF436B54-DACA-484F-B745-1B6F838CDC28}" destId="{DFC63EB8-72EB-49CE-885B-194882A17E35}" srcOrd="1" destOrd="0" presId="urn:microsoft.com/office/officeart/2005/8/layout/hierarchy3"/>
    <dgm:cxn modelId="{91B89C5C-B013-48F9-BDD6-BFAF6ECB218C}" type="presParOf" srcId="{DD9DB769-8646-4403-8078-8D28407E5C1B}" destId="{14E25DEC-E551-47F5-AD5D-B9A18573EE7F}" srcOrd="1" destOrd="0" presId="urn:microsoft.com/office/officeart/2005/8/layout/hierarchy3"/>
    <dgm:cxn modelId="{AEEFB165-6A81-427D-8FD0-7E6D3EB69FA0}" type="presParOf" srcId="{14E25DEC-E551-47F5-AD5D-B9A18573EE7F}" destId="{3434515F-1531-4183-BE56-5A37D65CF178}" srcOrd="0" destOrd="0" presId="urn:microsoft.com/office/officeart/2005/8/layout/hierarchy3"/>
    <dgm:cxn modelId="{2FA0B87D-657A-4B08-B669-8D5EB86FF9E1}" type="presParOf" srcId="{14E25DEC-E551-47F5-AD5D-B9A18573EE7F}" destId="{08A86381-A4E2-42C0-8BAE-2B1FD01ECD81}" srcOrd="1" destOrd="0" presId="urn:microsoft.com/office/officeart/2005/8/layout/hierarchy3"/>
    <dgm:cxn modelId="{1D3BE3D5-04D7-4D87-B8E3-028DDBD19864}" type="presParOf" srcId="{14E25DEC-E551-47F5-AD5D-B9A18573EE7F}" destId="{02D5ACBD-2944-4706-B7AA-41190FF971A9}" srcOrd="2" destOrd="0" presId="urn:microsoft.com/office/officeart/2005/8/layout/hierarchy3"/>
    <dgm:cxn modelId="{A39A211A-27F0-49E2-B1D7-5E9750F1AEE3}" type="presParOf" srcId="{14E25DEC-E551-47F5-AD5D-B9A18573EE7F}" destId="{841B052C-9E31-4F77-888E-B4EB27131483}" srcOrd="3" destOrd="0" presId="urn:microsoft.com/office/officeart/2005/8/layout/hierarchy3"/>
    <dgm:cxn modelId="{2E90E23F-E5A4-4096-B104-FA26B97A132D}" type="presParOf" srcId="{14E25DEC-E551-47F5-AD5D-B9A18573EE7F}" destId="{68BCE9DA-D86E-42EC-8C81-A2421074DBBF}" srcOrd="4" destOrd="0" presId="urn:microsoft.com/office/officeart/2005/8/layout/hierarchy3"/>
    <dgm:cxn modelId="{D3A86821-69A3-4767-A058-58B015BFCE50}" type="presParOf" srcId="{14E25DEC-E551-47F5-AD5D-B9A18573EE7F}" destId="{961DB55A-0405-4D22-A04F-2BC227ECEBE8}" srcOrd="5" destOrd="0" presId="urn:microsoft.com/office/officeart/2005/8/layout/hierarchy3"/>
    <dgm:cxn modelId="{5D1E5052-74AB-4699-9DF4-E41BD1878C8A}" type="presParOf" srcId="{14E25DEC-E551-47F5-AD5D-B9A18573EE7F}" destId="{AA6CFDD6-8968-47E7-A9C9-FAE69B174B30}" srcOrd="6" destOrd="0" presId="urn:microsoft.com/office/officeart/2005/8/layout/hierarchy3"/>
    <dgm:cxn modelId="{EDDA5F13-4A46-4B94-8918-920B9361C9A9}" type="presParOf" srcId="{14E25DEC-E551-47F5-AD5D-B9A18573EE7F}" destId="{CBA51BC3-3317-4321-9FE6-AC2EFC56B650}" srcOrd="7" destOrd="0" presId="urn:microsoft.com/office/officeart/2005/8/layout/hierarchy3"/>
    <dgm:cxn modelId="{2386C6BB-6955-4405-B3BB-A3F01F9602EF}" type="presParOf" srcId="{14E25DEC-E551-47F5-AD5D-B9A18573EE7F}" destId="{E4603BA6-35E6-4DC1-BDEA-897FBA028ED5}" srcOrd="8" destOrd="0" presId="urn:microsoft.com/office/officeart/2005/8/layout/hierarchy3"/>
    <dgm:cxn modelId="{FDC954DB-8EC9-40AC-8D6C-4AA1E7976705}" type="presParOf" srcId="{14E25DEC-E551-47F5-AD5D-B9A18573EE7F}" destId="{00B19458-41D7-45F8-A1FC-B4B7A09FA5BE}" srcOrd="9" destOrd="0" presId="urn:microsoft.com/office/officeart/2005/8/layout/hierarchy3"/>
    <dgm:cxn modelId="{33F9E088-5E29-4EB7-8D72-4D5E2C3D3DC2}" type="presParOf" srcId="{14E25DEC-E551-47F5-AD5D-B9A18573EE7F}" destId="{23C16C91-9E8D-4E58-BBEA-0A0ADABCE765}" srcOrd="10" destOrd="0" presId="urn:microsoft.com/office/officeart/2005/8/layout/hierarchy3"/>
    <dgm:cxn modelId="{837E1CDE-525B-4105-8AC3-C36151E8E355}" type="presParOf" srcId="{14E25DEC-E551-47F5-AD5D-B9A18573EE7F}" destId="{B222F29C-1E66-44A2-A497-8F350E571D33}" srcOrd="11" destOrd="0" presId="urn:microsoft.com/office/officeart/2005/8/layout/hierarchy3"/>
    <dgm:cxn modelId="{B38F8C65-2F7F-4091-8E85-07EE909D8A8C}" type="presParOf" srcId="{16E876AC-A414-47F7-89D3-EEB18C65FCFF}" destId="{5EEF60EB-8B2B-4A5D-B3C7-E4E75515F0C8}" srcOrd="3" destOrd="0" presId="urn:microsoft.com/office/officeart/2005/8/layout/hierarchy3"/>
    <dgm:cxn modelId="{D86DF8FC-D20F-4D99-AB6E-5C4319AB8117}" type="presParOf" srcId="{5EEF60EB-8B2B-4A5D-B3C7-E4E75515F0C8}" destId="{0DF24B4C-0847-4A75-8D2D-70016EF49D62}" srcOrd="0" destOrd="0" presId="urn:microsoft.com/office/officeart/2005/8/layout/hierarchy3"/>
    <dgm:cxn modelId="{51630D37-A92D-4F98-8021-3F7DAD10F25B}" type="presParOf" srcId="{0DF24B4C-0847-4A75-8D2D-70016EF49D62}" destId="{C66F0159-88ED-45E8-A234-4DB79654887D}" srcOrd="0" destOrd="0" presId="urn:microsoft.com/office/officeart/2005/8/layout/hierarchy3"/>
    <dgm:cxn modelId="{AFC594AA-1182-4BDC-AED4-165F49514AD8}" type="presParOf" srcId="{0DF24B4C-0847-4A75-8D2D-70016EF49D62}" destId="{4300476A-6FCA-4175-BE4F-6EC553FB179B}" srcOrd="1" destOrd="0" presId="urn:microsoft.com/office/officeart/2005/8/layout/hierarchy3"/>
    <dgm:cxn modelId="{DB850C12-4C2E-4F07-974A-F96A7A6F3EC4}" type="presParOf" srcId="{5EEF60EB-8B2B-4A5D-B3C7-E4E75515F0C8}" destId="{AA903E8B-4A74-4520-A19F-B8A2DF920AB1}" srcOrd="1" destOrd="0" presId="urn:microsoft.com/office/officeart/2005/8/layout/hierarchy3"/>
    <dgm:cxn modelId="{2304E63E-B7A0-4619-9B3C-487F0B6C1F0D}" type="presParOf" srcId="{AA903E8B-4A74-4520-A19F-B8A2DF920AB1}" destId="{E2BD2DEE-D80A-47F8-AACD-278E1B18BC5A}" srcOrd="0" destOrd="0" presId="urn:microsoft.com/office/officeart/2005/8/layout/hierarchy3"/>
    <dgm:cxn modelId="{CFCD8A3F-7E6C-400E-BAE0-85ABE6A7B22C}" type="presParOf" srcId="{AA903E8B-4A74-4520-A19F-B8A2DF920AB1}" destId="{6A8E61D8-FC3B-4538-97A0-4D39F70BA990}" srcOrd="1" destOrd="0" presId="urn:microsoft.com/office/officeart/2005/8/layout/hierarchy3"/>
    <dgm:cxn modelId="{FC390EE6-ECC8-49EB-AE77-CCEF793196D0}" type="presParOf" srcId="{AA903E8B-4A74-4520-A19F-B8A2DF920AB1}" destId="{329E4E51-D0EA-4032-B46A-31BD4F94CD63}" srcOrd="2" destOrd="0" presId="urn:microsoft.com/office/officeart/2005/8/layout/hierarchy3"/>
    <dgm:cxn modelId="{9FDB8FC7-801B-4CF6-B37D-1485A3438F1C}" type="presParOf" srcId="{AA903E8B-4A74-4520-A19F-B8A2DF920AB1}" destId="{9A544FA6-944A-4F4C-8906-6C61EE9ED5D4}" srcOrd="3" destOrd="0" presId="urn:microsoft.com/office/officeart/2005/8/layout/hierarchy3"/>
    <dgm:cxn modelId="{28096617-7A23-4804-A0C8-49659E6ABA22}" type="presParOf" srcId="{AA903E8B-4A74-4520-A19F-B8A2DF920AB1}" destId="{1B5BBB1B-34A3-4D15-B18C-84E9214135E6}" srcOrd="4" destOrd="0" presId="urn:microsoft.com/office/officeart/2005/8/layout/hierarchy3"/>
    <dgm:cxn modelId="{D7D2C429-83B8-43C3-8CDB-11FBD1334B7E}" type="presParOf" srcId="{AA903E8B-4A74-4520-A19F-B8A2DF920AB1}" destId="{83D957E9-1F70-430F-86ED-6C925A78CF94}" srcOrd="5" destOrd="0" presId="urn:microsoft.com/office/officeart/2005/8/layout/hierarchy3"/>
    <dgm:cxn modelId="{AC0F6AE1-A6A4-40B5-8FD7-3A260CD7DCC1}" type="presParOf" srcId="{AA903E8B-4A74-4520-A19F-B8A2DF920AB1}" destId="{35B5B712-2D8F-42CD-AF04-804284FE4E1B}" srcOrd="6" destOrd="0" presId="urn:microsoft.com/office/officeart/2005/8/layout/hierarchy3"/>
    <dgm:cxn modelId="{E75844AC-CB07-45CF-888D-05B5460FF0E5}" type="presParOf" srcId="{AA903E8B-4A74-4520-A19F-B8A2DF920AB1}" destId="{760A6AEE-65CD-46FB-958D-439FCC8053DE}" srcOrd="7" destOrd="0" presId="urn:microsoft.com/office/officeart/2005/8/layout/hierarchy3"/>
    <dgm:cxn modelId="{504C7320-4983-420F-917C-01DF30424C02}" type="presParOf" srcId="{AA903E8B-4A74-4520-A19F-B8A2DF920AB1}" destId="{15A31137-FD0B-4675-838F-1C169D6A85C6}" srcOrd="8" destOrd="0" presId="urn:microsoft.com/office/officeart/2005/8/layout/hierarchy3"/>
    <dgm:cxn modelId="{FDBC4BAD-D7FF-4E20-BCCA-E7E160B0C4DA}" type="presParOf" srcId="{AA903E8B-4A74-4520-A19F-B8A2DF920AB1}" destId="{AB527E45-4A2C-4B70-B7E5-EAD48EA0078B}" srcOrd="9" destOrd="0" presId="urn:microsoft.com/office/officeart/2005/8/layout/hierarchy3"/>
    <dgm:cxn modelId="{BBDC75AC-2B16-4593-AE30-DAA5C1C2DB88}" type="presParOf" srcId="{AA903E8B-4A74-4520-A19F-B8A2DF920AB1}" destId="{392564A6-D0BE-4874-AB6F-3D939F9FC148}" srcOrd="10" destOrd="0" presId="urn:microsoft.com/office/officeart/2005/8/layout/hierarchy3"/>
    <dgm:cxn modelId="{5B82C386-EFD1-4775-B561-49CDAE13DCD3}" type="presParOf" srcId="{AA903E8B-4A74-4520-A19F-B8A2DF920AB1}" destId="{BD7F00FB-2E17-42D8-B27C-98AF31928F8C}" srcOrd="11" destOrd="0" presId="urn:microsoft.com/office/officeart/2005/8/layout/hierarchy3"/>
  </dgm:cxnLst>
  <dgm:bg/>
  <dgm:whole/>
  <dgm:extLst>
    <a:ext uri="http://schemas.microsoft.com/office/drawing/2008/diagram">
      <dsp:dataModelExt xmlns:dsp="http://schemas.microsoft.com/office/drawing/2008/diagram" relId="rId56" minVer="http://schemas.openxmlformats.org/drawingml/2006/diagram"/>
    </a:ext>
  </dgm:extLst>
</dgm:dataModel>
</file>

<file path=word/diagrams/data6.xml><?xml version="1.0" encoding="utf-8"?>
<dgm:dataModel xmlns:dgm="http://schemas.openxmlformats.org/drawingml/2006/diagram" xmlns:a="http://schemas.openxmlformats.org/drawingml/2006/main">
  <dgm:ptLst>
    <dgm:pt modelId="{B8329E02-8356-48EF-A467-B313B2659B84}" type="doc">
      <dgm:prSet loTypeId="urn:microsoft.com/office/officeart/2005/8/layout/hierarchy3" loCatId="list" qsTypeId="urn:microsoft.com/office/officeart/2005/8/quickstyle/simple1" qsCatId="simple" csTypeId="urn:microsoft.com/office/officeart/2005/8/colors/accent0_1" csCatId="mainScheme" phldr="1"/>
      <dgm:spPr/>
      <dgm:t>
        <a:bodyPr/>
        <a:lstStyle/>
        <a:p>
          <a:endParaRPr lang="es-CL"/>
        </a:p>
      </dgm:t>
    </dgm:pt>
    <dgm:pt modelId="{9A5AA635-791C-4575-B13A-B7E34DC258E1}">
      <dgm:prSet phldrT="[Texto]" custT="1"/>
      <dgm:spPr/>
      <dgm:t>
        <a:bodyPr/>
        <a:lstStyle/>
        <a:p>
          <a:r>
            <a:rPr lang="es-CL" sz="1050">
              <a:latin typeface="Arial" panose="020B0604020202020204" pitchFamily="34" charset="0"/>
              <a:cs typeface="Arial" panose="020B0604020202020204" pitchFamily="34" charset="0"/>
            </a:rPr>
            <a:t>Salud Humana</a:t>
          </a:r>
        </a:p>
      </dgm:t>
    </dgm:pt>
    <dgm:pt modelId="{C1647698-8A0B-42F0-AEC0-25DAEEFD9512}" type="parTrans" cxnId="{2DC54A50-050C-49E9-9C15-D592DB2674EF}">
      <dgm:prSet/>
      <dgm:spPr/>
      <dgm:t>
        <a:bodyPr/>
        <a:lstStyle/>
        <a:p>
          <a:endParaRPr lang="es-CL" sz="2000">
            <a:latin typeface="Arial" panose="020B0604020202020204" pitchFamily="34" charset="0"/>
            <a:cs typeface="Arial" panose="020B0604020202020204" pitchFamily="34" charset="0"/>
          </a:endParaRPr>
        </a:p>
      </dgm:t>
    </dgm:pt>
    <dgm:pt modelId="{49BDB8A7-B95F-4F3C-B4EC-716F87AD475E}" type="sibTrans" cxnId="{2DC54A50-050C-49E9-9C15-D592DB2674EF}">
      <dgm:prSet/>
      <dgm:spPr/>
      <dgm:t>
        <a:bodyPr/>
        <a:lstStyle/>
        <a:p>
          <a:endParaRPr lang="es-CL" sz="2000">
            <a:latin typeface="Arial" panose="020B0604020202020204" pitchFamily="34" charset="0"/>
            <a:cs typeface="Arial" panose="020B0604020202020204" pitchFamily="34" charset="0"/>
          </a:endParaRPr>
        </a:p>
      </dgm:t>
    </dgm:pt>
    <dgm:pt modelId="{F86BAECE-1195-4498-B901-22CB8DE9D2F3}">
      <dgm:prSet phldrT="[Texto]" custT="1"/>
      <dgm:spPr/>
      <dgm:t>
        <a:bodyPr/>
        <a:lstStyle/>
        <a:p>
          <a:r>
            <a:rPr lang="es-CL" sz="800">
              <a:latin typeface="Arial" panose="020B0604020202020204" pitchFamily="34" charset="0"/>
              <a:cs typeface="Arial" panose="020B0604020202020204" pitchFamily="34" charset="0"/>
            </a:rPr>
            <a:t>Contaminación agua con arsénico</a:t>
          </a:r>
        </a:p>
      </dgm:t>
    </dgm:pt>
    <dgm:pt modelId="{29373702-C87F-4F70-9268-05F9874BF4E1}" type="parTrans" cxnId="{56866E5F-E3BD-4008-97AA-0F8EEEAD646B}">
      <dgm:prSet/>
      <dgm:spPr/>
      <dgm:t>
        <a:bodyPr/>
        <a:lstStyle/>
        <a:p>
          <a:endParaRPr lang="es-CL" sz="2000">
            <a:latin typeface="Arial" panose="020B0604020202020204" pitchFamily="34" charset="0"/>
            <a:cs typeface="Arial" panose="020B0604020202020204" pitchFamily="34" charset="0"/>
          </a:endParaRPr>
        </a:p>
      </dgm:t>
    </dgm:pt>
    <dgm:pt modelId="{87C99C31-28EA-468F-8620-E4FB8A149CDA}" type="sibTrans" cxnId="{56866E5F-E3BD-4008-97AA-0F8EEEAD646B}">
      <dgm:prSet/>
      <dgm:spPr/>
      <dgm:t>
        <a:bodyPr/>
        <a:lstStyle/>
        <a:p>
          <a:endParaRPr lang="es-CL" sz="2000">
            <a:latin typeface="Arial" panose="020B0604020202020204" pitchFamily="34" charset="0"/>
            <a:cs typeface="Arial" panose="020B0604020202020204" pitchFamily="34" charset="0"/>
          </a:endParaRPr>
        </a:p>
      </dgm:t>
    </dgm:pt>
    <dgm:pt modelId="{F8996D38-F270-49D9-9A7A-FD606C350823}">
      <dgm:prSet phldrT="[Texto]" custT="1"/>
      <dgm:spPr/>
      <dgm:t>
        <a:bodyPr/>
        <a:lstStyle/>
        <a:p>
          <a:r>
            <a:rPr lang="es-CL" sz="800">
              <a:latin typeface="Arial" panose="020B0604020202020204" pitchFamily="34" charset="0"/>
              <a:cs typeface="Arial" panose="020B0604020202020204" pitchFamily="34" charset="0"/>
            </a:rPr>
            <a:t>Polvo tóxico en suspensión</a:t>
          </a:r>
        </a:p>
      </dgm:t>
    </dgm:pt>
    <dgm:pt modelId="{245FFB7D-1AB0-4DA9-AD70-EE88D7659F5C}" type="parTrans" cxnId="{1C70C5A2-9845-4552-8EA6-0E107EDA1DE4}">
      <dgm:prSet/>
      <dgm:spPr/>
      <dgm:t>
        <a:bodyPr/>
        <a:lstStyle/>
        <a:p>
          <a:endParaRPr lang="es-CL" sz="2000">
            <a:latin typeface="Arial" panose="020B0604020202020204" pitchFamily="34" charset="0"/>
            <a:cs typeface="Arial" panose="020B0604020202020204" pitchFamily="34" charset="0"/>
          </a:endParaRPr>
        </a:p>
      </dgm:t>
    </dgm:pt>
    <dgm:pt modelId="{F5227194-83F4-48DF-AF23-DBF89CA8971C}" type="sibTrans" cxnId="{1C70C5A2-9845-4552-8EA6-0E107EDA1DE4}">
      <dgm:prSet/>
      <dgm:spPr/>
      <dgm:t>
        <a:bodyPr/>
        <a:lstStyle/>
        <a:p>
          <a:endParaRPr lang="es-CL" sz="2000">
            <a:latin typeface="Arial" panose="020B0604020202020204" pitchFamily="34" charset="0"/>
            <a:cs typeface="Arial" panose="020B0604020202020204" pitchFamily="34" charset="0"/>
          </a:endParaRPr>
        </a:p>
      </dgm:t>
    </dgm:pt>
    <dgm:pt modelId="{5B7F4352-7A14-467A-9710-0E4B59D0FFD8}">
      <dgm:prSet phldrT="[Texto]" custT="1"/>
      <dgm:spPr/>
      <dgm:t>
        <a:bodyPr/>
        <a:lstStyle/>
        <a:p>
          <a:r>
            <a:rPr lang="es-CL" sz="1050">
              <a:latin typeface="Arial" panose="020B0604020202020204" pitchFamily="34" charset="0"/>
              <a:cs typeface="Arial" panose="020B0604020202020204" pitchFamily="34" charset="0"/>
            </a:rPr>
            <a:t>Capitalización local</a:t>
          </a:r>
        </a:p>
      </dgm:t>
    </dgm:pt>
    <dgm:pt modelId="{DC5C1C67-B956-443F-8657-815B4455E058}" type="parTrans" cxnId="{7AC6CD4E-33FD-4EB1-8EE7-5622B23E3C5F}">
      <dgm:prSet/>
      <dgm:spPr/>
      <dgm:t>
        <a:bodyPr/>
        <a:lstStyle/>
        <a:p>
          <a:endParaRPr lang="es-CL" sz="2000">
            <a:latin typeface="Arial" panose="020B0604020202020204" pitchFamily="34" charset="0"/>
            <a:cs typeface="Arial" panose="020B0604020202020204" pitchFamily="34" charset="0"/>
          </a:endParaRPr>
        </a:p>
      </dgm:t>
    </dgm:pt>
    <dgm:pt modelId="{B96CC70F-D504-4E36-B43E-9090DE554687}" type="sibTrans" cxnId="{7AC6CD4E-33FD-4EB1-8EE7-5622B23E3C5F}">
      <dgm:prSet/>
      <dgm:spPr/>
      <dgm:t>
        <a:bodyPr/>
        <a:lstStyle/>
        <a:p>
          <a:endParaRPr lang="es-CL" sz="2000">
            <a:latin typeface="Arial" panose="020B0604020202020204" pitchFamily="34" charset="0"/>
            <a:cs typeface="Arial" panose="020B0604020202020204" pitchFamily="34" charset="0"/>
          </a:endParaRPr>
        </a:p>
      </dgm:t>
    </dgm:pt>
    <dgm:pt modelId="{4B8A11B3-FED4-4251-AA04-2C461FE7703C}">
      <dgm:prSet phldrT="[Texto]" custT="1"/>
      <dgm:spPr/>
      <dgm:t>
        <a:bodyPr/>
        <a:lstStyle/>
        <a:p>
          <a:r>
            <a:rPr lang="es-CL" sz="800">
              <a:latin typeface="Arial" panose="020B0604020202020204" pitchFamily="34" charset="0"/>
              <a:cs typeface="Arial" panose="020B0604020202020204" pitchFamily="34" charset="0"/>
            </a:rPr>
            <a:t>Ausente </a:t>
          </a:r>
        </a:p>
      </dgm:t>
    </dgm:pt>
    <dgm:pt modelId="{BCC36290-E36D-4578-AE63-C922C4D4F767}" type="parTrans" cxnId="{C15EC26C-72F3-4D5F-A3E9-F8D8EF1EA850}">
      <dgm:prSet/>
      <dgm:spPr/>
      <dgm:t>
        <a:bodyPr/>
        <a:lstStyle/>
        <a:p>
          <a:endParaRPr lang="es-CL" sz="2000">
            <a:latin typeface="Arial" panose="020B0604020202020204" pitchFamily="34" charset="0"/>
            <a:cs typeface="Arial" panose="020B0604020202020204" pitchFamily="34" charset="0"/>
          </a:endParaRPr>
        </a:p>
      </dgm:t>
    </dgm:pt>
    <dgm:pt modelId="{EF183F57-600D-4A0B-8A1E-D4158BE0A6CE}" type="sibTrans" cxnId="{C15EC26C-72F3-4D5F-A3E9-F8D8EF1EA850}">
      <dgm:prSet/>
      <dgm:spPr/>
      <dgm:t>
        <a:bodyPr/>
        <a:lstStyle/>
        <a:p>
          <a:endParaRPr lang="es-CL" sz="2000">
            <a:latin typeface="Arial" panose="020B0604020202020204" pitchFamily="34" charset="0"/>
            <a:cs typeface="Arial" panose="020B0604020202020204" pitchFamily="34" charset="0"/>
          </a:endParaRPr>
        </a:p>
      </dgm:t>
    </dgm:pt>
    <dgm:pt modelId="{F88518B1-9CE9-42B8-BC3E-604BB108E725}">
      <dgm:prSet phldrT="[Texto]" custT="1"/>
      <dgm:spPr/>
      <dgm:t>
        <a:bodyPr/>
        <a:lstStyle/>
        <a:p>
          <a:r>
            <a:rPr lang="es-CL" sz="800">
              <a:latin typeface="Arial" panose="020B0604020202020204" pitchFamily="34" charset="0"/>
              <a:cs typeface="Arial" panose="020B0604020202020204" pitchFamily="34" charset="0"/>
            </a:rPr>
            <a:t>Visión a corto plazo</a:t>
          </a:r>
        </a:p>
      </dgm:t>
    </dgm:pt>
    <dgm:pt modelId="{5533DC93-92FB-4618-A4FE-F607F684AE64}" type="parTrans" cxnId="{417134E8-FB85-40D1-A1E6-85E59747A266}">
      <dgm:prSet/>
      <dgm:spPr/>
      <dgm:t>
        <a:bodyPr/>
        <a:lstStyle/>
        <a:p>
          <a:endParaRPr lang="es-CL" sz="2000">
            <a:latin typeface="Arial" panose="020B0604020202020204" pitchFamily="34" charset="0"/>
            <a:cs typeface="Arial" panose="020B0604020202020204" pitchFamily="34" charset="0"/>
          </a:endParaRPr>
        </a:p>
      </dgm:t>
    </dgm:pt>
    <dgm:pt modelId="{C5661533-D9C4-445B-915B-0B60B29F3C86}" type="sibTrans" cxnId="{417134E8-FB85-40D1-A1E6-85E59747A266}">
      <dgm:prSet/>
      <dgm:spPr/>
      <dgm:t>
        <a:bodyPr/>
        <a:lstStyle/>
        <a:p>
          <a:endParaRPr lang="es-CL" sz="2000">
            <a:latin typeface="Arial" panose="020B0604020202020204" pitchFamily="34" charset="0"/>
            <a:cs typeface="Arial" panose="020B0604020202020204" pitchFamily="34" charset="0"/>
          </a:endParaRPr>
        </a:p>
      </dgm:t>
    </dgm:pt>
    <dgm:pt modelId="{52C14B9C-2D6F-4908-9284-1DB88E729046}">
      <dgm:prSet phldrT="[Texto]" custT="1"/>
      <dgm:spPr/>
      <dgm:t>
        <a:bodyPr/>
        <a:lstStyle/>
        <a:p>
          <a:r>
            <a:rPr lang="es-CL" sz="800">
              <a:latin typeface="Arial" panose="020B0604020202020204" pitchFamily="34" charset="0"/>
              <a:cs typeface="Arial" panose="020B0604020202020204" pitchFamily="34" charset="0"/>
            </a:rPr>
            <a:t>Contaminación suelo y agua</a:t>
          </a:r>
        </a:p>
      </dgm:t>
    </dgm:pt>
    <dgm:pt modelId="{57A6397C-4101-40B3-863B-D96668F71595}" type="parTrans" cxnId="{00B93B72-0773-44DF-98FA-07F6B6AEAD08}">
      <dgm:prSet/>
      <dgm:spPr/>
      <dgm:t>
        <a:bodyPr/>
        <a:lstStyle/>
        <a:p>
          <a:endParaRPr lang="es-CL" sz="2000">
            <a:latin typeface="Arial" panose="020B0604020202020204" pitchFamily="34" charset="0"/>
            <a:cs typeface="Arial" panose="020B0604020202020204" pitchFamily="34" charset="0"/>
          </a:endParaRPr>
        </a:p>
      </dgm:t>
    </dgm:pt>
    <dgm:pt modelId="{535EE92F-E701-46D7-AC48-20E026F72FBD}" type="sibTrans" cxnId="{00B93B72-0773-44DF-98FA-07F6B6AEAD08}">
      <dgm:prSet/>
      <dgm:spPr/>
      <dgm:t>
        <a:bodyPr/>
        <a:lstStyle/>
        <a:p>
          <a:endParaRPr lang="es-CL" sz="2000">
            <a:latin typeface="Arial" panose="020B0604020202020204" pitchFamily="34" charset="0"/>
            <a:cs typeface="Arial" panose="020B0604020202020204" pitchFamily="34" charset="0"/>
          </a:endParaRPr>
        </a:p>
      </dgm:t>
    </dgm:pt>
    <dgm:pt modelId="{28BB166C-AAB7-478C-A846-751253B4F245}">
      <dgm:prSet phldrT="[Texto]" custT="1"/>
      <dgm:spPr/>
      <dgm:t>
        <a:bodyPr/>
        <a:lstStyle/>
        <a:p>
          <a:r>
            <a:rPr lang="es-CL" sz="800">
              <a:latin typeface="Arial" panose="020B0604020202020204" pitchFamily="34" charset="0"/>
              <a:cs typeface="Arial" panose="020B0604020202020204" pitchFamily="34" charset="0"/>
            </a:rPr>
            <a:t>Royalties nacional</a:t>
          </a:r>
        </a:p>
      </dgm:t>
    </dgm:pt>
    <dgm:pt modelId="{A5AC7673-86F5-4F04-A0F8-1DFD6E405289}" type="parTrans" cxnId="{77657A55-11DE-488A-8DBE-D71031D8D12D}">
      <dgm:prSet/>
      <dgm:spPr/>
      <dgm:t>
        <a:bodyPr/>
        <a:lstStyle/>
        <a:p>
          <a:endParaRPr lang="es-CL" sz="2000">
            <a:latin typeface="Arial" panose="020B0604020202020204" pitchFamily="34" charset="0"/>
            <a:cs typeface="Arial" panose="020B0604020202020204" pitchFamily="34" charset="0"/>
          </a:endParaRPr>
        </a:p>
      </dgm:t>
    </dgm:pt>
    <dgm:pt modelId="{33721A63-B039-48E4-9935-91779523EABA}" type="sibTrans" cxnId="{77657A55-11DE-488A-8DBE-D71031D8D12D}">
      <dgm:prSet/>
      <dgm:spPr/>
      <dgm:t>
        <a:bodyPr/>
        <a:lstStyle/>
        <a:p>
          <a:endParaRPr lang="es-CL" sz="2000">
            <a:latin typeface="Arial" panose="020B0604020202020204" pitchFamily="34" charset="0"/>
            <a:cs typeface="Arial" panose="020B0604020202020204" pitchFamily="34" charset="0"/>
          </a:endParaRPr>
        </a:p>
      </dgm:t>
    </dgm:pt>
    <dgm:pt modelId="{FFF29ADF-0260-4E06-90A3-23F0DEA2A47F}">
      <dgm:prSet phldrT="[Texto]" custT="1"/>
      <dgm:spPr/>
      <dgm:t>
        <a:bodyPr/>
        <a:lstStyle/>
        <a:p>
          <a:r>
            <a:rPr lang="es-CL" sz="1050">
              <a:latin typeface="Arial" panose="020B0604020202020204" pitchFamily="34" charset="0"/>
              <a:cs typeface="Arial" panose="020B0604020202020204" pitchFamily="34" charset="0"/>
            </a:rPr>
            <a:t>Institucionalidad</a:t>
          </a:r>
        </a:p>
      </dgm:t>
    </dgm:pt>
    <dgm:pt modelId="{CC060209-38A5-4E00-BBC8-60E29FC4AFF9}" type="parTrans" cxnId="{6D7C5BF8-B79F-4DBE-8946-F41FDF9210CF}">
      <dgm:prSet/>
      <dgm:spPr/>
      <dgm:t>
        <a:bodyPr/>
        <a:lstStyle/>
        <a:p>
          <a:endParaRPr lang="es-CL" sz="2000">
            <a:latin typeface="Arial" panose="020B0604020202020204" pitchFamily="34" charset="0"/>
            <a:cs typeface="Arial" panose="020B0604020202020204" pitchFamily="34" charset="0"/>
          </a:endParaRPr>
        </a:p>
      </dgm:t>
    </dgm:pt>
    <dgm:pt modelId="{55E9D4A5-3650-4EA4-B6D6-F74A6082AE15}" type="sibTrans" cxnId="{6D7C5BF8-B79F-4DBE-8946-F41FDF9210CF}">
      <dgm:prSet/>
      <dgm:spPr/>
      <dgm:t>
        <a:bodyPr/>
        <a:lstStyle/>
        <a:p>
          <a:endParaRPr lang="es-CL" sz="2000">
            <a:latin typeface="Arial" panose="020B0604020202020204" pitchFamily="34" charset="0"/>
            <a:cs typeface="Arial" panose="020B0604020202020204" pitchFamily="34" charset="0"/>
          </a:endParaRPr>
        </a:p>
      </dgm:t>
    </dgm:pt>
    <dgm:pt modelId="{E86E3AF1-C0C7-4A73-BF55-7AB220971024}">
      <dgm:prSet phldrT="[Texto]" custT="1"/>
      <dgm:spPr/>
      <dgm:t>
        <a:bodyPr/>
        <a:lstStyle/>
        <a:p>
          <a:r>
            <a:rPr lang="es-CL" sz="800">
              <a:latin typeface="Arial" panose="020B0604020202020204" pitchFamily="34" charset="0"/>
              <a:cs typeface="Arial" panose="020B0604020202020204" pitchFamily="34" charset="0"/>
            </a:rPr>
            <a:t>Ausente medioambiente y salud</a:t>
          </a:r>
        </a:p>
      </dgm:t>
    </dgm:pt>
    <dgm:pt modelId="{ABEE5E67-538B-44E5-82CE-426C3F3B19A7}" type="parTrans" cxnId="{981B5A5C-B5C9-47B1-B3F5-E913D07F048F}">
      <dgm:prSet/>
      <dgm:spPr/>
      <dgm:t>
        <a:bodyPr/>
        <a:lstStyle/>
        <a:p>
          <a:endParaRPr lang="es-CL" sz="2000">
            <a:latin typeface="Arial" panose="020B0604020202020204" pitchFamily="34" charset="0"/>
            <a:cs typeface="Arial" panose="020B0604020202020204" pitchFamily="34" charset="0"/>
          </a:endParaRPr>
        </a:p>
      </dgm:t>
    </dgm:pt>
    <dgm:pt modelId="{2A2A2B7C-E520-494A-B4BF-3F90D5125685}" type="sibTrans" cxnId="{981B5A5C-B5C9-47B1-B3F5-E913D07F048F}">
      <dgm:prSet/>
      <dgm:spPr/>
      <dgm:t>
        <a:bodyPr/>
        <a:lstStyle/>
        <a:p>
          <a:endParaRPr lang="es-CL" sz="2000">
            <a:latin typeface="Arial" panose="020B0604020202020204" pitchFamily="34" charset="0"/>
            <a:cs typeface="Arial" panose="020B0604020202020204" pitchFamily="34" charset="0"/>
          </a:endParaRPr>
        </a:p>
      </dgm:t>
    </dgm:pt>
    <dgm:pt modelId="{95B33609-1DF6-4881-B72E-241A85B9F6C7}">
      <dgm:prSet phldrT="[Texto]" custT="1"/>
      <dgm:spPr/>
      <dgm:t>
        <a:bodyPr/>
        <a:lstStyle/>
        <a:p>
          <a:r>
            <a:rPr lang="es-CL" sz="800">
              <a:latin typeface="Arial" panose="020B0604020202020204" pitchFamily="34" charset="0"/>
              <a:cs typeface="Arial" panose="020B0604020202020204" pitchFamily="34" charset="0"/>
            </a:rPr>
            <a:t>Organismo neutral  participación</a:t>
          </a:r>
        </a:p>
      </dgm:t>
    </dgm:pt>
    <dgm:pt modelId="{DBF3BEF2-A474-4E38-A5D1-770BBEDFEE12}" type="parTrans" cxnId="{E78247E8-0E36-4B18-B23B-0146DBDD70BB}">
      <dgm:prSet/>
      <dgm:spPr/>
      <dgm:t>
        <a:bodyPr/>
        <a:lstStyle/>
        <a:p>
          <a:endParaRPr lang="es-CL" sz="2000">
            <a:latin typeface="Arial" panose="020B0604020202020204" pitchFamily="34" charset="0"/>
            <a:cs typeface="Arial" panose="020B0604020202020204" pitchFamily="34" charset="0"/>
          </a:endParaRPr>
        </a:p>
      </dgm:t>
    </dgm:pt>
    <dgm:pt modelId="{CFC10FF3-5487-4B10-B037-2DD91005FDEB}" type="sibTrans" cxnId="{E78247E8-0E36-4B18-B23B-0146DBDD70BB}">
      <dgm:prSet/>
      <dgm:spPr/>
      <dgm:t>
        <a:bodyPr/>
        <a:lstStyle/>
        <a:p>
          <a:endParaRPr lang="es-CL" sz="2000">
            <a:latin typeface="Arial" panose="020B0604020202020204" pitchFamily="34" charset="0"/>
            <a:cs typeface="Arial" panose="020B0604020202020204" pitchFamily="34" charset="0"/>
          </a:endParaRPr>
        </a:p>
      </dgm:t>
    </dgm:pt>
    <dgm:pt modelId="{F7E55B80-7D1D-4D95-A236-6C9F0548729E}">
      <dgm:prSet phldrT="[Texto]" custT="1"/>
      <dgm:spPr/>
      <dgm:t>
        <a:bodyPr/>
        <a:lstStyle/>
        <a:p>
          <a:r>
            <a:rPr lang="es-CL" sz="800">
              <a:latin typeface="Arial" panose="020B0604020202020204" pitchFamily="34" charset="0"/>
              <a:cs typeface="Arial" panose="020B0604020202020204" pitchFamily="34" charset="0"/>
            </a:rPr>
            <a:t>Entrega aporte a comunidades</a:t>
          </a:r>
        </a:p>
      </dgm:t>
    </dgm:pt>
    <dgm:pt modelId="{29FEE25C-5D15-4983-82C7-AC6C52E0B07D}" type="parTrans" cxnId="{68715271-829D-4425-9C21-AE5C9F928605}">
      <dgm:prSet/>
      <dgm:spPr/>
      <dgm:t>
        <a:bodyPr/>
        <a:lstStyle/>
        <a:p>
          <a:endParaRPr lang="es-CL" sz="2000">
            <a:latin typeface="Arial" panose="020B0604020202020204" pitchFamily="34" charset="0"/>
            <a:cs typeface="Arial" panose="020B0604020202020204" pitchFamily="34" charset="0"/>
          </a:endParaRPr>
        </a:p>
      </dgm:t>
    </dgm:pt>
    <dgm:pt modelId="{5503DC2B-E19F-4270-9597-1F52E5507254}" type="sibTrans" cxnId="{68715271-829D-4425-9C21-AE5C9F928605}">
      <dgm:prSet/>
      <dgm:spPr/>
      <dgm:t>
        <a:bodyPr/>
        <a:lstStyle/>
        <a:p>
          <a:endParaRPr lang="es-CL" sz="2000">
            <a:latin typeface="Arial" panose="020B0604020202020204" pitchFamily="34" charset="0"/>
            <a:cs typeface="Arial" panose="020B0604020202020204" pitchFamily="34" charset="0"/>
          </a:endParaRPr>
        </a:p>
      </dgm:t>
    </dgm:pt>
    <dgm:pt modelId="{DE5AF7C1-2FAF-4DCA-8D5E-C6AF15BDE217}">
      <dgm:prSet phldrT="[Texto]" custT="1"/>
      <dgm:spPr/>
      <dgm:t>
        <a:bodyPr/>
        <a:lstStyle/>
        <a:p>
          <a:r>
            <a:rPr lang="es-CL" sz="800">
              <a:latin typeface="Arial" panose="020B0604020202020204" pitchFamily="34" charset="0"/>
              <a:cs typeface="Arial" panose="020B0604020202020204" pitchFamily="34" charset="0"/>
            </a:rPr>
            <a:t>Débil rol local</a:t>
          </a:r>
        </a:p>
      </dgm:t>
    </dgm:pt>
    <dgm:pt modelId="{92084F4B-444E-4EA3-A1E4-EC8E47BEAAD4}" type="parTrans" cxnId="{E59CD4E1-B948-4246-9BF0-5331FCB069C6}">
      <dgm:prSet/>
      <dgm:spPr/>
      <dgm:t>
        <a:bodyPr/>
        <a:lstStyle/>
        <a:p>
          <a:endParaRPr lang="es-CL" sz="2000">
            <a:latin typeface="Arial" panose="020B0604020202020204" pitchFamily="34" charset="0"/>
            <a:cs typeface="Arial" panose="020B0604020202020204" pitchFamily="34" charset="0"/>
          </a:endParaRPr>
        </a:p>
      </dgm:t>
    </dgm:pt>
    <dgm:pt modelId="{F8D88795-22DF-4666-8720-75E54007B990}" type="sibTrans" cxnId="{E59CD4E1-B948-4246-9BF0-5331FCB069C6}">
      <dgm:prSet/>
      <dgm:spPr/>
      <dgm:t>
        <a:bodyPr/>
        <a:lstStyle/>
        <a:p>
          <a:endParaRPr lang="es-CL" sz="2000">
            <a:latin typeface="Arial" panose="020B0604020202020204" pitchFamily="34" charset="0"/>
            <a:cs typeface="Arial" panose="020B0604020202020204" pitchFamily="34" charset="0"/>
          </a:endParaRPr>
        </a:p>
      </dgm:t>
    </dgm:pt>
    <dgm:pt modelId="{37605338-D384-4980-99BB-C9C136BBB075}">
      <dgm:prSet phldrT="[Texto]" custT="1"/>
      <dgm:spPr/>
      <dgm:t>
        <a:bodyPr/>
        <a:lstStyle/>
        <a:p>
          <a:r>
            <a:rPr lang="es-CL" sz="1050">
              <a:latin typeface="Arial" panose="020B0604020202020204" pitchFamily="34" charset="0"/>
              <a:cs typeface="Arial" panose="020B0604020202020204" pitchFamily="34" charset="0"/>
            </a:rPr>
            <a:t>Relación mineras comunidades</a:t>
          </a:r>
        </a:p>
      </dgm:t>
    </dgm:pt>
    <dgm:pt modelId="{A53F05D7-C145-4E92-B130-E5AD59704C22}" type="parTrans" cxnId="{5095718D-F45A-4837-A0CA-F4C414176CED}">
      <dgm:prSet/>
      <dgm:spPr/>
      <dgm:t>
        <a:bodyPr/>
        <a:lstStyle/>
        <a:p>
          <a:endParaRPr lang="es-CL" sz="2000">
            <a:latin typeface="Arial" panose="020B0604020202020204" pitchFamily="34" charset="0"/>
            <a:cs typeface="Arial" panose="020B0604020202020204" pitchFamily="34" charset="0"/>
          </a:endParaRPr>
        </a:p>
      </dgm:t>
    </dgm:pt>
    <dgm:pt modelId="{5CF90D8F-6225-40C2-A513-3EAB35412904}" type="sibTrans" cxnId="{5095718D-F45A-4837-A0CA-F4C414176CED}">
      <dgm:prSet/>
      <dgm:spPr/>
      <dgm:t>
        <a:bodyPr/>
        <a:lstStyle/>
        <a:p>
          <a:endParaRPr lang="es-CL" sz="2000">
            <a:latin typeface="Arial" panose="020B0604020202020204" pitchFamily="34" charset="0"/>
            <a:cs typeface="Arial" panose="020B0604020202020204" pitchFamily="34" charset="0"/>
          </a:endParaRPr>
        </a:p>
      </dgm:t>
    </dgm:pt>
    <dgm:pt modelId="{0F5CF18B-0F4F-4347-ADC5-F746AD765C00}">
      <dgm:prSet phldrT="[Texto]" custT="1"/>
      <dgm:spPr/>
      <dgm:t>
        <a:bodyPr/>
        <a:lstStyle/>
        <a:p>
          <a:r>
            <a:rPr lang="es-CL" sz="800">
              <a:latin typeface="Arial" panose="020B0604020202020204" pitchFamily="34" charset="0"/>
              <a:cs typeface="Arial" panose="020B0604020202020204" pitchFamily="34" charset="0"/>
            </a:rPr>
            <a:t>Fomento productivo local</a:t>
          </a:r>
        </a:p>
      </dgm:t>
    </dgm:pt>
    <dgm:pt modelId="{6C145CE9-F660-4E5B-8B99-1C09D05CB791}" type="parTrans" cxnId="{4C9914BF-EF41-4EA1-A4EC-CCFFB708D059}">
      <dgm:prSet/>
      <dgm:spPr/>
      <dgm:t>
        <a:bodyPr/>
        <a:lstStyle/>
        <a:p>
          <a:endParaRPr lang="es-CL" sz="2000">
            <a:latin typeface="Arial" panose="020B0604020202020204" pitchFamily="34" charset="0"/>
            <a:cs typeface="Arial" panose="020B0604020202020204" pitchFamily="34" charset="0"/>
          </a:endParaRPr>
        </a:p>
      </dgm:t>
    </dgm:pt>
    <dgm:pt modelId="{8BE0AA20-07CC-4E41-9A57-56DD996D7182}" type="sibTrans" cxnId="{4C9914BF-EF41-4EA1-A4EC-CCFFB708D059}">
      <dgm:prSet/>
      <dgm:spPr/>
      <dgm:t>
        <a:bodyPr/>
        <a:lstStyle/>
        <a:p>
          <a:endParaRPr lang="es-CL" sz="2000">
            <a:latin typeface="Arial" panose="020B0604020202020204" pitchFamily="34" charset="0"/>
            <a:cs typeface="Arial" panose="020B0604020202020204" pitchFamily="34" charset="0"/>
          </a:endParaRPr>
        </a:p>
      </dgm:t>
    </dgm:pt>
    <dgm:pt modelId="{B75E1B32-8212-4E1A-8B27-2AF75647EB61}">
      <dgm:prSet phldrT="[Texto]" custT="1"/>
      <dgm:spPr/>
      <dgm:t>
        <a:bodyPr/>
        <a:lstStyle/>
        <a:p>
          <a:r>
            <a:rPr lang="es-CL" sz="800">
              <a:latin typeface="Arial" panose="020B0604020202020204" pitchFamily="34" charset="0"/>
              <a:cs typeface="Arial" panose="020B0604020202020204" pitchFamily="34" charset="0"/>
            </a:rPr>
            <a:t>Falla resolución conflictos</a:t>
          </a:r>
        </a:p>
      </dgm:t>
    </dgm:pt>
    <dgm:pt modelId="{BFAAA0D9-80CC-403F-BB69-69F272A45A78}" type="parTrans" cxnId="{F15BACB1-5457-4DF7-AC62-C5E1C03554E5}">
      <dgm:prSet/>
      <dgm:spPr/>
      <dgm:t>
        <a:bodyPr/>
        <a:lstStyle/>
        <a:p>
          <a:endParaRPr lang="es-CL" sz="2000">
            <a:latin typeface="Arial" panose="020B0604020202020204" pitchFamily="34" charset="0"/>
            <a:cs typeface="Arial" panose="020B0604020202020204" pitchFamily="34" charset="0"/>
          </a:endParaRPr>
        </a:p>
      </dgm:t>
    </dgm:pt>
    <dgm:pt modelId="{12E68125-EC1B-4995-8204-04067395000A}" type="sibTrans" cxnId="{F15BACB1-5457-4DF7-AC62-C5E1C03554E5}">
      <dgm:prSet/>
      <dgm:spPr/>
      <dgm:t>
        <a:bodyPr/>
        <a:lstStyle/>
        <a:p>
          <a:endParaRPr lang="es-CL" sz="2000">
            <a:latin typeface="Arial" panose="020B0604020202020204" pitchFamily="34" charset="0"/>
            <a:cs typeface="Arial" panose="020B0604020202020204" pitchFamily="34" charset="0"/>
          </a:endParaRPr>
        </a:p>
      </dgm:t>
    </dgm:pt>
    <dgm:pt modelId="{4BA5D9E1-82D3-4249-AD24-4533DEF07F92}">
      <dgm:prSet phldrT="[Texto]" custT="1"/>
      <dgm:spPr/>
      <dgm:t>
        <a:bodyPr/>
        <a:lstStyle/>
        <a:p>
          <a:r>
            <a:rPr lang="es-CL" sz="800">
              <a:latin typeface="Arial" panose="020B0604020202020204" pitchFamily="34" charset="0"/>
              <a:cs typeface="Arial" panose="020B0604020202020204" pitchFamily="34" charset="0"/>
            </a:rPr>
            <a:t>Desigualdad </a:t>
          </a:r>
        </a:p>
      </dgm:t>
    </dgm:pt>
    <dgm:pt modelId="{CEAA5CA4-04AA-4BDD-8FE4-540A821A717F}" type="parTrans" cxnId="{24D78E29-3683-47B9-AE41-DB56BCE4054A}">
      <dgm:prSet/>
      <dgm:spPr/>
      <dgm:t>
        <a:bodyPr/>
        <a:lstStyle/>
        <a:p>
          <a:endParaRPr lang="es-CL" sz="2000">
            <a:latin typeface="Arial" panose="020B0604020202020204" pitchFamily="34" charset="0"/>
            <a:cs typeface="Arial" panose="020B0604020202020204" pitchFamily="34" charset="0"/>
          </a:endParaRPr>
        </a:p>
      </dgm:t>
    </dgm:pt>
    <dgm:pt modelId="{8AA28126-1C82-4090-9C88-6FA62C4B4C44}" type="sibTrans" cxnId="{24D78E29-3683-47B9-AE41-DB56BCE4054A}">
      <dgm:prSet/>
      <dgm:spPr/>
      <dgm:t>
        <a:bodyPr/>
        <a:lstStyle/>
        <a:p>
          <a:endParaRPr lang="es-CL" sz="2000">
            <a:latin typeface="Arial" panose="020B0604020202020204" pitchFamily="34" charset="0"/>
            <a:cs typeface="Arial" panose="020B0604020202020204" pitchFamily="34" charset="0"/>
          </a:endParaRPr>
        </a:p>
      </dgm:t>
    </dgm:pt>
    <dgm:pt modelId="{28C0D239-ADE8-4A85-8A32-E983575E602F}">
      <dgm:prSet phldrT="[Texto]" custT="1"/>
      <dgm:spPr/>
      <dgm:t>
        <a:bodyPr/>
        <a:lstStyle/>
        <a:p>
          <a:r>
            <a:rPr lang="es-CL" sz="800">
              <a:latin typeface="Arial" panose="020B0604020202020204" pitchFamily="34" charset="0"/>
              <a:cs typeface="Arial" panose="020B0604020202020204" pitchFamily="34" charset="0"/>
            </a:rPr>
            <a:t>Donetaria</a:t>
          </a:r>
        </a:p>
      </dgm:t>
    </dgm:pt>
    <dgm:pt modelId="{6A65FCCA-12CE-4669-909B-975E453DD811}" type="parTrans" cxnId="{9C987A91-0825-43B3-802A-1F645F8B95B5}">
      <dgm:prSet/>
      <dgm:spPr/>
      <dgm:t>
        <a:bodyPr/>
        <a:lstStyle/>
        <a:p>
          <a:endParaRPr lang="es-CL" sz="2000">
            <a:latin typeface="Arial" panose="020B0604020202020204" pitchFamily="34" charset="0"/>
            <a:cs typeface="Arial" panose="020B0604020202020204" pitchFamily="34" charset="0"/>
          </a:endParaRPr>
        </a:p>
      </dgm:t>
    </dgm:pt>
    <dgm:pt modelId="{F2A371AD-A443-4D49-A708-943BB78D61CE}" type="sibTrans" cxnId="{9C987A91-0825-43B3-802A-1F645F8B95B5}">
      <dgm:prSet/>
      <dgm:spPr/>
      <dgm:t>
        <a:bodyPr/>
        <a:lstStyle/>
        <a:p>
          <a:endParaRPr lang="es-CL" sz="2000">
            <a:latin typeface="Arial" panose="020B0604020202020204" pitchFamily="34" charset="0"/>
            <a:cs typeface="Arial" panose="020B0604020202020204" pitchFamily="34" charset="0"/>
          </a:endParaRPr>
        </a:p>
      </dgm:t>
    </dgm:pt>
    <dgm:pt modelId="{5CC8B130-D9DF-4427-B888-13F51B1DD9E4}">
      <dgm:prSet phldrT="[Texto]" custT="1"/>
      <dgm:spPr/>
      <dgm:t>
        <a:bodyPr/>
        <a:lstStyle/>
        <a:p>
          <a:r>
            <a:rPr lang="es-CL" sz="800">
              <a:latin typeface="Arial" panose="020B0604020202020204" pitchFamily="34" charset="0"/>
              <a:cs typeface="Arial" panose="020B0604020202020204" pitchFamily="34" charset="0"/>
            </a:rPr>
            <a:t>Licencia Social para operar</a:t>
          </a:r>
        </a:p>
      </dgm:t>
    </dgm:pt>
    <dgm:pt modelId="{D0E511F6-E355-4142-A2EC-D3A34ADA9517}" type="parTrans" cxnId="{65850036-2C39-492C-B2F8-0E2802AFD93B}">
      <dgm:prSet/>
      <dgm:spPr/>
      <dgm:t>
        <a:bodyPr/>
        <a:lstStyle/>
        <a:p>
          <a:endParaRPr lang="es-CL" sz="2000">
            <a:latin typeface="Arial" panose="020B0604020202020204" pitchFamily="34" charset="0"/>
            <a:cs typeface="Arial" panose="020B0604020202020204" pitchFamily="34" charset="0"/>
          </a:endParaRPr>
        </a:p>
      </dgm:t>
    </dgm:pt>
    <dgm:pt modelId="{5DC49A27-6CCB-4F58-987F-38B4CF1D486C}" type="sibTrans" cxnId="{65850036-2C39-492C-B2F8-0E2802AFD93B}">
      <dgm:prSet/>
      <dgm:spPr/>
      <dgm:t>
        <a:bodyPr/>
        <a:lstStyle/>
        <a:p>
          <a:endParaRPr lang="es-CL" sz="2000">
            <a:latin typeface="Arial" panose="020B0604020202020204" pitchFamily="34" charset="0"/>
            <a:cs typeface="Arial" panose="020B0604020202020204" pitchFamily="34" charset="0"/>
          </a:endParaRPr>
        </a:p>
      </dgm:t>
    </dgm:pt>
    <dgm:pt modelId="{6A1C9CDF-2FE4-4888-A912-4F2E768C9121}">
      <dgm:prSet phldrT="[Texto]" custT="1"/>
      <dgm:spPr/>
      <dgm:t>
        <a:bodyPr/>
        <a:lstStyle/>
        <a:p>
          <a:r>
            <a:rPr lang="es-CL" sz="800">
              <a:latin typeface="Arial" panose="020B0604020202020204" pitchFamily="34" charset="0"/>
              <a:cs typeface="Arial" panose="020B0604020202020204" pitchFamily="34" charset="0"/>
            </a:rPr>
            <a:t>Mayor atribucion autoridades locales</a:t>
          </a:r>
        </a:p>
      </dgm:t>
    </dgm:pt>
    <dgm:pt modelId="{874CB033-AAC1-40D9-AE88-097EE1898E24}" type="sibTrans" cxnId="{BC7F7608-C487-4E92-91BA-A487F0ADD869}">
      <dgm:prSet/>
      <dgm:spPr/>
      <dgm:t>
        <a:bodyPr/>
        <a:lstStyle/>
        <a:p>
          <a:endParaRPr lang="es-CL" sz="2000">
            <a:latin typeface="Arial" panose="020B0604020202020204" pitchFamily="34" charset="0"/>
            <a:cs typeface="Arial" panose="020B0604020202020204" pitchFamily="34" charset="0"/>
          </a:endParaRPr>
        </a:p>
      </dgm:t>
    </dgm:pt>
    <dgm:pt modelId="{899C1C85-3C18-450C-BB76-77CB9ABA8831}" type="parTrans" cxnId="{BC7F7608-C487-4E92-91BA-A487F0ADD869}">
      <dgm:prSet/>
      <dgm:spPr/>
      <dgm:t>
        <a:bodyPr/>
        <a:lstStyle/>
        <a:p>
          <a:endParaRPr lang="es-CL" sz="2000">
            <a:latin typeface="Arial" panose="020B0604020202020204" pitchFamily="34" charset="0"/>
            <a:cs typeface="Arial" panose="020B0604020202020204" pitchFamily="34" charset="0"/>
          </a:endParaRPr>
        </a:p>
      </dgm:t>
    </dgm:pt>
    <dgm:pt modelId="{AC4CBE5F-F9D3-4A61-992F-7454A56B61E3}" type="pres">
      <dgm:prSet presAssocID="{B8329E02-8356-48EF-A467-B313B2659B84}" presName="diagram" presStyleCnt="0">
        <dgm:presLayoutVars>
          <dgm:chPref val="1"/>
          <dgm:dir/>
          <dgm:animOne val="branch"/>
          <dgm:animLvl val="lvl"/>
          <dgm:resizeHandles/>
        </dgm:presLayoutVars>
      </dgm:prSet>
      <dgm:spPr/>
      <dgm:t>
        <a:bodyPr/>
        <a:lstStyle/>
        <a:p>
          <a:endParaRPr lang="es-CL"/>
        </a:p>
      </dgm:t>
    </dgm:pt>
    <dgm:pt modelId="{88C1E2D2-B866-4A4C-B9DB-552C3215D2D7}" type="pres">
      <dgm:prSet presAssocID="{9A5AA635-791C-4575-B13A-B7E34DC258E1}" presName="root" presStyleCnt="0"/>
      <dgm:spPr/>
    </dgm:pt>
    <dgm:pt modelId="{3B73EFB7-00E2-43A5-BF3A-CD74153CACE7}" type="pres">
      <dgm:prSet presAssocID="{9A5AA635-791C-4575-B13A-B7E34DC258E1}" presName="rootComposite" presStyleCnt="0"/>
      <dgm:spPr/>
    </dgm:pt>
    <dgm:pt modelId="{0DD2D3B9-EB64-4C0D-B024-12A309213A06}" type="pres">
      <dgm:prSet presAssocID="{9A5AA635-791C-4575-B13A-B7E34DC258E1}" presName="rootText" presStyleLbl="node1" presStyleIdx="0" presStyleCnt="4"/>
      <dgm:spPr/>
      <dgm:t>
        <a:bodyPr/>
        <a:lstStyle/>
        <a:p>
          <a:endParaRPr lang="es-CL"/>
        </a:p>
      </dgm:t>
    </dgm:pt>
    <dgm:pt modelId="{B8BDF0A5-46F9-4D4C-ACDD-B949CFC7E24F}" type="pres">
      <dgm:prSet presAssocID="{9A5AA635-791C-4575-B13A-B7E34DC258E1}" presName="rootConnector" presStyleLbl="node1" presStyleIdx="0" presStyleCnt="4"/>
      <dgm:spPr/>
      <dgm:t>
        <a:bodyPr/>
        <a:lstStyle/>
        <a:p>
          <a:endParaRPr lang="es-CL"/>
        </a:p>
      </dgm:t>
    </dgm:pt>
    <dgm:pt modelId="{58BE8F3D-7F51-41E5-B7A9-95C58074195F}" type="pres">
      <dgm:prSet presAssocID="{9A5AA635-791C-4575-B13A-B7E34DC258E1}" presName="childShape" presStyleCnt="0"/>
      <dgm:spPr/>
    </dgm:pt>
    <dgm:pt modelId="{FB7550BC-4608-4830-B5DC-C4799CF9A5B6}" type="pres">
      <dgm:prSet presAssocID="{29373702-C87F-4F70-9268-05F9874BF4E1}" presName="Name13" presStyleLbl="parChTrans1D2" presStyleIdx="0" presStyleCnt="16"/>
      <dgm:spPr/>
      <dgm:t>
        <a:bodyPr/>
        <a:lstStyle/>
        <a:p>
          <a:endParaRPr lang="es-CL"/>
        </a:p>
      </dgm:t>
    </dgm:pt>
    <dgm:pt modelId="{403B6D41-8D24-48F8-9C07-B4B670F75EF2}" type="pres">
      <dgm:prSet presAssocID="{F86BAECE-1195-4498-B901-22CB8DE9D2F3}" presName="childText" presStyleLbl="bgAcc1" presStyleIdx="0" presStyleCnt="16">
        <dgm:presLayoutVars>
          <dgm:bulletEnabled val="1"/>
        </dgm:presLayoutVars>
      </dgm:prSet>
      <dgm:spPr/>
      <dgm:t>
        <a:bodyPr/>
        <a:lstStyle/>
        <a:p>
          <a:endParaRPr lang="es-CL"/>
        </a:p>
      </dgm:t>
    </dgm:pt>
    <dgm:pt modelId="{B8B63CE8-635B-4207-AD7A-ADA213721197}" type="pres">
      <dgm:prSet presAssocID="{245FFB7D-1AB0-4DA9-AD70-EE88D7659F5C}" presName="Name13" presStyleLbl="parChTrans1D2" presStyleIdx="1" presStyleCnt="16"/>
      <dgm:spPr/>
      <dgm:t>
        <a:bodyPr/>
        <a:lstStyle/>
        <a:p>
          <a:endParaRPr lang="es-CL"/>
        </a:p>
      </dgm:t>
    </dgm:pt>
    <dgm:pt modelId="{51C784BF-3220-434C-BEBA-1DC51115886A}" type="pres">
      <dgm:prSet presAssocID="{F8996D38-F270-49D9-9A7A-FD606C350823}" presName="childText" presStyleLbl="bgAcc1" presStyleIdx="1" presStyleCnt="16">
        <dgm:presLayoutVars>
          <dgm:bulletEnabled val="1"/>
        </dgm:presLayoutVars>
      </dgm:prSet>
      <dgm:spPr/>
      <dgm:t>
        <a:bodyPr/>
        <a:lstStyle/>
        <a:p>
          <a:endParaRPr lang="es-CL"/>
        </a:p>
      </dgm:t>
    </dgm:pt>
    <dgm:pt modelId="{15DF2844-F8C3-4CBB-B181-173D56A8BD5E}" type="pres">
      <dgm:prSet presAssocID="{57A6397C-4101-40B3-863B-D96668F71595}" presName="Name13" presStyleLbl="parChTrans1D2" presStyleIdx="2" presStyleCnt="16"/>
      <dgm:spPr/>
      <dgm:t>
        <a:bodyPr/>
        <a:lstStyle/>
        <a:p>
          <a:endParaRPr lang="es-CL"/>
        </a:p>
      </dgm:t>
    </dgm:pt>
    <dgm:pt modelId="{BDF6A1A8-3B79-4DC1-A1EA-AC33D15DE9D2}" type="pres">
      <dgm:prSet presAssocID="{52C14B9C-2D6F-4908-9284-1DB88E729046}" presName="childText" presStyleLbl="bgAcc1" presStyleIdx="2" presStyleCnt="16">
        <dgm:presLayoutVars>
          <dgm:bulletEnabled val="1"/>
        </dgm:presLayoutVars>
      </dgm:prSet>
      <dgm:spPr/>
      <dgm:t>
        <a:bodyPr/>
        <a:lstStyle/>
        <a:p>
          <a:endParaRPr lang="es-CL"/>
        </a:p>
      </dgm:t>
    </dgm:pt>
    <dgm:pt modelId="{6D9D209E-BE23-476E-A463-B52C5B5BFA8D}" type="pres">
      <dgm:prSet presAssocID="{5B7F4352-7A14-467A-9710-0E4B59D0FFD8}" presName="root" presStyleCnt="0"/>
      <dgm:spPr/>
    </dgm:pt>
    <dgm:pt modelId="{AB1BDBCA-8BE0-4069-8993-8442FCC023B2}" type="pres">
      <dgm:prSet presAssocID="{5B7F4352-7A14-467A-9710-0E4B59D0FFD8}" presName="rootComposite" presStyleCnt="0"/>
      <dgm:spPr/>
    </dgm:pt>
    <dgm:pt modelId="{ADDEB851-053B-4B9D-B9AF-F841C1432C93}" type="pres">
      <dgm:prSet presAssocID="{5B7F4352-7A14-467A-9710-0E4B59D0FFD8}" presName="rootText" presStyleLbl="node1" presStyleIdx="1" presStyleCnt="4"/>
      <dgm:spPr/>
      <dgm:t>
        <a:bodyPr/>
        <a:lstStyle/>
        <a:p>
          <a:endParaRPr lang="es-CL"/>
        </a:p>
      </dgm:t>
    </dgm:pt>
    <dgm:pt modelId="{DE14C841-AF2B-441D-8196-BB18D7E9CFC9}" type="pres">
      <dgm:prSet presAssocID="{5B7F4352-7A14-467A-9710-0E4B59D0FFD8}" presName="rootConnector" presStyleLbl="node1" presStyleIdx="1" presStyleCnt="4"/>
      <dgm:spPr/>
      <dgm:t>
        <a:bodyPr/>
        <a:lstStyle/>
        <a:p>
          <a:endParaRPr lang="es-CL"/>
        </a:p>
      </dgm:t>
    </dgm:pt>
    <dgm:pt modelId="{1FA9DB04-A33A-4EEA-A8C8-4745E879917F}" type="pres">
      <dgm:prSet presAssocID="{5B7F4352-7A14-467A-9710-0E4B59D0FFD8}" presName="childShape" presStyleCnt="0"/>
      <dgm:spPr/>
    </dgm:pt>
    <dgm:pt modelId="{84928C5E-298A-4370-89A5-23294E74E263}" type="pres">
      <dgm:prSet presAssocID="{BCC36290-E36D-4578-AE63-C922C4D4F767}" presName="Name13" presStyleLbl="parChTrans1D2" presStyleIdx="3" presStyleCnt="16"/>
      <dgm:spPr/>
      <dgm:t>
        <a:bodyPr/>
        <a:lstStyle/>
        <a:p>
          <a:endParaRPr lang="es-CL"/>
        </a:p>
      </dgm:t>
    </dgm:pt>
    <dgm:pt modelId="{7833D543-0771-460D-80A5-3DC3D6626B10}" type="pres">
      <dgm:prSet presAssocID="{4B8A11B3-FED4-4251-AA04-2C461FE7703C}" presName="childText" presStyleLbl="bgAcc1" presStyleIdx="3" presStyleCnt="16">
        <dgm:presLayoutVars>
          <dgm:bulletEnabled val="1"/>
        </dgm:presLayoutVars>
      </dgm:prSet>
      <dgm:spPr/>
      <dgm:t>
        <a:bodyPr/>
        <a:lstStyle/>
        <a:p>
          <a:endParaRPr lang="es-CL"/>
        </a:p>
      </dgm:t>
    </dgm:pt>
    <dgm:pt modelId="{AA0C6EBD-9925-4101-B799-79FBA903A007}" type="pres">
      <dgm:prSet presAssocID="{5533DC93-92FB-4618-A4FE-F607F684AE64}" presName="Name13" presStyleLbl="parChTrans1D2" presStyleIdx="4" presStyleCnt="16"/>
      <dgm:spPr/>
      <dgm:t>
        <a:bodyPr/>
        <a:lstStyle/>
        <a:p>
          <a:endParaRPr lang="es-CL"/>
        </a:p>
      </dgm:t>
    </dgm:pt>
    <dgm:pt modelId="{B77EB640-A0C9-4EEF-A89D-4D58F739FA0B}" type="pres">
      <dgm:prSet presAssocID="{F88518B1-9CE9-42B8-BC3E-604BB108E725}" presName="childText" presStyleLbl="bgAcc1" presStyleIdx="4" presStyleCnt="16">
        <dgm:presLayoutVars>
          <dgm:bulletEnabled val="1"/>
        </dgm:presLayoutVars>
      </dgm:prSet>
      <dgm:spPr/>
      <dgm:t>
        <a:bodyPr/>
        <a:lstStyle/>
        <a:p>
          <a:endParaRPr lang="es-CL"/>
        </a:p>
      </dgm:t>
    </dgm:pt>
    <dgm:pt modelId="{111946EB-28F6-4CB0-A107-06FEAAFFDE78}" type="pres">
      <dgm:prSet presAssocID="{A5AC7673-86F5-4F04-A0F8-1DFD6E405289}" presName="Name13" presStyleLbl="parChTrans1D2" presStyleIdx="5" presStyleCnt="16"/>
      <dgm:spPr/>
      <dgm:t>
        <a:bodyPr/>
        <a:lstStyle/>
        <a:p>
          <a:endParaRPr lang="es-CL"/>
        </a:p>
      </dgm:t>
    </dgm:pt>
    <dgm:pt modelId="{2ABF0EB3-629E-4C4B-97AA-06FB00CAC570}" type="pres">
      <dgm:prSet presAssocID="{28BB166C-AAB7-478C-A846-751253B4F245}" presName="childText" presStyleLbl="bgAcc1" presStyleIdx="5" presStyleCnt="16">
        <dgm:presLayoutVars>
          <dgm:bulletEnabled val="1"/>
        </dgm:presLayoutVars>
      </dgm:prSet>
      <dgm:spPr/>
      <dgm:t>
        <a:bodyPr/>
        <a:lstStyle/>
        <a:p>
          <a:endParaRPr lang="es-CL"/>
        </a:p>
      </dgm:t>
    </dgm:pt>
    <dgm:pt modelId="{E8019458-1688-4CC1-9A1D-3A21717CC387}" type="pres">
      <dgm:prSet presAssocID="{FFF29ADF-0260-4E06-90A3-23F0DEA2A47F}" presName="root" presStyleCnt="0"/>
      <dgm:spPr/>
    </dgm:pt>
    <dgm:pt modelId="{08BB1B2E-BC4C-49C2-A47B-E37CF6FC0F36}" type="pres">
      <dgm:prSet presAssocID="{FFF29ADF-0260-4E06-90A3-23F0DEA2A47F}" presName="rootComposite" presStyleCnt="0"/>
      <dgm:spPr/>
    </dgm:pt>
    <dgm:pt modelId="{D9CA1BEE-E571-404C-BF2B-8E27C35C2E36}" type="pres">
      <dgm:prSet presAssocID="{FFF29ADF-0260-4E06-90A3-23F0DEA2A47F}" presName="rootText" presStyleLbl="node1" presStyleIdx="2" presStyleCnt="4" custScaleX="114973"/>
      <dgm:spPr/>
      <dgm:t>
        <a:bodyPr/>
        <a:lstStyle/>
        <a:p>
          <a:endParaRPr lang="es-CL"/>
        </a:p>
      </dgm:t>
    </dgm:pt>
    <dgm:pt modelId="{5A9A6262-E3F7-4595-9189-E5D20A123979}" type="pres">
      <dgm:prSet presAssocID="{FFF29ADF-0260-4E06-90A3-23F0DEA2A47F}" presName="rootConnector" presStyleLbl="node1" presStyleIdx="2" presStyleCnt="4"/>
      <dgm:spPr/>
      <dgm:t>
        <a:bodyPr/>
        <a:lstStyle/>
        <a:p>
          <a:endParaRPr lang="es-CL"/>
        </a:p>
      </dgm:t>
    </dgm:pt>
    <dgm:pt modelId="{0FB59BBA-B8C2-4E7A-B54E-29C78AC199DD}" type="pres">
      <dgm:prSet presAssocID="{FFF29ADF-0260-4E06-90A3-23F0DEA2A47F}" presName="childShape" presStyleCnt="0"/>
      <dgm:spPr/>
    </dgm:pt>
    <dgm:pt modelId="{C5A414B0-1B82-437A-A229-D818A2966C14}" type="pres">
      <dgm:prSet presAssocID="{ABEE5E67-538B-44E5-82CE-426C3F3B19A7}" presName="Name13" presStyleLbl="parChTrans1D2" presStyleIdx="6" presStyleCnt="16"/>
      <dgm:spPr/>
      <dgm:t>
        <a:bodyPr/>
        <a:lstStyle/>
        <a:p>
          <a:endParaRPr lang="es-CL"/>
        </a:p>
      </dgm:t>
    </dgm:pt>
    <dgm:pt modelId="{8D00B222-4998-41C9-83F5-1A7A1827B00D}" type="pres">
      <dgm:prSet presAssocID="{E86E3AF1-C0C7-4A73-BF55-7AB220971024}" presName="childText" presStyleLbl="bgAcc1" presStyleIdx="6" presStyleCnt="16" custScaleX="116391">
        <dgm:presLayoutVars>
          <dgm:bulletEnabled val="1"/>
        </dgm:presLayoutVars>
      </dgm:prSet>
      <dgm:spPr/>
      <dgm:t>
        <a:bodyPr/>
        <a:lstStyle/>
        <a:p>
          <a:endParaRPr lang="es-CL"/>
        </a:p>
      </dgm:t>
    </dgm:pt>
    <dgm:pt modelId="{6ED7F6F0-AD98-4E35-AFEB-34D4FE1FE808}" type="pres">
      <dgm:prSet presAssocID="{DBF3BEF2-A474-4E38-A5D1-770BBEDFEE12}" presName="Name13" presStyleLbl="parChTrans1D2" presStyleIdx="7" presStyleCnt="16"/>
      <dgm:spPr/>
      <dgm:t>
        <a:bodyPr/>
        <a:lstStyle/>
        <a:p>
          <a:endParaRPr lang="es-CL"/>
        </a:p>
      </dgm:t>
    </dgm:pt>
    <dgm:pt modelId="{C6C48D8C-1A54-49E2-8798-FA3FC7093B3F}" type="pres">
      <dgm:prSet presAssocID="{95B33609-1DF6-4881-B72E-241A85B9F6C7}" presName="childText" presStyleLbl="bgAcc1" presStyleIdx="7" presStyleCnt="16" custScaleX="116391">
        <dgm:presLayoutVars>
          <dgm:bulletEnabled val="1"/>
        </dgm:presLayoutVars>
      </dgm:prSet>
      <dgm:spPr/>
      <dgm:t>
        <a:bodyPr/>
        <a:lstStyle/>
        <a:p>
          <a:endParaRPr lang="es-CL"/>
        </a:p>
      </dgm:t>
    </dgm:pt>
    <dgm:pt modelId="{4A43B668-3CD2-42AD-BC8D-C373AC12A72A}" type="pres">
      <dgm:prSet presAssocID="{29FEE25C-5D15-4983-82C7-AC6C52E0B07D}" presName="Name13" presStyleLbl="parChTrans1D2" presStyleIdx="8" presStyleCnt="16"/>
      <dgm:spPr/>
      <dgm:t>
        <a:bodyPr/>
        <a:lstStyle/>
        <a:p>
          <a:endParaRPr lang="es-CL"/>
        </a:p>
      </dgm:t>
    </dgm:pt>
    <dgm:pt modelId="{C043A344-DC7B-422C-B575-EDE58733C37F}" type="pres">
      <dgm:prSet presAssocID="{F7E55B80-7D1D-4D95-A236-6C9F0548729E}" presName="childText" presStyleLbl="bgAcc1" presStyleIdx="8" presStyleCnt="16" custScaleX="120349">
        <dgm:presLayoutVars>
          <dgm:bulletEnabled val="1"/>
        </dgm:presLayoutVars>
      </dgm:prSet>
      <dgm:spPr/>
      <dgm:t>
        <a:bodyPr/>
        <a:lstStyle/>
        <a:p>
          <a:endParaRPr lang="es-CL"/>
        </a:p>
      </dgm:t>
    </dgm:pt>
    <dgm:pt modelId="{5D18DAE8-BA9F-4919-AC5C-1E3A17ECA0ED}" type="pres">
      <dgm:prSet presAssocID="{92084F4B-444E-4EA3-A1E4-EC8E47BEAAD4}" presName="Name13" presStyleLbl="parChTrans1D2" presStyleIdx="9" presStyleCnt="16"/>
      <dgm:spPr/>
      <dgm:t>
        <a:bodyPr/>
        <a:lstStyle/>
        <a:p>
          <a:endParaRPr lang="es-CL"/>
        </a:p>
      </dgm:t>
    </dgm:pt>
    <dgm:pt modelId="{60612B04-2BC9-43DD-922D-DC880C1A0F27}" type="pres">
      <dgm:prSet presAssocID="{DE5AF7C1-2FAF-4DCA-8D5E-C6AF15BDE217}" presName="childText" presStyleLbl="bgAcc1" presStyleIdx="9" presStyleCnt="16" custScaleX="120928">
        <dgm:presLayoutVars>
          <dgm:bulletEnabled val="1"/>
        </dgm:presLayoutVars>
      </dgm:prSet>
      <dgm:spPr/>
      <dgm:t>
        <a:bodyPr/>
        <a:lstStyle/>
        <a:p>
          <a:endParaRPr lang="es-CL"/>
        </a:p>
      </dgm:t>
    </dgm:pt>
    <dgm:pt modelId="{92CCC520-CB6F-4E8C-905D-31B79815C944}" type="pres">
      <dgm:prSet presAssocID="{899C1C85-3C18-450C-BB76-77CB9ABA8831}" presName="Name13" presStyleLbl="parChTrans1D2" presStyleIdx="10" presStyleCnt="16"/>
      <dgm:spPr/>
      <dgm:t>
        <a:bodyPr/>
        <a:lstStyle/>
        <a:p>
          <a:endParaRPr lang="es-CL"/>
        </a:p>
      </dgm:t>
    </dgm:pt>
    <dgm:pt modelId="{353EE3BC-73C0-456E-B965-5CFF6296834E}" type="pres">
      <dgm:prSet presAssocID="{6A1C9CDF-2FE4-4888-A912-4F2E768C9121}" presName="childText" presStyleLbl="bgAcc1" presStyleIdx="10" presStyleCnt="16" custScaleX="123367">
        <dgm:presLayoutVars>
          <dgm:bulletEnabled val="1"/>
        </dgm:presLayoutVars>
      </dgm:prSet>
      <dgm:spPr/>
      <dgm:t>
        <a:bodyPr/>
        <a:lstStyle/>
        <a:p>
          <a:endParaRPr lang="es-CL"/>
        </a:p>
      </dgm:t>
    </dgm:pt>
    <dgm:pt modelId="{65DBA773-6123-4224-BED4-0A9B1520BB19}" type="pres">
      <dgm:prSet presAssocID="{37605338-D384-4980-99BB-C9C136BBB075}" presName="root" presStyleCnt="0"/>
      <dgm:spPr/>
    </dgm:pt>
    <dgm:pt modelId="{BF552018-46AC-4DAD-80EC-1732FDE1A548}" type="pres">
      <dgm:prSet presAssocID="{37605338-D384-4980-99BB-C9C136BBB075}" presName="rootComposite" presStyleCnt="0"/>
      <dgm:spPr/>
    </dgm:pt>
    <dgm:pt modelId="{906B27E3-11D4-40C2-A45F-BD8D020565DA}" type="pres">
      <dgm:prSet presAssocID="{37605338-D384-4980-99BB-C9C136BBB075}" presName="rootText" presStyleLbl="node1" presStyleIdx="3" presStyleCnt="4"/>
      <dgm:spPr/>
      <dgm:t>
        <a:bodyPr/>
        <a:lstStyle/>
        <a:p>
          <a:endParaRPr lang="es-CL"/>
        </a:p>
      </dgm:t>
    </dgm:pt>
    <dgm:pt modelId="{C7A984A7-249C-4C6C-8FC3-66403A47E5CE}" type="pres">
      <dgm:prSet presAssocID="{37605338-D384-4980-99BB-C9C136BBB075}" presName="rootConnector" presStyleLbl="node1" presStyleIdx="3" presStyleCnt="4"/>
      <dgm:spPr/>
      <dgm:t>
        <a:bodyPr/>
        <a:lstStyle/>
        <a:p>
          <a:endParaRPr lang="es-CL"/>
        </a:p>
      </dgm:t>
    </dgm:pt>
    <dgm:pt modelId="{EAA77AE9-9A41-4F96-A0AD-5F03388D986F}" type="pres">
      <dgm:prSet presAssocID="{37605338-D384-4980-99BB-C9C136BBB075}" presName="childShape" presStyleCnt="0"/>
      <dgm:spPr/>
    </dgm:pt>
    <dgm:pt modelId="{F41D76A6-0481-4AF6-8F6A-42F6CE9A5C7F}" type="pres">
      <dgm:prSet presAssocID="{6C145CE9-F660-4E5B-8B99-1C09D05CB791}" presName="Name13" presStyleLbl="parChTrans1D2" presStyleIdx="11" presStyleCnt="16"/>
      <dgm:spPr/>
      <dgm:t>
        <a:bodyPr/>
        <a:lstStyle/>
        <a:p>
          <a:endParaRPr lang="es-CL"/>
        </a:p>
      </dgm:t>
    </dgm:pt>
    <dgm:pt modelId="{2E805AC8-F7EC-4B8C-865C-E00C8770ECB6}" type="pres">
      <dgm:prSet presAssocID="{0F5CF18B-0F4F-4347-ADC5-F746AD765C00}" presName="childText" presStyleLbl="bgAcc1" presStyleIdx="11" presStyleCnt="16">
        <dgm:presLayoutVars>
          <dgm:bulletEnabled val="1"/>
        </dgm:presLayoutVars>
      </dgm:prSet>
      <dgm:spPr/>
      <dgm:t>
        <a:bodyPr/>
        <a:lstStyle/>
        <a:p>
          <a:endParaRPr lang="es-CL"/>
        </a:p>
      </dgm:t>
    </dgm:pt>
    <dgm:pt modelId="{48A286F2-BC75-4914-B51B-DDB08FB72CB6}" type="pres">
      <dgm:prSet presAssocID="{BFAAA0D9-80CC-403F-BB69-69F272A45A78}" presName="Name13" presStyleLbl="parChTrans1D2" presStyleIdx="12" presStyleCnt="16"/>
      <dgm:spPr/>
      <dgm:t>
        <a:bodyPr/>
        <a:lstStyle/>
        <a:p>
          <a:endParaRPr lang="es-CL"/>
        </a:p>
      </dgm:t>
    </dgm:pt>
    <dgm:pt modelId="{497542AA-FB37-46C3-98BA-CDCA2E4D7841}" type="pres">
      <dgm:prSet presAssocID="{B75E1B32-8212-4E1A-8B27-2AF75647EB61}" presName="childText" presStyleLbl="bgAcc1" presStyleIdx="12" presStyleCnt="16">
        <dgm:presLayoutVars>
          <dgm:bulletEnabled val="1"/>
        </dgm:presLayoutVars>
      </dgm:prSet>
      <dgm:spPr/>
      <dgm:t>
        <a:bodyPr/>
        <a:lstStyle/>
        <a:p>
          <a:endParaRPr lang="es-CL"/>
        </a:p>
      </dgm:t>
    </dgm:pt>
    <dgm:pt modelId="{0AB01DEB-B48D-4AB7-ACF6-C7FA02D55D03}" type="pres">
      <dgm:prSet presAssocID="{CEAA5CA4-04AA-4BDD-8FE4-540A821A717F}" presName="Name13" presStyleLbl="parChTrans1D2" presStyleIdx="13" presStyleCnt="16"/>
      <dgm:spPr/>
      <dgm:t>
        <a:bodyPr/>
        <a:lstStyle/>
        <a:p>
          <a:endParaRPr lang="es-CL"/>
        </a:p>
      </dgm:t>
    </dgm:pt>
    <dgm:pt modelId="{44159DDB-C892-429A-8C04-8C960DB1C764}" type="pres">
      <dgm:prSet presAssocID="{4BA5D9E1-82D3-4249-AD24-4533DEF07F92}" presName="childText" presStyleLbl="bgAcc1" presStyleIdx="13" presStyleCnt="16">
        <dgm:presLayoutVars>
          <dgm:bulletEnabled val="1"/>
        </dgm:presLayoutVars>
      </dgm:prSet>
      <dgm:spPr/>
      <dgm:t>
        <a:bodyPr/>
        <a:lstStyle/>
        <a:p>
          <a:endParaRPr lang="es-CL"/>
        </a:p>
      </dgm:t>
    </dgm:pt>
    <dgm:pt modelId="{D99B06F4-2561-4778-82A9-14D3BB45D146}" type="pres">
      <dgm:prSet presAssocID="{6A65FCCA-12CE-4669-909B-975E453DD811}" presName="Name13" presStyleLbl="parChTrans1D2" presStyleIdx="14" presStyleCnt="16"/>
      <dgm:spPr/>
      <dgm:t>
        <a:bodyPr/>
        <a:lstStyle/>
        <a:p>
          <a:endParaRPr lang="es-CL"/>
        </a:p>
      </dgm:t>
    </dgm:pt>
    <dgm:pt modelId="{367A9407-2EB0-498D-9A7A-A425FFB71E93}" type="pres">
      <dgm:prSet presAssocID="{28C0D239-ADE8-4A85-8A32-E983575E602F}" presName="childText" presStyleLbl="bgAcc1" presStyleIdx="14" presStyleCnt="16">
        <dgm:presLayoutVars>
          <dgm:bulletEnabled val="1"/>
        </dgm:presLayoutVars>
      </dgm:prSet>
      <dgm:spPr/>
      <dgm:t>
        <a:bodyPr/>
        <a:lstStyle/>
        <a:p>
          <a:endParaRPr lang="es-CL"/>
        </a:p>
      </dgm:t>
    </dgm:pt>
    <dgm:pt modelId="{4A7C1B08-5D44-4F49-AE3C-0434FB76F88B}" type="pres">
      <dgm:prSet presAssocID="{D0E511F6-E355-4142-A2EC-D3A34ADA9517}" presName="Name13" presStyleLbl="parChTrans1D2" presStyleIdx="15" presStyleCnt="16"/>
      <dgm:spPr/>
      <dgm:t>
        <a:bodyPr/>
        <a:lstStyle/>
        <a:p>
          <a:endParaRPr lang="es-CL"/>
        </a:p>
      </dgm:t>
    </dgm:pt>
    <dgm:pt modelId="{88436270-FC45-49B7-B6D2-0D4C6A7FEC69}" type="pres">
      <dgm:prSet presAssocID="{5CC8B130-D9DF-4427-B888-13F51B1DD9E4}" presName="childText" presStyleLbl="bgAcc1" presStyleIdx="15" presStyleCnt="16">
        <dgm:presLayoutVars>
          <dgm:bulletEnabled val="1"/>
        </dgm:presLayoutVars>
      </dgm:prSet>
      <dgm:spPr/>
      <dgm:t>
        <a:bodyPr/>
        <a:lstStyle/>
        <a:p>
          <a:endParaRPr lang="es-CL"/>
        </a:p>
      </dgm:t>
    </dgm:pt>
  </dgm:ptLst>
  <dgm:cxnLst>
    <dgm:cxn modelId="{ED28458E-B73B-4277-8C7D-0BB2B160F21D}" type="presOf" srcId="{D0E511F6-E355-4142-A2EC-D3A34ADA9517}" destId="{4A7C1B08-5D44-4F49-AE3C-0434FB76F88B}" srcOrd="0" destOrd="0" presId="urn:microsoft.com/office/officeart/2005/8/layout/hierarchy3"/>
    <dgm:cxn modelId="{BEF44FFE-B85D-4C86-B6D1-554CD2D7CDB8}" type="presOf" srcId="{5533DC93-92FB-4618-A4FE-F607F684AE64}" destId="{AA0C6EBD-9925-4101-B799-79FBA903A007}" srcOrd="0" destOrd="0" presId="urn:microsoft.com/office/officeart/2005/8/layout/hierarchy3"/>
    <dgm:cxn modelId="{07B41E12-9F41-47A4-B7FA-106B4E09CAC0}" type="presOf" srcId="{A5AC7673-86F5-4F04-A0F8-1DFD6E405289}" destId="{111946EB-28F6-4CB0-A107-06FEAAFFDE78}" srcOrd="0" destOrd="0" presId="urn:microsoft.com/office/officeart/2005/8/layout/hierarchy3"/>
    <dgm:cxn modelId="{0ED9DDA4-9A19-42BC-A95A-6C40F8C31AF5}" type="presOf" srcId="{DE5AF7C1-2FAF-4DCA-8D5E-C6AF15BDE217}" destId="{60612B04-2BC9-43DD-922D-DC880C1A0F27}" srcOrd="0" destOrd="0" presId="urn:microsoft.com/office/officeart/2005/8/layout/hierarchy3"/>
    <dgm:cxn modelId="{0281F657-F142-4AFF-9BB9-2FBE7D9AC717}" type="presOf" srcId="{9A5AA635-791C-4575-B13A-B7E34DC258E1}" destId="{B8BDF0A5-46F9-4D4C-ACDD-B949CFC7E24F}" srcOrd="1" destOrd="0" presId="urn:microsoft.com/office/officeart/2005/8/layout/hierarchy3"/>
    <dgm:cxn modelId="{445E7DD4-A8DF-455E-ADC0-7F52255C692B}" type="presOf" srcId="{57A6397C-4101-40B3-863B-D96668F71595}" destId="{15DF2844-F8C3-4CBB-B181-173D56A8BD5E}" srcOrd="0" destOrd="0" presId="urn:microsoft.com/office/officeart/2005/8/layout/hierarchy3"/>
    <dgm:cxn modelId="{F15BACB1-5457-4DF7-AC62-C5E1C03554E5}" srcId="{37605338-D384-4980-99BB-C9C136BBB075}" destId="{B75E1B32-8212-4E1A-8B27-2AF75647EB61}" srcOrd="1" destOrd="0" parTransId="{BFAAA0D9-80CC-403F-BB69-69F272A45A78}" sibTransId="{12E68125-EC1B-4995-8204-04067395000A}"/>
    <dgm:cxn modelId="{6D7C5BF8-B79F-4DBE-8946-F41FDF9210CF}" srcId="{B8329E02-8356-48EF-A467-B313B2659B84}" destId="{FFF29ADF-0260-4E06-90A3-23F0DEA2A47F}" srcOrd="2" destOrd="0" parTransId="{CC060209-38A5-4E00-BBC8-60E29FC4AFF9}" sibTransId="{55E9D4A5-3650-4EA4-B6D6-F74A6082AE15}"/>
    <dgm:cxn modelId="{755EBCDE-618E-430E-868A-26DACD266E39}" type="presOf" srcId="{FFF29ADF-0260-4E06-90A3-23F0DEA2A47F}" destId="{5A9A6262-E3F7-4595-9189-E5D20A123979}" srcOrd="1" destOrd="0" presId="urn:microsoft.com/office/officeart/2005/8/layout/hierarchy3"/>
    <dgm:cxn modelId="{56241092-C376-49BB-89F2-B63F3CD0404C}" type="presOf" srcId="{E86E3AF1-C0C7-4A73-BF55-7AB220971024}" destId="{8D00B222-4998-41C9-83F5-1A7A1827B00D}" srcOrd="0" destOrd="0" presId="urn:microsoft.com/office/officeart/2005/8/layout/hierarchy3"/>
    <dgm:cxn modelId="{2DC54A50-050C-49E9-9C15-D592DB2674EF}" srcId="{B8329E02-8356-48EF-A467-B313B2659B84}" destId="{9A5AA635-791C-4575-B13A-B7E34DC258E1}" srcOrd="0" destOrd="0" parTransId="{C1647698-8A0B-42F0-AEC0-25DAEEFD9512}" sibTransId="{49BDB8A7-B95F-4F3C-B4EC-716F87AD475E}"/>
    <dgm:cxn modelId="{12A9D73D-495A-4C2B-825F-4F0EF7529530}" type="presOf" srcId="{52C14B9C-2D6F-4908-9284-1DB88E729046}" destId="{BDF6A1A8-3B79-4DC1-A1EA-AC33D15DE9D2}" srcOrd="0" destOrd="0" presId="urn:microsoft.com/office/officeart/2005/8/layout/hierarchy3"/>
    <dgm:cxn modelId="{00B93B72-0773-44DF-98FA-07F6B6AEAD08}" srcId="{9A5AA635-791C-4575-B13A-B7E34DC258E1}" destId="{52C14B9C-2D6F-4908-9284-1DB88E729046}" srcOrd="2" destOrd="0" parTransId="{57A6397C-4101-40B3-863B-D96668F71595}" sibTransId="{535EE92F-E701-46D7-AC48-20E026F72FBD}"/>
    <dgm:cxn modelId="{77657A55-11DE-488A-8DBE-D71031D8D12D}" srcId="{5B7F4352-7A14-467A-9710-0E4B59D0FFD8}" destId="{28BB166C-AAB7-478C-A846-751253B4F245}" srcOrd="2" destOrd="0" parTransId="{A5AC7673-86F5-4F04-A0F8-1DFD6E405289}" sibTransId="{33721A63-B039-48E4-9935-91779523EABA}"/>
    <dgm:cxn modelId="{37BEB9F0-0B91-4112-BED3-7A95B063CEEB}" type="presOf" srcId="{CEAA5CA4-04AA-4BDD-8FE4-540A821A717F}" destId="{0AB01DEB-B48D-4AB7-ACF6-C7FA02D55D03}" srcOrd="0" destOrd="0" presId="urn:microsoft.com/office/officeart/2005/8/layout/hierarchy3"/>
    <dgm:cxn modelId="{BC7F7608-C487-4E92-91BA-A487F0ADD869}" srcId="{FFF29ADF-0260-4E06-90A3-23F0DEA2A47F}" destId="{6A1C9CDF-2FE4-4888-A912-4F2E768C9121}" srcOrd="4" destOrd="0" parTransId="{899C1C85-3C18-450C-BB76-77CB9ABA8831}" sibTransId="{874CB033-AAC1-40D9-AE88-097EE1898E24}"/>
    <dgm:cxn modelId="{C15EC26C-72F3-4D5F-A3E9-F8D8EF1EA850}" srcId="{5B7F4352-7A14-467A-9710-0E4B59D0FFD8}" destId="{4B8A11B3-FED4-4251-AA04-2C461FE7703C}" srcOrd="0" destOrd="0" parTransId="{BCC36290-E36D-4578-AE63-C922C4D4F767}" sibTransId="{EF183F57-600D-4A0B-8A1E-D4158BE0A6CE}"/>
    <dgm:cxn modelId="{16BE5D4C-40B5-4D9C-9216-ADD6D47BD1C3}" type="presOf" srcId="{5B7F4352-7A14-467A-9710-0E4B59D0FFD8}" destId="{ADDEB851-053B-4B9D-B9AF-F841C1432C93}" srcOrd="0" destOrd="0" presId="urn:microsoft.com/office/officeart/2005/8/layout/hierarchy3"/>
    <dgm:cxn modelId="{D2C63447-AD97-467B-9DA8-C5CAC12C247A}" type="presOf" srcId="{B8329E02-8356-48EF-A467-B313B2659B84}" destId="{AC4CBE5F-F9D3-4A61-992F-7454A56B61E3}" srcOrd="0" destOrd="0" presId="urn:microsoft.com/office/officeart/2005/8/layout/hierarchy3"/>
    <dgm:cxn modelId="{159AE6AD-72FB-466E-BFD1-737B74A106DE}" type="presOf" srcId="{5CC8B130-D9DF-4427-B888-13F51B1DD9E4}" destId="{88436270-FC45-49B7-B6D2-0D4C6A7FEC69}" srcOrd="0" destOrd="0" presId="urn:microsoft.com/office/officeart/2005/8/layout/hierarchy3"/>
    <dgm:cxn modelId="{C8893FEC-6630-4E6F-90C7-F569D2AA40CD}" type="presOf" srcId="{6A1C9CDF-2FE4-4888-A912-4F2E768C9121}" destId="{353EE3BC-73C0-456E-B965-5CFF6296834E}" srcOrd="0" destOrd="0" presId="urn:microsoft.com/office/officeart/2005/8/layout/hierarchy3"/>
    <dgm:cxn modelId="{DF29A03E-7CA4-46DE-91B2-9A641E584F2E}" type="presOf" srcId="{28BB166C-AAB7-478C-A846-751253B4F245}" destId="{2ABF0EB3-629E-4C4B-97AA-06FB00CAC570}" srcOrd="0" destOrd="0" presId="urn:microsoft.com/office/officeart/2005/8/layout/hierarchy3"/>
    <dgm:cxn modelId="{7AC6CD4E-33FD-4EB1-8EE7-5622B23E3C5F}" srcId="{B8329E02-8356-48EF-A467-B313B2659B84}" destId="{5B7F4352-7A14-467A-9710-0E4B59D0FFD8}" srcOrd="1" destOrd="0" parTransId="{DC5C1C67-B956-443F-8657-815B4455E058}" sibTransId="{B96CC70F-D504-4E36-B43E-9090DE554687}"/>
    <dgm:cxn modelId="{B1017B63-ED32-40D8-B4BA-0208B139DFC3}" type="presOf" srcId="{4BA5D9E1-82D3-4249-AD24-4533DEF07F92}" destId="{44159DDB-C892-429A-8C04-8C960DB1C764}" srcOrd="0" destOrd="0" presId="urn:microsoft.com/office/officeart/2005/8/layout/hierarchy3"/>
    <dgm:cxn modelId="{8776E0C6-21BC-43B1-B922-C2E5C5FC3A1A}" type="presOf" srcId="{DBF3BEF2-A474-4E38-A5D1-770BBEDFEE12}" destId="{6ED7F6F0-AD98-4E35-AFEB-34D4FE1FE808}" srcOrd="0" destOrd="0" presId="urn:microsoft.com/office/officeart/2005/8/layout/hierarchy3"/>
    <dgm:cxn modelId="{1B8D755F-C013-4F7A-BA39-42361CD8415B}" type="presOf" srcId="{BCC36290-E36D-4578-AE63-C922C4D4F767}" destId="{84928C5E-298A-4370-89A5-23294E74E263}" srcOrd="0" destOrd="0" presId="urn:microsoft.com/office/officeart/2005/8/layout/hierarchy3"/>
    <dgm:cxn modelId="{F9D61B4D-5082-4F65-B2E2-4E2730E7D374}" type="presOf" srcId="{F88518B1-9CE9-42B8-BC3E-604BB108E725}" destId="{B77EB640-A0C9-4EEF-A89D-4D58F739FA0B}" srcOrd="0" destOrd="0" presId="urn:microsoft.com/office/officeart/2005/8/layout/hierarchy3"/>
    <dgm:cxn modelId="{E59CD4E1-B948-4246-9BF0-5331FCB069C6}" srcId="{FFF29ADF-0260-4E06-90A3-23F0DEA2A47F}" destId="{DE5AF7C1-2FAF-4DCA-8D5E-C6AF15BDE217}" srcOrd="3" destOrd="0" parTransId="{92084F4B-444E-4EA3-A1E4-EC8E47BEAAD4}" sibTransId="{F8D88795-22DF-4666-8720-75E54007B990}"/>
    <dgm:cxn modelId="{62969B40-8250-4F88-B277-01D39C80B48C}" type="presOf" srcId="{92084F4B-444E-4EA3-A1E4-EC8E47BEAAD4}" destId="{5D18DAE8-BA9F-4919-AC5C-1E3A17ECA0ED}" srcOrd="0" destOrd="0" presId="urn:microsoft.com/office/officeart/2005/8/layout/hierarchy3"/>
    <dgm:cxn modelId="{1C70C5A2-9845-4552-8EA6-0E107EDA1DE4}" srcId="{9A5AA635-791C-4575-B13A-B7E34DC258E1}" destId="{F8996D38-F270-49D9-9A7A-FD606C350823}" srcOrd="1" destOrd="0" parTransId="{245FFB7D-1AB0-4DA9-AD70-EE88D7659F5C}" sibTransId="{F5227194-83F4-48DF-AF23-DBF89CA8971C}"/>
    <dgm:cxn modelId="{144FA87A-00C2-4DFE-8975-93E0143FD985}" type="presOf" srcId="{F7E55B80-7D1D-4D95-A236-6C9F0548729E}" destId="{C043A344-DC7B-422C-B575-EDE58733C37F}" srcOrd="0" destOrd="0" presId="urn:microsoft.com/office/officeart/2005/8/layout/hierarchy3"/>
    <dgm:cxn modelId="{56866E5F-E3BD-4008-97AA-0F8EEEAD646B}" srcId="{9A5AA635-791C-4575-B13A-B7E34DC258E1}" destId="{F86BAECE-1195-4498-B901-22CB8DE9D2F3}" srcOrd="0" destOrd="0" parTransId="{29373702-C87F-4F70-9268-05F9874BF4E1}" sibTransId="{87C99C31-28EA-468F-8620-E4FB8A149CDA}"/>
    <dgm:cxn modelId="{915BD719-49DA-4BBF-809D-B2EAB50C85D8}" type="presOf" srcId="{29373702-C87F-4F70-9268-05F9874BF4E1}" destId="{FB7550BC-4608-4830-B5DC-C4799CF9A5B6}" srcOrd="0" destOrd="0" presId="urn:microsoft.com/office/officeart/2005/8/layout/hierarchy3"/>
    <dgm:cxn modelId="{1A2B20EF-D6DD-4A23-B7E4-993AA983D012}" type="presOf" srcId="{37605338-D384-4980-99BB-C9C136BBB075}" destId="{C7A984A7-249C-4C6C-8FC3-66403A47E5CE}" srcOrd="1" destOrd="0" presId="urn:microsoft.com/office/officeart/2005/8/layout/hierarchy3"/>
    <dgm:cxn modelId="{DE831711-F061-4B31-8538-DC654945126D}" type="presOf" srcId="{245FFB7D-1AB0-4DA9-AD70-EE88D7659F5C}" destId="{B8B63CE8-635B-4207-AD7A-ADA213721197}" srcOrd="0" destOrd="0" presId="urn:microsoft.com/office/officeart/2005/8/layout/hierarchy3"/>
    <dgm:cxn modelId="{65850036-2C39-492C-B2F8-0E2802AFD93B}" srcId="{37605338-D384-4980-99BB-C9C136BBB075}" destId="{5CC8B130-D9DF-4427-B888-13F51B1DD9E4}" srcOrd="4" destOrd="0" parTransId="{D0E511F6-E355-4142-A2EC-D3A34ADA9517}" sibTransId="{5DC49A27-6CCB-4F58-987F-38B4CF1D486C}"/>
    <dgm:cxn modelId="{C27E813E-1F7F-43D5-BEB5-1C3B4FC8DAB5}" type="presOf" srcId="{F86BAECE-1195-4498-B901-22CB8DE9D2F3}" destId="{403B6D41-8D24-48F8-9C07-B4B670F75EF2}" srcOrd="0" destOrd="0" presId="urn:microsoft.com/office/officeart/2005/8/layout/hierarchy3"/>
    <dgm:cxn modelId="{417134E8-FB85-40D1-A1E6-85E59747A266}" srcId="{5B7F4352-7A14-467A-9710-0E4B59D0FFD8}" destId="{F88518B1-9CE9-42B8-BC3E-604BB108E725}" srcOrd="1" destOrd="0" parTransId="{5533DC93-92FB-4618-A4FE-F607F684AE64}" sibTransId="{C5661533-D9C4-445B-915B-0B60B29F3C86}"/>
    <dgm:cxn modelId="{872ADC33-2560-4A0F-9042-4408C2B00D37}" type="presOf" srcId="{899C1C85-3C18-450C-BB76-77CB9ABA8831}" destId="{92CCC520-CB6F-4E8C-905D-31B79815C944}" srcOrd="0" destOrd="0" presId="urn:microsoft.com/office/officeart/2005/8/layout/hierarchy3"/>
    <dgm:cxn modelId="{C54AB3BC-926E-4A70-A2E7-9986645144FC}" type="presOf" srcId="{29FEE25C-5D15-4983-82C7-AC6C52E0B07D}" destId="{4A43B668-3CD2-42AD-BC8D-C373AC12A72A}" srcOrd="0" destOrd="0" presId="urn:microsoft.com/office/officeart/2005/8/layout/hierarchy3"/>
    <dgm:cxn modelId="{5095718D-F45A-4837-A0CA-F4C414176CED}" srcId="{B8329E02-8356-48EF-A467-B313B2659B84}" destId="{37605338-D384-4980-99BB-C9C136BBB075}" srcOrd="3" destOrd="0" parTransId="{A53F05D7-C145-4E92-B130-E5AD59704C22}" sibTransId="{5CF90D8F-6225-40C2-A513-3EAB35412904}"/>
    <dgm:cxn modelId="{55BF9669-D6CA-49BD-AB58-72B91B576B5B}" type="presOf" srcId="{BFAAA0D9-80CC-403F-BB69-69F272A45A78}" destId="{48A286F2-BC75-4914-B51B-DDB08FB72CB6}" srcOrd="0" destOrd="0" presId="urn:microsoft.com/office/officeart/2005/8/layout/hierarchy3"/>
    <dgm:cxn modelId="{7065E4A7-94EB-47A7-9DCF-7EECC10EFA0A}" type="presOf" srcId="{B75E1B32-8212-4E1A-8B27-2AF75647EB61}" destId="{497542AA-FB37-46C3-98BA-CDCA2E4D7841}" srcOrd="0" destOrd="0" presId="urn:microsoft.com/office/officeart/2005/8/layout/hierarchy3"/>
    <dgm:cxn modelId="{9C987A91-0825-43B3-802A-1F645F8B95B5}" srcId="{37605338-D384-4980-99BB-C9C136BBB075}" destId="{28C0D239-ADE8-4A85-8A32-E983575E602F}" srcOrd="3" destOrd="0" parTransId="{6A65FCCA-12CE-4669-909B-975E453DD811}" sibTransId="{F2A371AD-A443-4D49-A708-943BB78D61CE}"/>
    <dgm:cxn modelId="{88130461-16B1-4932-ABA3-3A1E848D5CC4}" type="presOf" srcId="{28C0D239-ADE8-4A85-8A32-E983575E602F}" destId="{367A9407-2EB0-498D-9A7A-A425FFB71E93}" srcOrd="0" destOrd="0" presId="urn:microsoft.com/office/officeart/2005/8/layout/hierarchy3"/>
    <dgm:cxn modelId="{D73D0715-CD0E-4EBD-8058-7F820C75A6A8}" type="presOf" srcId="{5B7F4352-7A14-467A-9710-0E4B59D0FFD8}" destId="{DE14C841-AF2B-441D-8196-BB18D7E9CFC9}" srcOrd="1" destOrd="0" presId="urn:microsoft.com/office/officeart/2005/8/layout/hierarchy3"/>
    <dgm:cxn modelId="{20638680-9657-4660-B187-ACDE0130109C}" type="presOf" srcId="{F8996D38-F270-49D9-9A7A-FD606C350823}" destId="{51C784BF-3220-434C-BEBA-1DC51115886A}" srcOrd="0" destOrd="0" presId="urn:microsoft.com/office/officeart/2005/8/layout/hierarchy3"/>
    <dgm:cxn modelId="{5A92DBDE-B0FE-43EE-A0C5-3E1D20F2FFED}" type="presOf" srcId="{37605338-D384-4980-99BB-C9C136BBB075}" destId="{906B27E3-11D4-40C2-A45F-BD8D020565DA}" srcOrd="0" destOrd="0" presId="urn:microsoft.com/office/officeart/2005/8/layout/hierarchy3"/>
    <dgm:cxn modelId="{E78247E8-0E36-4B18-B23B-0146DBDD70BB}" srcId="{FFF29ADF-0260-4E06-90A3-23F0DEA2A47F}" destId="{95B33609-1DF6-4881-B72E-241A85B9F6C7}" srcOrd="1" destOrd="0" parTransId="{DBF3BEF2-A474-4E38-A5D1-770BBEDFEE12}" sibTransId="{CFC10FF3-5487-4B10-B037-2DD91005FDEB}"/>
    <dgm:cxn modelId="{4C9914BF-EF41-4EA1-A4EC-CCFFB708D059}" srcId="{37605338-D384-4980-99BB-C9C136BBB075}" destId="{0F5CF18B-0F4F-4347-ADC5-F746AD765C00}" srcOrd="0" destOrd="0" parTransId="{6C145CE9-F660-4E5B-8B99-1C09D05CB791}" sibTransId="{8BE0AA20-07CC-4E41-9A57-56DD996D7182}"/>
    <dgm:cxn modelId="{68715271-829D-4425-9C21-AE5C9F928605}" srcId="{FFF29ADF-0260-4E06-90A3-23F0DEA2A47F}" destId="{F7E55B80-7D1D-4D95-A236-6C9F0548729E}" srcOrd="2" destOrd="0" parTransId="{29FEE25C-5D15-4983-82C7-AC6C52E0B07D}" sibTransId="{5503DC2B-E19F-4270-9597-1F52E5507254}"/>
    <dgm:cxn modelId="{41798541-26D6-443F-B0EB-8E658E7DCB0C}" type="presOf" srcId="{6A65FCCA-12CE-4669-909B-975E453DD811}" destId="{D99B06F4-2561-4778-82A9-14D3BB45D146}" srcOrd="0" destOrd="0" presId="urn:microsoft.com/office/officeart/2005/8/layout/hierarchy3"/>
    <dgm:cxn modelId="{9CB062E1-093F-496D-BD34-C315F1842FE5}" type="presOf" srcId="{9A5AA635-791C-4575-B13A-B7E34DC258E1}" destId="{0DD2D3B9-EB64-4C0D-B024-12A309213A06}" srcOrd="0" destOrd="0" presId="urn:microsoft.com/office/officeart/2005/8/layout/hierarchy3"/>
    <dgm:cxn modelId="{24D78E29-3683-47B9-AE41-DB56BCE4054A}" srcId="{37605338-D384-4980-99BB-C9C136BBB075}" destId="{4BA5D9E1-82D3-4249-AD24-4533DEF07F92}" srcOrd="2" destOrd="0" parTransId="{CEAA5CA4-04AA-4BDD-8FE4-540A821A717F}" sibTransId="{8AA28126-1C82-4090-9C88-6FA62C4B4C44}"/>
    <dgm:cxn modelId="{981B5A5C-B5C9-47B1-B3F5-E913D07F048F}" srcId="{FFF29ADF-0260-4E06-90A3-23F0DEA2A47F}" destId="{E86E3AF1-C0C7-4A73-BF55-7AB220971024}" srcOrd="0" destOrd="0" parTransId="{ABEE5E67-538B-44E5-82CE-426C3F3B19A7}" sibTransId="{2A2A2B7C-E520-494A-B4BF-3F90D5125685}"/>
    <dgm:cxn modelId="{F82CF9C8-4360-403D-9793-4538CA56959F}" type="presOf" srcId="{95B33609-1DF6-4881-B72E-241A85B9F6C7}" destId="{C6C48D8C-1A54-49E2-8798-FA3FC7093B3F}" srcOrd="0" destOrd="0" presId="urn:microsoft.com/office/officeart/2005/8/layout/hierarchy3"/>
    <dgm:cxn modelId="{61478BDD-AC00-44F9-A981-4B1E5370CB01}" type="presOf" srcId="{ABEE5E67-538B-44E5-82CE-426C3F3B19A7}" destId="{C5A414B0-1B82-437A-A229-D818A2966C14}" srcOrd="0" destOrd="0" presId="urn:microsoft.com/office/officeart/2005/8/layout/hierarchy3"/>
    <dgm:cxn modelId="{7E07D2F4-112B-4469-93A2-FA17D8503086}" type="presOf" srcId="{0F5CF18B-0F4F-4347-ADC5-F746AD765C00}" destId="{2E805AC8-F7EC-4B8C-865C-E00C8770ECB6}" srcOrd="0" destOrd="0" presId="urn:microsoft.com/office/officeart/2005/8/layout/hierarchy3"/>
    <dgm:cxn modelId="{237DD099-4DB2-474B-87AB-E8E41A92693A}" type="presOf" srcId="{FFF29ADF-0260-4E06-90A3-23F0DEA2A47F}" destId="{D9CA1BEE-E571-404C-BF2B-8E27C35C2E36}" srcOrd="0" destOrd="0" presId="urn:microsoft.com/office/officeart/2005/8/layout/hierarchy3"/>
    <dgm:cxn modelId="{6DA0D775-64E6-44E9-8D93-7AD508C9B27E}" type="presOf" srcId="{6C145CE9-F660-4E5B-8B99-1C09D05CB791}" destId="{F41D76A6-0481-4AF6-8F6A-42F6CE9A5C7F}" srcOrd="0" destOrd="0" presId="urn:microsoft.com/office/officeart/2005/8/layout/hierarchy3"/>
    <dgm:cxn modelId="{6A4AF06B-BCCC-4A3A-A594-F93C07C3C6BF}" type="presOf" srcId="{4B8A11B3-FED4-4251-AA04-2C461FE7703C}" destId="{7833D543-0771-460D-80A5-3DC3D6626B10}" srcOrd="0" destOrd="0" presId="urn:microsoft.com/office/officeart/2005/8/layout/hierarchy3"/>
    <dgm:cxn modelId="{58722175-183C-4600-AB1E-5BD181307310}" type="presParOf" srcId="{AC4CBE5F-F9D3-4A61-992F-7454A56B61E3}" destId="{88C1E2D2-B866-4A4C-B9DB-552C3215D2D7}" srcOrd="0" destOrd="0" presId="urn:microsoft.com/office/officeart/2005/8/layout/hierarchy3"/>
    <dgm:cxn modelId="{DCC3EAF8-D23A-43BE-8C4D-BC3242823C97}" type="presParOf" srcId="{88C1E2D2-B866-4A4C-B9DB-552C3215D2D7}" destId="{3B73EFB7-00E2-43A5-BF3A-CD74153CACE7}" srcOrd="0" destOrd="0" presId="urn:microsoft.com/office/officeart/2005/8/layout/hierarchy3"/>
    <dgm:cxn modelId="{4FABC105-B943-4D65-A271-ACCD172B1962}" type="presParOf" srcId="{3B73EFB7-00E2-43A5-BF3A-CD74153CACE7}" destId="{0DD2D3B9-EB64-4C0D-B024-12A309213A06}" srcOrd="0" destOrd="0" presId="urn:microsoft.com/office/officeart/2005/8/layout/hierarchy3"/>
    <dgm:cxn modelId="{52883D7E-3F58-4B13-9AEF-78DAFCCD753C}" type="presParOf" srcId="{3B73EFB7-00E2-43A5-BF3A-CD74153CACE7}" destId="{B8BDF0A5-46F9-4D4C-ACDD-B949CFC7E24F}" srcOrd="1" destOrd="0" presId="urn:microsoft.com/office/officeart/2005/8/layout/hierarchy3"/>
    <dgm:cxn modelId="{0D8A5ED0-764F-4515-9106-42DA61A0166D}" type="presParOf" srcId="{88C1E2D2-B866-4A4C-B9DB-552C3215D2D7}" destId="{58BE8F3D-7F51-41E5-B7A9-95C58074195F}" srcOrd="1" destOrd="0" presId="urn:microsoft.com/office/officeart/2005/8/layout/hierarchy3"/>
    <dgm:cxn modelId="{B5FB110D-512A-47FA-934E-69A14DBECCD0}" type="presParOf" srcId="{58BE8F3D-7F51-41E5-B7A9-95C58074195F}" destId="{FB7550BC-4608-4830-B5DC-C4799CF9A5B6}" srcOrd="0" destOrd="0" presId="urn:microsoft.com/office/officeart/2005/8/layout/hierarchy3"/>
    <dgm:cxn modelId="{467B0770-A722-4ED1-A081-E0C1C41F795E}" type="presParOf" srcId="{58BE8F3D-7F51-41E5-B7A9-95C58074195F}" destId="{403B6D41-8D24-48F8-9C07-B4B670F75EF2}" srcOrd="1" destOrd="0" presId="urn:microsoft.com/office/officeart/2005/8/layout/hierarchy3"/>
    <dgm:cxn modelId="{4C73B1F5-45F9-4637-A14E-F6F0F425226E}" type="presParOf" srcId="{58BE8F3D-7F51-41E5-B7A9-95C58074195F}" destId="{B8B63CE8-635B-4207-AD7A-ADA213721197}" srcOrd="2" destOrd="0" presId="urn:microsoft.com/office/officeart/2005/8/layout/hierarchy3"/>
    <dgm:cxn modelId="{8BC72940-2E3C-41C8-BAD7-38ACF227A29F}" type="presParOf" srcId="{58BE8F3D-7F51-41E5-B7A9-95C58074195F}" destId="{51C784BF-3220-434C-BEBA-1DC51115886A}" srcOrd="3" destOrd="0" presId="urn:microsoft.com/office/officeart/2005/8/layout/hierarchy3"/>
    <dgm:cxn modelId="{69E83F28-2B80-49C3-8F87-40E6CA16BB2E}" type="presParOf" srcId="{58BE8F3D-7F51-41E5-B7A9-95C58074195F}" destId="{15DF2844-F8C3-4CBB-B181-173D56A8BD5E}" srcOrd="4" destOrd="0" presId="urn:microsoft.com/office/officeart/2005/8/layout/hierarchy3"/>
    <dgm:cxn modelId="{69F0D712-CCB8-4C89-A61E-C081EB14FA69}" type="presParOf" srcId="{58BE8F3D-7F51-41E5-B7A9-95C58074195F}" destId="{BDF6A1A8-3B79-4DC1-A1EA-AC33D15DE9D2}" srcOrd="5" destOrd="0" presId="urn:microsoft.com/office/officeart/2005/8/layout/hierarchy3"/>
    <dgm:cxn modelId="{B87EE549-F084-4A8A-81E8-2A332225F11C}" type="presParOf" srcId="{AC4CBE5F-F9D3-4A61-992F-7454A56B61E3}" destId="{6D9D209E-BE23-476E-A463-B52C5B5BFA8D}" srcOrd="1" destOrd="0" presId="urn:microsoft.com/office/officeart/2005/8/layout/hierarchy3"/>
    <dgm:cxn modelId="{73E6FF88-2272-46CB-A233-60733F4E1A9F}" type="presParOf" srcId="{6D9D209E-BE23-476E-A463-B52C5B5BFA8D}" destId="{AB1BDBCA-8BE0-4069-8993-8442FCC023B2}" srcOrd="0" destOrd="0" presId="urn:microsoft.com/office/officeart/2005/8/layout/hierarchy3"/>
    <dgm:cxn modelId="{DA71E990-9D6A-4711-B5B5-35E72C3BDA19}" type="presParOf" srcId="{AB1BDBCA-8BE0-4069-8993-8442FCC023B2}" destId="{ADDEB851-053B-4B9D-B9AF-F841C1432C93}" srcOrd="0" destOrd="0" presId="urn:microsoft.com/office/officeart/2005/8/layout/hierarchy3"/>
    <dgm:cxn modelId="{26E24F64-F3C0-4A58-894E-9D425C7F8D94}" type="presParOf" srcId="{AB1BDBCA-8BE0-4069-8993-8442FCC023B2}" destId="{DE14C841-AF2B-441D-8196-BB18D7E9CFC9}" srcOrd="1" destOrd="0" presId="urn:microsoft.com/office/officeart/2005/8/layout/hierarchy3"/>
    <dgm:cxn modelId="{96E2FEC7-99C4-4ADF-86C6-FEE371E71B6A}" type="presParOf" srcId="{6D9D209E-BE23-476E-A463-B52C5B5BFA8D}" destId="{1FA9DB04-A33A-4EEA-A8C8-4745E879917F}" srcOrd="1" destOrd="0" presId="urn:microsoft.com/office/officeart/2005/8/layout/hierarchy3"/>
    <dgm:cxn modelId="{F51CC73A-A797-4882-9C22-CBF24E5FA8CB}" type="presParOf" srcId="{1FA9DB04-A33A-4EEA-A8C8-4745E879917F}" destId="{84928C5E-298A-4370-89A5-23294E74E263}" srcOrd="0" destOrd="0" presId="urn:microsoft.com/office/officeart/2005/8/layout/hierarchy3"/>
    <dgm:cxn modelId="{561FD6B6-2BC1-41BF-93DA-6A64FDC1BEE4}" type="presParOf" srcId="{1FA9DB04-A33A-4EEA-A8C8-4745E879917F}" destId="{7833D543-0771-460D-80A5-3DC3D6626B10}" srcOrd="1" destOrd="0" presId="urn:microsoft.com/office/officeart/2005/8/layout/hierarchy3"/>
    <dgm:cxn modelId="{72FE30A3-3BAD-4FE1-A4EA-EE8967B56C16}" type="presParOf" srcId="{1FA9DB04-A33A-4EEA-A8C8-4745E879917F}" destId="{AA0C6EBD-9925-4101-B799-79FBA903A007}" srcOrd="2" destOrd="0" presId="urn:microsoft.com/office/officeart/2005/8/layout/hierarchy3"/>
    <dgm:cxn modelId="{9AC6824B-7014-459D-9EFC-72BA7629C39D}" type="presParOf" srcId="{1FA9DB04-A33A-4EEA-A8C8-4745E879917F}" destId="{B77EB640-A0C9-4EEF-A89D-4D58F739FA0B}" srcOrd="3" destOrd="0" presId="urn:microsoft.com/office/officeart/2005/8/layout/hierarchy3"/>
    <dgm:cxn modelId="{39A95EAD-E390-43D2-A823-5C044656F014}" type="presParOf" srcId="{1FA9DB04-A33A-4EEA-A8C8-4745E879917F}" destId="{111946EB-28F6-4CB0-A107-06FEAAFFDE78}" srcOrd="4" destOrd="0" presId="urn:microsoft.com/office/officeart/2005/8/layout/hierarchy3"/>
    <dgm:cxn modelId="{C8A70FDC-C467-4952-A409-D53503BBF3A9}" type="presParOf" srcId="{1FA9DB04-A33A-4EEA-A8C8-4745E879917F}" destId="{2ABF0EB3-629E-4C4B-97AA-06FB00CAC570}" srcOrd="5" destOrd="0" presId="urn:microsoft.com/office/officeart/2005/8/layout/hierarchy3"/>
    <dgm:cxn modelId="{F9DAE0F3-146F-40AD-BF1E-DDADA1672E6A}" type="presParOf" srcId="{AC4CBE5F-F9D3-4A61-992F-7454A56B61E3}" destId="{E8019458-1688-4CC1-9A1D-3A21717CC387}" srcOrd="2" destOrd="0" presId="urn:microsoft.com/office/officeart/2005/8/layout/hierarchy3"/>
    <dgm:cxn modelId="{3E8FAA2D-BB23-4961-A573-ABD103C11AEE}" type="presParOf" srcId="{E8019458-1688-4CC1-9A1D-3A21717CC387}" destId="{08BB1B2E-BC4C-49C2-A47B-E37CF6FC0F36}" srcOrd="0" destOrd="0" presId="urn:microsoft.com/office/officeart/2005/8/layout/hierarchy3"/>
    <dgm:cxn modelId="{E76E6905-D505-42E7-BF8D-91090F41A9FF}" type="presParOf" srcId="{08BB1B2E-BC4C-49C2-A47B-E37CF6FC0F36}" destId="{D9CA1BEE-E571-404C-BF2B-8E27C35C2E36}" srcOrd="0" destOrd="0" presId="urn:microsoft.com/office/officeart/2005/8/layout/hierarchy3"/>
    <dgm:cxn modelId="{6B836E83-8C45-4E7F-8FCD-2ECDEE95294D}" type="presParOf" srcId="{08BB1B2E-BC4C-49C2-A47B-E37CF6FC0F36}" destId="{5A9A6262-E3F7-4595-9189-E5D20A123979}" srcOrd="1" destOrd="0" presId="urn:microsoft.com/office/officeart/2005/8/layout/hierarchy3"/>
    <dgm:cxn modelId="{A6BE937E-8EEF-4F21-B5F6-FA7F6CCA198E}" type="presParOf" srcId="{E8019458-1688-4CC1-9A1D-3A21717CC387}" destId="{0FB59BBA-B8C2-4E7A-B54E-29C78AC199DD}" srcOrd="1" destOrd="0" presId="urn:microsoft.com/office/officeart/2005/8/layout/hierarchy3"/>
    <dgm:cxn modelId="{E1B4C508-FDAF-4EB8-B18A-55316F966296}" type="presParOf" srcId="{0FB59BBA-B8C2-4E7A-B54E-29C78AC199DD}" destId="{C5A414B0-1B82-437A-A229-D818A2966C14}" srcOrd="0" destOrd="0" presId="urn:microsoft.com/office/officeart/2005/8/layout/hierarchy3"/>
    <dgm:cxn modelId="{FF369853-1B3C-4BAD-9571-65679C24FF7F}" type="presParOf" srcId="{0FB59BBA-B8C2-4E7A-B54E-29C78AC199DD}" destId="{8D00B222-4998-41C9-83F5-1A7A1827B00D}" srcOrd="1" destOrd="0" presId="urn:microsoft.com/office/officeart/2005/8/layout/hierarchy3"/>
    <dgm:cxn modelId="{DD7693E4-994D-4426-B041-03BD722169BF}" type="presParOf" srcId="{0FB59BBA-B8C2-4E7A-B54E-29C78AC199DD}" destId="{6ED7F6F0-AD98-4E35-AFEB-34D4FE1FE808}" srcOrd="2" destOrd="0" presId="urn:microsoft.com/office/officeart/2005/8/layout/hierarchy3"/>
    <dgm:cxn modelId="{C0CCEC11-804A-4ED7-9C3C-8F04DEAF70E9}" type="presParOf" srcId="{0FB59BBA-B8C2-4E7A-B54E-29C78AC199DD}" destId="{C6C48D8C-1A54-49E2-8798-FA3FC7093B3F}" srcOrd="3" destOrd="0" presId="urn:microsoft.com/office/officeart/2005/8/layout/hierarchy3"/>
    <dgm:cxn modelId="{E44150C0-9EFE-48F1-A5DD-8DEF6C018092}" type="presParOf" srcId="{0FB59BBA-B8C2-4E7A-B54E-29C78AC199DD}" destId="{4A43B668-3CD2-42AD-BC8D-C373AC12A72A}" srcOrd="4" destOrd="0" presId="urn:microsoft.com/office/officeart/2005/8/layout/hierarchy3"/>
    <dgm:cxn modelId="{0AD5176B-04B2-4254-A89E-767E722FDBB7}" type="presParOf" srcId="{0FB59BBA-B8C2-4E7A-B54E-29C78AC199DD}" destId="{C043A344-DC7B-422C-B575-EDE58733C37F}" srcOrd="5" destOrd="0" presId="urn:microsoft.com/office/officeart/2005/8/layout/hierarchy3"/>
    <dgm:cxn modelId="{9F48D1FB-4117-4D68-AFA4-4888CC4575D3}" type="presParOf" srcId="{0FB59BBA-B8C2-4E7A-B54E-29C78AC199DD}" destId="{5D18DAE8-BA9F-4919-AC5C-1E3A17ECA0ED}" srcOrd="6" destOrd="0" presId="urn:microsoft.com/office/officeart/2005/8/layout/hierarchy3"/>
    <dgm:cxn modelId="{96B85FA4-12E5-4DE8-9A13-36768517F1D2}" type="presParOf" srcId="{0FB59BBA-B8C2-4E7A-B54E-29C78AC199DD}" destId="{60612B04-2BC9-43DD-922D-DC880C1A0F27}" srcOrd="7" destOrd="0" presId="urn:microsoft.com/office/officeart/2005/8/layout/hierarchy3"/>
    <dgm:cxn modelId="{BCD64CCA-7895-4AB5-9085-1D24413BDD8A}" type="presParOf" srcId="{0FB59BBA-B8C2-4E7A-B54E-29C78AC199DD}" destId="{92CCC520-CB6F-4E8C-905D-31B79815C944}" srcOrd="8" destOrd="0" presId="urn:microsoft.com/office/officeart/2005/8/layout/hierarchy3"/>
    <dgm:cxn modelId="{591ECB92-83A8-4C7B-A3FD-4751C7EAA151}" type="presParOf" srcId="{0FB59BBA-B8C2-4E7A-B54E-29C78AC199DD}" destId="{353EE3BC-73C0-456E-B965-5CFF6296834E}" srcOrd="9" destOrd="0" presId="urn:microsoft.com/office/officeart/2005/8/layout/hierarchy3"/>
    <dgm:cxn modelId="{6BD3EC5F-F864-47AE-9A62-D933EC5000DE}" type="presParOf" srcId="{AC4CBE5F-F9D3-4A61-992F-7454A56B61E3}" destId="{65DBA773-6123-4224-BED4-0A9B1520BB19}" srcOrd="3" destOrd="0" presId="urn:microsoft.com/office/officeart/2005/8/layout/hierarchy3"/>
    <dgm:cxn modelId="{9E2269F6-FE80-4B9D-852E-4F4029368EBC}" type="presParOf" srcId="{65DBA773-6123-4224-BED4-0A9B1520BB19}" destId="{BF552018-46AC-4DAD-80EC-1732FDE1A548}" srcOrd="0" destOrd="0" presId="urn:microsoft.com/office/officeart/2005/8/layout/hierarchy3"/>
    <dgm:cxn modelId="{E0F2822B-5E24-4F5D-A264-3EE1B5DF042E}" type="presParOf" srcId="{BF552018-46AC-4DAD-80EC-1732FDE1A548}" destId="{906B27E3-11D4-40C2-A45F-BD8D020565DA}" srcOrd="0" destOrd="0" presId="urn:microsoft.com/office/officeart/2005/8/layout/hierarchy3"/>
    <dgm:cxn modelId="{AFE50823-ED73-4AC0-960D-A69661A43340}" type="presParOf" srcId="{BF552018-46AC-4DAD-80EC-1732FDE1A548}" destId="{C7A984A7-249C-4C6C-8FC3-66403A47E5CE}" srcOrd="1" destOrd="0" presId="urn:microsoft.com/office/officeart/2005/8/layout/hierarchy3"/>
    <dgm:cxn modelId="{4C787640-89A8-4DDE-B901-A19D0AE2DFD4}" type="presParOf" srcId="{65DBA773-6123-4224-BED4-0A9B1520BB19}" destId="{EAA77AE9-9A41-4F96-A0AD-5F03388D986F}" srcOrd="1" destOrd="0" presId="urn:microsoft.com/office/officeart/2005/8/layout/hierarchy3"/>
    <dgm:cxn modelId="{E8E9EDCE-E264-4ECC-85B2-0140F0D25EF6}" type="presParOf" srcId="{EAA77AE9-9A41-4F96-A0AD-5F03388D986F}" destId="{F41D76A6-0481-4AF6-8F6A-42F6CE9A5C7F}" srcOrd="0" destOrd="0" presId="urn:microsoft.com/office/officeart/2005/8/layout/hierarchy3"/>
    <dgm:cxn modelId="{DF692ED1-3F3B-43E9-AFF5-FDED10818DDE}" type="presParOf" srcId="{EAA77AE9-9A41-4F96-A0AD-5F03388D986F}" destId="{2E805AC8-F7EC-4B8C-865C-E00C8770ECB6}" srcOrd="1" destOrd="0" presId="urn:microsoft.com/office/officeart/2005/8/layout/hierarchy3"/>
    <dgm:cxn modelId="{4AEA0110-529D-473D-9750-7F9ACD1ACE90}" type="presParOf" srcId="{EAA77AE9-9A41-4F96-A0AD-5F03388D986F}" destId="{48A286F2-BC75-4914-B51B-DDB08FB72CB6}" srcOrd="2" destOrd="0" presId="urn:microsoft.com/office/officeart/2005/8/layout/hierarchy3"/>
    <dgm:cxn modelId="{298F18E0-025F-435A-B5C2-540FC7EB94D9}" type="presParOf" srcId="{EAA77AE9-9A41-4F96-A0AD-5F03388D986F}" destId="{497542AA-FB37-46C3-98BA-CDCA2E4D7841}" srcOrd="3" destOrd="0" presId="urn:microsoft.com/office/officeart/2005/8/layout/hierarchy3"/>
    <dgm:cxn modelId="{185DF6BF-EB2C-46B7-B831-1C84F7A9BA22}" type="presParOf" srcId="{EAA77AE9-9A41-4F96-A0AD-5F03388D986F}" destId="{0AB01DEB-B48D-4AB7-ACF6-C7FA02D55D03}" srcOrd="4" destOrd="0" presId="urn:microsoft.com/office/officeart/2005/8/layout/hierarchy3"/>
    <dgm:cxn modelId="{0B1BF5F3-92CC-4F84-B5B6-4D77BF0663C7}" type="presParOf" srcId="{EAA77AE9-9A41-4F96-A0AD-5F03388D986F}" destId="{44159DDB-C892-429A-8C04-8C960DB1C764}" srcOrd="5" destOrd="0" presId="urn:microsoft.com/office/officeart/2005/8/layout/hierarchy3"/>
    <dgm:cxn modelId="{713E754E-069C-43AB-942C-5932ECAA8947}" type="presParOf" srcId="{EAA77AE9-9A41-4F96-A0AD-5F03388D986F}" destId="{D99B06F4-2561-4778-82A9-14D3BB45D146}" srcOrd="6" destOrd="0" presId="urn:microsoft.com/office/officeart/2005/8/layout/hierarchy3"/>
    <dgm:cxn modelId="{75363528-6A5B-4A73-A672-92FE900DE6BB}" type="presParOf" srcId="{EAA77AE9-9A41-4F96-A0AD-5F03388D986F}" destId="{367A9407-2EB0-498D-9A7A-A425FFB71E93}" srcOrd="7" destOrd="0" presId="urn:microsoft.com/office/officeart/2005/8/layout/hierarchy3"/>
    <dgm:cxn modelId="{DA89C901-631A-423F-BF6D-E84FB22F9AFD}" type="presParOf" srcId="{EAA77AE9-9A41-4F96-A0AD-5F03388D986F}" destId="{4A7C1B08-5D44-4F49-AE3C-0434FB76F88B}" srcOrd="8" destOrd="0" presId="urn:microsoft.com/office/officeart/2005/8/layout/hierarchy3"/>
    <dgm:cxn modelId="{6889A618-3DA3-49A9-94AD-0FE79EBFDB64}" type="presParOf" srcId="{EAA77AE9-9A41-4F96-A0AD-5F03388D986F}" destId="{88436270-FC45-49B7-B6D2-0D4C6A7FEC69}" srcOrd="9" destOrd="0" presId="urn:microsoft.com/office/officeart/2005/8/layout/hierarchy3"/>
  </dgm:cxnLst>
  <dgm:bg/>
  <dgm:whole/>
  <dgm:extLst>
    <a:ext uri="http://schemas.microsoft.com/office/drawing/2008/diagram">
      <dsp:dataModelExt xmlns:dsp="http://schemas.microsoft.com/office/drawing/2008/diagram" relId="rId6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7F610B5-6E7B-4CE0-BFA3-6D3559743CB9}">
      <dsp:nvSpPr>
        <dsp:cNvPr id="0" name=""/>
        <dsp:cNvSpPr/>
      </dsp:nvSpPr>
      <dsp:spPr>
        <a:xfrm>
          <a:off x="104778" y="108"/>
          <a:ext cx="1127019" cy="484944"/>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2700" rIns="19050" bIns="12700" numCol="1" spcCol="1270" anchor="ctr" anchorCtr="0">
          <a:noAutofit/>
        </a:bodyPr>
        <a:lstStyle/>
        <a:p>
          <a:pPr lvl="0" algn="ctr" defTabSz="444500">
            <a:lnSpc>
              <a:spcPct val="90000"/>
            </a:lnSpc>
            <a:spcBef>
              <a:spcPct val="0"/>
            </a:spcBef>
            <a:spcAft>
              <a:spcPct val="35000"/>
            </a:spcAft>
          </a:pPr>
          <a:r>
            <a:rPr lang="es-CL" sz="1000" b="0" kern="1200" dirty="0" smtClean="0">
              <a:effectLst/>
              <a:latin typeface="Arial" panose="020B0604020202020204" pitchFamily="34" charset="0"/>
              <a:cs typeface="Arial" panose="020B0604020202020204" pitchFamily="34" charset="0"/>
            </a:rPr>
            <a:t>Territorialidad</a:t>
          </a:r>
          <a:endParaRPr lang="es-CL" sz="1000" b="0" kern="1200">
            <a:latin typeface="Arial" panose="020B0604020202020204" pitchFamily="34" charset="0"/>
            <a:cs typeface="Arial" panose="020B0604020202020204" pitchFamily="34" charset="0"/>
          </a:endParaRPr>
        </a:p>
      </dsp:txBody>
      <dsp:txXfrm>
        <a:off x="118982" y="14312"/>
        <a:ext cx="1098611" cy="456536"/>
      </dsp:txXfrm>
    </dsp:sp>
    <dsp:sp modelId="{4804CD9B-C66A-4C49-B533-184D65F618FC}">
      <dsp:nvSpPr>
        <dsp:cNvPr id="0" name=""/>
        <dsp:cNvSpPr/>
      </dsp:nvSpPr>
      <dsp:spPr>
        <a:xfrm>
          <a:off x="217479" y="485053"/>
          <a:ext cx="112701" cy="367196"/>
        </a:xfrm>
        <a:custGeom>
          <a:avLst/>
          <a:gdLst/>
          <a:ahLst/>
          <a:cxnLst/>
          <a:rect l="0" t="0" r="0" b="0"/>
          <a:pathLst>
            <a:path>
              <a:moveTo>
                <a:pt x="0" y="0"/>
              </a:moveTo>
              <a:lnTo>
                <a:pt x="0" y="367196"/>
              </a:lnTo>
              <a:lnTo>
                <a:pt x="112701" y="367196"/>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9A7CA22-0ECD-43EF-871B-CE03ADF5D7EB}">
      <dsp:nvSpPr>
        <dsp:cNvPr id="0" name=""/>
        <dsp:cNvSpPr/>
      </dsp:nvSpPr>
      <dsp:spPr>
        <a:xfrm>
          <a:off x="330181" y="607451"/>
          <a:ext cx="913796" cy="48959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7145" tIns="11430" rIns="17145" bIns="11430" numCol="1" spcCol="1270" anchor="ctr" anchorCtr="0">
          <a:noAutofit/>
        </a:bodyPr>
        <a:lstStyle/>
        <a:p>
          <a:pPr lvl="0" algn="ctr" defTabSz="400050">
            <a:lnSpc>
              <a:spcPct val="90000"/>
            </a:lnSpc>
            <a:spcBef>
              <a:spcPct val="0"/>
            </a:spcBef>
            <a:spcAft>
              <a:spcPct val="35000"/>
            </a:spcAft>
          </a:pPr>
          <a:r>
            <a:rPr lang="es-CL" sz="900" kern="1200" dirty="0" smtClean="0">
              <a:latin typeface="Arial" panose="020B0604020202020204" pitchFamily="34" charset="0"/>
              <a:cs typeface="Arial" panose="020B0604020202020204" pitchFamily="34" charset="0"/>
            </a:rPr>
            <a:t>Agricultura subsistencia </a:t>
          </a:r>
          <a:endParaRPr lang="es-CL" sz="900" kern="1200" dirty="0">
            <a:latin typeface="Arial" panose="020B0604020202020204" pitchFamily="34" charset="0"/>
            <a:cs typeface="Arial" panose="020B0604020202020204" pitchFamily="34" charset="0"/>
          </a:endParaRPr>
        </a:p>
      </dsp:txBody>
      <dsp:txXfrm>
        <a:off x="344521" y="621791"/>
        <a:ext cx="885116" cy="460915"/>
      </dsp:txXfrm>
    </dsp:sp>
    <dsp:sp modelId="{4848F6ED-DCF9-4E6E-A41E-28B480736C4E}">
      <dsp:nvSpPr>
        <dsp:cNvPr id="0" name=""/>
        <dsp:cNvSpPr/>
      </dsp:nvSpPr>
      <dsp:spPr>
        <a:xfrm>
          <a:off x="217479" y="485053"/>
          <a:ext cx="112701" cy="979190"/>
        </a:xfrm>
        <a:custGeom>
          <a:avLst/>
          <a:gdLst/>
          <a:ahLst/>
          <a:cxnLst/>
          <a:rect l="0" t="0" r="0" b="0"/>
          <a:pathLst>
            <a:path>
              <a:moveTo>
                <a:pt x="0" y="0"/>
              </a:moveTo>
              <a:lnTo>
                <a:pt x="0" y="979190"/>
              </a:lnTo>
              <a:lnTo>
                <a:pt x="112701" y="979190"/>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8DD4A25-747F-4440-B57C-FEBE3517B713}">
      <dsp:nvSpPr>
        <dsp:cNvPr id="0" name=""/>
        <dsp:cNvSpPr/>
      </dsp:nvSpPr>
      <dsp:spPr>
        <a:xfrm>
          <a:off x="330181" y="1219446"/>
          <a:ext cx="913796" cy="48959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7145" tIns="11430" rIns="17145" bIns="11430" numCol="1" spcCol="1270" anchor="ctr" anchorCtr="0">
          <a:noAutofit/>
        </a:bodyPr>
        <a:lstStyle/>
        <a:p>
          <a:pPr lvl="0" algn="ctr" defTabSz="400050">
            <a:lnSpc>
              <a:spcPct val="90000"/>
            </a:lnSpc>
            <a:spcBef>
              <a:spcPct val="0"/>
            </a:spcBef>
            <a:spcAft>
              <a:spcPct val="35000"/>
            </a:spcAft>
          </a:pPr>
          <a:r>
            <a:rPr lang="es-CL" sz="900" kern="1200" dirty="0" smtClean="0">
              <a:latin typeface="Arial" panose="020B0604020202020204" pitchFamily="34" charset="0"/>
              <a:cs typeface="Arial" panose="020B0604020202020204" pitchFamily="34" charset="0"/>
            </a:rPr>
            <a:t>Ganadería de trashumancia</a:t>
          </a:r>
          <a:endParaRPr lang="es-CL" sz="900" kern="1200" dirty="0">
            <a:latin typeface="Arial" panose="020B0604020202020204" pitchFamily="34" charset="0"/>
            <a:cs typeface="Arial" panose="020B0604020202020204" pitchFamily="34" charset="0"/>
          </a:endParaRPr>
        </a:p>
      </dsp:txBody>
      <dsp:txXfrm>
        <a:off x="344521" y="1233786"/>
        <a:ext cx="885116" cy="460915"/>
      </dsp:txXfrm>
    </dsp:sp>
    <dsp:sp modelId="{976E7D08-DD5E-44C2-97DB-5507B1F9379E}">
      <dsp:nvSpPr>
        <dsp:cNvPr id="0" name=""/>
        <dsp:cNvSpPr/>
      </dsp:nvSpPr>
      <dsp:spPr>
        <a:xfrm>
          <a:off x="217479" y="485053"/>
          <a:ext cx="112701" cy="1591184"/>
        </a:xfrm>
        <a:custGeom>
          <a:avLst/>
          <a:gdLst/>
          <a:ahLst/>
          <a:cxnLst/>
          <a:rect l="0" t="0" r="0" b="0"/>
          <a:pathLst>
            <a:path>
              <a:moveTo>
                <a:pt x="0" y="0"/>
              </a:moveTo>
              <a:lnTo>
                <a:pt x="0" y="1591184"/>
              </a:lnTo>
              <a:lnTo>
                <a:pt x="112701" y="1591184"/>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4DE11C9-DB1D-4A09-B125-34CA9B12B9CB}">
      <dsp:nvSpPr>
        <dsp:cNvPr id="0" name=""/>
        <dsp:cNvSpPr/>
      </dsp:nvSpPr>
      <dsp:spPr>
        <a:xfrm>
          <a:off x="330181" y="1831440"/>
          <a:ext cx="913796" cy="48959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7145" tIns="11430" rIns="17145" bIns="11430" numCol="1" spcCol="1270" anchor="ctr" anchorCtr="0">
          <a:noAutofit/>
        </a:bodyPr>
        <a:lstStyle/>
        <a:p>
          <a:pPr lvl="0" algn="ctr" defTabSz="400050">
            <a:lnSpc>
              <a:spcPct val="90000"/>
            </a:lnSpc>
            <a:spcBef>
              <a:spcPct val="0"/>
            </a:spcBef>
            <a:spcAft>
              <a:spcPct val="35000"/>
            </a:spcAft>
          </a:pPr>
          <a:r>
            <a:rPr lang="es-CL" sz="900" kern="1200" dirty="0" smtClean="0">
              <a:latin typeface="Arial" panose="020B0604020202020204" pitchFamily="34" charset="0"/>
              <a:cs typeface="Arial" panose="020B0604020202020204" pitchFamily="34" charset="0"/>
            </a:rPr>
            <a:t>Minería artesanal</a:t>
          </a:r>
          <a:endParaRPr lang="es-CL" sz="900" kern="1200" dirty="0">
            <a:latin typeface="Arial" panose="020B0604020202020204" pitchFamily="34" charset="0"/>
            <a:cs typeface="Arial" panose="020B0604020202020204" pitchFamily="34" charset="0"/>
          </a:endParaRPr>
        </a:p>
      </dsp:txBody>
      <dsp:txXfrm>
        <a:off x="344521" y="1845780"/>
        <a:ext cx="885116" cy="460915"/>
      </dsp:txXfrm>
    </dsp:sp>
    <dsp:sp modelId="{C7253AE3-C4A2-4788-B88A-007BE3ACC517}">
      <dsp:nvSpPr>
        <dsp:cNvPr id="0" name=""/>
        <dsp:cNvSpPr/>
      </dsp:nvSpPr>
      <dsp:spPr>
        <a:xfrm>
          <a:off x="1476594" y="108"/>
          <a:ext cx="1127019" cy="484944"/>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2700" rIns="19050" bIns="12700" numCol="1" spcCol="1270" anchor="ctr" anchorCtr="0">
          <a:noAutofit/>
        </a:bodyPr>
        <a:lstStyle/>
        <a:p>
          <a:pPr lvl="0" algn="ctr" defTabSz="444500">
            <a:lnSpc>
              <a:spcPct val="90000"/>
            </a:lnSpc>
            <a:spcBef>
              <a:spcPct val="0"/>
            </a:spcBef>
            <a:spcAft>
              <a:spcPct val="35000"/>
            </a:spcAft>
          </a:pPr>
          <a:r>
            <a:rPr lang="es-CL" sz="1000" b="0" kern="1200" dirty="0" smtClean="0">
              <a:effectLst/>
              <a:latin typeface="Arial" panose="020B0604020202020204" pitchFamily="34" charset="0"/>
              <a:cs typeface="Arial" panose="020B0604020202020204" pitchFamily="34" charset="0"/>
            </a:rPr>
            <a:t>Desarrollo Local</a:t>
          </a:r>
          <a:endParaRPr lang="es-CL" sz="1000" b="0" kern="1200" dirty="0">
            <a:effectLst/>
            <a:latin typeface="Arial" panose="020B0604020202020204" pitchFamily="34" charset="0"/>
            <a:cs typeface="Arial" panose="020B0604020202020204" pitchFamily="34" charset="0"/>
          </a:endParaRPr>
        </a:p>
      </dsp:txBody>
      <dsp:txXfrm>
        <a:off x="1490798" y="14312"/>
        <a:ext cx="1098611" cy="456536"/>
      </dsp:txXfrm>
    </dsp:sp>
    <dsp:sp modelId="{55F9F27A-E64A-41F5-8F1D-EDB1C96BFC1A}">
      <dsp:nvSpPr>
        <dsp:cNvPr id="0" name=""/>
        <dsp:cNvSpPr/>
      </dsp:nvSpPr>
      <dsp:spPr>
        <a:xfrm>
          <a:off x="1589296" y="485053"/>
          <a:ext cx="112701" cy="367196"/>
        </a:xfrm>
        <a:custGeom>
          <a:avLst/>
          <a:gdLst/>
          <a:ahLst/>
          <a:cxnLst/>
          <a:rect l="0" t="0" r="0" b="0"/>
          <a:pathLst>
            <a:path>
              <a:moveTo>
                <a:pt x="0" y="0"/>
              </a:moveTo>
              <a:lnTo>
                <a:pt x="0" y="367196"/>
              </a:lnTo>
              <a:lnTo>
                <a:pt x="112701" y="367196"/>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2D069CD-E671-4B22-B6B9-8C61B66611B6}">
      <dsp:nvSpPr>
        <dsp:cNvPr id="0" name=""/>
        <dsp:cNvSpPr/>
      </dsp:nvSpPr>
      <dsp:spPr>
        <a:xfrm>
          <a:off x="1701998" y="607451"/>
          <a:ext cx="913796" cy="48959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7145" tIns="11430" rIns="17145" bIns="11430" numCol="1" spcCol="1270" anchor="ctr" anchorCtr="0">
          <a:noAutofit/>
        </a:bodyPr>
        <a:lstStyle/>
        <a:p>
          <a:pPr lvl="0" algn="ctr" defTabSz="400050">
            <a:lnSpc>
              <a:spcPct val="90000"/>
            </a:lnSpc>
            <a:spcBef>
              <a:spcPct val="0"/>
            </a:spcBef>
            <a:spcAft>
              <a:spcPct val="35000"/>
            </a:spcAft>
          </a:pPr>
          <a:r>
            <a:rPr lang="es-CL" sz="900" kern="1200" dirty="0" smtClean="0">
              <a:latin typeface="Arial" panose="020B0604020202020204" pitchFamily="34" charset="0"/>
              <a:cs typeface="Arial" panose="020B0604020202020204" pitchFamily="34" charset="0"/>
            </a:rPr>
            <a:t>Política de Desarrollo ausente</a:t>
          </a:r>
          <a:endParaRPr lang="es-CL" sz="900" kern="1200" dirty="0">
            <a:latin typeface="Arial" panose="020B0604020202020204" pitchFamily="34" charset="0"/>
            <a:cs typeface="Arial" panose="020B0604020202020204" pitchFamily="34" charset="0"/>
          </a:endParaRPr>
        </a:p>
      </dsp:txBody>
      <dsp:txXfrm>
        <a:off x="1716338" y="621791"/>
        <a:ext cx="885116" cy="460915"/>
      </dsp:txXfrm>
    </dsp:sp>
    <dsp:sp modelId="{82FDB8BB-9DE2-4561-84AA-3C973ACA80F3}">
      <dsp:nvSpPr>
        <dsp:cNvPr id="0" name=""/>
        <dsp:cNvSpPr/>
      </dsp:nvSpPr>
      <dsp:spPr>
        <a:xfrm>
          <a:off x="1589296" y="485053"/>
          <a:ext cx="112701" cy="979190"/>
        </a:xfrm>
        <a:custGeom>
          <a:avLst/>
          <a:gdLst/>
          <a:ahLst/>
          <a:cxnLst/>
          <a:rect l="0" t="0" r="0" b="0"/>
          <a:pathLst>
            <a:path>
              <a:moveTo>
                <a:pt x="0" y="0"/>
              </a:moveTo>
              <a:lnTo>
                <a:pt x="0" y="979190"/>
              </a:lnTo>
              <a:lnTo>
                <a:pt x="112701" y="979190"/>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569C817-505E-42E5-9432-6575ED92AA00}">
      <dsp:nvSpPr>
        <dsp:cNvPr id="0" name=""/>
        <dsp:cNvSpPr/>
      </dsp:nvSpPr>
      <dsp:spPr>
        <a:xfrm>
          <a:off x="1701998" y="1219446"/>
          <a:ext cx="913796" cy="48959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7145" tIns="11430" rIns="17145" bIns="11430" numCol="1" spcCol="1270" anchor="ctr" anchorCtr="0">
          <a:noAutofit/>
        </a:bodyPr>
        <a:lstStyle/>
        <a:p>
          <a:pPr lvl="0" algn="ctr" defTabSz="400050">
            <a:lnSpc>
              <a:spcPct val="90000"/>
            </a:lnSpc>
            <a:spcBef>
              <a:spcPct val="0"/>
            </a:spcBef>
            <a:spcAft>
              <a:spcPct val="35000"/>
            </a:spcAft>
          </a:pPr>
          <a:r>
            <a:rPr lang="es-CL" sz="900" kern="1200" dirty="0" smtClean="0">
              <a:latin typeface="Arial" panose="020B0604020202020204" pitchFamily="34" charset="0"/>
              <a:cs typeface="Arial" panose="020B0604020202020204" pitchFamily="34" charset="0"/>
            </a:rPr>
            <a:t>Escasas oportunidades de empleo</a:t>
          </a:r>
          <a:endParaRPr lang="es-CL" sz="900" kern="1200" dirty="0">
            <a:latin typeface="Arial" panose="020B0604020202020204" pitchFamily="34" charset="0"/>
            <a:cs typeface="Arial" panose="020B0604020202020204" pitchFamily="34" charset="0"/>
          </a:endParaRPr>
        </a:p>
      </dsp:txBody>
      <dsp:txXfrm>
        <a:off x="1716338" y="1233786"/>
        <a:ext cx="885116" cy="460915"/>
      </dsp:txXfrm>
    </dsp:sp>
    <dsp:sp modelId="{ACC24262-21B9-48A2-9F4F-00B6A7D042F9}">
      <dsp:nvSpPr>
        <dsp:cNvPr id="0" name=""/>
        <dsp:cNvSpPr/>
      </dsp:nvSpPr>
      <dsp:spPr>
        <a:xfrm>
          <a:off x="1589296" y="485053"/>
          <a:ext cx="112701" cy="1591184"/>
        </a:xfrm>
        <a:custGeom>
          <a:avLst/>
          <a:gdLst/>
          <a:ahLst/>
          <a:cxnLst/>
          <a:rect l="0" t="0" r="0" b="0"/>
          <a:pathLst>
            <a:path>
              <a:moveTo>
                <a:pt x="0" y="0"/>
              </a:moveTo>
              <a:lnTo>
                <a:pt x="0" y="1591184"/>
              </a:lnTo>
              <a:lnTo>
                <a:pt x="112701" y="1591184"/>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51A883E-3D85-4E02-BD15-358802D93E39}">
      <dsp:nvSpPr>
        <dsp:cNvPr id="0" name=""/>
        <dsp:cNvSpPr/>
      </dsp:nvSpPr>
      <dsp:spPr>
        <a:xfrm>
          <a:off x="1701998" y="1831440"/>
          <a:ext cx="913796" cy="48959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7145" tIns="11430" rIns="17145" bIns="11430" numCol="1" spcCol="1270" anchor="ctr" anchorCtr="0">
          <a:noAutofit/>
        </a:bodyPr>
        <a:lstStyle/>
        <a:p>
          <a:pPr lvl="0" algn="ctr" defTabSz="400050">
            <a:lnSpc>
              <a:spcPct val="90000"/>
            </a:lnSpc>
            <a:spcBef>
              <a:spcPct val="0"/>
            </a:spcBef>
            <a:spcAft>
              <a:spcPct val="35000"/>
            </a:spcAft>
          </a:pPr>
          <a:r>
            <a:rPr lang="es-CL" sz="900" kern="1200" dirty="0" smtClean="0">
              <a:latin typeface="Arial" panose="020B0604020202020204" pitchFamily="34" charset="0"/>
              <a:cs typeface="Arial" panose="020B0604020202020204" pitchFamily="34" charset="0"/>
            </a:rPr>
            <a:t>Agricultura y ganadería de subsistencia</a:t>
          </a:r>
        </a:p>
      </dsp:txBody>
      <dsp:txXfrm>
        <a:off x="1716338" y="1845780"/>
        <a:ext cx="885116" cy="460915"/>
      </dsp:txXfrm>
    </dsp:sp>
    <dsp:sp modelId="{B70157B5-C7F7-4DF0-B800-1ED34F5EE1B7}">
      <dsp:nvSpPr>
        <dsp:cNvPr id="0" name=""/>
        <dsp:cNvSpPr/>
      </dsp:nvSpPr>
      <dsp:spPr>
        <a:xfrm>
          <a:off x="1589296" y="485053"/>
          <a:ext cx="112701" cy="2203179"/>
        </a:xfrm>
        <a:custGeom>
          <a:avLst/>
          <a:gdLst/>
          <a:ahLst/>
          <a:cxnLst/>
          <a:rect l="0" t="0" r="0" b="0"/>
          <a:pathLst>
            <a:path>
              <a:moveTo>
                <a:pt x="0" y="0"/>
              </a:moveTo>
              <a:lnTo>
                <a:pt x="0" y="2203179"/>
              </a:lnTo>
              <a:lnTo>
                <a:pt x="112701" y="2203179"/>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282D563-FA57-4D82-BE98-947FE39727B8}">
      <dsp:nvSpPr>
        <dsp:cNvPr id="0" name=""/>
        <dsp:cNvSpPr/>
      </dsp:nvSpPr>
      <dsp:spPr>
        <a:xfrm>
          <a:off x="1701998" y="2443434"/>
          <a:ext cx="913796" cy="48959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7145" tIns="11430" rIns="17145" bIns="11430" numCol="1" spcCol="1270" anchor="ctr" anchorCtr="0">
          <a:noAutofit/>
        </a:bodyPr>
        <a:lstStyle/>
        <a:p>
          <a:pPr lvl="0" algn="ctr" defTabSz="400050">
            <a:lnSpc>
              <a:spcPct val="90000"/>
            </a:lnSpc>
            <a:spcBef>
              <a:spcPct val="0"/>
            </a:spcBef>
            <a:spcAft>
              <a:spcPct val="35000"/>
            </a:spcAft>
          </a:pPr>
          <a:r>
            <a:rPr lang="es-CL" sz="900" kern="1200" dirty="0" smtClean="0">
              <a:latin typeface="Arial" panose="020B0604020202020204" pitchFamily="34" charset="0"/>
              <a:cs typeface="Arial" panose="020B0604020202020204" pitchFamily="34" charset="0"/>
            </a:rPr>
            <a:t>Expectativa proyectos mega minería</a:t>
          </a:r>
        </a:p>
      </dsp:txBody>
      <dsp:txXfrm>
        <a:off x="1716338" y="2457774"/>
        <a:ext cx="885116" cy="460915"/>
      </dsp:txXfrm>
    </dsp:sp>
    <dsp:sp modelId="{55BD9BC6-8460-4326-918F-BDA8C4584CEE}">
      <dsp:nvSpPr>
        <dsp:cNvPr id="0" name=""/>
        <dsp:cNvSpPr/>
      </dsp:nvSpPr>
      <dsp:spPr>
        <a:xfrm>
          <a:off x="1589296" y="485053"/>
          <a:ext cx="112701" cy="2815173"/>
        </a:xfrm>
        <a:custGeom>
          <a:avLst/>
          <a:gdLst/>
          <a:ahLst/>
          <a:cxnLst/>
          <a:rect l="0" t="0" r="0" b="0"/>
          <a:pathLst>
            <a:path>
              <a:moveTo>
                <a:pt x="0" y="0"/>
              </a:moveTo>
              <a:lnTo>
                <a:pt x="0" y="2815173"/>
              </a:lnTo>
              <a:lnTo>
                <a:pt x="112701" y="2815173"/>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44B5F9C-D801-4158-B05D-20E7DFBE9DEB}">
      <dsp:nvSpPr>
        <dsp:cNvPr id="0" name=""/>
        <dsp:cNvSpPr/>
      </dsp:nvSpPr>
      <dsp:spPr>
        <a:xfrm>
          <a:off x="1701998" y="3055428"/>
          <a:ext cx="913796" cy="48959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7145" tIns="11430" rIns="17145" bIns="11430" numCol="1" spcCol="1270" anchor="ctr" anchorCtr="0">
          <a:noAutofit/>
        </a:bodyPr>
        <a:lstStyle/>
        <a:p>
          <a:pPr lvl="0" algn="ctr" defTabSz="400050">
            <a:lnSpc>
              <a:spcPct val="90000"/>
            </a:lnSpc>
            <a:spcBef>
              <a:spcPct val="0"/>
            </a:spcBef>
            <a:spcAft>
              <a:spcPct val="35000"/>
            </a:spcAft>
          </a:pPr>
          <a:r>
            <a:rPr lang="es-CL" sz="900" kern="1200" dirty="0" smtClean="0">
              <a:latin typeface="Arial" panose="020B0604020202020204" pitchFamily="34" charset="0"/>
              <a:cs typeface="Arial" panose="020B0604020202020204" pitchFamily="34" charset="0"/>
            </a:rPr>
            <a:t>Pesca, turismo, Pymes</a:t>
          </a:r>
        </a:p>
      </dsp:txBody>
      <dsp:txXfrm>
        <a:off x="1716338" y="3069768"/>
        <a:ext cx="885116" cy="460915"/>
      </dsp:txXfrm>
    </dsp:sp>
    <dsp:sp modelId="{BE5A6EEA-82DD-4926-953D-9942D4A18E97}">
      <dsp:nvSpPr>
        <dsp:cNvPr id="0" name=""/>
        <dsp:cNvSpPr/>
      </dsp:nvSpPr>
      <dsp:spPr>
        <a:xfrm>
          <a:off x="2848411" y="108"/>
          <a:ext cx="1127019" cy="484944"/>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2700" rIns="19050" bIns="12700" numCol="1" spcCol="1270" anchor="ctr" anchorCtr="0">
          <a:noAutofit/>
        </a:bodyPr>
        <a:lstStyle/>
        <a:p>
          <a:pPr lvl="0" algn="ctr" defTabSz="444500">
            <a:lnSpc>
              <a:spcPct val="90000"/>
            </a:lnSpc>
            <a:spcBef>
              <a:spcPct val="0"/>
            </a:spcBef>
            <a:spcAft>
              <a:spcPct val="35000"/>
            </a:spcAft>
          </a:pPr>
          <a:r>
            <a:rPr lang="es-CL" sz="1000" b="0" kern="1200" dirty="0" smtClean="0">
              <a:effectLst/>
              <a:latin typeface="Arial" panose="020B0604020202020204" pitchFamily="34" charset="0"/>
              <a:cs typeface="Arial" panose="020B0604020202020204" pitchFamily="34" charset="0"/>
            </a:rPr>
            <a:t>Patrimonio e Identidad cultural</a:t>
          </a:r>
        </a:p>
      </dsp:txBody>
      <dsp:txXfrm>
        <a:off x="2862615" y="14312"/>
        <a:ext cx="1098611" cy="456536"/>
      </dsp:txXfrm>
    </dsp:sp>
    <dsp:sp modelId="{E43EC4A9-97AE-44B4-B042-08BA68E8B00D}">
      <dsp:nvSpPr>
        <dsp:cNvPr id="0" name=""/>
        <dsp:cNvSpPr/>
      </dsp:nvSpPr>
      <dsp:spPr>
        <a:xfrm>
          <a:off x="2961113" y="485053"/>
          <a:ext cx="112701" cy="367196"/>
        </a:xfrm>
        <a:custGeom>
          <a:avLst/>
          <a:gdLst/>
          <a:ahLst/>
          <a:cxnLst/>
          <a:rect l="0" t="0" r="0" b="0"/>
          <a:pathLst>
            <a:path>
              <a:moveTo>
                <a:pt x="0" y="0"/>
              </a:moveTo>
              <a:lnTo>
                <a:pt x="0" y="367196"/>
              </a:lnTo>
              <a:lnTo>
                <a:pt x="112701" y="367196"/>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A8B5269-3B75-4F11-A6EC-8BD98E5CA96F}">
      <dsp:nvSpPr>
        <dsp:cNvPr id="0" name=""/>
        <dsp:cNvSpPr/>
      </dsp:nvSpPr>
      <dsp:spPr>
        <a:xfrm>
          <a:off x="3073815" y="607451"/>
          <a:ext cx="913796" cy="48959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7145" tIns="11430" rIns="17145" bIns="11430" numCol="1" spcCol="1270" anchor="ctr" anchorCtr="0">
          <a:noAutofit/>
        </a:bodyPr>
        <a:lstStyle/>
        <a:p>
          <a:pPr lvl="0" algn="ctr" defTabSz="400050">
            <a:lnSpc>
              <a:spcPct val="90000"/>
            </a:lnSpc>
            <a:spcBef>
              <a:spcPct val="0"/>
            </a:spcBef>
            <a:spcAft>
              <a:spcPct val="35000"/>
            </a:spcAft>
          </a:pPr>
          <a:r>
            <a:rPr lang="es-CL" sz="900" kern="1200" dirty="0" smtClean="0">
              <a:latin typeface="Arial" panose="020B0604020202020204" pitchFamily="34" charset="0"/>
              <a:cs typeface="Arial" panose="020B0604020202020204" pitchFamily="34" charset="0"/>
            </a:rPr>
            <a:t>Preservación legado indígena</a:t>
          </a:r>
        </a:p>
      </dsp:txBody>
      <dsp:txXfrm>
        <a:off x="3088155" y="621791"/>
        <a:ext cx="885116" cy="460915"/>
      </dsp:txXfrm>
    </dsp:sp>
    <dsp:sp modelId="{E700ACC4-E8BC-4104-9ACD-D852E2C80276}">
      <dsp:nvSpPr>
        <dsp:cNvPr id="0" name=""/>
        <dsp:cNvSpPr/>
      </dsp:nvSpPr>
      <dsp:spPr>
        <a:xfrm>
          <a:off x="2961113" y="485053"/>
          <a:ext cx="112701" cy="963812"/>
        </a:xfrm>
        <a:custGeom>
          <a:avLst/>
          <a:gdLst/>
          <a:ahLst/>
          <a:cxnLst/>
          <a:rect l="0" t="0" r="0" b="0"/>
          <a:pathLst>
            <a:path>
              <a:moveTo>
                <a:pt x="0" y="0"/>
              </a:moveTo>
              <a:lnTo>
                <a:pt x="0" y="963812"/>
              </a:lnTo>
              <a:lnTo>
                <a:pt x="112701" y="963812"/>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4F62553-293A-4C62-87F8-48F48819004A}">
      <dsp:nvSpPr>
        <dsp:cNvPr id="0" name=""/>
        <dsp:cNvSpPr/>
      </dsp:nvSpPr>
      <dsp:spPr>
        <a:xfrm>
          <a:off x="3073815" y="1219446"/>
          <a:ext cx="913796" cy="458838"/>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7145" tIns="11430" rIns="17145" bIns="11430" numCol="1" spcCol="1270" anchor="ctr" anchorCtr="0">
          <a:noAutofit/>
        </a:bodyPr>
        <a:lstStyle/>
        <a:p>
          <a:pPr lvl="0" algn="ctr" defTabSz="400050">
            <a:lnSpc>
              <a:spcPct val="90000"/>
            </a:lnSpc>
            <a:spcBef>
              <a:spcPct val="0"/>
            </a:spcBef>
            <a:spcAft>
              <a:spcPct val="35000"/>
            </a:spcAft>
          </a:pPr>
          <a:r>
            <a:rPr lang="es-CL" sz="900" kern="1200" dirty="0" smtClean="0">
              <a:latin typeface="Arial" panose="020B0604020202020204" pitchFamily="34" charset="0"/>
              <a:cs typeface="Arial" panose="020B0604020202020204" pitchFamily="34" charset="0"/>
            </a:rPr>
            <a:t>Desprotección del valle</a:t>
          </a:r>
        </a:p>
      </dsp:txBody>
      <dsp:txXfrm>
        <a:off x="3087254" y="1232885"/>
        <a:ext cx="886918" cy="431960"/>
      </dsp:txXfrm>
    </dsp:sp>
    <dsp:sp modelId="{0ECACEC3-F8BA-4AFA-8BAE-84689D69CEB4}">
      <dsp:nvSpPr>
        <dsp:cNvPr id="0" name=""/>
        <dsp:cNvSpPr/>
      </dsp:nvSpPr>
      <dsp:spPr>
        <a:xfrm>
          <a:off x="4220228" y="108"/>
          <a:ext cx="979190" cy="484944"/>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2700" rIns="19050" bIns="12700" numCol="1" spcCol="1270" anchor="ctr" anchorCtr="0">
          <a:noAutofit/>
        </a:bodyPr>
        <a:lstStyle/>
        <a:p>
          <a:pPr lvl="0" algn="ctr" defTabSz="444500">
            <a:lnSpc>
              <a:spcPct val="90000"/>
            </a:lnSpc>
            <a:spcBef>
              <a:spcPct val="0"/>
            </a:spcBef>
            <a:spcAft>
              <a:spcPct val="35000"/>
            </a:spcAft>
          </a:pPr>
          <a:r>
            <a:rPr lang="es-CL" sz="1000" b="0" kern="1200" dirty="0" smtClean="0">
              <a:effectLst/>
              <a:latin typeface="Arial" panose="020B0604020202020204" pitchFamily="34" charset="0"/>
              <a:cs typeface="Arial" panose="020B0604020202020204" pitchFamily="34" charset="0"/>
            </a:rPr>
            <a:t>Servicios Públicos e infraestructura</a:t>
          </a:r>
          <a:endParaRPr lang="es-CL" sz="1000" b="0" kern="1200" dirty="0" smtClean="0">
            <a:latin typeface="Arial" panose="020B0604020202020204" pitchFamily="34" charset="0"/>
            <a:cs typeface="Arial" panose="020B0604020202020204" pitchFamily="34" charset="0"/>
          </a:endParaRPr>
        </a:p>
      </dsp:txBody>
      <dsp:txXfrm>
        <a:off x="4234432" y="14312"/>
        <a:ext cx="950782" cy="456536"/>
      </dsp:txXfrm>
    </dsp:sp>
    <dsp:sp modelId="{8D681FFF-3B52-48A3-A680-AFF9AA0F0A5C}">
      <dsp:nvSpPr>
        <dsp:cNvPr id="0" name=""/>
        <dsp:cNvSpPr/>
      </dsp:nvSpPr>
      <dsp:spPr>
        <a:xfrm>
          <a:off x="4318147" y="485053"/>
          <a:ext cx="97919" cy="367196"/>
        </a:xfrm>
        <a:custGeom>
          <a:avLst/>
          <a:gdLst/>
          <a:ahLst/>
          <a:cxnLst/>
          <a:rect l="0" t="0" r="0" b="0"/>
          <a:pathLst>
            <a:path>
              <a:moveTo>
                <a:pt x="0" y="0"/>
              </a:moveTo>
              <a:lnTo>
                <a:pt x="0" y="367196"/>
              </a:lnTo>
              <a:lnTo>
                <a:pt x="97919" y="367196"/>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13E95C8-CD38-445D-9D1B-919AF644965C}">
      <dsp:nvSpPr>
        <dsp:cNvPr id="0" name=""/>
        <dsp:cNvSpPr/>
      </dsp:nvSpPr>
      <dsp:spPr>
        <a:xfrm>
          <a:off x="4416066" y="607451"/>
          <a:ext cx="898912" cy="48959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7145" tIns="11430" rIns="17145" bIns="11430" numCol="1" spcCol="1270" anchor="ctr" anchorCtr="0">
          <a:noAutofit/>
        </a:bodyPr>
        <a:lstStyle/>
        <a:p>
          <a:pPr lvl="0" algn="ctr" defTabSz="400050">
            <a:lnSpc>
              <a:spcPct val="90000"/>
            </a:lnSpc>
            <a:spcBef>
              <a:spcPct val="0"/>
            </a:spcBef>
            <a:spcAft>
              <a:spcPct val="35000"/>
            </a:spcAft>
          </a:pPr>
          <a:r>
            <a:rPr lang="es-CL" sz="900" kern="1200" dirty="0" smtClean="0">
              <a:latin typeface="Arial" panose="020B0604020202020204" pitchFamily="34" charset="0"/>
              <a:cs typeface="Arial" panose="020B0604020202020204" pitchFamily="34" charset="0"/>
            </a:rPr>
            <a:t>Escaso progreso y cobertura</a:t>
          </a:r>
        </a:p>
      </dsp:txBody>
      <dsp:txXfrm>
        <a:off x="4430406" y="621791"/>
        <a:ext cx="870232" cy="460915"/>
      </dsp:txXfrm>
    </dsp:sp>
    <dsp:sp modelId="{97C218D3-C66B-4BEE-8977-EA8B8A03F8C3}">
      <dsp:nvSpPr>
        <dsp:cNvPr id="0" name=""/>
        <dsp:cNvSpPr/>
      </dsp:nvSpPr>
      <dsp:spPr>
        <a:xfrm>
          <a:off x="4318147" y="485053"/>
          <a:ext cx="97919" cy="979190"/>
        </a:xfrm>
        <a:custGeom>
          <a:avLst/>
          <a:gdLst/>
          <a:ahLst/>
          <a:cxnLst/>
          <a:rect l="0" t="0" r="0" b="0"/>
          <a:pathLst>
            <a:path>
              <a:moveTo>
                <a:pt x="0" y="0"/>
              </a:moveTo>
              <a:lnTo>
                <a:pt x="0" y="979190"/>
              </a:lnTo>
              <a:lnTo>
                <a:pt x="97919" y="979190"/>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2C45921-7A78-4559-8473-5C2AC6A727C5}">
      <dsp:nvSpPr>
        <dsp:cNvPr id="0" name=""/>
        <dsp:cNvSpPr/>
      </dsp:nvSpPr>
      <dsp:spPr>
        <a:xfrm>
          <a:off x="4416066" y="1219446"/>
          <a:ext cx="913796" cy="48959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7145" tIns="11430" rIns="17145" bIns="11430" numCol="1" spcCol="1270" anchor="ctr" anchorCtr="0">
          <a:noAutofit/>
        </a:bodyPr>
        <a:lstStyle/>
        <a:p>
          <a:pPr lvl="0" algn="ctr" defTabSz="400050">
            <a:lnSpc>
              <a:spcPct val="90000"/>
            </a:lnSpc>
            <a:spcBef>
              <a:spcPct val="0"/>
            </a:spcBef>
            <a:spcAft>
              <a:spcPct val="35000"/>
            </a:spcAft>
          </a:pPr>
          <a:r>
            <a:rPr lang="es-CL" sz="900" kern="1200" dirty="0" smtClean="0">
              <a:latin typeface="Arial" panose="020B0604020202020204" pitchFamily="34" charset="0"/>
              <a:cs typeface="Arial" panose="020B0604020202020204" pitchFamily="34" charset="0"/>
            </a:rPr>
            <a:t>Educación incompleta (abandono)</a:t>
          </a:r>
        </a:p>
      </dsp:txBody>
      <dsp:txXfrm>
        <a:off x="4430406" y="1233786"/>
        <a:ext cx="885116" cy="460915"/>
      </dsp:txXfrm>
    </dsp:sp>
    <dsp:sp modelId="{62709EED-1CE1-469A-8860-E0BCE60F8146}">
      <dsp:nvSpPr>
        <dsp:cNvPr id="0" name=""/>
        <dsp:cNvSpPr/>
      </dsp:nvSpPr>
      <dsp:spPr>
        <a:xfrm>
          <a:off x="4318147" y="485053"/>
          <a:ext cx="97919" cy="1591184"/>
        </a:xfrm>
        <a:custGeom>
          <a:avLst/>
          <a:gdLst/>
          <a:ahLst/>
          <a:cxnLst/>
          <a:rect l="0" t="0" r="0" b="0"/>
          <a:pathLst>
            <a:path>
              <a:moveTo>
                <a:pt x="0" y="0"/>
              </a:moveTo>
              <a:lnTo>
                <a:pt x="0" y="1591184"/>
              </a:lnTo>
              <a:lnTo>
                <a:pt x="97919" y="1591184"/>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BD4ED85-C1A7-4C7E-953B-6B68259E5C0A}">
      <dsp:nvSpPr>
        <dsp:cNvPr id="0" name=""/>
        <dsp:cNvSpPr/>
      </dsp:nvSpPr>
      <dsp:spPr>
        <a:xfrm>
          <a:off x="4416066" y="1831440"/>
          <a:ext cx="913796" cy="48959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7145" tIns="11430" rIns="17145" bIns="11430" numCol="1" spcCol="1270" anchor="ctr" anchorCtr="0">
          <a:noAutofit/>
        </a:bodyPr>
        <a:lstStyle/>
        <a:p>
          <a:pPr lvl="0" algn="ctr" defTabSz="400050">
            <a:lnSpc>
              <a:spcPct val="90000"/>
            </a:lnSpc>
            <a:spcBef>
              <a:spcPct val="0"/>
            </a:spcBef>
            <a:spcAft>
              <a:spcPct val="35000"/>
            </a:spcAft>
          </a:pPr>
          <a:r>
            <a:rPr lang="es-CL" sz="900" kern="1200" dirty="0" smtClean="0">
              <a:latin typeface="Arial" panose="020B0604020202020204" pitchFamily="34" charset="0"/>
              <a:cs typeface="Arial" panose="020B0604020202020204" pitchFamily="34" charset="0"/>
            </a:rPr>
            <a:t>Déficit atención salud</a:t>
          </a:r>
        </a:p>
      </dsp:txBody>
      <dsp:txXfrm>
        <a:off x="4430406" y="1845780"/>
        <a:ext cx="885116" cy="460915"/>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59723A6-F740-45D6-91FA-75E02A36C2BF}">
      <dsp:nvSpPr>
        <dsp:cNvPr id="0" name=""/>
        <dsp:cNvSpPr/>
      </dsp:nvSpPr>
      <dsp:spPr>
        <a:xfrm>
          <a:off x="322776" y="1268"/>
          <a:ext cx="1005674" cy="488813"/>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0955" tIns="13970" rIns="20955" bIns="13970" numCol="1" spcCol="1270" anchor="ctr" anchorCtr="0">
          <a:noAutofit/>
        </a:bodyPr>
        <a:lstStyle/>
        <a:p>
          <a:pPr lvl="0" algn="ctr" defTabSz="466725">
            <a:lnSpc>
              <a:spcPct val="90000"/>
            </a:lnSpc>
            <a:spcBef>
              <a:spcPct val="0"/>
            </a:spcBef>
            <a:spcAft>
              <a:spcPct val="35000"/>
            </a:spcAft>
          </a:pPr>
          <a:r>
            <a:rPr lang="es-CL" sz="1050" b="0" kern="1200" dirty="0" smtClean="0">
              <a:effectLst/>
              <a:latin typeface="Arial" panose="020B0604020202020204" pitchFamily="34" charset="0"/>
              <a:cs typeface="Arial" panose="020B0604020202020204" pitchFamily="34" charset="0"/>
            </a:rPr>
            <a:t>Agricultura y Ganadería</a:t>
          </a:r>
          <a:endParaRPr lang="es-CL" sz="1050" b="0" kern="1200">
            <a:latin typeface="Arial" panose="020B0604020202020204" pitchFamily="34" charset="0"/>
            <a:cs typeface="Arial" panose="020B0604020202020204" pitchFamily="34" charset="0"/>
          </a:endParaRPr>
        </a:p>
      </dsp:txBody>
      <dsp:txXfrm>
        <a:off x="337093" y="15585"/>
        <a:ext cx="977040" cy="460179"/>
      </dsp:txXfrm>
    </dsp:sp>
    <dsp:sp modelId="{E021E55A-D467-4BC5-AD5A-8E3747441BFD}">
      <dsp:nvSpPr>
        <dsp:cNvPr id="0" name=""/>
        <dsp:cNvSpPr/>
      </dsp:nvSpPr>
      <dsp:spPr>
        <a:xfrm>
          <a:off x="423343" y="490081"/>
          <a:ext cx="100567" cy="327660"/>
        </a:xfrm>
        <a:custGeom>
          <a:avLst/>
          <a:gdLst/>
          <a:ahLst/>
          <a:cxnLst/>
          <a:rect l="0" t="0" r="0" b="0"/>
          <a:pathLst>
            <a:path>
              <a:moveTo>
                <a:pt x="0" y="0"/>
              </a:moveTo>
              <a:lnTo>
                <a:pt x="0" y="327660"/>
              </a:lnTo>
              <a:lnTo>
                <a:pt x="100567" y="327660"/>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1D0EA5F-68D8-4369-8890-93F72C05A4AD}">
      <dsp:nvSpPr>
        <dsp:cNvPr id="0" name=""/>
        <dsp:cNvSpPr/>
      </dsp:nvSpPr>
      <dsp:spPr>
        <a:xfrm>
          <a:off x="523911" y="599302"/>
          <a:ext cx="983863" cy="436881"/>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dirty="0" smtClean="0">
              <a:latin typeface="Arial" panose="020B0604020202020204" pitchFamily="34" charset="0"/>
              <a:cs typeface="Arial" panose="020B0604020202020204" pitchFamily="34" charset="0"/>
            </a:rPr>
            <a:t>Condición geomorfológica del valle</a:t>
          </a:r>
        </a:p>
      </dsp:txBody>
      <dsp:txXfrm>
        <a:off x="536707" y="612098"/>
        <a:ext cx="958271" cy="411289"/>
      </dsp:txXfrm>
    </dsp:sp>
    <dsp:sp modelId="{25496A08-A84F-4B6D-8F8A-725DD113380B}">
      <dsp:nvSpPr>
        <dsp:cNvPr id="0" name=""/>
        <dsp:cNvSpPr/>
      </dsp:nvSpPr>
      <dsp:spPr>
        <a:xfrm>
          <a:off x="423343" y="490081"/>
          <a:ext cx="100567" cy="873762"/>
        </a:xfrm>
        <a:custGeom>
          <a:avLst/>
          <a:gdLst/>
          <a:ahLst/>
          <a:cxnLst/>
          <a:rect l="0" t="0" r="0" b="0"/>
          <a:pathLst>
            <a:path>
              <a:moveTo>
                <a:pt x="0" y="0"/>
              </a:moveTo>
              <a:lnTo>
                <a:pt x="0" y="873762"/>
              </a:lnTo>
              <a:lnTo>
                <a:pt x="100567" y="873762"/>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3F8638E-5BAD-4D72-9B5D-9D4B0629AA9F}">
      <dsp:nvSpPr>
        <dsp:cNvPr id="0" name=""/>
        <dsp:cNvSpPr/>
      </dsp:nvSpPr>
      <dsp:spPr>
        <a:xfrm>
          <a:off x="523911" y="1145403"/>
          <a:ext cx="967129" cy="436881"/>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dirty="0" smtClean="0">
              <a:latin typeface="Arial" panose="020B0604020202020204" pitchFamily="34" charset="0"/>
              <a:cs typeface="Arial" panose="020B0604020202020204" pitchFamily="34" charset="0"/>
            </a:rPr>
            <a:t>Agricultura y ganadería de subsistencia</a:t>
          </a:r>
        </a:p>
      </dsp:txBody>
      <dsp:txXfrm>
        <a:off x="536707" y="1158199"/>
        <a:ext cx="941537" cy="411289"/>
      </dsp:txXfrm>
    </dsp:sp>
    <dsp:sp modelId="{F13BD78C-BB44-4B2A-A47B-F889B407348D}">
      <dsp:nvSpPr>
        <dsp:cNvPr id="0" name=""/>
        <dsp:cNvSpPr/>
      </dsp:nvSpPr>
      <dsp:spPr>
        <a:xfrm>
          <a:off x="423343" y="490081"/>
          <a:ext cx="100567" cy="1419863"/>
        </a:xfrm>
        <a:custGeom>
          <a:avLst/>
          <a:gdLst/>
          <a:ahLst/>
          <a:cxnLst/>
          <a:rect l="0" t="0" r="0" b="0"/>
          <a:pathLst>
            <a:path>
              <a:moveTo>
                <a:pt x="0" y="0"/>
              </a:moveTo>
              <a:lnTo>
                <a:pt x="0" y="1419863"/>
              </a:lnTo>
              <a:lnTo>
                <a:pt x="100567" y="1419863"/>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F69F75C-8137-47B3-BB8E-4DCAC7059B25}">
      <dsp:nvSpPr>
        <dsp:cNvPr id="0" name=""/>
        <dsp:cNvSpPr/>
      </dsp:nvSpPr>
      <dsp:spPr>
        <a:xfrm>
          <a:off x="523911" y="1691504"/>
          <a:ext cx="967129" cy="436881"/>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dirty="0" smtClean="0">
              <a:latin typeface="Arial" panose="020B0604020202020204" pitchFamily="34" charset="0"/>
              <a:cs typeface="Arial" panose="020B0604020202020204" pitchFamily="34" charset="0"/>
            </a:rPr>
            <a:t>Cambio composición predial (monocultivos)</a:t>
          </a:r>
        </a:p>
      </dsp:txBody>
      <dsp:txXfrm>
        <a:off x="536707" y="1704300"/>
        <a:ext cx="941537" cy="411289"/>
      </dsp:txXfrm>
    </dsp:sp>
    <dsp:sp modelId="{A05C21B7-4039-44F2-9B19-2E0491F4952D}">
      <dsp:nvSpPr>
        <dsp:cNvPr id="0" name=""/>
        <dsp:cNvSpPr/>
      </dsp:nvSpPr>
      <dsp:spPr>
        <a:xfrm>
          <a:off x="423343" y="490081"/>
          <a:ext cx="100567" cy="1965965"/>
        </a:xfrm>
        <a:custGeom>
          <a:avLst/>
          <a:gdLst/>
          <a:ahLst/>
          <a:cxnLst/>
          <a:rect l="0" t="0" r="0" b="0"/>
          <a:pathLst>
            <a:path>
              <a:moveTo>
                <a:pt x="0" y="0"/>
              </a:moveTo>
              <a:lnTo>
                <a:pt x="0" y="1965965"/>
              </a:lnTo>
              <a:lnTo>
                <a:pt x="100567" y="1965965"/>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957A118E-C370-4760-9635-3E2115A500BE}">
      <dsp:nvSpPr>
        <dsp:cNvPr id="0" name=""/>
        <dsp:cNvSpPr/>
      </dsp:nvSpPr>
      <dsp:spPr>
        <a:xfrm>
          <a:off x="523911" y="2237606"/>
          <a:ext cx="950394" cy="436881"/>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dirty="0" smtClean="0">
              <a:latin typeface="Arial" panose="020B0604020202020204" pitchFamily="34" charset="0"/>
              <a:cs typeface="Arial" panose="020B0604020202020204" pitchFamily="34" charset="0"/>
            </a:rPr>
            <a:t>Recurso hídrico (Eficiencia, Embalse)</a:t>
          </a:r>
        </a:p>
      </dsp:txBody>
      <dsp:txXfrm>
        <a:off x="536707" y="2250402"/>
        <a:ext cx="924802" cy="411289"/>
      </dsp:txXfrm>
    </dsp:sp>
    <dsp:sp modelId="{FB5389F3-5ADC-423D-A7A1-0158D2E02894}">
      <dsp:nvSpPr>
        <dsp:cNvPr id="0" name=""/>
        <dsp:cNvSpPr/>
      </dsp:nvSpPr>
      <dsp:spPr>
        <a:xfrm>
          <a:off x="423343" y="490081"/>
          <a:ext cx="100567" cy="2512066"/>
        </a:xfrm>
        <a:custGeom>
          <a:avLst/>
          <a:gdLst/>
          <a:ahLst/>
          <a:cxnLst/>
          <a:rect l="0" t="0" r="0" b="0"/>
          <a:pathLst>
            <a:path>
              <a:moveTo>
                <a:pt x="0" y="0"/>
              </a:moveTo>
              <a:lnTo>
                <a:pt x="0" y="2512066"/>
              </a:lnTo>
              <a:lnTo>
                <a:pt x="100567" y="2512066"/>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C8A1E93-A263-407D-A14D-545B48B70A9E}">
      <dsp:nvSpPr>
        <dsp:cNvPr id="0" name=""/>
        <dsp:cNvSpPr/>
      </dsp:nvSpPr>
      <dsp:spPr>
        <a:xfrm>
          <a:off x="523911" y="2783707"/>
          <a:ext cx="966010" cy="436881"/>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dirty="0" smtClean="0">
              <a:latin typeface="Arial" panose="020B0604020202020204" pitchFamily="34" charset="0"/>
              <a:cs typeface="Arial" panose="020B0604020202020204" pitchFamily="34" charset="0"/>
            </a:rPr>
            <a:t>Cambio uso propiedad</a:t>
          </a:r>
        </a:p>
      </dsp:txBody>
      <dsp:txXfrm>
        <a:off x="536707" y="2796503"/>
        <a:ext cx="940418" cy="411289"/>
      </dsp:txXfrm>
    </dsp:sp>
    <dsp:sp modelId="{E69E482B-D236-48FF-A826-4F1D65D444D4}">
      <dsp:nvSpPr>
        <dsp:cNvPr id="0" name=""/>
        <dsp:cNvSpPr/>
      </dsp:nvSpPr>
      <dsp:spPr>
        <a:xfrm>
          <a:off x="423343" y="490081"/>
          <a:ext cx="100567" cy="3058168"/>
        </a:xfrm>
        <a:custGeom>
          <a:avLst/>
          <a:gdLst/>
          <a:ahLst/>
          <a:cxnLst/>
          <a:rect l="0" t="0" r="0" b="0"/>
          <a:pathLst>
            <a:path>
              <a:moveTo>
                <a:pt x="0" y="0"/>
              </a:moveTo>
              <a:lnTo>
                <a:pt x="0" y="3058168"/>
              </a:lnTo>
              <a:lnTo>
                <a:pt x="100567" y="3058168"/>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97D5A16-762E-4D58-B142-C04CC0DC00CF}">
      <dsp:nvSpPr>
        <dsp:cNvPr id="0" name=""/>
        <dsp:cNvSpPr/>
      </dsp:nvSpPr>
      <dsp:spPr>
        <a:xfrm>
          <a:off x="523911" y="3329809"/>
          <a:ext cx="949276" cy="436881"/>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dirty="0" smtClean="0">
              <a:latin typeface="Arial" panose="020B0604020202020204" pitchFamily="34" charset="0"/>
              <a:cs typeface="Arial" panose="020B0604020202020204" pitchFamily="34" charset="0"/>
            </a:rPr>
            <a:t>Contaminación (minera y agrícola)</a:t>
          </a:r>
        </a:p>
      </dsp:txBody>
      <dsp:txXfrm>
        <a:off x="536707" y="3342605"/>
        <a:ext cx="923684" cy="411289"/>
      </dsp:txXfrm>
    </dsp:sp>
    <dsp:sp modelId="{76E182E7-6522-4A0F-83B0-AD4DEE477B2C}">
      <dsp:nvSpPr>
        <dsp:cNvPr id="0" name=""/>
        <dsp:cNvSpPr/>
      </dsp:nvSpPr>
      <dsp:spPr>
        <a:xfrm>
          <a:off x="1546891" y="1268"/>
          <a:ext cx="1005674" cy="488813"/>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0955" tIns="13970" rIns="20955" bIns="13970" numCol="1" spcCol="1270" anchor="ctr" anchorCtr="0">
          <a:noAutofit/>
        </a:bodyPr>
        <a:lstStyle/>
        <a:p>
          <a:pPr lvl="0" algn="ctr" defTabSz="466725">
            <a:lnSpc>
              <a:spcPct val="90000"/>
            </a:lnSpc>
            <a:spcBef>
              <a:spcPct val="0"/>
            </a:spcBef>
            <a:spcAft>
              <a:spcPct val="35000"/>
            </a:spcAft>
          </a:pPr>
          <a:r>
            <a:rPr lang="es-CL" sz="1050" b="0" kern="1200" dirty="0" smtClean="0">
              <a:effectLst/>
              <a:latin typeface="Arial" panose="020B0604020202020204" pitchFamily="34" charset="0"/>
              <a:cs typeface="Arial" panose="020B0604020202020204" pitchFamily="34" charset="0"/>
            </a:rPr>
            <a:t>Medio Ambiente</a:t>
          </a:r>
          <a:endParaRPr lang="es-CL" sz="1050" b="0" kern="1200" dirty="0" smtClean="0">
            <a:latin typeface="Arial" panose="020B0604020202020204" pitchFamily="34" charset="0"/>
            <a:cs typeface="Arial" panose="020B0604020202020204" pitchFamily="34" charset="0"/>
          </a:endParaRPr>
        </a:p>
      </dsp:txBody>
      <dsp:txXfrm>
        <a:off x="1561208" y="15585"/>
        <a:ext cx="977040" cy="460179"/>
      </dsp:txXfrm>
    </dsp:sp>
    <dsp:sp modelId="{B5CCAA6A-1FBE-44EA-922F-7FC8D3BE01AF}">
      <dsp:nvSpPr>
        <dsp:cNvPr id="0" name=""/>
        <dsp:cNvSpPr/>
      </dsp:nvSpPr>
      <dsp:spPr>
        <a:xfrm>
          <a:off x="1647458" y="490081"/>
          <a:ext cx="100567" cy="327660"/>
        </a:xfrm>
        <a:custGeom>
          <a:avLst/>
          <a:gdLst/>
          <a:ahLst/>
          <a:cxnLst/>
          <a:rect l="0" t="0" r="0" b="0"/>
          <a:pathLst>
            <a:path>
              <a:moveTo>
                <a:pt x="0" y="0"/>
              </a:moveTo>
              <a:lnTo>
                <a:pt x="0" y="327660"/>
              </a:lnTo>
              <a:lnTo>
                <a:pt x="100567" y="327660"/>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AC6B010-342F-46B8-BFB7-57CC904CA1F5}">
      <dsp:nvSpPr>
        <dsp:cNvPr id="0" name=""/>
        <dsp:cNvSpPr/>
      </dsp:nvSpPr>
      <dsp:spPr>
        <a:xfrm>
          <a:off x="1748026" y="599302"/>
          <a:ext cx="724502" cy="436881"/>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dirty="0" smtClean="0">
              <a:latin typeface="Arial" panose="020B0604020202020204" pitchFamily="34" charset="0"/>
              <a:cs typeface="Arial" panose="020B0604020202020204" pitchFamily="34" charset="0"/>
            </a:rPr>
            <a:t>Contaminación Aire</a:t>
          </a:r>
          <a:endParaRPr lang="es-CL" sz="800" kern="1200" dirty="0">
            <a:latin typeface="Arial" panose="020B0604020202020204" pitchFamily="34" charset="0"/>
            <a:cs typeface="Arial" panose="020B0604020202020204" pitchFamily="34" charset="0"/>
          </a:endParaRPr>
        </a:p>
      </dsp:txBody>
      <dsp:txXfrm>
        <a:off x="1760822" y="612098"/>
        <a:ext cx="698910" cy="411289"/>
      </dsp:txXfrm>
    </dsp:sp>
    <dsp:sp modelId="{F32C8C23-544E-4B8F-ADAD-27296D9600D1}">
      <dsp:nvSpPr>
        <dsp:cNvPr id="0" name=""/>
        <dsp:cNvSpPr/>
      </dsp:nvSpPr>
      <dsp:spPr>
        <a:xfrm>
          <a:off x="1647458" y="490081"/>
          <a:ext cx="100567" cy="873762"/>
        </a:xfrm>
        <a:custGeom>
          <a:avLst/>
          <a:gdLst/>
          <a:ahLst/>
          <a:cxnLst/>
          <a:rect l="0" t="0" r="0" b="0"/>
          <a:pathLst>
            <a:path>
              <a:moveTo>
                <a:pt x="0" y="0"/>
              </a:moveTo>
              <a:lnTo>
                <a:pt x="0" y="873762"/>
              </a:lnTo>
              <a:lnTo>
                <a:pt x="100567" y="873762"/>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79199CB-F384-4879-85C2-96C6969AD9BF}">
      <dsp:nvSpPr>
        <dsp:cNvPr id="0" name=""/>
        <dsp:cNvSpPr/>
      </dsp:nvSpPr>
      <dsp:spPr>
        <a:xfrm>
          <a:off x="1748026" y="1145403"/>
          <a:ext cx="724502" cy="436881"/>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dirty="0" smtClean="0">
              <a:latin typeface="Arial" panose="020B0604020202020204" pitchFamily="34" charset="0"/>
              <a:cs typeface="Arial" panose="020B0604020202020204" pitchFamily="34" charset="0"/>
            </a:rPr>
            <a:t>Contaminación Agua</a:t>
          </a:r>
          <a:endParaRPr lang="es-CL" sz="800" kern="1200" dirty="0">
            <a:latin typeface="Arial" panose="020B0604020202020204" pitchFamily="34" charset="0"/>
            <a:cs typeface="Arial" panose="020B0604020202020204" pitchFamily="34" charset="0"/>
          </a:endParaRPr>
        </a:p>
      </dsp:txBody>
      <dsp:txXfrm>
        <a:off x="1760822" y="1158199"/>
        <a:ext cx="698910" cy="411289"/>
      </dsp:txXfrm>
    </dsp:sp>
    <dsp:sp modelId="{03453089-95B4-46B8-911C-F973480A9D3F}">
      <dsp:nvSpPr>
        <dsp:cNvPr id="0" name=""/>
        <dsp:cNvSpPr/>
      </dsp:nvSpPr>
      <dsp:spPr>
        <a:xfrm>
          <a:off x="1647458" y="490081"/>
          <a:ext cx="100567" cy="1419863"/>
        </a:xfrm>
        <a:custGeom>
          <a:avLst/>
          <a:gdLst/>
          <a:ahLst/>
          <a:cxnLst/>
          <a:rect l="0" t="0" r="0" b="0"/>
          <a:pathLst>
            <a:path>
              <a:moveTo>
                <a:pt x="0" y="0"/>
              </a:moveTo>
              <a:lnTo>
                <a:pt x="0" y="1419863"/>
              </a:lnTo>
              <a:lnTo>
                <a:pt x="100567" y="1419863"/>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7D647F2-6AFA-483D-9C61-98E6603C25BF}">
      <dsp:nvSpPr>
        <dsp:cNvPr id="0" name=""/>
        <dsp:cNvSpPr/>
      </dsp:nvSpPr>
      <dsp:spPr>
        <a:xfrm>
          <a:off x="1748026" y="1691504"/>
          <a:ext cx="724502" cy="436881"/>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dirty="0" smtClean="0">
              <a:latin typeface="Arial" panose="020B0604020202020204" pitchFamily="34" charset="0"/>
              <a:cs typeface="Arial" panose="020B0604020202020204" pitchFamily="34" charset="0"/>
            </a:rPr>
            <a:t>Contaminación Suelo</a:t>
          </a:r>
          <a:endParaRPr lang="es-CL" sz="800" kern="1200" dirty="0">
            <a:latin typeface="Arial" panose="020B0604020202020204" pitchFamily="34" charset="0"/>
            <a:cs typeface="Arial" panose="020B0604020202020204" pitchFamily="34" charset="0"/>
          </a:endParaRPr>
        </a:p>
      </dsp:txBody>
      <dsp:txXfrm>
        <a:off x="1760822" y="1704300"/>
        <a:ext cx="698910" cy="411289"/>
      </dsp:txXfrm>
    </dsp:sp>
    <dsp:sp modelId="{0EB91488-17FD-4394-831D-89C3C2E386E6}">
      <dsp:nvSpPr>
        <dsp:cNvPr id="0" name=""/>
        <dsp:cNvSpPr/>
      </dsp:nvSpPr>
      <dsp:spPr>
        <a:xfrm>
          <a:off x="1647458" y="490081"/>
          <a:ext cx="100567" cy="1965965"/>
        </a:xfrm>
        <a:custGeom>
          <a:avLst/>
          <a:gdLst/>
          <a:ahLst/>
          <a:cxnLst/>
          <a:rect l="0" t="0" r="0" b="0"/>
          <a:pathLst>
            <a:path>
              <a:moveTo>
                <a:pt x="0" y="0"/>
              </a:moveTo>
              <a:lnTo>
                <a:pt x="0" y="1965965"/>
              </a:lnTo>
              <a:lnTo>
                <a:pt x="100567" y="1965965"/>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1CF7300-A832-4871-A370-72F6C7E098FD}">
      <dsp:nvSpPr>
        <dsp:cNvPr id="0" name=""/>
        <dsp:cNvSpPr/>
      </dsp:nvSpPr>
      <dsp:spPr>
        <a:xfrm>
          <a:off x="1748026" y="2237606"/>
          <a:ext cx="737259" cy="436881"/>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dirty="0" smtClean="0">
              <a:latin typeface="Arial" panose="020B0604020202020204" pitchFamily="34" charset="0"/>
              <a:cs typeface="Arial" panose="020B0604020202020204" pitchFamily="34" charset="0"/>
            </a:rPr>
            <a:t>Mitigación insuficiente</a:t>
          </a:r>
          <a:endParaRPr lang="es-CL" sz="800" kern="1200" dirty="0">
            <a:latin typeface="Arial" panose="020B0604020202020204" pitchFamily="34" charset="0"/>
            <a:cs typeface="Arial" panose="020B0604020202020204" pitchFamily="34" charset="0"/>
          </a:endParaRPr>
        </a:p>
      </dsp:txBody>
      <dsp:txXfrm>
        <a:off x="1760822" y="2250402"/>
        <a:ext cx="711667" cy="411289"/>
      </dsp:txXfrm>
    </dsp:sp>
    <dsp:sp modelId="{BE268528-6FE0-4D35-8BF7-3762B2E99E8D}">
      <dsp:nvSpPr>
        <dsp:cNvPr id="0" name=""/>
        <dsp:cNvSpPr/>
      </dsp:nvSpPr>
      <dsp:spPr>
        <a:xfrm>
          <a:off x="1647458" y="490081"/>
          <a:ext cx="100567" cy="2512066"/>
        </a:xfrm>
        <a:custGeom>
          <a:avLst/>
          <a:gdLst/>
          <a:ahLst/>
          <a:cxnLst/>
          <a:rect l="0" t="0" r="0" b="0"/>
          <a:pathLst>
            <a:path>
              <a:moveTo>
                <a:pt x="0" y="0"/>
              </a:moveTo>
              <a:lnTo>
                <a:pt x="0" y="2512066"/>
              </a:lnTo>
              <a:lnTo>
                <a:pt x="100567" y="2512066"/>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1E30A1B-C9A8-4EF0-B5B9-4F0944517147}">
      <dsp:nvSpPr>
        <dsp:cNvPr id="0" name=""/>
        <dsp:cNvSpPr/>
      </dsp:nvSpPr>
      <dsp:spPr>
        <a:xfrm>
          <a:off x="1748026" y="2783707"/>
          <a:ext cx="737259" cy="436881"/>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dirty="0" smtClean="0">
              <a:latin typeface="Arial" panose="020B0604020202020204" pitchFamily="34" charset="0"/>
              <a:cs typeface="Arial" panose="020B0604020202020204" pitchFamily="34" charset="0"/>
            </a:rPr>
            <a:t>Destrucción y contaminación glaciares</a:t>
          </a:r>
          <a:endParaRPr lang="es-CL" sz="800" kern="1200" dirty="0">
            <a:latin typeface="Arial" panose="020B0604020202020204" pitchFamily="34" charset="0"/>
            <a:cs typeface="Arial" panose="020B0604020202020204" pitchFamily="34" charset="0"/>
          </a:endParaRPr>
        </a:p>
      </dsp:txBody>
      <dsp:txXfrm>
        <a:off x="1760822" y="2796503"/>
        <a:ext cx="711667" cy="411289"/>
      </dsp:txXfrm>
    </dsp:sp>
    <dsp:sp modelId="{2F30AAC2-F528-4013-912C-A7084C7F026B}">
      <dsp:nvSpPr>
        <dsp:cNvPr id="0" name=""/>
        <dsp:cNvSpPr/>
      </dsp:nvSpPr>
      <dsp:spPr>
        <a:xfrm>
          <a:off x="1647458" y="490081"/>
          <a:ext cx="100567" cy="3058168"/>
        </a:xfrm>
        <a:custGeom>
          <a:avLst/>
          <a:gdLst/>
          <a:ahLst/>
          <a:cxnLst/>
          <a:rect l="0" t="0" r="0" b="0"/>
          <a:pathLst>
            <a:path>
              <a:moveTo>
                <a:pt x="0" y="0"/>
              </a:moveTo>
              <a:lnTo>
                <a:pt x="0" y="3058168"/>
              </a:lnTo>
              <a:lnTo>
                <a:pt x="100567" y="3058168"/>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3D987F8-77C0-4BB2-BA3A-4D25C82E6A42}">
      <dsp:nvSpPr>
        <dsp:cNvPr id="0" name=""/>
        <dsp:cNvSpPr/>
      </dsp:nvSpPr>
      <dsp:spPr>
        <a:xfrm>
          <a:off x="1748026" y="3329809"/>
          <a:ext cx="737259" cy="436881"/>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dirty="0" smtClean="0">
              <a:latin typeface="Arial" panose="020B0604020202020204" pitchFamily="34" charset="0"/>
              <a:cs typeface="Arial" panose="020B0604020202020204" pitchFamily="34" charset="0"/>
            </a:rPr>
            <a:t>Efectos de Legado</a:t>
          </a:r>
          <a:endParaRPr lang="es-CL" sz="800" kern="1200" dirty="0">
            <a:latin typeface="Arial" panose="020B0604020202020204" pitchFamily="34" charset="0"/>
            <a:cs typeface="Arial" panose="020B0604020202020204" pitchFamily="34" charset="0"/>
          </a:endParaRPr>
        </a:p>
      </dsp:txBody>
      <dsp:txXfrm>
        <a:off x="1760822" y="3342605"/>
        <a:ext cx="711667" cy="411289"/>
      </dsp:txXfrm>
    </dsp:sp>
    <dsp:sp modelId="{C4229EAC-E1BC-4020-883D-2A7FE2FC73CB}">
      <dsp:nvSpPr>
        <dsp:cNvPr id="0" name=""/>
        <dsp:cNvSpPr/>
      </dsp:nvSpPr>
      <dsp:spPr>
        <a:xfrm>
          <a:off x="2771006" y="1268"/>
          <a:ext cx="1005674" cy="487375"/>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0955" tIns="13970" rIns="20955" bIns="13970" numCol="1" spcCol="1270" anchor="ctr" anchorCtr="0">
          <a:noAutofit/>
        </a:bodyPr>
        <a:lstStyle/>
        <a:p>
          <a:pPr lvl="0" algn="ctr" defTabSz="466725">
            <a:lnSpc>
              <a:spcPct val="90000"/>
            </a:lnSpc>
            <a:spcBef>
              <a:spcPct val="0"/>
            </a:spcBef>
            <a:spcAft>
              <a:spcPct val="35000"/>
            </a:spcAft>
          </a:pPr>
          <a:r>
            <a:rPr lang="es-CL" sz="1050" b="0" kern="1200" dirty="0" smtClean="0">
              <a:effectLst/>
              <a:latin typeface="Arial" panose="020B0604020202020204" pitchFamily="34" charset="0"/>
              <a:cs typeface="Arial" panose="020B0604020202020204" pitchFamily="34" charset="0"/>
            </a:rPr>
            <a:t>Recurso Hídrico</a:t>
          </a:r>
          <a:endParaRPr lang="es-CL" sz="1050" b="0" kern="1200" dirty="0">
            <a:effectLst/>
            <a:latin typeface="Arial" panose="020B0604020202020204" pitchFamily="34" charset="0"/>
            <a:cs typeface="Arial" panose="020B0604020202020204" pitchFamily="34" charset="0"/>
          </a:endParaRPr>
        </a:p>
      </dsp:txBody>
      <dsp:txXfrm>
        <a:off x="2785281" y="15543"/>
        <a:ext cx="977124" cy="458825"/>
      </dsp:txXfrm>
    </dsp:sp>
    <dsp:sp modelId="{D733C745-9B56-4688-8485-5CA1F4229A1B}">
      <dsp:nvSpPr>
        <dsp:cNvPr id="0" name=""/>
        <dsp:cNvSpPr/>
      </dsp:nvSpPr>
      <dsp:spPr>
        <a:xfrm>
          <a:off x="2871573" y="488644"/>
          <a:ext cx="100567" cy="327660"/>
        </a:xfrm>
        <a:custGeom>
          <a:avLst/>
          <a:gdLst/>
          <a:ahLst/>
          <a:cxnLst/>
          <a:rect l="0" t="0" r="0" b="0"/>
          <a:pathLst>
            <a:path>
              <a:moveTo>
                <a:pt x="0" y="0"/>
              </a:moveTo>
              <a:lnTo>
                <a:pt x="0" y="327660"/>
              </a:lnTo>
              <a:lnTo>
                <a:pt x="100567" y="327660"/>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39B96D6-C6BF-4B79-B052-F29FED4A7E7A}">
      <dsp:nvSpPr>
        <dsp:cNvPr id="0" name=""/>
        <dsp:cNvSpPr/>
      </dsp:nvSpPr>
      <dsp:spPr>
        <a:xfrm>
          <a:off x="2972140" y="597864"/>
          <a:ext cx="815408" cy="436881"/>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dirty="0" smtClean="0">
              <a:latin typeface="Arial" panose="020B0604020202020204" pitchFamily="34" charset="0"/>
              <a:cs typeface="Arial" panose="020B0604020202020204" pitchFamily="34" charset="0"/>
            </a:rPr>
            <a:t>Recurso Limitante</a:t>
          </a:r>
          <a:endParaRPr lang="es-CL" sz="800" kern="1200" dirty="0">
            <a:latin typeface="Arial" panose="020B0604020202020204" pitchFamily="34" charset="0"/>
            <a:cs typeface="Arial" panose="020B0604020202020204" pitchFamily="34" charset="0"/>
          </a:endParaRPr>
        </a:p>
      </dsp:txBody>
      <dsp:txXfrm>
        <a:off x="2984936" y="610660"/>
        <a:ext cx="789816" cy="411289"/>
      </dsp:txXfrm>
    </dsp:sp>
    <dsp:sp modelId="{000A4988-6135-4B2A-950F-B0942243A74E}">
      <dsp:nvSpPr>
        <dsp:cNvPr id="0" name=""/>
        <dsp:cNvSpPr/>
      </dsp:nvSpPr>
      <dsp:spPr>
        <a:xfrm>
          <a:off x="2871573" y="488644"/>
          <a:ext cx="100567" cy="873762"/>
        </a:xfrm>
        <a:custGeom>
          <a:avLst/>
          <a:gdLst/>
          <a:ahLst/>
          <a:cxnLst/>
          <a:rect l="0" t="0" r="0" b="0"/>
          <a:pathLst>
            <a:path>
              <a:moveTo>
                <a:pt x="0" y="0"/>
              </a:moveTo>
              <a:lnTo>
                <a:pt x="0" y="873762"/>
              </a:lnTo>
              <a:lnTo>
                <a:pt x="100567" y="873762"/>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76B658A-9C17-4031-B44A-BF1A51B3D0AC}">
      <dsp:nvSpPr>
        <dsp:cNvPr id="0" name=""/>
        <dsp:cNvSpPr/>
      </dsp:nvSpPr>
      <dsp:spPr>
        <a:xfrm>
          <a:off x="2972140" y="1143966"/>
          <a:ext cx="815408" cy="436881"/>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dirty="0" smtClean="0">
              <a:latin typeface="Arial" panose="020B0604020202020204" pitchFamily="34" charset="0"/>
              <a:cs typeface="Arial" panose="020B0604020202020204" pitchFamily="34" charset="0"/>
            </a:rPr>
            <a:t>Agua para minería (Glaciares)</a:t>
          </a:r>
          <a:endParaRPr lang="es-CL" sz="800" kern="1200" dirty="0">
            <a:latin typeface="Arial" panose="020B0604020202020204" pitchFamily="34" charset="0"/>
            <a:cs typeface="Arial" panose="020B0604020202020204" pitchFamily="34" charset="0"/>
          </a:endParaRPr>
        </a:p>
      </dsp:txBody>
      <dsp:txXfrm>
        <a:off x="2984936" y="1156762"/>
        <a:ext cx="789816" cy="411289"/>
      </dsp:txXfrm>
    </dsp:sp>
    <dsp:sp modelId="{72845727-7B09-4E37-BBF2-EB8608590E75}">
      <dsp:nvSpPr>
        <dsp:cNvPr id="0" name=""/>
        <dsp:cNvSpPr/>
      </dsp:nvSpPr>
      <dsp:spPr>
        <a:xfrm>
          <a:off x="2871573" y="488644"/>
          <a:ext cx="100567" cy="1419863"/>
        </a:xfrm>
        <a:custGeom>
          <a:avLst/>
          <a:gdLst/>
          <a:ahLst/>
          <a:cxnLst/>
          <a:rect l="0" t="0" r="0" b="0"/>
          <a:pathLst>
            <a:path>
              <a:moveTo>
                <a:pt x="0" y="0"/>
              </a:moveTo>
              <a:lnTo>
                <a:pt x="0" y="1419863"/>
              </a:lnTo>
              <a:lnTo>
                <a:pt x="100567" y="1419863"/>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522264D-AC1D-4866-A8C3-E89E3256579A}">
      <dsp:nvSpPr>
        <dsp:cNvPr id="0" name=""/>
        <dsp:cNvSpPr/>
      </dsp:nvSpPr>
      <dsp:spPr>
        <a:xfrm>
          <a:off x="2972140" y="1690067"/>
          <a:ext cx="815408" cy="436881"/>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dirty="0" smtClean="0">
              <a:latin typeface="Arial" panose="020B0604020202020204" pitchFamily="34" charset="0"/>
              <a:cs typeface="Arial" panose="020B0604020202020204" pitchFamily="34" charset="0"/>
            </a:rPr>
            <a:t>Derechos de Agua (Bien de consumo) </a:t>
          </a:r>
        </a:p>
      </dsp:txBody>
      <dsp:txXfrm>
        <a:off x="2984936" y="1702863"/>
        <a:ext cx="789816" cy="411289"/>
      </dsp:txXfrm>
    </dsp:sp>
    <dsp:sp modelId="{73CBB0B6-09F8-428F-A305-F89EC4D7EC76}">
      <dsp:nvSpPr>
        <dsp:cNvPr id="0" name=""/>
        <dsp:cNvSpPr/>
      </dsp:nvSpPr>
      <dsp:spPr>
        <a:xfrm>
          <a:off x="2871573" y="488644"/>
          <a:ext cx="100567" cy="1965965"/>
        </a:xfrm>
        <a:custGeom>
          <a:avLst/>
          <a:gdLst/>
          <a:ahLst/>
          <a:cxnLst/>
          <a:rect l="0" t="0" r="0" b="0"/>
          <a:pathLst>
            <a:path>
              <a:moveTo>
                <a:pt x="0" y="0"/>
              </a:moveTo>
              <a:lnTo>
                <a:pt x="0" y="1965965"/>
              </a:lnTo>
              <a:lnTo>
                <a:pt x="100567" y="1965965"/>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5724DD0-895A-4C35-B7B9-3101D9085DE2}">
      <dsp:nvSpPr>
        <dsp:cNvPr id="0" name=""/>
        <dsp:cNvSpPr/>
      </dsp:nvSpPr>
      <dsp:spPr>
        <a:xfrm>
          <a:off x="2972140" y="2236169"/>
          <a:ext cx="815408" cy="436881"/>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dirty="0" smtClean="0">
              <a:latin typeface="Arial" panose="020B0604020202020204" pitchFamily="34" charset="0"/>
              <a:cs typeface="Arial" panose="020B0604020202020204" pitchFamily="34" charset="0"/>
            </a:rPr>
            <a:t>Riesgo de Contaminación</a:t>
          </a:r>
        </a:p>
      </dsp:txBody>
      <dsp:txXfrm>
        <a:off x="2984936" y="2248965"/>
        <a:ext cx="789816" cy="411289"/>
      </dsp:txXfrm>
    </dsp:sp>
    <dsp:sp modelId="{BFA88191-AC68-42D8-B98C-65ADB6827363}">
      <dsp:nvSpPr>
        <dsp:cNvPr id="0" name=""/>
        <dsp:cNvSpPr/>
      </dsp:nvSpPr>
      <dsp:spPr>
        <a:xfrm>
          <a:off x="2871573" y="488644"/>
          <a:ext cx="100567" cy="2512066"/>
        </a:xfrm>
        <a:custGeom>
          <a:avLst/>
          <a:gdLst/>
          <a:ahLst/>
          <a:cxnLst/>
          <a:rect l="0" t="0" r="0" b="0"/>
          <a:pathLst>
            <a:path>
              <a:moveTo>
                <a:pt x="0" y="0"/>
              </a:moveTo>
              <a:lnTo>
                <a:pt x="0" y="2512066"/>
              </a:lnTo>
              <a:lnTo>
                <a:pt x="100567" y="2512066"/>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A66CD6A-273A-4E2E-BB8F-ECBF5C9C1734}">
      <dsp:nvSpPr>
        <dsp:cNvPr id="0" name=""/>
        <dsp:cNvSpPr/>
      </dsp:nvSpPr>
      <dsp:spPr>
        <a:xfrm>
          <a:off x="2972140" y="2782270"/>
          <a:ext cx="815408" cy="436881"/>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dirty="0" smtClean="0">
              <a:latin typeface="Arial" panose="020B0604020202020204" pitchFamily="34" charset="0"/>
              <a:cs typeface="Arial" panose="020B0604020202020204" pitchFamily="34" charset="0"/>
            </a:rPr>
            <a:t>Agricultura intensiva (uso y contaminación)</a:t>
          </a:r>
        </a:p>
      </dsp:txBody>
      <dsp:txXfrm>
        <a:off x="2984936" y="2795066"/>
        <a:ext cx="789816" cy="411289"/>
      </dsp:txXfrm>
    </dsp:sp>
    <dsp:sp modelId="{0059C371-D3F7-4AC7-B5DD-C3A5DE5D1D49}">
      <dsp:nvSpPr>
        <dsp:cNvPr id="0" name=""/>
        <dsp:cNvSpPr/>
      </dsp:nvSpPr>
      <dsp:spPr>
        <a:xfrm>
          <a:off x="3995120" y="1268"/>
          <a:ext cx="1005674" cy="487375"/>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0955" tIns="13970" rIns="20955" bIns="13970" numCol="1" spcCol="1270" anchor="ctr" anchorCtr="0">
          <a:noAutofit/>
        </a:bodyPr>
        <a:lstStyle/>
        <a:p>
          <a:pPr lvl="0" algn="ctr" defTabSz="466725">
            <a:lnSpc>
              <a:spcPct val="90000"/>
            </a:lnSpc>
            <a:spcBef>
              <a:spcPct val="0"/>
            </a:spcBef>
            <a:spcAft>
              <a:spcPct val="35000"/>
            </a:spcAft>
          </a:pPr>
          <a:r>
            <a:rPr lang="es-CL" sz="1050" b="0" kern="1200" dirty="0" smtClean="0">
              <a:effectLst/>
              <a:latin typeface="Arial" panose="020B0604020202020204" pitchFamily="34" charset="0"/>
              <a:cs typeface="Arial" panose="020B0604020202020204" pitchFamily="34" charset="0"/>
            </a:rPr>
            <a:t>Minería</a:t>
          </a:r>
        </a:p>
      </dsp:txBody>
      <dsp:txXfrm>
        <a:off x="4009395" y="15543"/>
        <a:ext cx="977124" cy="458825"/>
      </dsp:txXfrm>
    </dsp:sp>
    <dsp:sp modelId="{DF19C26F-FEEC-4729-835A-6FA6738A12C2}">
      <dsp:nvSpPr>
        <dsp:cNvPr id="0" name=""/>
        <dsp:cNvSpPr/>
      </dsp:nvSpPr>
      <dsp:spPr>
        <a:xfrm>
          <a:off x="4095688" y="488644"/>
          <a:ext cx="100567" cy="438316"/>
        </a:xfrm>
        <a:custGeom>
          <a:avLst/>
          <a:gdLst/>
          <a:ahLst/>
          <a:cxnLst/>
          <a:rect l="0" t="0" r="0" b="0"/>
          <a:pathLst>
            <a:path>
              <a:moveTo>
                <a:pt x="0" y="0"/>
              </a:moveTo>
              <a:lnTo>
                <a:pt x="0" y="438316"/>
              </a:lnTo>
              <a:lnTo>
                <a:pt x="100567" y="438316"/>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E0F5272-B228-45DB-B99F-640EFDA90A87}">
      <dsp:nvSpPr>
        <dsp:cNvPr id="0" name=""/>
        <dsp:cNvSpPr/>
      </dsp:nvSpPr>
      <dsp:spPr>
        <a:xfrm>
          <a:off x="4196255" y="597864"/>
          <a:ext cx="906182" cy="658192"/>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dirty="0" smtClean="0">
              <a:latin typeface="Arial" panose="020B0604020202020204" pitchFamily="34" charset="0"/>
              <a:cs typeface="Arial" panose="020B0604020202020204" pitchFamily="34" charset="0"/>
            </a:rPr>
            <a:t>Operaciones mineras inactivas (M. Artesanal)</a:t>
          </a:r>
        </a:p>
      </dsp:txBody>
      <dsp:txXfrm>
        <a:off x="4215533" y="617142"/>
        <a:ext cx="867626" cy="619636"/>
      </dsp:txXfrm>
    </dsp:sp>
    <dsp:sp modelId="{5417AFA5-8D83-4E5C-B9CF-A76B6A821A2C}">
      <dsp:nvSpPr>
        <dsp:cNvPr id="0" name=""/>
        <dsp:cNvSpPr/>
      </dsp:nvSpPr>
      <dsp:spPr>
        <a:xfrm>
          <a:off x="4095688" y="488644"/>
          <a:ext cx="100567" cy="1138090"/>
        </a:xfrm>
        <a:custGeom>
          <a:avLst/>
          <a:gdLst/>
          <a:ahLst/>
          <a:cxnLst/>
          <a:rect l="0" t="0" r="0" b="0"/>
          <a:pathLst>
            <a:path>
              <a:moveTo>
                <a:pt x="0" y="0"/>
              </a:moveTo>
              <a:lnTo>
                <a:pt x="0" y="1138090"/>
              </a:lnTo>
              <a:lnTo>
                <a:pt x="100567" y="1138090"/>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45BE6A5-8517-4400-A95A-BC773F38288D}">
      <dsp:nvSpPr>
        <dsp:cNvPr id="0" name=""/>
        <dsp:cNvSpPr/>
      </dsp:nvSpPr>
      <dsp:spPr>
        <a:xfrm>
          <a:off x="4196255" y="1365277"/>
          <a:ext cx="905161" cy="522916"/>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dirty="0" smtClean="0">
              <a:latin typeface="Arial" panose="020B0604020202020204" pitchFamily="34" charset="0"/>
              <a:cs typeface="Arial" panose="020B0604020202020204" pitchFamily="34" charset="0"/>
            </a:rPr>
            <a:t>Actividad Contaminante</a:t>
          </a:r>
        </a:p>
      </dsp:txBody>
      <dsp:txXfrm>
        <a:off x="4211571" y="1380593"/>
        <a:ext cx="874529" cy="492284"/>
      </dsp:txXfrm>
    </dsp:sp>
    <dsp:sp modelId="{B9DF7FCB-AEA3-411B-8602-D69565CF24D9}">
      <dsp:nvSpPr>
        <dsp:cNvPr id="0" name=""/>
        <dsp:cNvSpPr/>
      </dsp:nvSpPr>
      <dsp:spPr>
        <a:xfrm>
          <a:off x="4095688" y="488644"/>
          <a:ext cx="100567" cy="1727209"/>
        </a:xfrm>
        <a:custGeom>
          <a:avLst/>
          <a:gdLst/>
          <a:ahLst/>
          <a:cxnLst/>
          <a:rect l="0" t="0" r="0" b="0"/>
          <a:pathLst>
            <a:path>
              <a:moveTo>
                <a:pt x="0" y="0"/>
              </a:moveTo>
              <a:lnTo>
                <a:pt x="0" y="1727209"/>
              </a:lnTo>
              <a:lnTo>
                <a:pt x="100567" y="1727209"/>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3CDA2AF-7E97-42EC-8324-055FC8215095}">
      <dsp:nvSpPr>
        <dsp:cNvPr id="0" name=""/>
        <dsp:cNvSpPr/>
      </dsp:nvSpPr>
      <dsp:spPr>
        <a:xfrm>
          <a:off x="4196255" y="1997413"/>
          <a:ext cx="920071" cy="436881"/>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dirty="0" smtClean="0">
              <a:latin typeface="Arial" panose="020B0604020202020204" pitchFamily="34" charset="0"/>
              <a:cs typeface="Arial" panose="020B0604020202020204" pitchFamily="34" charset="0"/>
            </a:rPr>
            <a:t>Expectativa llegada mega minería</a:t>
          </a:r>
        </a:p>
      </dsp:txBody>
      <dsp:txXfrm>
        <a:off x="4209051" y="2010209"/>
        <a:ext cx="894479" cy="411289"/>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72EE474-F2C9-4308-AE9E-4A4A97E2F543}">
      <dsp:nvSpPr>
        <dsp:cNvPr id="0" name=""/>
        <dsp:cNvSpPr/>
      </dsp:nvSpPr>
      <dsp:spPr>
        <a:xfrm>
          <a:off x="511487" y="2693"/>
          <a:ext cx="928771" cy="464385"/>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2700" rIns="19050" bIns="12700" numCol="1" spcCol="1270" anchor="ctr" anchorCtr="0">
          <a:noAutofit/>
        </a:bodyPr>
        <a:lstStyle/>
        <a:p>
          <a:pPr lvl="0" algn="ctr" defTabSz="444500">
            <a:lnSpc>
              <a:spcPct val="90000"/>
            </a:lnSpc>
            <a:spcBef>
              <a:spcPct val="0"/>
            </a:spcBef>
            <a:spcAft>
              <a:spcPct val="35000"/>
            </a:spcAft>
          </a:pPr>
          <a:r>
            <a:rPr lang="es-CL" sz="1000" kern="1200"/>
            <a:t>Relación minera-comunidades</a:t>
          </a:r>
        </a:p>
      </dsp:txBody>
      <dsp:txXfrm>
        <a:off x="525088" y="16294"/>
        <a:ext cx="901569" cy="437183"/>
      </dsp:txXfrm>
    </dsp:sp>
    <dsp:sp modelId="{814DE38B-C6F7-4A55-AABC-D92EA00D32CE}">
      <dsp:nvSpPr>
        <dsp:cNvPr id="0" name=""/>
        <dsp:cNvSpPr/>
      </dsp:nvSpPr>
      <dsp:spPr>
        <a:xfrm>
          <a:off x="604364" y="467079"/>
          <a:ext cx="92877" cy="348289"/>
        </a:xfrm>
        <a:custGeom>
          <a:avLst/>
          <a:gdLst/>
          <a:ahLst/>
          <a:cxnLst/>
          <a:rect l="0" t="0" r="0" b="0"/>
          <a:pathLst>
            <a:path>
              <a:moveTo>
                <a:pt x="0" y="0"/>
              </a:moveTo>
              <a:lnTo>
                <a:pt x="0" y="348289"/>
              </a:lnTo>
              <a:lnTo>
                <a:pt x="92877" y="348289"/>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22786FE-D23A-4045-BF5C-66CF6D17642C}">
      <dsp:nvSpPr>
        <dsp:cNvPr id="0" name=""/>
        <dsp:cNvSpPr/>
      </dsp:nvSpPr>
      <dsp:spPr>
        <a:xfrm>
          <a:off x="697242" y="583175"/>
          <a:ext cx="743017" cy="46438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t>Asimetría de poder</a:t>
          </a:r>
        </a:p>
      </dsp:txBody>
      <dsp:txXfrm>
        <a:off x="710843" y="596776"/>
        <a:ext cx="715815" cy="437183"/>
      </dsp:txXfrm>
    </dsp:sp>
    <dsp:sp modelId="{6BB78529-38C2-4CDD-8DA1-EF5199C3B25F}">
      <dsp:nvSpPr>
        <dsp:cNvPr id="0" name=""/>
        <dsp:cNvSpPr/>
      </dsp:nvSpPr>
      <dsp:spPr>
        <a:xfrm>
          <a:off x="604364" y="467079"/>
          <a:ext cx="92877" cy="928771"/>
        </a:xfrm>
        <a:custGeom>
          <a:avLst/>
          <a:gdLst/>
          <a:ahLst/>
          <a:cxnLst/>
          <a:rect l="0" t="0" r="0" b="0"/>
          <a:pathLst>
            <a:path>
              <a:moveTo>
                <a:pt x="0" y="0"/>
              </a:moveTo>
              <a:lnTo>
                <a:pt x="0" y="928771"/>
              </a:lnTo>
              <a:lnTo>
                <a:pt x="92877" y="928771"/>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D152A10-4CB1-474E-BF70-D4B6363B9F14}">
      <dsp:nvSpPr>
        <dsp:cNvPr id="0" name=""/>
        <dsp:cNvSpPr/>
      </dsp:nvSpPr>
      <dsp:spPr>
        <a:xfrm>
          <a:off x="697242" y="1163658"/>
          <a:ext cx="743017" cy="46438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t>Falta canal de comunicación</a:t>
          </a:r>
        </a:p>
      </dsp:txBody>
      <dsp:txXfrm>
        <a:off x="710843" y="1177259"/>
        <a:ext cx="715815" cy="437183"/>
      </dsp:txXfrm>
    </dsp:sp>
    <dsp:sp modelId="{1919C0B8-28D7-412C-A8F7-141304A3C4F3}">
      <dsp:nvSpPr>
        <dsp:cNvPr id="0" name=""/>
        <dsp:cNvSpPr/>
      </dsp:nvSpPr>
      <dsp:spPr>
        <a:xfrm>
          <a:off x="604364" y="467079"/>
          <a:ext cx="92877" cy="1509253"/>
        </a:xfrm>
        <a:custGeom>
          <a:avLst/>
          <a:gdLst/>
          <a:ahLst/>
          <a:cxnLst/>
          <a:rect l="0" t="0" r="0" b="0"/>
          <a:pathLst>
            <a:path>
              <a:moveTo>
                <a:pt x="0" y="0"/>
              </a:moveTo>
              <a:lnTo>
                <a:pt x="0" y="1509253"/>
              </a:lnTo>
              <a:lnTo>
                <a:pt x="92877" y="1509253"/>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4A71A95-094C-43B5-A1F2-FDDFD2C5FE10}">
      <dsp:nvSpPr>
        <dsp:cNvPr id="0" name=""/>
        <dsp:cNvSpPr/>
      </dsp:nvSpPr>
      <dsp:spPr>
        <a:xfrm>
          <a:off x="697242" y="1744140"/>
          <a:ext cx="743017" cy="46438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t>Crisis de confianza</a:t>
          </a:r>
        </a:p>
      </dsp:txBody>
      <dsp:txXfrm>
        <a:off x="710843" y="1757741"/>
        <a:ext cx="715815" cy="437183"/>
      </dsp:txXfrm>
    </dsp:sp>
    <dsp:sp modelId="{6D5D6089-7E35-48C0-B5E1-8A2895E61D55}">
      <dsp:nvSpPr>
        <dsp:cNvPr id="0" name=""/>
        <dsp:cNvSpPr/>
      </dsp:nvSpPr>
      <dsp:spPr>
        <a:xfrm>
          <a:off x="604364" y="467079"/>
          <a:ext cx="92877" cy="2089736"/>
        </a:xfrm>
        <a:custGeom>
          <a:avLst/>
          <a:gdLst/>
          <a:ahLst/>
          <a:cxnLst/>
          <a:rect l="0" t="0" r="0" b="0"/>
          <a:pathLst>
            <a:path>
              <a:moveTo>
                <a:pt x="0" y="0"/>
              </a:moveTo>
              <a:lnTo>
                <a:pt x="0" y="2089736"/>
              </a:lnTo>
              <a:lnTo>
                <a:pt x="92877" y="2089736"/>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D147C18-F798-4F5B-BFC3-A07FC6961177}">
      <dsp:nvSpPr>
        <dsp:cNvPr id="0" name=""/>
        <dsp:cNvSpPr/>
      </dsp:nvSpPr>
      <dsp:spPr>
        <a:xfrm>
          <a:off x="697242" y="2324622"/>
          <a:ext cx="743017" cy="46438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t>Ayudas sociales</a:t>
          </a:r>
        </a:p>
      </dsp:txBody>
      <dsp:txXfrm>
        <a:off x="710843" y="2338223"/>
        <a:ext cx="715815" cy="437183"/>
      </dsp:txXfrm>
    </dsp:sp>
    <dsp:sp modelId="{63EA51FE-87EE-4254-8E3E-527CB4C515F1}">
      <dsp:nvSpPr>
        <dsp:cNvPr id="0" name=""/>
        <dsp:cNvSpPr/>
      </dsp:nvSpPr>
      <dsp:spPr>
        <a:xfrm>
          <a:off x="1672452" y="2693"/>
          <a:ext cx="928771" cy="464385"/>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2700" rIns="19050" bIns="12700" numCol="1" spcCol="1270" anchor="ctr" anchorCtr="0">
          <a:noAutofit/>
        </a:bodyPr>
        <a:lstStyle/>
        <a:p>
          <a:pPr lvl="0" algn="ctr" defTabSz="444500">
            <a:lnSpc>
              <a:spcPct val="90000"/>
            </a:lnSpc>
            <a:spcBef>
              <a:spcPct val="0"/>
            </a:spcBef>
            <a:spcAft>
              <a:spcPct val="35000"/>
            </a:spcAft>
          </a:pPr>
          <a:r>
            <a:rPr lang="es-CL" sz="1000" kern="1200"/>
            <a:t>Salud Humana y Minería</a:t>
          </a:r>
        </a:p>
      </dsp:txBody>
      <dsp:txXfrm>
        <a:off x="1686053" y="16294"/>
        <a:ext cx="901569" cy="437183"/>
      </dsp:txXfrm>
    </dsp:sp>
    <dsp:sp modelId="{59F4EA6D-2012-4CA8-BCC7-482AC9463CBB}">
      <dsp:nvSpPr>
        <dsp:cNvPr id="0" name=""/>
        <dsp:cNvSpPr/>
      </dsp:nvSpPr>
      <dsp:spPr>
        <a:xfrm>
          <a:off x="1765329" y="467079"/>
          <a:ext cx="92877" cy="348289"/>
        </a:xfrm>
        <a:custGeom>
          <a:avLst/>
          <a:gdLst/>
          <a:ahLst/>
          <a:cxnLst/>
          <a:rect l="0" t="0" r="0" b="0"/>
          <a:pathLst>
            <a:path>
              <a:moveTo>
                <a:pt x="0" y="0"/>
              </a:moveTo>
              <a:lnTo>
                <a:pt x="0" y="348289"/>
              </a:lnTo>
              <a:lnTo>
                <a:pt x="92877" y="348289"/>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B787B6C-1E83-432F-9B59-2CC5F836231A}">
      <dsp:nvSpPr>
        <dsp:cNvPr id="0" name=""/>
        <dsp:cNvSpPr/>
      </dsp:nvSpPr>
      <dsp:spPr>
        <a:xfrm>
          <a:off x="1858206" y="583175"/>
          <a:ext cx="743017" cy="46438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t>Riesgo poplación local</a:t>
          </a:r>
        </a:p>
      </dsp:txBody>
      <dsp:txXfrm>
        <a:off x="1871807" y="596776"/>
        <a:ext cx="715815" cy="437183"/>
      </dsp:txXfrm>
    </dsp:sp>
    <dsp:sp modelId="{7F3BFC2B-ED5E-4718-876B-935F471782EB}">
      <dsp:nvSpPr>
        <dsp:cNvPr id="0" name=""/>
        <dsp:cNvSpPr/>
      </dsp:nvSpPr>
      <dsp:spPr>
        <a:xfrm>
          <a:off x="1765329" y="467079"/>
          <a:ext cx="92877" cy="928771"/>
        </a:xfrm>
        <a:custGeom>
          <a:avLst/>
          <a:gdLst/>
          <a:ahLst/>
          <a:cxnLst/>
          <a:rect l="0" t="0" r="0" b="0"/>
          <a:pathLst>
            <a:path>
              <a:moveTo>
                <a:pt x="0" y="0"/>
              </a:moveTo>
              <a:lnTo>
                <a:pt x="0" y="928771"/>
              </a:lnTo>
              <a:lnTo>
                <a:pt x="92877" y="928771"/>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C30662F-6A9C-4212-9245-D0ECC8F819E5}">
      <dsp:nvSpPr>
        <dsp:cNvPr id="0" name=""/>
        <dsp:cNvSpPr/>
      </dsp:nvSpPr>
      <dsp:spPr>
        <a:xfrm>
          <a:off x="1858206" y="1163658"/>
          <a:ext cx="743017" cy="46438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t>Trabajadores mina</a:t>
          </a:r>
        </a:p>
      </dsp:txBody>
      <dsp:txXfrm>
        <a:off x="1871807" y="1177259"/>
        <a:ext cx="715815" cy="437183"/>
      </dsp:txXfrm>
    </dsp:sp>
    <dsp:sp modelId="{4FD5630D-F5E2-452F-BC34-7FDB8CFDFD0F}">
      <dsp:nvSpPr>
        <dsp:cNvPr id="0" name=""/>
        <dsp:cNvSpPr/>
      </dsp:nvSpPr>
      <dsp:spPr>
        <a:xfrm>
          <a:off x="1765329" y="467079"/>
          <a:ext cx="92877" cy="1509253"/>
        </a:xfrm>
        <a:custGeom>
          <a:avLst/>
          <a:gdLst/>
          <a:ahLst/>
          <a:cxnLst/>
          <a:rect l="0" t="0" r="0" b="0"/>
          <a:pathLst>
            <a:path>
              <a:moveTo>
                <a:pt x="0" y="0"/>
              </a:moveTo>
              <a:lnTo>
                <a:pt x="0" y="1509253"/>
              </a:lnTo>
              <a:lnTo>
                <a:pt x="92877" y="1509253"/>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C9BAA68-C804-4F54-87F3-0DF3A264C3F5}">
      <dsp:nvSpPr>
        <dsp:cNvPr id="0" name=""/>
        <dsp:cNvSpPr/>
      </dsp:nvSpPr>
      <dsp:spPr>
        <a:xfrm>
          <a:off x="1858206" y="1744140"/>
          <a:ext cx="743017" cy="46438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t>Falta bienestar psicosocial</a:t>
          </a:r>
        </a:p>
      </dsp:txBody>
      <dsp:txXfrm>
        <a:off x="1871807" y="1757741"/>
        <a:ext cx="715815" cy="437183"/>
      </dsp:txXfrm>
    </dsp:sp>
    <dsp:sp modelId="{487CF62F-FDAC-4258-AFF1-F851E22C79B7}">
      <dsp:nvSpPr>
        <dsp:cNvPr id="0" name=""/>
        <dsp:cNvSpPr/>
      </dsp:nvSpPr>
      <dsp:spPr>
        <a:xfrm>
          <a:off x="2833416" y="2693"/>
          <a:ext cx="928771" cy="464385"/>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2700" rIns="19050" bIns="12700" numCol="1" spcCol="1270" anchor="ctr" anchorCtr="0">
          <a:noAutofit/>
        </a:bodyPr>
        <a:lstStyle/>
        <a:p>
          <a:pPr lvl="0" algn="ctr" defTabSz="444500">
            <a:lnSpc>
              <a:spcPct val="90000"/>
            </a:lnSpc>
            <a:spcBef>
              <a:spcPct val="0"/>
            </a:spcBef>
            <a:spcAft>
              <a:spcPct val="35000"/>
            </a:spcAft>
          </a:pPr>
          <a:r>
            <a:rPr lang="es-CL" sz="1000" kern="1200"/>
            <a:t>Institucionalidad</a:t>
          </a:r>
        </a:p>
      </dsp:txBody>
      <dsp:txXfrm>
        <a:off x="2847017" y="16294"/>
        <a:ext cx="901569" cy="437183"/>
      </dsp:txXfrm>
    </dsp:sp>
    <dsp:sp modelId="{3FCCC2C5-E651-43B8-83F2-1425F485B02F}">
      <dsp:nvSpPr>
        <dsp:cNvPr id="0" name=""/>
        <dsp:cNvSpPr/>
      </dsp:nvSpPr>
      <dsp:spPr>
        <a:xfrm>
          <a:off x="2926294" y="467079"/>
          <a:ext cx="92877" cy="348289"/>
        </a:xfrm>
        <a:custGeom>
          <a:avLst/>
          <a:gdLst/>
          <a:ahLst/>
          <a:cxnLst/>
          <a:rect l="0" t="0" r="0" b="0"/>
          <a:pathLst>
            <a:path>
              <a:moveTo>
                <a:pt x="0" y="0"/>
              </a:moveTo>
              <a:lnTo>
                <a:pt x="0" y="348289"/>
              </a:lnTo>
              <a:lnTo>
                <a:pt x="92877" y="348289"/>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FE80EA6-A281-4D8C-BD3F-0145FAE34C58}">
      <dsp:nvSpPr>
        <dsp:cNvPr id="0" name=""/>
        <dsp:cNvSpPr/>
      </dsp:nvSpPr>
      <dsp:spPr>
        <a:xfrm>
          <a:off x="3019171" y="583175"/>
          <a:ext cx="743017" cy="46438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t>Falta considerar medioambiente y salud</a:t>
          </a:r>
        </a:p>
      </dsp:txBody>
      <dsp:txXfrm>
        <a:off x="3032772" y="596776"/>
        <a:ext cx="715815" cy="437183"/>
      </dsp:txXfrm>
    </dsp:sp>
    <dsp:sp modelId="{F2AE9CB7-3B21-46BF-B2AF-3A5D5D62A8DE}">
      <dsp:nvSpPr>
        <dsp:cNvPr id="0" name=""/>
        <dsp:cNvSpPr/>
      </dsp:nvSpPr>
      <dsp:spPr>
        <a:xfrm>
          <a:off x="2926294" y="467079"/>
          <a:ext cx="92877" cy="928771"/>
        </a:xfrm>
        <a:custGeom>
          <a:avLst/>
          <a:gdLst/>
          <a:ahLst/>
          <a:cxnLst/>
          <a:rect l="0" t="0" r="0" b="0"/>
          <a:pathLst>
            <a:path>
              <a:moveTo>
                <a:pt x="0" y="0"/>
              </a:moveTo>
              <a:lnTo>
                <a:pt x="0" y="928771"/>
              </a:lnTo>
              <a:lnTo>
                <a:pt x="92877" y="928771"/>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C53913C-1A15-49C9-8D5D-2C8A9BB32BDB}">
      <dsp:nvSpPr>
        <dsp:cNvPr id="0" name=""/>
        <dsp:cNvSpPr/>
      </dsp:nvSpPr>
      <dsp:spPr>
        <a:xfrm>
          <a:off x="3019171" y="1163658"/>
          <a:ext cx="743017" cy="46438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t>Fiscalización insuficiente </a:t>
          </a:r>
        </a:p>
      </dsp:txBody>
      <dsp:txXfrm>
        <a:off x="3032772" y="1177259"/>
        <a:ext cx="715815" cy="437183"/>
      </dsp:txXfrm>
    </dsp:sp>
    <dsp:sp modelId="{88DF206B-1A41-4B31-8C04-30E80E790A87}">
      <dsp:nvSpPr>
        <dsp:cNvPr id="0" name=""/>
        <dsp:cNvSpPr/>
      </dsp:nvSpPr>
      <dsp:spPr>
        <a:xfrm>
          <a:off x="2926294" y="467079"/>
          <a:ext cx="92877" cy="1509253"/>
        </a:xfrm>
        <a:custGeom>
          <a:avLst/>
          <a:gdLst/>
          <a:ahLst/>
          <a:cxnLst/>
          <a:rect l="0" t="0" r="0" b="0"/>
          <a:pathLst>
            <a:path>
              <a:moveTo>
                <a:pt x="0" y="0"/>
              </a:moveTo>
              <a:lnTo>
                <a:pt x="0" y="1509253"/>
              </a:lnTo>
              <a:lnTo>
                <a:pt x="92877" y="1509253"/>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6CCD357-155B-4AB8-84F1-003FC804D2B5}">
      <dsp:nvSpPr>
        <dsp:cNvPr id="0" name=""/>
        <dsp:cNvSpPr/>
      </dsp:nvSpPr>
      <dsp:spPr>
        <a:xfrm>
          <a:off x="3019171" y="1744140"/>
          <a:ext cx="743017" cy="46438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t>Sanciones y multas débiles</a:t>
          </a:r>
        </a:p>
      </dsp:txBody>
      <dsp:txXfrm>
        <a:off x="3032772" y="1757741"/>
        <a:ext cx="715815" cy="437183"/>
      </dsp:txXfrm>
    </dsp:sp>
    <dsp:sp modelId="{9D2B6187-EDD7-4EE4-BD62-746205D9A467}">
      <dsp:nvSpPr>
        <dsp:cNvPr id="0" name=""/>
        <dsp:cNvSpPr/>
      </dsp:nvSpPr>
      <dsp:spPr>
        <a:xfrm>
          <a:off x="2926294" y="467079"/>
          <a:ext cx="92877" cy="2089736"/>
        </a:xfrm>
        <a:custGeom>
          <a:avLst/>
          <a:gdLst/>
          <a:ahLst/>
          <a:cxnLst/>
          <a:rect l="0" t="0" r="0" b="0"/>
          <a:pathLst>
            <a:path>
              <a:moveTo>
                <a:pt x="0" y="0"/>
              </a:moveTo>
              <a:lnTo>
                <a:pt x="0" y="2089736"/>
              </a:lnTo>
              <a:lnTo>
                <a:pt x="92877" y="2089736"/>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DD9F9F3-B3B1-42AA-8815-98CA1F518FD3}">
      <dsp:nvSpPr>
        <dsp:cNvPr id="0" name=""/>
        <dsp:cNvSpPr/>
      </dsp:nvSpPr>
      <dsp:spPr>
        <a:xfrm>
          <a:off x="3019171" y="2324622"/>
          <a:ext cx="743017" cy="46438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t>Escasas atribuciones locales</a:t>
          </a:r>
        </a:p>
      </dsp:txBody>
      <dsp:txXfrm>
        <a:off x="3032772" y="2338223"/>
        <a:ext cx="715815" cy="437183"/>
      </dsp:txXfrm>
    </dsp:sp>
    <dsp:sp modelId="{97939319-6D7C-4C1C-B66C-54A3070C99E3}">
      <dsp:nvSpPr>
        <dsp:cNvPr id="0" name=""/>
        <dsp:cNvSpPr/>
      </dsp:nvSpPr>
      <dsp:spPr>
        <a:xfrm>
          <a:off x="2926294" y="467079"/>
          <a:ext cx="92877" cy="2670218"/>
        </a:xfrm>
        <a:custGeom>
          <a:avLst/>
          <a:gdLst/>
          <a:ahLst/>
          <a:cxnLst/>
          <a:rect l="0" t="0" r="0" b="0"/>
          <a:pathLst>
            <a:path>
              <a:moveTo>
                <a:pt x="0" y="0"/>
              </a:moveTo>
              <a:lnTo>
                <a:pt x="0" y="2670218"/>
              </a:lnTo>
              <a:lnTo>
                <a:pt x="92877" y="2670218"/>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62F9BAF-5864-4AFB-91C5-92CE467F1C4A}">
      <dsp:nvSpPr>
        <dsp:cNvPr id="0" name=""/>
        <dsp:cNvSpPr/>
      </dsp:nvSpPr>
      <dsp:spPr>
        <a:xfrm>
          <a:off x="3019171" y="2905104"/>
          <a:ext cx="743017" cy="46438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t>Mandato central</a:t>
          </a:r>
        </a:p>
      </dsp:txBody>
      <dsp:txXfrm>
        <a:off x="3032772" y="2918705"/>
        <a:ext cx="715815" cy="437183"/>
      </dsp:txXfrm>
    </dsp:sp>
    <dsp:sp modelId="{C7001B5C-4B6B-48A0-9790-4ADE735D26BB}">
      <dsp:nvSpPr>
        <dsp:cNvPr id="0" name=""/>
        <dsp:cNvSpPr/>
      </dsp:nvSpPr>
      <dsp:spPr>
        <a:xfrm>
          <a:off x="2926294" y="467079"/>
          <a:ext cx="92877" cy="3250700"/>
        </a:xfrm>
        <a:custGeom>
          <a:avLst/>
          <a:gdLst/>
          <a:ahLst/>
          <a:cxnLst/>
          <a:rect l="0" t="0" r="0" b="0"/>
          <a:pathLst>
            <a:path>
              <a:moveTo>
                <a:pt x="0" y="0"/>
              </a:moveTo>
              <a:lnTo>
                <a:pt x="0" y="3250700"/>
              </a:lnTo>
              <a:lnTo>
                <a:pt x="92877" y="3250700"/>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BC19D7D-3005-47A9-B9EA-7C5595E0DFA5}">
      <dsp:nvSpPr>
        <dsp:cNvPr id="0" name=""/>
        <dsp:cNvSpPr/>
      </dsp:nvSpPr>
      <dsp:spPr>
        <a:xfrm>
          <a:off x="3019171" y="3485587"/>
          <a:ext cx="743017" cy="46438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t>Regular entrega aportes de minería</a:t>
          </a:r>
        </a:p>
      </dsp:txBody>
      <dsp:txXfrm>
        <a:off x="3032772" y="3499188"/>
        <a:ext cx="715815" cy="437183"/>
      </dsp:txXfrm>
    </dsp:sp>
    <dsp:sp modelId="{285357AB-43AA-4E68-B4ED-C9F11E8F7EE8}">
      <dsp:nvSpPr>
        <dsp:cNvPr id="0" name=""/>
        <dsp:cNvSpPr/>
      </dsp:nvSpPr>
      <dsp:spPr>
        <a:xfrm>
          <a:off x="2926294" y="467079"/>
          <a:ext cx="92877" cy="3831183"/>
        </a:xfrm>
        <a:custGeom>
          <a:avLst/>
          <a:gdLst/>
          <a:ahLst/>
          <a:cxnLst/>
          <a:rect l="0" t="0" r="0" b="0"/>
          <a:pathLst>
            <a:path>
              <a:moveTo>
                <a:pt x="0" y="0"/>
              </a:moveTo>
              <a:lnTo>
                <a:pt x="0" y="3831183"/>
              </a:lnTo>
              <a:lnTo>
                <a:pt x="92877" y="3831183"/>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BC855D3-8C10-4253-854A-C1995CBB9E98}">
      <dsp:nvSpPr>
        <dsp:cNvPr id="0" name=""/>
        <dsp:cNvSpPr/>
      </dsp:nvSpPr>
      <dsp:spPr>
        <a:xfrm>
          <a:off x="3019171" y="4066069"/>
          <a:ext cx="743017" cy="46438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t>Escasa regulación administración recurso hídrico</a:t>
          </a:r>
        </a:p>
      </dsp:txBody>
      <dsp:txXfrm>
        <a:off x="3032772" y="4079670"/>
        <a:ext cx="715815" cy="437183"/>
      </dsp:txXfrm>
    </dsp:sp>
    <dsp:sp modelId="{EC588C09-45FD-4D6C-A285-0AAC9C0EC2E3}">
      <dsp:nvSpPr>
        <dsp:cNvPr id="0" name=""/>
        <dsp:cNvSpPr/>
      </dsp:nvSpPr>
      <dsp:spPr>
        <a:xfrm>
          <a:off x="3994381" y="2693"/>
          <a:ext cx="928771" cy="464385"/>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2700" rIns="19050" bIns="12700" numCol="1" spcCol="1270" anchor="ctr" anchorCtr="0">
          <a:noAutofit/>
        </a:bodyPr>
        <a:lstStyle/>
        <a:p>
          <a:pPr lvl="0" algn="ctr" defTabSz="444500">
            <a:lnSpc>
              <a:spcPct val="90000"/>
            </a:lnSpc>
            <a:spcBef>
              <a:spcPct val="0"/>
            </a:spcBef>
            <a:spcAft>
              <a:spcPct val="35000"/>
            </a:spcAft>
          </a:pPr>
          <a:r>
            <a:rPr lang="es-CL" sz="1000" kern="1200"/>
            <a:t>Participación y toma de decisión</a:t>
          </a:r>
        </a:p>
      </dsp:txBody>
      <dsp:txXfrm>
        <a:off x="4007982" y="16294"/>
        <a:ext cx="901569" cy="437183"/>
      </dsp:txXfrm>
    </dsp:sp>
    <dsp:sp modelId="{3289BF65-329F-4E20-8FD4-48C379A02607}">
      <dsp:nvSpPr>
        <dsp:cNvPr id="0" name=""/>
        <dsp:cNvSpPr/>
      </dsp:nvSpPr>
      <dsp:spPr>
        <a:xfrm>
          <a:off x="4087258" y="467079"/>
          <a:ext cx="92877" cy="348289"/>
        </a:xfrm>
        <a:custGeom>
          <a:avLst/>
          <a:gdLst/>
          <a:ahLst/>
          <a:cxnLst/>
          <a:rect l="0" t="0" r="0" b="0"/>
          <a:pathLst>
            <a:path>
              <a:moveTo>
                <a:pt x="0" y="0"/>
              </a:moveTo>
              <a:lnTo>
                <a:pt x="0" y="348289"/>
              </a:lnTo>
              <a:lnTo>
                <a:pt x="92877" y="348289"/>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371E8E8-5BE8-46AD-B1C5-5874ABC42EF9}">
      <dsp:nvSpPr>
        <dsp:cNvPr id="0" name=""/>
        <dsp:cNvSpPr/>
      </dsp:nvSpPr>
      <dsp:spPr>
        <a:xfrm>
          <a:off x="4180135" y="583175"/>
          <a:ext cx="743017" cy="46438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t>Proceso informativo no vinculante</a:t>
          </a:r>
        </a:p>
      </dsp:txBody>
      <dsp:txXfrm>
        <a:off x="4193736" y="596776"/>
        <a:ext cx="715815" cy="437183"/>
      </dsp:txXfrm>
    </dsp:sp>
    <dsp:sp modelId="{A580A8D8-C943-499E-A5FD-7AADEC51F020}">
      <dsp:nvSpPr>
        <dsp:cNvPr id="0" name=""/>
        <dsp:cNvSpPr/>
      </dsp:nvSpPr>
      <dsp:spPr>
        <a:xfrm>
          <a:off x="4087258" y="467079"/>
          <a:ext cx="92877" cy="928771"/>
        </a:xfrm>
        <a:custGeom>
          <a:avLst/>
          <a:gdLst/>
          <a:ahLst/>
          <a:cxnLst/>
          <a:rect l="0" t="0" r="0" b="0"/>
          <a:pathLst>
            <a:path>
              <a:moveTo>
                <a:pt x="0" y="0"/>
              </a:moveTo>
              <a:lnTo>
                <a:pt x="0" y="928771"/>
              </a:lnTo>
              <a:lnTo>
                <a:pt x="92877" y="928771"/>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28B2A79-79E3-41AC-A353-B63B553FE606}">
      <dsp:nvSpPr>
        <dsp:cNvPr id="0" name=""/>
        <dsp:cNvSpPr/>
      </dsp:nvSpPr>
      <dsp:spPr>
        <a:xfrm>
          <a:off x="4180135" y="1163658"/>
          <a:ext cx="743017" cy="46438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t>Modificaciones menores</a:t>
          </a:r>
        </a:p>
      </dsp:txBody>
      <dsp:txXfrm>
        <a:off x="4193736" y="1177259"/>
        <a:ext cx="715815" cy="437183"/>
      </dsp:txXfrm>
    </dsp:sp>
    <dsp:sp modelId="{8FA47F50-508D-4D05-88F1-ED9809BF9E01}">
      <dsp:nvSpPr>
        <dsp:cNvPr id="0" name=""/>
        <dsp:cNvSpPr/>
      </dsp:nvSpPr>
      <dsp:spPr>
        <a:xfrm>
          <a:off x="4087258" y="467079"/>
          <a:ext cx="92877" cy="1509253"/>
        </a:xfrm>
        <a:custGeom>
          <a:avLst/>
          <a:gdLst/>
          <a:ahLst/>
          <a:cxnLst/>
          <a:rect l="0" t="0" r="0" b="0"/>
          <a:pathLst>
            <a:path>
              <a:moveTo>
                <a:pt x="0" y="0"/>
              </a:moveTo>
              <a:lnTo>
                <a:pt x="0" y="1509253"/>
              </a:lnTo>
              <a:lnTo>
                <a:pt x="92877" y="1509253"/>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D51C480-0477-4C9F-BBEA-86131B63038E}">
      <dsp:nvSpPr>
        <dsp:cNvPr id="0" name=""/>
        <dsp:cNvSpPr/>
      </dsp:nvSpPr>
      <dsp:spPr>
        <a:xfrm>
          <a:off x="4180135" y="1744140"/>
          <a:ext cx="743017" cy="46438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t>Son consulta anticipada</a:t>
          </a:r>
        </a:p>
      </dsp:txBody>
      <dsp:txXfrm>
        <a:off x="4193736" y="1757741"/>
        <a:ext cx="715815" cy="437183"/>
      </dsp:txXfrm>
    </dsp:sp>
    <dsp:sp modelId="{012AE546-2EE7-4495-8131-B59730EE9F91}">
      <dsp:nvSpPr>
        <dsp:cNvPr id="0" name=""/>
        <dsp:cNvSpPr/>
      </dsp:nvSpPr>
      <dsp:spPr>
        <a:xfrm>
          <a:off x="4087258" y="467079"/>
          <a:ext cx="92877" cy="2089736"/>
        </a:xfrm>
        <a:custGeom>
          <a:avLst/>
          <a:gdLst/>
          <a:ahLst/>
          <a:cxnLst/>
          <a:rect l="0" t="0" r="0" b="0"/>
          <a:pathLst>
            <a:path>
              <a:moveTo>
                <a:pt x="0" y="0"/>
              </a:moveTo>
              <a:lnTo>
                <a:pt x="0" y="2089736"/>
              </a:lnTo>
              <a:lnTo>
                <a:pt x="92877" y="2089736"/>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C5BB120-78D5-4937-8DFE-AE5AD214A93D}">
      <dsp:nvSpPr>
        <dsp:cNvPr id="0" name=""/>
        <dsp:cNvSpPr/>
      </dsp:nvSpPr>
      <dsp:spPr>
        <a:xfrm>
          <a:off x="4180135" y="2324622"/>
          <a:ext cx="743017" cy="46438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t>Manifestación oposición</a:t>
          </a:r>
        </a:p>
      </dsp:txBody>
      <dsp:txXfrm>
        <a:off x="4193736" y="2338223"/>
        <a:ext cx="715815" cy="437183"/>
      </dsp:txXfrm>
    </dsp:sp>
    <dsp:sp modelId="{B9C53591-5AEA-44DE-8898-A51744631141}">
      <dsp:nvSpPr>
        <dsp:cNvPr id="0" name=""/>
        <dsp:cNvSpPr/>
      </dsp:nvSpPr>
      <dsp:spPr>
        <a:xfrm>
          <a:off x="4087258" y="467079"/>
          <a:ext cx="92877" cy="2670218"/>
        </a:xfrm>
        <a:custGeom>
          <a:avLst/>
          <a:gdLst/>
          <a:ahLst/>
          <a:cxnLst/>
          <a:rect l="0" t="0" r="0" b="0"/>
          <a:pathLst>
            <a:path>
              <a:moveTo>
                <a:pt x="0" y="0"/>
              </a:moveTo>
              <a:lnTo>
                <a:pt x="0" y="2670218"/>
              </a:lnTo>
              <a:lnTo>
                <a:pt x="92877" y="2670218"/>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43CE1EB-1D7C-41D5-9B41-5160C89D6B1C}">
      <dsp:nvSpPr>
        <dsp:cNvPr id="0" name=""/>
        <dsp:cNvSpPr/>
      </dsp:nvSpPr>
      <dsp:spPr>
        <a:xfrm>
          <a:off x="4180135" y="2905104"/>
          <a:ext cx="743017" cy="46438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t>Ciudadania vs indígenas</a:t>
          </a:r>
        </a:p>
      </dsp:txBody>
      <dsp:txXfrm>
        <a:off x="4193736" y="2918705"/>
        <a:ext cx="715815" cy="437183"/>
      </dsp:txXfrm>
    </dsp:sp>
    <dsp:sp modelId="{61E5A021-8FAB-40F3-A713-C3015B069664}">
      <dsp:nvSpPr>
        <dsp:cNvPr id="0" name=""/>
        <dsp:cNvSpPr/>
      </dsp:nvSpPr>
      <dsp:spPr>
        <a:xfrm>
          <a:off x="4087258" y="467079"/>
          <a:ext cx="92877" cy="3250700"/>
        </a:xfrm>
        <a:custGeom>
          <a:avLst/>
          <a:gdLst/>
          <a:ahLst/>
          <a:cxnLst/>
          <a:rect l="0" t="0" r="0" b="0"/>
          <a:pathLst>
            <a:path>
              <a:moveTo>
                <a:pt x="0" y="0"/>
              </a:moveTo>
              <a:lnTo>
                <a:pt x="0" y="3250700"/>
              </a:lnTo>
              <a:lnTo>
                <a:pt x="92877" y="3250700"/>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ACCEA78-5525-40E7-8F6F-9183458E18FA}">
      <dsp:nvSpPr>
        <dsp:cNvPr id="0" name=""/>
        <dsp:cNvSpPr/>
      </dsp:nvSpPr>
      <dsp:spPr>
        <a:xfrm>
          <a:off x="4180135" y="3485587"/>
          <a:ext cx="743017" cy="46438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t>Calidad de vida incompleta</a:t>
          </a:r>
        </a:p>
      </dsp:txBody>
      <dsp:txXfrm>
        <a:off x="4193736" y="3499188"/>
        <a:ext cx="715815" cy="437183"/>
      </dsp:txXfrm>
    </dsp:sp>
    <dsp:sp modelId="{7C636446-327D-45EA-8DCB-2D35AD3543B8}">
      <dsp:nvSpPr>
        <dsp:cNvPr id="0" name=""/>
        <dsp:cNvSpPr/>
      </dsp:nvSpPr>
      <dsp:spPr>
        <a:xfrm>
          <a:off x="4087258" y="467079"/>
          <a:ext cx="92877" cy="3831183"/>
        </a:xfrm>
        <a:custGeom>
          <a:avLst/>
          <a:gdLst/>
          <a:ahLst/>
          <a:cxnLst/>
          <a:rect l="0" t="0" r="0" b="0"/>
          <a:pathLst>
            <a:path>
              <a:moveTo>
                <a:pt x="0" y="0"/>
              </a:moveTo>
              <a:lnTo>
                <a:pt x="0" y="3831183"/>
              </a:lnTo>
              <a:lnTo>
                <a:pt x="92877" y="3831183"/>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28E84AE-B8E0-48A1-9E9C-CA1A75B382B2}">
      <dsp:nvSpPr>
        <dsp:cNvPr id="0" name=""/>
        <dsp:cNvSpPr/>
      </dsp:nvSpPr>
      <dsp:spPr>
        <a:xfrm>
          <a:off x="4180135" y="4066069"/>
          <a:ext cx="743017" cy="46438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t>Escaso rol autoridades locales</a:t>
          </a:r>
        </a:p>
      </dsp:txBody>
      <dsp:txXfrm>
        <a:off x="4193736" y="4079670"/>
        <a:ext cx="715815" cy="437183"/>
      </dsp:txXfrm>
    </dsp:sp>
    <dsp:sp modelId="{81A19B44-C284-40E5-9BB0-00B42A0F0A62}">
      <dsp:nvSpPr>
        <dsp:cNvPr id="0" name=""/>
        <dsp:cNvSpPr/>
      </dsp:nvSpPr>
      <dsp:spPr>
        <a:xfrm>
          <a:off x="4087258" y="467079"/>
          <a:ext cx="92877" cy="4411665"/>
        </a:xfrm>
        <a:custGeom>
          <a:avLst/>
          <a:gdLst/>
          <a:ahLst/>
          <a:cxnLst/>
          <a:rect l="0" t="0" r="0" b="0"/>
          <a:pathLst>
            <a:path>
              <a:moveTo>
                <a:pt x="0" y="0"/>
              </a:moveTo>
              <a:lnTo>
                <a:pt x="0" y="4411665"/>
              </a:lnTo>
              <a:lnTo>
                <a:pt x="92877" y="4411665"/>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9FA2F4E5-BF44-4BEB-9FC8-C0E6AB0056D8}">
      <dsp:nvSpPr>
        <dsp:cNvPr id="0" name=""/>
        <dsp:cNvSpPr/>
      </dsp:nvSpPr>
      <dsp:spPr>
        <a:xfrm>
          <a:off x="4180135" y="4646551"/>
          <a:ext cx="743017" cy="46438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t>Área de influencia</a:t>
          </a:r>
        </a:p>
      </dsp:txBody>
      <dsp:txXfrm>
        <a:off x="4193736" y="4660152"/>
        <a:ext cx="715815" cy="437183"/>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EC737DC-A185-4946-867A-572AD620E22E}">
      <dsp:nvSpPr>
        <dsp:cNvPr id="0" name=""/>
        <dsp:cNvSpPr/>
      </dsp:nvSpPr>
      <dsp:spPr>
        <a:xfrm>
          <a:off x="242231" y="2163"/>
          <a:ext cx="1065751" cy="532875"/>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2700" rIns="19050" bIns="12700" numCol="1" spcCol="1270" anchor="ctr" anchorCtr="0">
          <a:noAutofit/>
        </a:bodyPr>
        <a:lstStyle/>
        <a:p>
          <a:pPr lvl="0" algn="ctr" defTabSz="444500">
            <a:lnSpc>
              <a:spcPct val="90000"/>
            </a:lnSpc>
            <a:spcBef>
              <a:spcPct val="0"/>
            </a:spcBef>
            <a:spcAft>
              <a:spcPct val="35000"/>
            </a:spcAft>
          </a:pPr>
          <a:r>
            <a:rPr lang="es-CL" sz="1000" kern="1200">
              <a:latin typeface="Arial" panose="020B0604020202020204" pitchFamily="34" charset="0"/>
              <a:cs typeface="Arial" panose="020B0604020202020204" pitchFamily="34" charset="0"/>
            </a:rPr>
            <a:t>Territorialidad</a:t>
          </a:r>
        </a:p>
      </dsp:txBody>
      <dsp:txXfrm>
        <a:off x="257838" y="17770"/>
        <a:ext cx="1034537" cy="501661"/>
      </dsp:txXfrm>
    </dsp:sp>
    <dsp:sp modelId="{A1F98B87-D9CB-4803-87BA-6D08F7B4C9DE}">
      <dsp:nvSpPr>
        <dsp:cNvPr id="0" name=""/>
        <dsp:cNvSpPr/>
      </dsp:nvSpPr>
      <dsp:spPr>
        <a:xfrm>
          <a:off x="348806" y="535039"/>
          <a:ext cx="106575" cy="399656"/>
        </a:xfrm>
        <a:custGeom>
          <a:avLst/>
          <a:gdLst/>
          <a:ahLst/>
          <a:cxnLst/>
          <a:rect l="0" t="0" r="0" b="0"/>
          <a:pathLst>
            <a:path>
              <a:moveTo>
                <a:pt x="0" y="0"/>
              </a:moveTo>
              <a:lnTo>
                <a:pt x="0" y="399656"/>
              </a:lnTo>
              <a:lnTo>
                <a:pt x="106575" y="399656"/>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E440910-A3F8-43FB-B76D-AB8800A6969B}">
      <dsp:nvSpPr>
        <dsp:cNvPr id="0" name=""/>
        <dsp:cNvSpPr/>
      </dsp:nvSpPr>
      <dsp:spPr>
        <a:xfrm>
          <a:off x="455382" y="668258"/>
          <a:ext cx="852601" cy="53287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Actividades agrícolas</a:t>
          </a:r>
        </a:p>
      </dsp:txBody>
      <dsp:txXfrm>
        <a:off x="470989" y="683865"/>
        <a:ext cx="821387" cy="501661"/>
      </dsp:txXfrm>
    </dsp:sp>
    <dsp:sp modelId="{C8D589D2-CEF1-4ED8-8382-DC88D4A353D7}">
      <dsp:nvSpPr>
        <dsp:cNvPr id="0" name=""/>
        <dsp:cNvSpPr/>
      </dsp:nvSpPr>
      <dsp:spPr>
        <a:xfrm>
          <a:off x="348806" y="535039"/>
          <a:ext cx="106575" cy="1065751"/>
        </a:xfrm>
        <a:custGeom>
          <a:avLst/>
          <a:gdLst/>
          <a:ahLst/>
          <a:cxnLst/>
          <a:rect l="0" t="0" r="0" b="0"/>
          <a:pathLst>
            <a:path>
              <a:moveTo>
                <a:pt x="0" y="0"/>
              </a:moveTo>
              <a:lnTo>
                <a:pt x="0" y="1065751"/>
              </a:lnTo>
              <a:lnTo>
                <a:pt x="106575" y="1065751"/>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D795005-5C26-4627-859C-68139AC17373}">
      <dsp:nvSpPr>
        <dsp:cNvPr id="0" name=""/>
        <dsp:cNvSpPr/>
      </dsp:nvSpPr>
      <dsp:spPr>
        <a:xfrm>
          <a:off x="455382" y="1334353"/>
          <a:ext cx="852601" cy="53287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Ganadería trashumante</a:t>
          </a:r>
        </a:p>
      </dsp:txBody>
      <dsp:txXfrm>
        <a:off x="470989" y="1349960"/>
        <a:ext cx="821387" cy="501661"/>
      </dsp:txXfrm>
    </dsp:sp>
    <dsp:sp modelId="{715329C3-3E03-45AE-8A9F-275FD9ED0F85}">
      <dsp:nvSpPr>
        <dsp:cNvPr id="0" name=""/>
        <dsp:cNvSpPr/>
      </dsp:nvSpPr>
      <dsp:spPr>
        <a:xfrm>
          <a:off x="348806" y="535039"/>
          <a:ext cx="106575" cy="1731846"/>
        </a:xfrm>
        <a:custGeom>
          <a:avLst/>
          <a:gdLst/>
          <a:ahLst/>
          <a:cxnLst/>
          <a:rect l="0" t="0" r="0" b="0"/>
          <a:pathLst>
            <a:path>
              <a:moveTo>
                <a:pt x="0" y="0"/>
              </a:moveTo>
              <a:lnTo>
                <a:pt x="0" y="1731846"/>
              </a:lnTo>
              <a:lnTo>
                <a:pt x="106575" y="1731846"/>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7E1D068-D452-4ED7-9251-F76E99DC17D2}">
      <dsp:nvSpPr>
        <dsp:cNvPr id="0" name=""/>
        <dsp:cNvSpPr/>
      </dsp:nvSpPr>
      <dsp:spPr>
        <a:xfrm>
          <a:off x="455382" y="2000448"/>
          <a:ext cx="852601" cy="53287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Minería</a:t>
          </a:r>
        </a:p>
      </dsp:txBody>
      <dsp:txXfrm>
        <a:off x="470989" y="2016055"/>
        <a:ext cx="821387" cy="501661"/>
      </dsp:txXfrm>
    </dsp:sp>
    <dsp:sp modelId="{6625C6DB-488E-49A2-86E8-29EE3D202202}">
      <dsp:nvSpPr>
        <dsp:cNvPr id="0" name=""/>
        <dsp:cNvSpPr/>
      </dsp:nvSpPr>
      <dsp:spPr>
        <a:xfrm>
          <a:off x="348806" y="535039"/>
          <a:ext cx="106575" cy="2397941"/>
        </a:xfrm>
        <a:custGeom>
          <a:avLst/>
          <a:gdLst/>
          <a:ahLst/>
          <a:cxnLst/>
          <a:rect l="0" t="0" r="0" b="0"/>
          <a:pathLst>
            <a:path>
              <a:moveTo>
                <a:pt x="0" y="0"/>
              </a:moveTo>
              <a:lnTo>
                <a:pt x="0" y="2397941"/>
              </a:lnTo>
              <a:lnTo>
                <a:pt x="106575" y="2397941"/>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EF8CA90-B719-4C03-9B62-C401757FA8FE}">
      <dsp:nvSpPr>
        <dsp:cNvPr id="0" name=""/>
        <dsp:cNvSpPr/>
      </dsp:nvSpPr>
      <dsp:spPr>
        <a:xfrm>
          <a:off x="455382" y="2666543"/>
          <a:ext cx="852601" cy="53287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Pérdida de uso colectivo</a:t>
          </a:r>
        </a:p>
      </dsp:txBody>
      <dsp:txXfrm>
        <a:off x="470989" y="2682150"/>
        <a:ext cx="821387" cy="501661"/>
      </dsp:txXfrm>
    </dsp:sp>
    <dsp:sp modelId="{D2446104-3EA0-4C85-87BA-312BCFD96F45}">
      <dsp:nvSpPr>
        <dsp:cNvPr id="0" name=""/>
        <dsp:cNvSpPr/>
      </dsp:nvSpPr>
      <dsp:spPr>
        <a:xfrm>
          <a:off x="1574421" y="2163"/>
          <a:ext cx="1065751" cy="532875"/>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2700" rIns="19050" bIns="12700" numCol="1" spcCol="1270" anchor="ctr" anchorCtr="0">
          <a:noAutofit/>
        </a:bodyPr>
        <a:lstStyle/>
        <a:p>
          <a:pPr lvl="0" algn="ctr" defTabSz="444500">
            <a:lnSpc>
              <a:spcPct val="90000"/>
            </a:lnSpc>
            <a:spcBef>
              <a:spcPct val="0"/>
            </a:spcBef>
            <a:spcAft>
              <a:spcPct val="35000"/>
            </a:spcAft>
          </a:pPr>
          <a:r>
            <a:rPr lang="es-CL" sz="1000" kern="1200">
              <a:latin typeface="Arial" panose="020B0604020202020204" pitchFamily="34" charset="0"/>
              <a:cs typeface="Arial" panose="020B0604020202020204" pitchFamily="34" charset="0"/>
            </a:rPr>
            <a:t>Desarrollo Local </a:t>
          </a:r>
        </a:p>
      </dsp:txBody>
      <dsp:txXfrm>
        <a:off x="1590028" y="17770"/>
        <a:ext cx="1034537" cy="501661"/>
      </dsp:txXfrm>
    </dsp:sp>
    <dsp:sp modelId="{7603A070-B153-461B-81D5-6A0DB2D8172B}">
      <dsp:nvSpPr>
        <dsp:cNvPr id="0" name=""/>
        <dsp:cNvSpPr/>
      </dsp:nvSpPr>
      <dsp:spPr>
        <a:xfrm>
          <a:off x="1680996" y="535039"/>
          <a:ext cx="106575" cy="399656"/>
        </a:xfrm>
        <a:custGeom>
          <a:avLst/>
          <a:gdLst/>
          <a:ahLst/>
          <a:cxnLst/>
          <a:rect l="0" t="0" r="0" b="0"/>
          <a:pathLst>
            <a:path>
              <a:moveTo>
                <a:pt x="0" y="0"/>
              </a:moveTo>
              <a:lnTo>
                <a:pt x="0" y="399656"/>
              </a:lnTo>
              <a:lnTo>
                <a:pt x="106575" y="399656"/>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8B525D0-9401-4509-95F5-89A55399F7DC}">
      <dsp:nvSpPr>
        <dsp:cNvPr id="0" name=""/>
        <dsp:cNvSpPr/>
      </dsp:nvSpPr>
      <dsp:spPr>
        <a:xfrm>
          <a:off x="1787571" y="668258"/>
          <a:ext cx="852601" cy="53287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Agricultura y ganadería de subsistencia</a:t>
          </a:r>
        </a:p>
      </dsp:txBody>
      <dsp:txXfrm>
        <a:off x="1803178" y="683865"/>
        <a:ext cx="821387" cy="501661"/>
      </dsp:txXfrm>
    </dsp:sp>
    <dsp:sp modelId="{D103FB9E-C4D8-47A3-B201-9C844766C6FB}">
      <dsp:nvSpPr>
        <dsp:cNvPr id="0" name=""/>
        <dsp:cNvSpPr/>
      </dsp:nvSpPr>
      <dsp:spPr>
        <a:xfrm>
          <a:off x="1680996" y="535039"/>
          <a:ext cx="106575" cy="1065751"/>
        </a:xfrm>
        <a:custGeom>
          <a:avLst/>
          <a:gdLst/>
          <a:ahLst/>
          <a:cxnLst/>
          <a:rect l="0" t="0" r="0" b="0"/>
          <a:pathLst>
            <a:path>
              <a:moveTo>
                <a:pt x="0" y="0"/>
              </a:moveTo>
              <a:lnTo>
                <a:pt x="0" y="1065751"/>
              </a:lnTo>
              <a:lnTo>
                <a:pt x="106575" y="1065751"/>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36C8D1F-F39E-4B10-8E22-AD76AAF368AB}">
      <dsp:nvSpPr>
        <dsp:cNvPr id="0" name=""/>
        <dsp:cNvSpPr/>
      </dsp:nvSpPr>
      <dsp:spPr>
        <a:xfrm>
          <a:off x="1787571" y="1334353"/>
          <a:ext cx="852601" cy="53287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Escaso desarrolo sectores rurales</a:t>
          </a:r>
        </a:p>
      </dsp:txBody>
      <dsp:txXfrm>
        <a:off x="1803178" y="1349960"/>
        <a:ext cx="821387" cy="501661"/>
      </dsp:txXfrm>
    </dsp:sp>
    <dsp:sp modelId="{19969FB1-D5C7-4289-B350-99C3C7C930FA}">
      <dsp:nvSpPr>
        <dsp:cNvPr id="0" name=""/>
        <dsp:cNvSpPr/>
      </dsp:nvSpPr>
      <dsp:spPr>
        <a:xfrm>
          <a:off x="1680996" y="535039"/>
          <a:ext cx="106575" cy="1731846"/>
        </a:xfrm>
        <a:custGeom>
          <a:avLst/>
          <a:gdLst/>
          <a:ahLst/>
          <a:cxnLst/>
          <a:rect l="0" t="0" r="0" b="0"/>
          <a:pathLst>
            <a:path>
              <a:moveTo>
                <a:pt x="0" y="0"/>
              </a:moveTo>
              <a:lnTo>
                <a:pt x="0" y="1731846"/>
              </a:lnTo>
              <a:lnTo>
                <a:pt x="106575" y="1731846"/>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603AFFD-5AE9-4C5D-A381-BF38DF18045C}">
      <dsp:nvSpPr>
        <dsp:cNvPr id="0" name=""/>
        <dsp:cNvSpPr/>
      </dsp:nvSpPr>
      <dsp:spPr>
        <a:xfrm>
          <a:off x="1787571" y="2000448"/>
          <a:ext cx="852601" cy="53287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Desarrollo asociado a minería </a:t>
          </a:r>
        </a:p>
      </dsp:txBody>
      <dsp:txXfrm>
        <a:off x="1803178" y="2016055"/>
        <a:ext cx="821387" cy="501661"/>
      </dsp:txXfrm>
    </dsp:sp>
    <dsp:sp modelId="{5DBF48CA-E053-4ADC-9FCB-2F18D39C7F90}">
      <dsp:nvSpPr>
        <dsp:cNvPr id="0" name=""/>
        <dsp:cNvSpPr/>
      </dsp:nvSpPr>
      <dsp:spPr>
        <a:xfrm>
          <a:off x="1680996" y="535039"/>
          <a:ext cx="106575" cy="2397941"/>
        </a:xfrm>
        <a:custGeom>
          <a:avLst/>
          <a:gdLst/>
          <a:ahLst/>
          <a:cxnLst/>
          <a:rect l="0" t="0" r="0" b="0"/>
          <a:pathLst>
            <a:path>
              <a:moveTo>
                <a:pt x="0" y="0"/>
              </a:moveTo>
              <a:lnTo>
                <a:pt x="0" y="2397941"/>
              </a:lnTo>
              <a:lnTo>
                <a:pt x="106575" y="2397941"/>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F1E1759-83FE-4542-BA17-E8BEA0E047BA}">
      <dsp:nvSpPr>
        <dsp:cNvPr id="0" name=""/>
        <dsp:cNvSpPr/>
      </dsp:nvSpPr>
      <dsp:spPr>
        <a:xfrm>
          <a:off x="1787571" y="2666543"/>
          <a:ext cx="852601" cy="53287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Demanda mano de obra</a:t>
          </a:r>
        </a:p>
      </dsp:txBody>
      <dsp:txXfrm>
        <a:off x="1803178" y="2682150"/>
        <a:ext cx="821387" cy="501661"/>
      </dsp:txXfrm>
    </dsp:sp>
    <dsp:sp modelId="{615C4564-0FE6-4D44-BC51-8BA425CE7DB3}">
      <dsp:nvSpPr>
        <dsp:cNvPr id="0" name=""/>
        <dsp:cNvSpPr/>
      </dsp:nvSpPr>
      <dsp:spPr>
        <a:xfrm>
          <a:off x="1680996" y="535039"/>
          <a:ext cx="106575" cy="3064036"/>
        </a:xfrm>
        <a:custGeom>
          <a:avLst/>
          <a:gdLst/>
          <a:ahLst/>
          <a:cxnLst/>
          <a:rect l="0" t="0" r="0" b="0"/>
          <a:pathLst>
            <a:path>
              <a:moveTo>
                <a:pt x="0" y="0"/>
              </a:moveTo>
              <a:lnTo>
                <a:pt x="0" y="3064036"/>
              </a:lnTo>
              <a:lnTo>
                <a:pt x="106575" y="3064036"/>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5DBE264-A5A1-4339-BE37-58F2CFF358F1}">
      <dsp:nvSpPr>
        <dsp:cNvPr id="0" name=""/>
        <dsp:cNvSpPr/>
      </dsp:nvSpPr>
      <dsp:spPr>
        <a:xfrm>
          <a:off x="1787571" y="3332638"/>
          <a:ext cx="852601" cy="53287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Ausencia desarrollo turismo</a:t>
          </a:r>
        </a:p>
      </dsp:txBody>
      <dsp:txXfrm>
        <a:off x="1803178" y="3348245"/>
        <a:ext cx="821387" cy="501661"/>
      </dsp:txXfrm>
    </dsp:sp>
    <dsp:sp modelId="{F657F0C8-2819-409E-8A4A-9DD157550E3D}">
      <dsp:nvSpPr>
        <dsp:cNvPr id="0" name=""/>
        <dsp:cNvSpPr/>
      </dsp:nvSpPr>
      <dsp:spPr>
        <a:xfrm>
          <a:off x="1680996" y="535039"/>
          <a:ext cx="106575" cy="3730131"/>
        </a:xfrm>
        <a:custGeom>
          <a:avLst/>
          <a:gdLst/>
          <a:ahLst/>
          <a:cxnLst/>
          <a:rect l="0" t="0" r="0" b="0"/>
          <a:pathLst>
            <a:path>
              <a:moveTo>
                <a:pt x="0" y="0"/>
              </a:moveTo>
              <a:lnTo>
                <a:pt x="0" y="3730131"/>
              </a:lnTo>
              <a:lnTo>
                <a:pt x="106575" y="3730131"/>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5CB9851-C357-45F4-BE96-250B6625F4BF}">
      <dsp:nvSpPr>
        <dsp:cNvPr id="0" name=""/>
        <dsp:cNvSpPr/>
      </dsp:nvSpPr>
      <dsp:spPr>
        <a:xfrm>
          <a:off x="1787571" y="3998733"/>
          <a:ext cx="852601" cy="53287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Baja comercialización productos locales</a:t>
          </a:r>
        </a:p>
      </dsp:txBody>
      <dsp:txXfrm>
        <a:off x="1803178" y="4014340"/>
        <a:ext cx="821387" cy="501661"/>
      </dsp:txXfrm>
    </dsp:sp>
    <dsp:sp modelId="{A4AB0E78-6D94-4737-A27C-99AAE441DA89}">
      <dsp:nvSpPr>
        <dsp:cNvPr id="0" name=""/>
        <dsp:cNvSpPr/>
      </dsp:nvSpPr>
      <dsp:spPr>
        <a:xfrm>
          <a:off x="1680996" y="535039"/>
          <a:ext cx="106575" cy="4396226"/>
        </a:xfrm>
        <a:custGeom>
          <a:avLst/>
          <a:gdLst/>
          <a:ahLst/>
          <a:cxnLst/>
          <a:rect l="0" t="0" r="0" b="0"/>
          <a:pathLst>
            <a:path>
              <a:moveTo>
                <a:pt x="0" y="0"/>
              </a:moveTo>
              <a:lnTo>
                <a:pt x="0" y="4396226"/>
              </a:lnTo>
              <a:lnTo>
                <a:pt x="106575" y="4396226"/>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08A4090-AC0C-4D77-9F5D-8144C28EC26E}">
      <dsp:nvSpPr>
        <dsp:cNvPr id="0" name=""/>
        <dsp:cNvSpPr/>
      </dsp:nvSpPr>
      <dsp:spPr>
        <a:xfrm>
          <a:off x="1787571" y="4664828"/>
          <a:ext cx="852601" cy="53287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Escasos Servición complementarios</a:t>
          </a:r>
        </a:p>
      </dsp:txBody>
      <dsp:txXfrm>
        <a:off x="1803178" y="4680435"/>
        <a:ext cx="821387" cy="501661"/>
      </dsp:txXfrm>
    </dsp:sp>
    <dsp:sp modelId="{C2EEA2BF-2A67-43BB-957B-8C27066543BE}">
      <dsp:nvSpPr>
        <dsp:cNvPr id="0" name=""/>
        <dsp:cNvSpPr/>
      </dsp:nvSpPr>
      <dsp:spPr>
        <a:xfrm>
          <a:off x="2906611" y="2163"/>
          <a:ext cx="1065751" cy="532875"/>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2700" rIns="19050" bIns="12700" numCol="1" spcCol="1270" anchor="ctr" anchorCtr="0">
          <a:noAutofit/>
        </a:bodyPr>
        <a:lstStyle/>
        <a:p>
          <a:pPr lvl="0" algn="ctr" defTabSz="444500">
            <a:lnSpc>
              <a:spcPct val="90000"/>
            </a:lnSpc>
            <a:spcBef>
              <a:spcPct val="0"/>
            </a:spcBef>
            <a:spcAft>
              <a:spcPct val="35000"/>
            </a:spcAft>
          </a:pPr>
          <a:r>
            <a:rPr lang="es-CL" sz="1000" kern="1200">
              <a:latin typeface="Arial" panose="020B0604020202020204" pitchFamily="34" charset="0"/>
              <a:cs typeface="Arial" panose="020B0604020202020204" pitchFamily="34" charset="0"/>
            </a:rPr>
            <a:t>Servicios e infraestructura pública</a:t>
          </a:r>
        </a:p>
      </dsp:txBody>
      <dsp:txXfrm>
        <a:off x="2922218" y="17770"/>
        <a:ext cx="1034537" cy="501661"/>
      </dsp:txXfrm>
    </dsp:sp>
    <dsp:sp modelId="{6CE5C7ED-F92A-46B2-9656-831ECA9CA32D}">
      <dsp:nvSpPr>
        <dsp:cNvPr id="0" name=""/>
        <dsp:cNvSpPr/>
      </dsp:nvSpPr>
      <dsp:spPr>
        <a:xfrm>
          <a:off x="3013186" y="535039"/>
          <a:ext cx="106575" cy="399656"/>
        </a:xfrm>
        <a:custGeom>
          <a:avLst/>
          <a:gdLst/>
          <a:ahLst/>
          <a:cxnLst/>
          <a:rect l="0" t="0" r="0" b="0"/>
          <a:pathLst>
            <a:path>
              <a:moveTo>
                <a:pt x="0" y="0"/>
              </a:moveTo>
              <a:lnTo>
                <a:pt x="0" y="399656"/>
              </a:lnTo>
              <a:lnTo>
                <a:pt x="106575" y="399656"/>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E2D4613-217F-4995-8BF7-B2252E4ED39E}">
      <dsp:nvSpPr>
        <dsp:cNvPr id="0" name=""/>
        <dsp:cNvSpPr/>
      </dsp:nvSpPr>
      <dsp:spPr>
        <a:xfrm>
          <a:off x="3119761" y="668258"/>
          <a:ext cx="852601" cy="53287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Reucida conectividad</a:t>
          </a:r>
        </a:p>
      </dsp:txBody>
      <dsp:txXfrm>
        <a:off x="3135368" y="683865"/>
        <a:ext cx="821387" cy="501661"/>
      </dsp:txXfrm>
    </dsp:sp>
    <dsp:sp modelId="{5A74420C-D154-4CC5-A95D-7F0EA332C6FB}">
      <dsp:nvSpPr>
        <dsp:cNvPr id="0" name=""/>
        <dsp:cNvSpPr/>
      </dsp:nvSpPr>
      <dsp:spPr>
        <a:xfrm>
          <a:off x="3013186" y="535039"/>
          <a:ext cx="106575" cy="1065751"/>
        </a:xfrm>
        <a:custGeom>
          <a:avLst/>
          <a:gdLst/>
          <a:ahLst/>
          <a:cxnLst/>
          <a:rect l="0" t="0" r="0" b="0"/>
          <a:pathLst>
            <a:path>
              <a:moveTo>
                <a:pt x="0" y="0"/>
              </a:moveTo>
              <a:lnTo>
                <a:pt x="0" y="1065751"/>
              </a:lnTo>
              <a:lnTo>
                <a:pt x="106575" y="1065751"/>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8122B9D-8139-4ACE-A6F2-8037D0D001FE}">
      <dsp:nvSpPr>
        <dsp:cNvPr id="0" name=""/>
        <dsp:cNvSpPr/>
      </dsp:nvSpPr>
      <dsp:spPr>
        <a:xfrm>
          <a:off x="3119761" y="1334353"/>
          <a:ext cx="852601" cy="53287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Educación incompleta y de baja calidad</a:t>
          </a:r>
        </a:p>
      </dsp:txBody>
      <dsp:txXfrm>
        <a:off x="3135368" y="1349960"/>
        <a:ext cx="821387" cy="501661"/>
      </dsp:txXfrm>
    </dsp:sp>
    <dsp:sp modelId="{8672BA74-D38E-47C6-9767-702FC05B4796}">
      <dsp:nvSpPr>
        <dsp:cNvPr id="0" name=""/>
        <dsp:cNvSpPr/>
      </dsp:nvSpPr>
      <dsp:spPr>
        <a:xfrm>
          <a:off x="3013186" y="535039"/>
          <a:ext cx="106575" cy="1731846"/>
        </a:xfrm>
        <a:custGeom>
          <a:avLst/>
          <a:gdLst/>
          <a:ahLst/>
          <a:cxnLst/>
          <a:rect l="0" t="0" r="0" b="0"/>
          <a:pathLst>
            <a:path>
              <a:moveTo>
                <a:pt x="0" y="0"/>
              </a:moveTo>
              <a:lnTo>
                <a:pt x="0" y="1731846"/>
              </a:lnTo>
              <a:lnTo>
                <a:pt x="106575" y="1731846"/>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EABD8BF-4E60-4AA1-8C95-B5A352C92258}">
      <dsp:nvSpPr>
        <dsp:cNvPr id="0" name=""/>
        <dsp:cNvSpPr/>
      </dsp:nvSpPr>
      <dsp:spPr>
        <a:xfrm>
          <a:off x="3119761" y="2000448"/>
          <a:ext cx="852601" cy="53287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Deficit atención salud</a:t>
          </a:r>
        </a:p>
      </dsp:txBody>
      <dsp:txXfrm>
        <a:off x="3135368" y="2016055"/>
        <a:ext cx="821387" cy="501661"/>
      </dsp:txXfrm>
    </dsp:sp>
    <dsp:sp modelId="{11CD4A67-1A27-4F69-8303-5842295C0121}">
      <dsp:nvSpPr>
        <dsp:cNvPr id="0" name=""/>
        <dsp:cNvSpPr/>
      </dsp:nvSpPr>
      <dsp:spPr>
        <a:xfrm>
          <a:off x="4238801" y="2163"/>
          <a:ext cx="1065751" cy="532875"/>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2700" rIns="19050" bIns="12700" numCol="1" spcCol="1270" anchor="ctr" anchorCtr="0">
          <a:noAutofit/>
        </a:bodyPr>
        <a:lstStyle/>
        <a:p>
          <a:pPr lvl="0" algn="ctr" defTabSz="444500">
            <a:lnSpc>
              <a:spcPct val="90000"/>
            </a:lnSpc>
            <a:spcBef>
              <a:spcPct val="0"/>
            </a:spcBef>
            <a:spcAft>
              <a:spcPct val="35000"/>
            </a:spcAft>
          </a:pPr>
          <a:r>
            <a:rPr lang="es-CL" sz="1000" kern="1200">
              <a:latin typeface="Arial" panose="020B0604020202020204" pitchFamily="34" charset="0"/>
              <a:cs typeface="Arial" panose="020B0604020202020204" pitchFamily="34" charset="0"/>
            </a:rPr>
            <a:t>Agricultura y ganadería</a:t>
          </a:r>
        </a:p>
      </dsp:txBody>
      <dsp:txXfrm>
        <a:off x="4254408" y="17770"/>
        <a:ext cx="1034537" cy="501661"/>
      </dsp:txXfrm>
    </dsp:sp>
    <dsp:sp modelId="{E6CFD7B5-BEB8-4487-91B8-6077E2E4B8A5}">
      <dsp:nvSpPr>
        <dsp:cNvPr id="0" name=""/>
        <dsp:cNvSpPr/>
      </dsp:nvSpPr>
      <dsp:spPr>
        <a:xfrm>
          <a:off x="4345376" y="535039"/>
          <a:ext cx="106575" cy="399656"/>
        </a:xfrm>
        <a:custGeom>
          <a:avLst/>
          <a:gdLst/>
          <a:ahLst/>
          <a:cxnLst/>
          <a:rect l="0" t="0" r="0" b="0"/>
          <a:pathLst>
            <a:path>
              <a:moveTo>
                <a:pt x="0" y="0"/>
              </a:moveTo>
              <a:lnTo>
                <a:pt x="0" y="399656"/>
              </a:lnTo>
              <a:lnTo>
                <a:pt x="106575" y="399656"/>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6EB50E4-3670-434E-9FA5-1B2740274CE5}">
      <dsp:nvSpPr>
        <dsp:cNvPr id="0" name=""/>
        <dsp:cNvSpPr/>
      </dsp:nvSpPr>
      <dsp:spPr>
        <a:xfrm>
          <a:off x="4451951" y="668258"/>
          <a:ext cx="852601" cy="53287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Subsistencia a intensiva</a:t>
          </a:r>
        </a:p>
      </dsp:txBody>
      <dsp:txXfrm>
        <a:off x="4467558" y="683865"/>
        <a:ext cx="821387" cy="501661"/>
      </dsp:txXfrm>
    </dsp:sp>
    <dsp:sp modelId="{1D049DE2-3417-46E7-A654-C5462F7FD8FC}">
      <dsp:nvSpPr>
        <dsp:cNvPr id="0" name=""/>
        <dsp:cNvSpPr/>
      </dsp:nvSpPr>
      <dsp:spPr>
        <a:xfrm>
          <a:off x="4345376" y="535039"/>
          <a:ext cx="106575" cy="1065751"/>
        </a:xfrm>
        <a:custGeom>
          <a:avLst/>
          <a:gdLst/>
          <a:ahLst/>
          <a:cxnLst/>
          <a:rect l="0" t="0" r="0" b="0"/>
          <a:pathLst>
            <a:path>
              <a:moveTo>
                <a:pt x="0" y="0"/>
              </a:moveTo>
              <a:lnTo>
                <a:pt x="0" y="1065751"/>
              </a:lnTo>
              <a:lnTo>
                <a:pt x="106575" y="1065751"/>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26EA83D-6272-4596-A78D-7C85BCB94E1F}">
      <dsp:nvSpPr>
        <dsp:cNvPr id="0" name=""/>
        <dsp:cNvSpPr/>
      </dsp:nvSpPr>
      <dsp:spPr>
        <a:xfrm>
          <a:off x="4451951" y="1334353"/>
          <a:ext cx="852601" cy="53287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Bajo valor agregado</a:t>
          </a:r>
        </a:p>
      </dsp:txBody>
      <dsp:txXfrm>
        <a:off x="4467558" y="1349960"/>
        <a:ext cx="821387" cy="501661"/>
      </dsp:txXfrm>
    </dsp:sp>
    <dsp:sp modelId="{61EB74DE-2E85-458F-B63B-07E533040FDE}">
      <dsp:nvSpPr>
        <dsp:cNvPr id="0" name=""/>
        <dsp:cNvSpPr/>
      </dsp:nvSpPr>
      <dsp:spPr>
        <a:xfrm>
          <a:off x="4345376" y="535039"/>
          <a:ext cx="106575" cy="1731846"/>
        </a:xfrm>
        <a:custGeom>
          <a:avLst/>
          <a:gdLst/>
          <a:ahLst/>
          <a:cxnLst/>
          <a:rect l="0" t="0" r="0" b="0"/>
          <a:pathLst>
            <a:path>
              <a:moveTo>
                <a:pt x="0" y="0"/>
              </a:moveTo>
              <a:lnTo>
                <a:pt x="0" y="1731846"/>
              </a:lnTo>
              <a:lnTo>
                <a:pt x="106575" y="1731846"/>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99EF5348-60A0-4467-A2F0-E6705ACDC7D5}">
      <dsp:nvSpPr>
        <dsp:cNvPr id="0" name=""/>
        <dsp:cNvSpPr/>
      </dsp:nvSpPr>
      <dsp:spPr>
        <a:xfrm>
          <a:off x="4451951" y="2000448"/>
          <a:ext cx="852601" cy="53287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Comercio informal</a:t>
          </a:r>
        </a:p>
      </dsp:txBody>
      <dsp:txXfrm>
        <a:off x="4467558" y="2016055"/>
        <a:ext cx="821387" cy="501661"/>
      </dsp:txXfrm>
    </dsp:sp>
    <dsp:sp modelId="{0DBE81F7-1CFE-446B-89B7-FB9CF303A721}">
      <dsp:nvSpPr>
        <dsp:cNvPr id="0" name=""/>
        <dsp:cNvSpPr/>
      </dsp:nvSpPr>
      <dsp:spPr>
        <a:xfrm>
          <a:off x="4345376" y="535039"/>
          <a:ext cx="106575" cy="2397941"/>
        </a:xfrm>
        <a:custGeom>
          <a:avLst/>
          <a:gdLst/>
          <a:ahLst/>
          <a:cxnLst/>
          <a:rect l="0" t="0" r="0" b="0"/>
          <a:pathLst>
            <a:path>
              <a:moveTo>
                <a:pt x="0" y="0"/>
              </a:moveTo>
              <a:lnTo>
                <a:pt x="0" y="2397941"/>
              </a:lnTo>
              <a:lnTo>
                <a:pt x="106575" y="2397941"/>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E11641E-68D6-4D30-B53B-ACC724C49555}">
      <dsp:nvSpPr>
        <dsp:cNvPr id="0" name=""/>
        <dsp:cNvSpPr/>
      </dsp:nvSpPr>
      <dsp:spPr>
        <a:xfrm>
          <a:off x="4451951" y="2666543"/>
          <a:ext cx="852601" cy="53287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Recurso hídrico limitante</a:t>
          </a:r>
        </a:p>
      </dsp:txBody>
      <dsp:txXfrm>
        <a:off x="4467558" y="2682150"/>
        <a:ext cx="821387" cy="501661"/>
      </dsp:txXfrm>
    </dsp:sp>
    <dsp:sp modelId="{AFFC6603-9F72-44CD-8052-DAD0891A7680}">
      <dsp:nvSpPr>
        <dsp:cNvPr id="0" name=""/>
        <dsp:cNvSpPr/>
      </dsp:nvSpPr>
      <dsp:spPr>
        <a:xfrm>
          <a:off x="4345376" y="535039"/>
          <a:ext cx="106575" cy="3064036"/>
        </a:xfrm>
        <a:custGeom>
          <a:avLst/>
          <a:gdLst/>
          <a:ahLst/>
          <a:cxnLst/>
          <a:rect l="0" t="0" r="0" b="0"/>
          <a:pathLst>
            <a:path>
              <a:moveTo>
                <a:pt x="0" y="0"/>
              </a:moveTo>
              <a:lnTo>
                <a:pt x="0" y="3064036"/>
              </a:lnTo>
              <a:lnTo>
                <a:pt x="106575" y="3064036"/>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6627FF9-3EB5-45BD-A65F-5FF4F931BF14}">
      <dsp:nvSpPr>
        <dsp:cNvPr id="0" name=""/>
        <dsp:cNvSpPr/>
      </dsp:nvSpPr>
      <dsp:spPr>
        <a:xfrm>
          <a:off x="4451951" y="3332638"/>
          <a:ext cx="852601" cy="53287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Contaminación actividades industriales</a:t>
          </a:r>
        </a:p>
      </dsp:txBody>
      <dsp:txXfrm>
        <a:off x="4467558" y="3348245"/>
        <a:ext cx="821387" cy="501661"/>
      </dsp:txXfrm>
    </dsp:sp>
    <dsp:sp modelId="{3D798659-B23B-4900-8746-305F965F3749}">
      <dsp:nvSpPr>
        <dsp:cNvPr id="0" name=""/>
        <dsp:cNvSpPr/>
      </dsp:nvSpPr>
      <dsp:spPr>
        <a:xfrm>
          <a:off x="4345376" y="535039"/>
          <a:ext cx="106575" cy="3730131"/>
        </a:xfrm>
        <a:custGeom>
          <a:avLst/>
          <a:gdLst/>
          <a:ahLst/>
          <a:cxnLst/>
          <a:rect l="0" t="0" r="0" b="0"/>
          <a:pathLst>
            <a:path>
              <a:moveTo>
                <a:pt x="0" y="0"/>
              </a:moveTo>
              <a:lnTo>
                <a:pt x="0" y="3730131"/>
              </a:lnTo>
              <a:lnTo>
                <a:pt x="106575" y="3730131"/>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CBB414A-9103-4FA0-9C9A-8A8EE0C3D336}">
      <dsp:nvSpPr>
        <dsp:cNvPr id="0" name=""/>
        <dsp:cNvSpPr/>
      </dsp:nvSpPr>
      <dsp:spPr>
        <a:xfrm>
          <a:off x="4451951" y="3998733"/>
          <a:ext cx="852601" cy="53287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Valle virgen</a:t>
          </a:r>
        </a:p>
      </dsp:txBody>
      <dsp:txXfrm>
        <a:off x="4467558" y="4014340"/>
        <a:ext cx="821387" cy="501661"/>
      </dsp:txXfrm>
    </dsp:sp>
    <dsp:sp modelId="{DAB3E981-25D6-4703-8DCB-9B76B9221F03}">
      <dsp:nvSpPr>
        <dsp:cNvPr id="0" name=""/>
        <dsp:cNvSpPr/>
      </dsp:nvSpPr>
      <dsp:spPr>
        <a:xfrm>
          <a:off x="4345376" y="535039"/>
          <a:ext cx="106575" cy="4396226"/>
        </a:xfrm>
        <a:custGeom>
          <a:avLst/>
          <a:gdLst/>
          <a:ahLst/>
          <a:cxnLst/>
          <a:rect l="0" t="0" r="0" b="0"/>
          <a:pathLst>
            <a:path>
              <a:moveTo>
                <a:pt x="0" y="0"/>
              </a:moveTo>
              <a:lnTo>
                <a:pt x="0" y="4396226"/>
              </a:lnTo>
              <a:lnTo>
                <a:pt x="106575" y="4396226"/>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622265F-B1AF-4C57-B05F-6B72A13CD9C7}">
      <dsp:nvSpPr>
        <dsp:cNvPr id="0" name=""/>
        <dsp:cNvSpPr/>
      </dsp:nvSpPr>
      <dsp:spPr>
        <a:xfrm>
          <a:off x="4451951" y="4664828"/>
          <a:ext cx="852601" cy="53287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Cooperativas de fomento</a:t>
          </a:r>
        </a:p>
      </dsp:txBody>
      <dsp:txXfrm>
        <a:off x="4467558" y="4680435"/>
        <a:ext cx="821387" cy="501661"/>
      </dsp:txXfrm>
    </dsp:sp>
    <dsp:sp modelId="{EB9D4609-FE0B-400A-89A8-6DBAD4F06CDB}">
      <dsp:nvSpPr>
        <dsp:cNvPr id="0" name=""/>
        <dsp:cNvSpPr/>
      </dsp:nvSpPr>
      <dsp:spPr>
        <a:xfrm>
          <a:off x="4345376" y="535039"/>
          <a:ext cx="106575" cy="5062321"/>
        </a:xfrm>
        <a:custGeom>
          <a:avLst/>
          <a:gdLst/>
          <a:ahLst/>
          <a:cxnLst/>
          <a:rect l="0" t="0" r="0" b="0"/>
          <a:pathLst>
            <a:path>
              <a:moveTo>
                <a:pt x="0" y="0"/>
              </a:moveTo>
              <a:lnTo>
                <a:pt x="0" y="5062321"/>
              </a:lnTo>
              <a:lnTo>
                <a:pt x="106575" y="5062321"/>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23B0E46-F97B-4303-B311-6CFC3FA24DE4}">
      <dsp:nvSpPr>
        <dsp:cNvPr id="0" name=""/>
        <dsp:cNvSpPr/>
      </dsp:nvSpPr>
      <dsp:spPr>
        <a:xfrm>
          <a:off x="4451951" y="5330923"/>
          <a:ext cx="852601" cy="53287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0" tIns="10160" rIns="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Implementación riego</a:t>
          </a:r>
        </a:p>
      </dsp:txBody>
      <dsp:txXfrm>
        <a:off x="4467558" y="5346530"/>
        <a:ext cx="821387" cy="501661"/>
      </dsp:txXfrm>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7F8AE73-3C6C-48CC-81B7-F61C0FC64232}">
      <dsp:nvSpPr>
        <dsp:cNvPr id="0" name=""/>
        <dsp:cNvSpPr/>
      </dsp:nvSpPr>
      <dsp:spPr>
        <a:xfrm>
          <a:off x="456965" y="619"/>
          <a:ext cx="949348" cy="474674"/>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2700" rIns="19050" bIns="12700" numCol="1" spcCol="1270" anchor="ctr" anchorCtr="0">
          <a:noAutofit/>
        </a:bodyPr>
        <a:lstStyle/>
        <a:p>
          <a:pPr lvl="0" algn="ctr" defTabSz="444500">
            <a:lnSpc>
              <a:spcPct val="90000"/>
            </a:lnSpc>
            <a:spcBef>
              <a:spcPct val="0"/>
            </a:spcBef>
            <a:spcAft>
              <a:spcPct val="35000"/>
            </a:spcAft>
          </a:pPr>
          <a:r>
            <a:rPr lang="es-CL" sz="1000" kern="1200">
              <a:latin typeface="Arial" panose="020B0604020202020204" pitchFamily="34" charset="0"/>
              <a:cs typeface="Arial" panose="020B0604020202020204" pitchFamily="34" charset="0"/>
            </a:rPr>
            <a:t>Patrimonio Identidad</a:t>
          </a:r>
        </a:p>
      </dsp:txBody>
      <dsp:txXfrm>
        <a:off x="470868" y="14522"/>
        <a:ext cx="921542" cy="446868"/>
      </dsp:txXfrm>
    </dsp:sp>
    <dsp:sp modelId="{2BF9861B-68BA-471D-A166-CC4252004C49}">
      <dsp:nvSpPr>
        <dsp:cNvPr id="0" name=""/>
        <dsp:cNvSpPr/>
      </dsp:nvSpPr>
      <dsp:spPr>
        <a:xfrm>
          <a:off x="551900" y="475294"/>
          <a:ext cx="94934" cy="356005"/>
        </a:xfrm>
        <a:custGeom>
          <a:avLst/>
          <a:gdLst/>
          <a:ahLst/>
          <a:cxnLst/>
          <a:rect l="0" t="0" r="0" b="0"/>
          <a:pathLst>
            <a:path>
              <a:moveTo>
                <a:pt x="0" y="0"/>
              </a:moveTo>
              <a:lnTo>
                <a:pt x="0" y="356005"/>
              </a:lnTo>
              <a:lnTo>
                <a:pt x="94934" y="356005"/>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10E6B37-D226-4E38-B30F-E2B7430081FB}">
      <dsp:nvSpPr>
        <dsp:cNvPr id="0" name=""/>
        <dsp:cNvSpPr/>
      </dsp:nvSpPr>
      <dsp:spPr>
        <a:xfrm>
          <a:off x="646835" y="593963"/>
          <a:ext cx="759479" cy="474674"/>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Asentamientos indígenas y mineros</a:t>
          </a:r>
        </a:p>
      </dsp:txBody>
      <dsp:txXfrm>
        <a:off x="660738" y="607866"/>
        <a:ext cx="731673" cy="446868"/>
      </dsp:txXfrm>
    </dsp:sp>
    <dsp:sp modelId="{8BCC0226-7CBC-4298-990C-A47350D31E46}">
      <dsp:nvSpPr>
        <dsp:cNvPr id="0" name=""/>
        <dsp:cNvSpPr/>
      </dsp:nvSpPr>
      <dsp:spPr>
        <a:xfrm>
          <a:off x="551900" y="475294"/>
          <a:ext cx="94934" cy="949348"/>
        </a:xfrm>
        <a:custGeom>
          <a:avLst/>
          <a:gdLst/>
          <a:ahLst/>
          <a:cxnLst/>
          <a:rect l="0" t="0" r="0" b="0"/>
          <a:pathLst>
            <a:path>
              <a:moveTo>
                <a:pt x="0" y="0"/>
              </a:moveTo>
              <a:lnTo>
                <a:pt x="0" y="949348"/>
              </a:lnTo>
              <a:lnTo>
                <a:pt x="94934" y="949348"/>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ED73F84-A4D9-4DA5-B2DF-8FF627221139}">
      <dsp:nvSpPr>
        <dsp:cNvPr id="0" name=""/>
        <dsp:cNvSpPr/>
      </dsp:nvSpPr>
      <dsp:spPr>
        <a:xfrm>
          <a:off x="646835" y="1187306"/>
          <a:ext cx="759479" cy="474674"/>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Reforma Agraria</a:t>
          </a:r>
        </a:p>
      </dsp:txBody>
      <dsp:txXfrm>
        <a:off x="660738" y="1201209"/>
        <a:ext cx="731673" cy="446868"/>
      </dsp:txXfrm>
    </dsp:sp>
    <dsp:sp modelId="{956C4FCD-1B24-45F8-903C-7643D218CEAB}">
      <dsp:nvSpPr>
        <dsp:cNvPr id="0" name=""/>
        <dsp:cNvSpPr/>
      </dsp:nvSpPr>
      <dsp:spPr>
        <a:xfrm>
          <a:off x="551900" y="475294"/>
          <a:ext cx="94934" cy="1542692"/>
        </a:xfrm>
        <a:custGeom>
          <a:avLst/>
          <a:gdLst/>
          <a:ahLst/>
          <a:cxnLst/>
          <a:rect l="0" t="0" r="0" b="0"/>
          <a:pathLst>
            <a:path>
              <a:moveTo>
                <a:pt x="0" y="0"/>
              </a:moveTo>
              <a:lnTo>
                <a:pt x="0" y="1542692"/>
              </a:lnTo>
              <a:lnTo>
                <a:pt x="94934" y="1542692"/>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4F01CD6-D991-440A-96C4-733A55C5DB2E}">
      <dsp:nvSpPr>
        <dsp:cNvPr id="0" name=""/>
        <dsp:cNvSpPr/>
      </dsp:nvSpPr>
      <dsp:spPr>
        <a:xfrm>
          <a:off x="646835" y="1780649"/>
          <a:ext cx="759479" cy="474674"/>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Fiestas locales religiosas</a:t>
          </a:r>
        </a:p>
      </dsp:txBody>
      <dsp:txXfrm>
        <a:off x="660738" y="1794552"/>
        <a:ext cx="731673" cy="446868"/>
      </dsp:txXfrm>
    </dsp:sp>
    <dsp:sp modelId="{FDCDE185-7C60-49CF-8492-DA15297BBF6E}">
      <dsp:nvSpPr>
        <dsp:cNvPr id="0" name=""/>
        <dsp:cNvSpPr/>
      </dsp:nvSpPr>
      <dsp:spPr>
        <a:xfrm>
          <a:off x="551900" y="475294"/>
          <a:ext cx="94934" cy="2136035"/>
        </a:xfrm>
        <a:custGeom>
          <a:avLst/>
          <a:gdLst/>
          <a:ahLst/>
          <a:cxnLst/>
          <a:rect l="0" t="0" r="0" b="0"/>
          <a:pathLst>
            <a:path>
              <a:moveTo>
                <a:pt x="0" y="0"/>
              </a:moveTo>
              <a:lnTo>
                <a:pt x="0" y="2136035"/>
              </a:lnTo>
              <a:lnTo>
                <a:pt x="94934" y="2136035"/>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FC88A00-DC76-4E23-B3A4-3F6B65EC589C}">
      <dsp:nvSpPr>
        <dsp:cNvPr id="0" name=""/>
        <dsp:cNvSpPr/>
      </dsp:nvSpPr>
      <dsp:spPr>
        <a:xfrm>
          <a:off x="646835" y="2373992"/>
          <a:ext cx="759479" cy="474674"/>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Reducidas iniciativas formento</a:t>
          </a:r>
        </a:p>
      </dsp:txBody>
      <dsp:txXfrm>
        <a:off x="660738" y="2387895"/>
        <a:ext cx="731673" cy="446868"/>
      </dsp:txXfrm>
    </dsp:sp>
    <dsp:sp modelId="{0616FDC5-63E3-4FEE-8AF3-241E7C91B7E6}">
      <dsp:nvSpPr>
        <dsp:cNvPr id="0" name=""/>
        <dsp:cNvSpPr/>
      </dsp:nvSpPr>
      <dsp:spPr>
        <a:xfrm>
          <a:off x="1643651" y="619"/>
          <a:ext cx="949348" cy="474674"/>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2700" rIns="19050" bIns="12700" numCol="1" spcCol="1270" anchor="ctr" anchorCtr="0">
          <a:noAutofit/>
        </a:bodyPr>
        <a:lstStyle/>
        <a:p>
          <a:pPr lvl="0" algn="ctr" defTabSz="444500">
            <a:lnSpc>
              <a:spcPct val="90000"/>
            </a:lnSpc>
            <a:spcBef>
              <a:spcPct val="0"/>
            </a:spcBef>
            <a:spcAft>
              <a:spcPct val="35000"/>
            </a:spcAft>
          </a:pPr>
          <a:r>
            <a:rPr lang="es-CL" sz="1000" kern="1200">
              <a:latin typeface="Arial" panose="020B0604020202020204" pitchFamily="34" charset="0"/>
              <a:cs typeface="Arial" panose="020B0604020202020204" pitchFamily="34" charset="0"/>
            </a:rPr>
            <a:t>Medio Ambiente</a:t>
          </a:r>
        </a:p>
      </dsp:txBody>
      <dsp:txXfrm>
        <a:off x="1657554" y="14522"/>
        <a:ext cx="921542" cy="446868"/>
      </dsp:txXfrm>
    </dsp:sp>
    <dsp:sp modelId="{B429B257-B2E1-4871-8A1F-F0CCD22E2B80}">
      <dsp:nvSpPr>
        <dsp:cNvPr id="0" name=""/>
        <dsp:cNvSpPr/>
      </dsp:nvSpPr>
      <dsp:spPr>
        <a:xfrm>
          <a:off x="1738586" y="475294"/>
          <a:ext cx="94934" cy="356005"/>
        </a:xfrm>
        <a:custGeom>
          <a:avLst/>
          <a:gdLst/>
          <a:ahLst/>
          <a:cxnLst/>
          <a:rect l="0" t="0" r="0" b="0"/>
          <a:pathLst>
            <a:path>
              <a:moveTo>
                <a:pt x="0" y="0"/>
              </a:moveTo>
              <a:lnTo>
                <a:pt x="0" y="356005"/>
              </a:lnTo>
              <a:lnTo>
                <a:pt x="94934" y="356005"/>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15D89F1-0F19-4EBA-BEDE-83D6BC5184C3}">
      <dsp:nvSpPr>
        <dsp:cNvPr id="0" name=""/>
        <dsp:cNvSpPr/>
      </dsp:nvSpPr>
      <dsp:spPr>
        <a:xfrm>
          <a:off x="1833521" y="593963"/>
          <a:ext cx="759479" cy="474674"/>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Contaminación Aire</a:t>
          </a:r>
        </a:p>
      </dsp:txBody>
      <dsp:txXfrm>
        <a:off x="1847424" y="607866"/>
        <a:ext cx="731673" cy="446868"/>
      </dsp:txXfrm>
    </dsp:sp>
    <dsp:sp modelId="{B56DB984-1421-4E3C-AC4C-D1F9D6D3C8A0}">
      <dsp:nvSpPr>
        <dsp:cNvPr id="0" name=""/>
        <dsp:cNvSpPr/>
      </dsp:nvSpPr>
      <dsp:spPr>
        <a:xfrm>
          <a:off x="1738586" y="475294"/>
          <a:ext cx="94934" cy="949348"/>
        </a:xfrm>
        <a:custGeom>
          <a:avLst/>
          <a:gdLst/>
          <a:ahLst/>
          <a:cxnLst/>
          <a:rect l="0" t="0" r="0" b="0"/>
          <a:pathLst>
            <a:path>
              <a:moveTo>
                <a:pt x="0" y="0"/>
              </a:moveTo>
              <a:lnTo>
                <a:pt x="0" y="949348"/>
              </a:lnTo>
              <a:lnTo>
                <a:pt x="94934" y="949348"/>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CB3FD78-A038-42CB-A653-E4CF390CBCD2}">
      <dsp:nvSpPr>
        <dsp:cNvPr id="0" name=""/>
        <dsp:cNvSpPr/>
      </dsp:nvSpPr>
      <dsp:spPr>
        <a:xfrm>
          <a:off x="1833521" y="1187306"/>
          <a:ext cx="759479" cy="474674"/>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Contaminación agua</a:t>
          </a:r>
        </a:p>
      </dsp:txBody>
      <dsp:txXfrm>
        <a:off x="1847424" y="1201209"/>
        <a:ext cx="731673" cy="446868"/>
      </dsp:txXfrm>
    </dsp:sp>
    <dsp:sp modelId="{9B294835-A51B-4D39-9ABB-96BE79AB77B2}">
      <dsp:nvSpPr>
        <dsp:cNvPr id="0" name=""/>
        <dsp:cNvSpPr/>
      </dsp:nvSpPr>
      <dsp:spPr>
        <a:xfrm>
          <a:off x="1738586" y="475294"/>
          <a:ext cx="94934" cy="1542692"/>
        </a:xfrm>
        <a:custGeom>
          <a:avLst/>
          <a:gdLst/>
          <a:ahLst/>
          <a:cxnLst/>
          <a:rect l="0" t="0" r="0" b="0"/>
          <a:pathLst>
            <a:path>
              <a:moveTo>
                <a:pt x="0" y="0"/>
              </a:moveTo>
              <a:lnTo>
                <a:pt x="0" y="1542692"/>
              </a:lnTo>
              <a:lnTo>
                <a:pt x="94934" y="1542692"/>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031F581-F107-458E-B747-F4B5F793475F}">
      <dsp:nvSpPr>
        <dsp:cNvPr id="0" name=""/>
        <dsp:cNvSpPr/>
      </dsp:nvSpPr>
      <dsp:spPr>
        <a:xfrm>
          <a:off x="1833521" y="1780649"/>
          <a:ext cx="759479" cy="474674"/>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Contaminación suelo</a:t>
          </a:r>
        </a:p>
      </dsp:txBody>
      <dsp:txXfrm>
        <a:off x="1847424" y="1794552"/>
        <a:ext cx="731673" cy="446868"/>
      </dsp:txXfrm>
    </dsp:sp>
    <dsp:sp modelId="{0ED3EF19-5889-4CDF-9620-E82369726ECF}">
      <dsp:nvSpPr>
        <dsp:cNvPr id="0" name=""/>
        <dsp:cNvSpPr/>
      </dsp:nvSpPr>
      <dsp:spPr>
        <a:xfrm>
          <a:off x="1738586" y="475294"/>
          <a:ext cx="94934" cy="2136035"/>
        </a:xfrm>
        <a:custGeom>
          <a:avLst/>
          <a:gdLst/>
          <a:ahLst/>
          <a:cxnLst/>
          <a:rect l="0" t="0" r="0" b="0"/>
          <a:pathLst>
            <a:path>
              <a:moveTo>
                <a:pt x="0" y="0"/>
              </a:moveTo>
              <a:lnTo>
                <a:pt x="0" y="2136035"/>
              </a:lnTo>
              <a:lnTo>
                <a:pt x="94934" y="2136035"/>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E18330D-B87C-4AFA-B044-BA5ADC9A3194}">
      <dsp:nvSpPr>
        <dsp:cNvPr id="0" name=""/>
        <dsp:cNvSpPr/>
      </dsp:nvSpPr>
      <dsp:spPr>
        <a:xfrm>
          <a:off x="1833521" y="2373992"/>
          <a:ext cx="759479" cy="474674"/>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Mitigación insuficiente</a:t>
          </a:r>
        </a:p>
      </dsp:txBody>
      <dsp:txXfrm>
        <a:off x="1847424" y="2387895"/>
        <a:ext cx="731673" cy="446868"/>
      </dsp:txXfrm>
    </dsp:sp>
    <dsp:sp modelId="{3160924C-6123-45A0-A4E4-9E616DE321E4}">
      <dsp:nvSpPr>
        <dsp:cNvPr id="0" name=""/>
        <dsp:cNvSpPr/>
      </dsp:nvSpPr>
      <dsp:spPr>
        <a:xfrm>
          <a:off x="1738586" y="475294"/>
          <a:ext cx="94934" cy="2729378"/>
        </a:xfrm>
        <a:custGeom>
          <a:avLst/>
          <a:gdLst/>
          <a:ahLst/>
          <a:cxnLst/>
          <a:rect l="0" t="0" r="0" b="0"/>
          <a:pathLst>
            <a:path>
              <a:moveTo>
                <a:pt x="0" y="0"/>
              </a:moveTo>
              <a:lnTo>
                <a:pt x="0" y="2729378"/>
              </a:lnTo>
              <a:lnTo>
                <a:pt x="94934" y="2729378"/>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873CD97-03D2-421B-9DD4-61CF0BAA40A8}">
      <dsp:nvSpPr>
        <dsp:cNvPr id="0" name=""/>
        <dsp:cNvSpPr/>
      </dsp:nvSpPr>
      <dsp:spPr>
        <a:xfrm>
          <a:off x="1833521" y="2967335"/>
          <a:ext cx="759479" cy="474674"/>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Riesgo colapso relave</a:t>
          </a:r>
        </a:p>
      </dsp:txBody>
      <dsp:txXfrm>
        <a:off x="1847424" y="2981238"/>
        <a:ext cx="731673" cy="446868"/>
      </dsp:txXfrm>
    </dsp:sp>
    <dsp:sp modelId="{EF310C09-AFA2-41BE-990D-17DF679C64B1}">
      <dsp:nvSpPr>
        <dsp:cNvPr id="0" name=""/>
        <dsp:cNvSpPr/>
      </dsp:nvSpPr>
      <dsp:spPr>
        <a:xfrm>
          <a:off x="2830337" y="619"/>
          <a:ext cx="949348" cy="474674"/>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2700" rIns="19050" bIns="12700" numCol="1" spcCol="1270" anchor="ctr" anchorCtr="0">
          <a:noAutofit/>
        </a:bodyPr>
        <a:lstStyle/>
        <a:p>
          <a:pPr lvl="0" algn="ctr" defTabSz="444500">
            <a:lnSpc>
              <a:spcPct val="90000"/>
            </a:lnSpc>
            <a:spcBef>
              <a:spcPct val="0"/>
            </a:spcBef>
            <a:spcAft>
              <a:spcPct val="35000"/>
            </a:spcAft>
          </a:pPr>
          <a:r>
            <a:rPr lang="es-CL" sz="1000" kern="1200">
              <a:latin typeface="Arial" panose="020B0604020202020204" pitchFamily="34" charset="0"/>
              <a:cs typeface="Arial" panose="020B0604020202020204" pitchFamily="34" charset="0"/>
            </a:rPr>
            <a:t>Recurso Hídrico</a:t>
          </a:r>
        </a:p>
      </dsp:txBody>
      <dsp:txXfrm>
        <a:off x="2844240" y="14522"/>
        <a:ext cx="921542" cy="446868"/>
      </dsp:txXfrm>
    </dsp:sp>
    <dsp:sp modelId="{3434515F-1531-4183-BE56-5A37D65CF178}">
      <dsp:nvSpPr>
        <dsp:cNvPr id="0" name=""/>
        <dsp:cNvSpPr/>
      </dsp:nvSpPr>
      <dsp:spPr>
        <a:xfrm>
          <a:off x="2925272" y="475294"/>
          <a:ext cx="94934" cy="356005"/>
        </a:xfrm>
        <a:custGeom>
          <a:avLst/>
          <a:gdLst/>
          <a:ahLst/>
          <a:cxnLst/>
          <a:rect l="0" t="0" r="0" b="0"/>
          <a:pathLst>
            <a:path>
              <a:moveTo>
                <a:pt x="0" y="0"/>
              </a:moveTo>
              <a:lnTo>
                <a:pt x="0" y="356005"/>
              </a:lnTo>
              <a:lnTo>
                <a:pt x="94934" y="356005"/>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8A86381-A4E2-42C0-8BAE-2B1FD01ECD81}">
      <dsp:nvSpPr>
        <dsp:cNvPr id="0" name=""/>
        <dsp:cNvSpPr/>
      </dsp:nvSpPr>
      <dsp:spPr>
        <a:xfrm>
          <a:off x="3020207" y="593963"/>
          <a:ext cx="759479" cy="474674"/>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Limitante</a:t>
          </a:r>
        </a:p>
      </dsp:txBody>
      <dsp:txXfrm>
        <a:off x="3034110" y="607866"/>
        <a:ext cx="731673" cy="446868"/>
      </dsp:txXfrm>
    </dsp:sp>
    <dsp:sp modelId="{02D5ACBD-2944-4706-B7AA-41190FF971A9}">
      <dsp:nvSpPr>
        <dsp:cNvPr id="0" name=""/>
        <dsp:cNvSpPr/>
      </dsp:nvSpPr>
      <dsp:spPr>
        <a:xfrm>
          <a:off x="2925272" y="475294"/>
          <a:ext cx="94934" cy="949348"/>
        </a:xfrm>
        <a:custGeom>
          <a:avLst/>
          <a:gdLst/>
          <a:ahLst/>
          <a:cxnLst/>
          <a:rect l="0" t="0" r="0" b="0"/>
          <a:pathLst>
            <a:path>
              <a:moveTo>
                <a:pt x="0" y="0"/>
              </a:moveTo>
              <a:lnTo>
                <a:pt x="0" y="949348"/>
              </a:lnTo>
              <a:lnTo>
                <a:pt x="94934" y="949348"/>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41B052C-9E31-4F77-888E-B4EB27131483}">
      <dsp:nvSpPr>
        <dsp:cNvPr id="0" name=""/>
        <dsp:cNvSpPr/>
      </dsp:nvSpPr>
      <dsp:spPr>
        <a:xfrm>
          <a:off x="3020207" y="1187306"/>
          <a:ext cx="759479" cy="474674"/>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Escasez, uso intensivo, cambio climático</a:t>
          </a:r>
        </a:p>
      </dsp:txBody>
      <dsp:txXfrm>
        <a:off x="3034110" y="1201209"/>
        <a:ext cx="731673" cy="446868"/>
      </dsp:txXfrm>
    </dsp:sp>
    <dsp:sp modelId="{68BCE9DA-D86E-42EC-8C81-A2421074DBBF}">
      <dsp:nvSpPr>
        <dsp:cNvPr id="0" name=""/>
        <dsp:cNvSpPr/>
      </dsp:nvSpPr>
      <dsp:spPr>
        <a:xfrm>
          <a:off x="2925272" y="475294"/>
          <a:ext cx="94934" cy="1542692"/>
        </a:xfrm>
        <a:custGeom>
          <a:avLst/>
          <a:gdLst/>
          <a:ahLst/>
          <a:cxnLst/>
          <a:rect l="0" t="0" r="0" b="0"/>
          <a:pathLst>
            <a:path>
              <a:moveTo>
                <a:pt x="0" y="0"/>
              </a:moveTo>
              <a:lnTo>
                <a:pt x="0" y="1542692"/>
              </a:lnTo>
              <a:lnTo>
                <a:pt x="94934" y="1542692"/>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961DB55A-0405-4D22-A04F-2BC227ECEBE8}">
      <dsp:nvSpPr>
        <dsp:cNvPr id="0" name=""/>
        <dsp:cNvSpPr/>
      </dsp:nvSpPr>
      <dsp:spPr>
        <a:xfrm>
          <a:off x="3020207" y="1780649"/>
          <a:ext cx="759479" cy="474674"/>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Darechos de agua (Bien de consumo)</a:t>
          </a:r>
        </a:p>
      </dsp:txBody>
      <dsp:txXfrm>
        <a:off x="3034110" y="1794552"/>
        <a:ext cx="731673" cy="446868"/>
      </dsp:txXfrm>
    </dsp:sp>
    <dsp:sp modelId="{AA6CFDD6-8968-47E7-A9C9-FAE69B174B30}">
      <dsp:nvSpPr>
        <dsp:cNvPr id="0" name=""/>
        <dsp:cNvSpPr/>
      </dsp:nvSpPr>
      <dsp:spPr>
        <a:xfrm>
          <a:off x="2925272" y="475294"/>
          <a:ext cx="94934" cy="2136035"/>
        </a:xfrm>
        <a:custGeom>
          <a:avLst/>
          <a:gdLst/>
          <a:ahLst/>
          <a:cxnLst/>
          <a:rect l="0" t="0" r="0" b="0"/>
          <a:pathLst>
            <a:path>
              <a:moveTo>
                <a:pt x="0" y="0"/>
              </a:moveTo>
              <a:lnTo>
                <a:pt x="0" y="2136035"/>
              </a:lnTo>
              <a:lnTo>
                <a:pt x="94934" y="2136035"/>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BA51BC3-3317-4321-9FE6-AC2EFC56B650}">
      <dsp:nvSpPr>
        <dsp:cNvPr id="0" name=""/>
        <dsp:cNvSpPr/>
      </dsp:nvSpPr>
      <dsp:spPr>
        <a:xfrm>
          <a:off x="3020207" y="2373992"/>
          <a:ext cx="759479" cy="474674"/>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Contaminado</a:t>
          </a:r>
        </a:p>
      </dsp:txBody>
      <dsp:txXfrm>
        <a:off x="3034110" y="2387895"/>
        <a:ext cx="731673" cy="446868"/>
      </dsp:txXfrm>
    </dsp:sp>
    <dsp:sp modelId="{E4603BA6-35E6-4DC1-BDEA-897FBA028ED5}">
      <dsp:nvSpPr>
        <dsp:cNvPr id="0" name=""/>
        <dsp:cNvSpPr/>
      </dsp:nvSpPr>
      <dsp:spPr>
        <a:xfrm>
          <a:off x="2925272" y="475294"/>
          <a:ext cx="94934" cy="2729378"/>
        </a:xfrm>
        <a:custGeom>
          <a:avLst/>
          <a:gdLst/>
          <a:ahLst/>
          <a:cxnLst/>
          <a:rect l="0" t="0" r="0" b="0"/>
          <a:pathLst>
            <a:path>
              <a:moveTo>
                <a:pt x="0" y="0"/>
              </a:moveTo>
              <a:lnTo>
                <a:pt x="0" y="2729378"/>
              </a:lnTo>
              <a:lnTo>
                <a:pt x="94934" y="2729378"/>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0B19458-41D7-45F8-A1FC-B4B7A09FA5BE}">
      <dsp:nvSpPr>
        <dsp:cNvPr id="0" name=""/>
        <dsp:cNvSpPr/>
      </dsp:nvSpPr>
      <dsp:spPr>
        <a:xfrm>
          <a:off x="3020207" y="2967335"/>
          <a:ext cx="759479" cy="474674"/>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Baja Eficiencia hídrica</a:t>
          </a:r>
        </a:p>
      </dsp:txBody>
      <dsp:txXfrm>
        <a:off x="3034110" y="2981238"/>
        <a:ext cx="731673" cy="446868"/>
      </dsp:txXfrm>
    </dsp:sp>
    <dsp:sp modelId="{23C16C91-9E8D-4E58-BBEA-0A0ADABCE765}">
      <dsp:nvSpPr>
        <dsp:cNvPr id="0" name=""/>
        <dsp:cNvSpPr/>
      </dsp:nvSpPr>
      <dsp:spPr>
        <a:xfrm>
          <a:off x="2925272" y="475294"/>
          <a:ext cx="94934" cy="3322721"/>
        </a:xfrm>
        <a:custGeom>
          <a:avLst/>
          <a:gdLst/>
          <a:ahLst/>
          <a:cxnLst/>
          <a:rect l="0" t="0" r="0" b="0"/>
          <a:pathLst>
            <a:path>
              <a:moveTo>
                <a:pt x="0" y="0"/>
              </a:moveTo>
              <a:lnTo>
                <a:pt x="0" y="3322721"/>
              </a:lnTo>
              <a:lnTo>
                <a:pt x="94934" y="3322721"/>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222F29C-1E66-44A2-A497-8F350E571D33}">
      <dsp:nvSpPr>
        <dsp:cNvPr id="0" name=""/>
        <dsp:cNvSpPr/>
      </dsp:nvSpPr>
      <dsp:spPr>
        <a:xfrm>
          <a:off x="3020207" y="3560678"/>
          <a:ext cx="759479" cy="474674"/>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Falta asociación a territorio</a:t>
          </a:r>
        </a:p>
      </dsp:txBody>
      <dsp:txXfrm>
        <a:off x="3034110" y="3574581"/>
        <a:ext cx="731673" cy="446868"/>
      </dsp:txXfrm>
    </dsp:sp>
    <dsp:sp modelId="{C66F0159-88ED-45E8-A234-4DB79654887D}">
      <dsp:nvSpPr>
        <dsp:cNvPr id="0" name=""/>
        <dsp:cNvSpPr/>
      </dsp:nvSpPr>
      <dsp:spPr>
        <a:xfrm>
          <a:off x="4017023" y="619"/>
          <a:ext cx="949348" cy="474674"/>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2700" rIns="19050" bIns="12700" numCol="1" spcCol="1270" anchor="ctr" anchorCtr="0">
          <a:noAutofit/>
        </a:bodyPr>
        <a:lstStyle/>
        <a:p>
          <a:pPr lvl="0" algn="ctr" defTabSz="444500">
            <a:lnSpc>
              <a:spcPct val="90000"/>
            </a:lnSpc>
            <a:spcBef>
              <a:spcPct val="0"/>
            </a:spcBef>
            <a:spcAft>
              <a:spcPct val="35000"/>
            </a:spcAft>
          </a:pPr>
          <a:r>
            <a:rPr lang="es-CL" sz="1000" kern="1200">
              <a:latin typeface="Arial" panose="020B0604020202020204" pitchFamily="34" charset="0"/>
              <a:cs typeface="Arial" panose="020B0604020202020204" pitchFamily="34" charset="0"/>
            </a:rPr>
            <a:t>Minería</a:t>
          </a:r>
        </a:p>
      </dsp:txBody>
      <dsp:txXfrm>
        <a:off x="4030926" y="14522"/>
        <a:ext cx="921542" cy="446868"/>
      </dsp:txXfrm>
    </dsp:sp>
    <dsp:sp modelId="{E2BD2DEE-D80A-47F8-AACD-278E1B18BC5A}">
      <dsp:nvSpPr>
        <dsp:cNvPr id="0" name=""/>
        <dsp:cNvSpPr/>
      </dsp:nvSpPr>
      <dsp:spPr>
        <a:xfrm>
          <a:off x="4111958" y="475294"/>
          <a:ext cx="94934" cy="356005"/>
        </a:xfrm>
        <a:custGeom>
          <a:avLst/>
          <a:gdLst/>
          <a:ahLst/>
          <a:cxnLst/>
          <a:rect l="0" t="0" r="0" b="0"/>
          <a:pathLst>
            <a:path>
              <a:moveTo>
                <a:pt x="0" y="0"/>
              </a:moveTo>
              <a:lnTo>
                <a:pt x="0" y="356005"/>
              </a:lnTo>
              <a:lnTo>
                <a:pt x="94934" y="356005"/>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A8E61D8-FC3B-4538-97A0-4D39F70BA990}">
      <dsp:nvSpPr>
        <dsp:cNvPr id="0" name=""/>
        <dsp:cNvSpPr/>
      </dsp:nvSpPr>
      <dsp:spPr>
        <a:xfrm>
          <a:off x="4206893" y="593963"/>
          <a:ext cx="759479" cy="474674"/>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Gran minería</a:t>
          </a:r>
        </a:p>
      </dsp:txBody>
      <dsp:txXfrm>
        <a:off x="4220796" y="607866"/>
        <a:ext cx="731673" cy="446868"/>
      </dsp:txXfrm>
    </dsp:sp>
    <dsp:sp modelId="{329E4E51-D0EA-4032-B46A-31BD4F94CD63}">
      <dsp:nvSpPr>
        <dsp:cNvPr id="0" name=""/>
        <dsp:cNvSpPr/>
      </dsp:nvSpPr>
      <dsp:spPr>
        <a:xfrm>
          <a:off x="4111958" y="475294"/>
          <a:ext cx="94934" cy="949348"/>
        </a:xfrm>
        <a:custGeom>
          <a:avLst/>
          <a:gdLst/>
          <a:ahLst/>
          <a:cxnLst/>
          <a:rect l="0" t="0" r="0" b="0"/>
          <a:pathLst>
            <a:path>
              <a:moveTo>
                <a:pt x="0" y="0"/>
              </a:moveTo>
              <a:lnTo>
                <a:pt x="0" y="949348"/>
              </a:lnTo>
              <a:lnTo>
                <a:pt x="94934" y="949348"/>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9A544FA6-944A-4F4C-8906-6C61EE9ED5D4}">
      <dsp:nvSpPr>
        <dsp:cNvPr id="0" name=""/>
        <dsp:cNvSpPr/>
      </dsp:nvSpPr>
      <dsp:spPr>
        <a:xfrm>
          <a:off x="4206893" y="1187306"/>
          <a:ext cx="759479" cy="474674"/>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Actividad contaminante</a:t>
          </a:r>
        </a:p>
      </dsp:txBody>
      <dsp:txXfrm>
        <a:off x="4220796" y="1201209"/>
        <a:ext cx="731673" cy="446868"/>
      </dsp:txXfrm>
    </dsp:sp>
    <dsp:sp modelId="{1B5BBB1B-34A3-4D15-B18C-84E9214135E6}">
      <dsp:nvSpPr>
        <dsp:cNvPr id="0" name=""/>
        <dsp:cNvSpPr/>
      </dsp:nvSpPr>
      <dsp:spPr>
        <a:xfrm>
          <a:off x="4111958" y="475294"/>
          <a:ext cx="94934" cy="1542692"/>
        </a:xfrm>
        <a:custGeom>
          <a:avLst/>
          <a:gdLst/>
          <a:ahLst/>
          <a:cxnLst/>
          <a:rect l="0" t="0" r="0" b="0"/>
          <a:pathLst>
            <a:path>
              <a:moveTo>
                <a:pt x="0" y="0"/>
              </a:moveTo>
              <a:lnTo>
                <a:pt x="0" y="1542692"/>
              </a:lnTo>
              <a:lnTo>
                <a:pt x="94934" y="1542692"/>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3D957E9-1F70-430F-86ED-6C925A78CF94}">
      <dsp:nvSpPr>
        <dsp:cNvPr id="0" name=""/>
        <dsp:cNvSpPr/>
      </dsp:nvSpPr>
      <dsp:spPr>
        <a:xfrm>
          <a:off x="4206893" y="1780649"/>
          <a:ext cx="759479" cy="474674"/>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Desconfianza, desinformación</a:t>
          </a:r>
        </a:p>
      </dsp:txBody>
      <dsp:txXfrm>
        <a:off x="4220796" y="1794552"/>
        <a:ext cx="731673" cy="446868"/>
      </dsp:txXfrm>
    </dsp:sp>
    <dsp:sp modelId="{35B5B712-2D8F-42CD-AF04-804284FE4E1B}">
      <dsp:nvSpPr>
        <dsp:cNvPr id="0" name=""/>
        <dsp:cNvSpPr/>
      </dsp:nvSpPr>
      <dsp:spPr>
        <a:xfrm>
          <a:off x="4111958" y="475294"/>
          <a:ext cx="94934" cy="2136035"/>
        </a:xfrm>
        <a:custGeom>
          <a:avLst/>
          <a:gdLst/>
          <a:ahLst/>
          <a:cxnLst/>
          <a:rect l="0" t="0" r="0" b="0"/>
          <a:pathLst>
            <a:path>
              <a:moveTo>
                <a:pt x="0" y="0"/>
              </a:moveTo>
              <a:lnTo>
                <a:pt x="0" y="2136035"/>
              </a:lnTo>
              <a:lnTo>
                <a:pt x="94934" y="2136035"/>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60A6AEE-65CD-46FB-958D-439FCC8053DE}">
      <dsp:nvSpPr>
        <dsp:cNvPr id="0" name=""/>
        <dsp:cNvSpPr/>
      </dsp:nvSpPr>
      <dsp:spPr>
        <a:xfrm>
          <a:off x="4206893" y="2373992"/>
          <a:ext cx="759479" cy="474674"/>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Oportunidad laboral, mejora condiciones socioeconómicas</a:t>
          </a:r>
        </a:p>
      </dsp:txBody>
      <dsp:txXfrm>
        <a:off x="4220796" y="2387895"/>
        <a:ext cx="731673" cy="446868"/>
      </dsp:txXfrm>
    </dsp:sp>
    <dsp:sp modelId="{15A31137-FD0B-4675-838F-1C169D6A85C6}">
      <dsp:nvSpPr>
        <dsp:cNvPr id="0" name=""/>
        <dsp:cNvSpPr/>
      </dsp:nvSpPr>
      <dsp:spPr>
        <a:xfrm>
          <a:off x="4111958" y="475294"/>
          <a:ext cx="94934" cy="2729378"/>
        </a:xfrm>
        <a:custGeom>
          <a:avLst/>
          <a:gdLst/>
          <a:ahLst/>
          <a:cxnLst/>
          <a:rect l="0" t="0" r="0" b="0"/>
          <a:pathLst>
            <a:path>
              <a:moveTo>
                <a:pt x="0" y="0"/>
              </a:moveTo>
              <a:lnTo>
                <a:pt x="0" y="2729378"/>
              </a:lnTo>
              <a:lnTo>
                <a:pt x="94934" y="2729378"/>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B527E45-4A2C-4B70-B7E5-EAD48EA0078B}">
      <dsp:nvSpPr>
        <dsp:cNvPr id="0" name=""/>
        <dsp:cNvSpPr/>
      </dsp:nvSpPr>
      <dsp:spPr>
        <a:xfrm>
          <a:off x="4206893" y="2967335"/>
          <a:ext cx="759479" cy="474674"/>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Dependencia monetaria</a:t>
          </a:r>
        </a:p>
      </dsp:txBody>
      <dsp:txXfrm>
        <a:off x="4220796" y="2981238"/>
        <a:ext cx="731673" cy="446868"/>
      </dsp:txXfrm>
    </dsp:sp>
    <dsp:sp modelId="{392564A6-D0BE-4874-AB6F-3D939F9FC148}">
      <dsp:nvSpPr>
        <dsp:cNvPr id="0" name=""/>
        <dsp:cNvSpPr/>
      </dsp:nvSpPr>
      <dsp:spPr>
        <a:xfrm>
          <a:off x="4111958" y="475294"/>
          <a:ext cx="94934" cy="3322721"/>
        </a:xfrm>
        <a:custGeom>
          <a:avLst/>
          <a:gdLst/>
          <a:ahLst/>
          <a:cxnLst/>
          <a:rect l="0" t="0" r="0" b="0"/>
          <a:pathLst>
            <a:path>
              <a:moveTo>
                <a:pt x="0" y="0"/>
              </a:moveTo>
              <a:lnTo>
                <a:pt x="0" y="3322721"/>
              </a:lnTo>
              <a:lnTo>
                <a:pt x="94934" y="3322721"/>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D7F00FB-2E17-42D8-B27C-98AF31928F8C}">
      <dsp:nvSpPr>
        <dsp:cNvPr id="0" name=""/>
        <dsp:cNvSpPr/>
      </dsp:nvSpPr>
      <dsp:spPr>
        <a:xfrm>
          <a:off x="4206893" y="3560678"/>
          <a:ext cx="759479" cy="474674"/>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Visión sectorial</a:t>
          </a:r>
        </a:p>
      </dsp:txBody>
      <dsp:txXfrm>
        <a:off x="4220796" y="3574581"/>
        <a:ext cx="731673" cy="446868"/>
      </dsp:txXfrm>
    </dsp:sp>
  </dsp:spTree>
</dsp:drawing>
</file>

<file path=word/diagrams/drawing6.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DD2D3B9-EB64-4C0D-B024-12A309213A06}">
      <dsp:nvSpPr>
        <dsp:cNvPr id="0" name=""/>
        <dsp:cNvSpPr/>
      </dsp:nvSpPr>
      <dsp:spPr>
        <a:xfrm>
          <a:off x="445205" y="1157"/>
          <a:ext cx="927444" cy="463722"/>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0955" tIns="13970" rIns="20955" bIns="13970" numCol="1" spcCol="1270" anchor="ctr" anchorCtr="0">
          <a:noAutofit/>
        </a:bodyPr>
        <a:lstStyle/>
        <a:p>
          <a:pPr lvl="0" algn="ctr" defTabSz="466725">
            <a:lnSpc>
              <a:spcPct val="90000"/>
            </a:lnSpc>
            <a:spcBef>
              <a:spcPct val="0"/>
            </a:spcBef>
            <a:spcAft>
              <a:spcPct val="35000"/>
            </a:spcAft>
          </a:pPr>
          <a:r>
            <a:rPr lang="es-CL" sz="1050" kern="1200">
              <a:latin typeface="Arial" panose="020B0604020202020204" pitchFamily="34" charset="0"/>
              <a:cs typeface="Arial" panose="020B0604020202020204" pitchFamily="34" charset="0"/>
            </a:rPr>
            <a:t>Salud Humana</a:t>
          </a:r>
        </a:p>
      </dsp:txBody>
      <dsp:txXfrm>
        <a:off x="458787" y="14739"/>
        <a:ext cx="900280" cy="436558"/>
      </dsp:txXfrm>
    </dsp:sp>
    <dsp:sp modelId="{FB7550BC-4608-4830-B5DC-C4799CF9A5B6}">
      <dsp:nvSpPr>
        <dsp:cNvPr id="0" name=""/>
        <dsp:cNvSpPr/>
      </dsp:nvSpPr>
      <dsp:spPr>
        <a:xfrm>
          <a:off x="537950" y="464879"/>
          <a:ext cx="92744" cy="347791"/>
        </a:xfrm>
        <a:custGeom>
          <a:avLst/>
          <a:gdLst/>
          <a:ahLst/>
          <a:cxnLst/>
          <a:rect l="0" t="0" r="0" b="0"/>
          <a:pathLst>
            <a:path>
              <a:moveTo>
                <a:pt x="0" y="0"/>
              </a:moveTo>
              <a:lnTo>
                <a:pt x="0" y="347791"/>
              </a:lnTo>
              <a:lnTo>
                <a:pt x="92744" y="347791"/>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03B6D41-8D24-48F8-9C07-B4B670F75EF2}">
      <dsp:nvSpPr>
        <dsp:cNvPr id="0" name=""/>
        <dsp:cNvSpPr/>
      </dsp:nvSpPr>
      <dsp:spPr>
        <a:xfrm>
          <a:off x="630694" y="580810"/>
          <a:ext cx="741955" cy="463722"/>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Contaminación agua con arsénico</a:t>
          </a:r>
        </a:p>
      </dsp:txBody>
      <dsp:txXfrm>
        <a:off x="644276" y="594392"/>
        <a:ext cx="714791" cy="436558"/>
      </dsp:txXfrm>
    </dsp:sp>
    <dsp:sp modelId="{B8B63CE8-635B-4207-AD7A-ADA213721197}">
      <dsp:nvSpPr>
        <dsp:cNvPr id="0" name=""/>
        <dsp:cNvSpPr/>
      </dsp:nvSpPr>
      <dsp:spPr>
        <a:xfrm>
          <a:off x="537950" y="464879"/>
          <a:ext cx="92744" cy="927444"/>
        </a:xfrm>
        <a:custGeom>
          <a:avLst/>
          <a:gdLst/>
          <a:ahLst/>
          <a:cxnLst/>
          <a:rect l="0" t="0" r="0" b="0"/>
          <a:pathLst>
            <a:path>
              <a:moveTo>
                <a:pt x="0" y="0"/>
              </a:moveTo>
              <a:lnTo>
                <a:pt x="0" y="927444"/>
              </a:lnTo>
              <a:lnTo>
                <a:pt x="92744" y="927444"/>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1C784BF-3220-434C-BEBA-1DC51115886A}">
      <dsp:nvSpPr>
        <dsp:cNvPr id="0" name=""/>
        <dsp:cNvSpPr/>
      </dsp:nvSpPr>
      <dsp:spPr>
        <a:xfrm>
          <a:off x="630694" y="1160463"/>
          <a:ext cx="741955" cy="463722"/>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Polvo tóxico en suspensión</a:t>
          </a:r>
        </a:p>
      </dsp:txBody>
      <dsp:txXfrm>
        <a:off x="644276" y="1174045"/>
        <a:ext cx="714791" cy="436558"/>
      </dsp:txXfrm>
    </dsp:sp>
    <dsp:sp modelId="{15DF2844-F8C3-4CBB-B181-173D56A8BD5E}">
      <dsp:nvSpPr>
        <dsp:cNvPr id="0" name=""/>
        <dsp:cNvSpPr/>
      </dsp:nvSpPr>
      <dsp:spPr>
        <a:xfrm>
          <a:off x="537950" y="464879"/>
          <a:ext cx="92744" cy="1507097"/>
        </a:xfrm>
        <a:custGeom>
          <a:avLst/>
          <a:gdLst/>
          <a:ahLst/>
          <a:cxnLst/>
          <a:rect l="0" t="0" r="0" b="0"/>
          <a:pathLst>
            <a:path>
              <a:moveTo>
                <a:pt x="0" y="0"/>
              </a:moveTo>
              <a:lnTo>
                <a:pt x="0" y="1507097"/>
              </a:lnTo>
              <a:lnTo>
                <a:pt x="92744" y="1507097"/>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DF6A1A8-3B79-4DC1-A1EA-AC33D15DE9D2}">
      <dsp:nvSpPr>
        <dsp:cNvPr id="0" name=""/>
        <dsp:cNvSpPr/>
      </dsp:nvSpPr>
      <dsp:spPr>
        <a:xfrm>
          <a:off x="630694" y="1740116"/>
          <a:ext cx="741955" cy="463722"/>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Contaminación suelo y agua</a:t>
          </a:r>
        </a:p>
      </dsp:txBody>
      <dsp:txXfrm>
        <a:off x="644276" y="1753698"/>
        <a:ext cx="714791" cy="436558"/>
      </dsp:txXfrm>
    </dsp:sp>
    <dsp:sp modelId="{ADDEB851-053B-4B9D-B9AF-F841C1432C93}">
      <dsp:nvSpPr>
        <dsp:cNvPr id="0" name=""/>
        <dsp:cNvSpPr/>
      </dsp:nvSpPr>
      <dsp:spPr>
        <a:xfrm>
          <a:off x="1604511" y="1157"/>
          <a:ext cx="927444" cy="463722"/>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0955" tIns="13970" rIns="20955" bIns="13970" numCol="1" spcCol="1270" anchor="ctr" anchorCtr="0">
          <a:noAutofit/>
        </a:bodyPr>
        <a:lstStyle/>
        <a:p>
          <a:pPr lvl="0" algn="ctr" defTabSz="466725">
            <a:lnSpc>
              <a:spcPct val="90000"/>
            </a:lnSpc>
            <a:spcBef>
              <a:spcPct val="0"/>
            </a:spcBef>
            <a:spcAft>
              <a:spcPct val="35000"/>
            </a:spcAft>
          </a:pPr>
          <a:r>
            <a:rPr lang="es-CL" sz="1050" kern="1200">
              <a:latin typeface="Arial" panose="020B0604020202020204" pitchFamily="34" charset="0"/>
              <a:cs typeface="Arial" panose="020B0604020202020204" pitchFamily="34" charset="0"/>
            </a:rPr>
            <a:t>Capitalización local</a:t>
          </a:r>
        </a:p>
      </dsp:txBody>
      <dsp:txXfrm>
        <a:off x="1618093" y="14739"/>
        <a:ext cx="900280" cy="436558"/>
      </dsp:txXfrm>
    </dsp:sp>
    <dsp:sp modelId="{84928C5E-298A-4370-89A5-23294E74E263}">
      <dsp:nvSpPr>
        <dsp:cNvPr id="0" name=""/>
        <dsp:cNvSpPr/>
      </dsp:nvSpPr>
      <dsp:spPr>
        <a:xfrm>
          <a:off x="1697256" y="464879"/>
          <a:ext cx="92744" cy="347791"/>
        </a:xfrm>
        <a:custGeom>
          <a:avLst/>
          <a:gdLst/>
          <a:ahLst/>
          <a:cxnLst/>
          <a:rect l="0" t="0" r="0" b="0"/>
          <a:pathLst>
            <a:path>
              <a:moveTo>
                <a:pt x="0" y="0"/>
              </a:moveTo>
              <a:lnTo>
                <a:pt x="0" y="347791"/>
              </a:lnTo>
              <a:lnTo>
                <a:pt x="92744" y="347791"/>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833D543-0771-460D-80A5-3DC3D6626B10}">
      <dsp:nvSpPr>
        <dsp:cNvPr id="0" name=""/>
        <dsp:cNvSpPr/>
      </dsp:nvSpPr>
      <dsp:spPr>
        <a:xfrm>
          <a:off x="1790000" y="580810"/>
          <a:ext cx="741955" cy="463722"/>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Ausente </a:t>
          </a:r>
        </a:p>
      </dsp:txBody>
      <dsp:txXfrm>
        <a:off x="1803582" y="594392"/>
        <a:ext cx="714791" cy="436558"/>
      </dsp:txXfrm>
    </dsp:sp>
    <dsp:sp modelId="{AA0C6EBD-9925-4101-B799-79FBA903A007}">
      <dsp:nvSpPr>
        <dsp:cNvPr id="0" name=""/>
        <dsp:cNvSpPr/>
      </dsp:nvSpPr>
      <dsp:spPr>
        <a:xfrm>
          <a:off x="1697256" y="464879"/>
          <a:ext cx="92744" cy="927444"/>
        </a:xfrm>
        <a:custGeom>
          <a:avLst/>
          <a:gdLst/>
          <a:ahLst/>
          <a:cxnLst/>
          <a:rect l="0" t="0" r="0" b="0"/>
          <a:pathLst>
            <a:path>
              <a:moveTo>
                <a:pt x="0" y="0"/>
              </a:moveTo>
              <a:lnTo>
                <a:pt x="0" y="927444"/>
              </a:lnTo>
              <a:lnTo>
                <a:pt x="92744" y="927444"/>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77EB640-A0C9-4EEF-A89D-4D58F739FA0B}">
      <dsp:nvSpPr>
        <dsp:cNvPr id="0" name=""/>
        <dsp:cNvSpPr/>
      </dsp:nvSpPr>
      <dsp:spPr>
        <a:xfrm>
          <a:off x="1790000" y="1160463"/>
          <a:ext cx="741955" cy="463722"/>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Visión a corto plazo</a:t>
          </a:r>
        </a:p>
      </dsp:txBody>
      <dsp:txXfrm>
        <a:off x="1803582" y="1174045"/>
        <a:ext cx="714791" cy="436558"/>
      </dsp:txXfrm>
    </dsp:sp>
    <dsp:sp modelId="{111946EB-28F6-4CB0-A107-06FEAAFFDE78}">
      <dsp:nvSpPr>
        <dsp:cNvPr id="0" name=""/>
        <dsp:cNvSpPr/>
      </dsp:nvSpPr>
      <dsp:spPr>
        <a:xfrm>
          <a:off x="1697256" y="464879"/>
          <a:ext cx="92744" cy="1507097"/>
        </a:xfrm>
        <a:custGeom>
          <a:avLst/>
          <a:gdLst/>
          <a:ahLst/>
          <a:cxnLst/>
          <a:rect l="0" t="0" r="0" b="0"/>
          <a:pathLst>
            <a:path>
              <a:moveTo>
                <a:pt x="0" y="0"/>
              </a:moveTo>
              <a:lnTo>
                <a:pt x="0" y="1507097"/>
              </a:lnTo>
              <a:lnTo>
                <a:pt x="92744" y="1507097"/>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ABF0EB3-629E-4C4B-97AA-06FB00CAC570}">
      <dsp:nvSpPr>
        <dsp:cNvPr id="0" name=""/>
        <dsp:cNvSpPr/>
      </dsp:nvSpPr>
      <dsp:spPr>
        <a:xfrm>
          <a:off x="1790000" y="1740116"/>
          <a:ext cx="741955" cy="463722"/>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Royalties nacional</a:t>
          </a:r>
        </a:p>
      </dsp:txBody>
      <dsp:txXfrm>
        <a:off x="1803582" y="1753698"/>
        <a:ext cx="714791" cy="436558"/>
      </dsp:txXfrm>
    </dsp:sp>
    <dsp:sp modelId="{D9CA1BEE-E571-404C-BF2B-8E27C35C2E36}">
      <dsp:nvSpPr>
        <dsp:cNvPr id="0" name=""/>
        <dsp:cNvSpPr/>
      </dsp:nvSpPr>
      <dsp:spPr>
        <a:xfrm>
          <a:off x="2763817" y="1157"/>
          <a:ext cx="1066311" cy="463722"/>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0955" tIns="13970" rIns="20955" bIns="13970" numCol="1" spcCol="1270" anchor="ctr" anchorCtr="0">
          <a:noAutofit/>
        </a:bodyPr>
        <a:lstStyle/>
        <a:p>
          <a:pPr lvl="0" algn="ctr" defTabSz="466725">
            <a:lnSpc>
              <a:spcPct val="90000"/>
            </a:lnSpc>
            <a:spcBef>
              <a:spcPct val="0"/>
            </a:spcBef>
            <a:spcAft>
              <a:spcPct val="35000"/>
            </a:spcAft>
          </a:pPr>
          <a:r>
            <a:rPr lang="es-CL" sz="1050" kern="1200">
              <a:latin typeface="Arial" panose="020B0604020202020204" pitchFamily="34" charset="0"/>
              <a:cs typeface="Arial" panose="020B0604020202020204" pitchFamily="34" charset="0"/>
            </a:rPr>
            <a:t>Institucionalidad</a:t>
          </a:r>
        </a:p>
      </dsp:txBody>
      <dsp:txXfrm>
        <a:off x="2777399" y="14739"/>
        <a:ext cx="1039147" cy="436558"/>
      </dsp:txXfrm>
    </dsp:sp>
    <dsp:sp modelId="{C5A414B0-1B82-437A-A229-D818A2966C14}">
      <dsp:nvSpPr>
        <dsp:cNvPr id="0" name=""/>
        <dsp:cNvSpPr/>
      </dsp:nvSpPr>
      <dsp:spPr>
        <a:xfrm>
          <a:off x="2870449" y="464879"/>
          <a:ext cx="106631" cy="347791"/>
        </a:xfrm>
        <a:custGeom>
          <a:avLst/>
          <a:gdLst/>
          <a:ahLst/>
          <a:cxnLst/>
          <a:rect l="0" t="0" r="0" b="0"/>
          <a:pathLst>
            <a:path>
              <a:moveTo>
                <a:pt x="0" y="0"/>
              </a:moveTo>
              <a:lnTo>
                <a:pt x="0" y="347791"/>
              </a:lnTo>
              <a:lnTo>
                <a:pt x="106631" y="347791"/>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D00B222-4998-41C9-83F5-1A7A1827B00D}">
      <dsp:nvSpPr>
        <dsp:cNvPr id="0" name=""/>
        <dsp:cNvSpPr/>
      </dsp:nvSpPr>
      <dsp:spPr>
        <a:xfrm>
          <a:off x="2977080" y="580810"/>
          <a:ext cx="863569" cy="463722"/>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Ausente medioambiente y salud</a:t>
          </a:r>
        </a:p>
      </dsp:txBody>
      <dsp:txXfrm>
        <a:off x="2990662" y="594392"/>
        <a:ext cx="836405" cy="436558"/>
      </dsp:txXfrm>
    </dsp:sp>
    <dsp:sp modelId="{6ED7F6F0-AD98-4E35-AFEB-34D4FE1FE808}">
      <dsp:nvSpPr>
        <dsp:cNvPr id="0" name=""/>
        <dsp:cNvSpPr/>
      </dsp:nvSpPr>
      <dsp:spPr>
        <a:xfrm>
          <a:off x="2870449" y="464879"/>
          <a:ext cx="106631" cy="927444"/>
        </a:xfrm>
        <a:custGeom>
          <a:avLst/>
          <a:gdLst/>
          <a:ahLst/>
          <a:cxnLst/>
          <a:rect l="0" t="0" r="0" b="0"/>
          <a:pathLst>
            <a:path>
              <a:moveTo>
                <a:pt x="0" y="0"/>
              </a:moveTo>
              <a:lnTo>
                <a:pt x="0" y="927444"/>
              </a:lnTo>
              <a:lnTo>
                <a:pt x="106631" y="927444"/>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6C48D8C-1A54-49E2-8798-FA3FC7093B3F}">
      <dsp:nvSpPr>
        <dsp:cNvPr id="0" name=""/>
        <dsp:cNvSpPr/>
      </dsp:nvSpPr>
      <dsp:spPr>
        <a:xfrm>
          <a:off x="2977080" y="1160463"/>
          <a:ext cx="863569" cy="463722"/>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Organismo neutral  participación</a:t>
          </a:r>
        </a:p>
      </dsp:txBody>
      <dsp:txXfrm>
        <a:off x="2990662" y="1174045"/>
        <a:ext cx="836405" cy="436558"/>
      </dsp:txXfrm>
    </dsp:sp>
    <dsp:sp modelId="{4A43B668-3CD2-42AD-BC8D-C373AC12A72A}">
      <dsp:nvSpPr>
        <dsp:cNvPr id="0" name=""/>
        <dsp:cNvSpPr/>
      </dsp:nvSpPr>
      <dsp:spPr>
        <a:xfrm>
          <a:off x="2870449" y="464879"/>
          <a:ext cx="106631" cy="1507097"/>
        </a:xfrm>
        <a:custGeom>
          <a:avLst/>
          <a:gdLst/>
          <a:ahLst/>
          <a:cxnLst/>
          <a:rect l="0" t="0" r="0" b="0"/>
          <a:pathLst>
            <a:path>
              <a:moveTo>
                <a:pt x="0" y="0"/>
              </a:moveTo>
              <a:lnTo>
                <a:pt x="0" y="1507097"/>
              </a:lnTo>
              <a:lnTo>
                <a:pt x="106631" y="1507097"/>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043A344-DC7B-422C-B575-EDE58733C37F}">
      <dsp:nvSpPr>
        <dsp:cNvPr id="0" name=""/>
        <dsp:cNvSpPr/>
      </dsp:nvSpPr>
      <dsp:spPr>
        <a:xfrm>
          <a:off x="2977080" y="1740116"/>
          <a:ext cx="892936" cy="463722"/>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Entrega aporte a comunidades</a:t>
          </a:r>
        </a:p>
      </dsp:txBody>
      <dsp:txXfrm>
        <a:off x="2990662" y="1753698"/>
        <a:ext cx="865772" cy="436558"/>
      </dsp:txXfrm>
    </dsp:sp>
    <dsp:sp modelId="{5D18DAE8-BA9F-4919-AC5C-1E3A17ECA0ED}">
      <dsp:nvSpPr>
        <dsp:cNvPr id="0" name=""/>
        <dsp:cNvSpPr/>
      </dsp:nvSpPr>
      <dsp:spPr>
        <a:xfrm>
          <a:off x="2870449" y="464879"/>
          <a:ext cx="106631" cy="2086750"/>
        </a:xfrm>
        <a:custGeom>
          <a:avLst/>
          <a:gdLst/>
          <a:ahLst/>
          <a:cxnLst/>
          <a:rect l="0" t="0" r="0" b="0"/>
          <a:pathLst>
            <a:path>
              <a:moveTo>
                <a:pt x="0" y="0"/>
              </a:moveTo>
              <a:lnTo>
                <a:pt x="0" y="2086750"/>
              </a:lnTo>
              <a:lnTo>
                <a:pt x="106631" y="2086750"/>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0612B04-2BC9-43DD-922D-DC880C1A0F27}">
      <dsp:nvSpPr>
        <dsp:cNvPr id="0" name=""/>
        <dsp:cNvSpPr/>
      </dsp:nvSpPr>
      <dsp:spPr>
        <a:xfrm>
          <a:off x="2977080" y="2319769"/>
          <a:ext cx="897232" cy="463722"/>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Débil rol local</a:t>
          </a:r>
        </a:p>
      </dsp:txBody>
      <dsp:txXfrm>
        <a:off x="2990662" y="2333351"/>
        <a:ext cx="870068" cy="436558"/>
      </dsp:txXfrm>
    </dsp:sp>
    <dsp:sp modelId="{92CCC520-CB6F-4E8C-905D-31B79815C944}">
      <dsp:nvSpPr>
        <dsp:cNvPr id="0" name=""/>
        <dsp:cNvSpPr/>
      </dsp:nvSpPr>
      <dsp:spPr>
        <a:xfrm>
          <a:off x="2870449" y="464879"/>
          <a:ext cx="106631" cy="2666403"/>
        </a:xfrm>
        <a:custGeom>
          <a:avLst/>
          <a:gdLst/>
          <a:ahLst/>
          <a:cxnLst/>
          <a:rect l="0" t="0" r="0" b="0"/>
          <a:pathLst>
            <a:path>
              <a:moveTo>
                <a:pt x="0" y="0"/>
              </a:moveTo>
              <a:lnTo>
                <a:pt x="0" y="2666403"/>
              </a:lnTo>
              <a:lnTo>
                <a:pt x="106631" y="2666403"/>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53EE3BC-73C0-456E-B965-5CFF6296834E}">
      <dsp:nvSpPr>
        <dsp:cNvPr id="0" name=""/>
        <dsp:cNvSpPr/>
      </dsp:nvSpPr>
      <dsp:spPr>
        <a:xfrm>
          <a:off x="2977080" y="2899422"/>
          <a:ext cx="915328" cy="463722"/>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Mayor atribucion autoridades locales</a:t>
          </a:r>
        </a:p>
      </dsp:txBody>
      <dsp:txXfrm>
        <a:off x="2990662" y="2913004"/>
        <a:ext cx="888164" cy="436558"/>
      </dsp:txXfrm>
    </dsp:sp>
    <dsp:sp modelId="{906B27E3-11D4-40C2-A45F-BD8D020565DA}">
      <dsp:nvSpPr>
        <dsp:cNvPr id="0" name=""/>
        <dsp:cNvSpPr/>
      </dsp:nvSpPr>
      <dsp:spPr>
        <a:xfrm>
          <a:off x="4061990" y="1157"/>
          <a:ext cx="927444" cy="463722"/>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0955" tIns="13970" rIns="20955" bIns="13970" numCol="1" spcCol="1270" anchor="ctr" anchorCtr="0">
          <a:noAutofit/>
        </a:bodyPr>
        <a:lstStyle/>
        <a:p>
          <a:pPr lvl="0" algn="ctr" defTabSz="466725">
            <a:lnSpc>
              <a:spcPct val="90000"/>
            </a:lnSpc>
            <a:spcBef>
              <a:spcPct val="0"/>
            </a:spcBef>
            <a:spcAft>
              <a:spcPct val="35000"/>
            </a:spcAft>
          </a:pPr>
          <a:r>
            <a:rPr lang="es-CL" sz="1050" kern="1200">
              <a:latin typeface="Arial" panose="020B0604020202020204" pitchFamily="34" charset="0"/>
              <a:cs typeface="Arial" panose="020B0604020202020204" pitchFamily="34" charset="0"/>
            </a:rPr>
            <a:t>Relación mineras comunidades</a:t>
          </a:r>
        </a:p>
      </dsp:txBody>
      <dsp:txXfrm>
        <a:off x="4075572" y="14739"/>
        <a:ext cx="900280" cy="436558"/>
      </dsp:txXfrm>
    </dsp:sp>
    <dsp:sp modelId="{F41D76A6-0481-4AF6-8F6A-42F6CE9A5C7F}">
      <dsp:nvSpPr>
        <dsp:cNvPr id="0" name=""/>
        <dsp:cNvSpPr/>
      </dsp:nvSpPr>
      <dsp:spPr>
        <a:xfrm>
          <a:off x="4154734" y="464879"/>
          <a:ext cx="92744" cy="347791"/>
        </a:xfrm>
        <a:custGeom>
          <a:avLst/>
          <a:gdLst/>
          <a:ahLst/>
          <a:cxnLst/>
          <a:rect l="0" t="0" r="0" b="0"/>
          <a:pathLst>
            <a:path>
              <a:moveTo>
                <a:pt x="0" y="0"/>
              </a:moveTo>
              <a:lnTo>
                <a:pt x="0" y="347791"/>
              </a:lnTo>
              <a:lnTo>
                <a:pt x="92744" y="347791"/>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E805AC8-F7EC-4B8C-865C-E00C8770ECB6}">
      <dsp:nvSpPr>
        <dsp:cNvPr id="0" name=""/>
        <dsp:cNvSpPr/>
      </dsp:nvSpPr>
      <dsp:spPr>
        <a:xfrm>
          <a:off x="4247479" y="580810"/>
          <a:ext cx="741955" cy="463722"/>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Fomento productivo local</a:t>
          </a:r>
        </a:p>
      </dsp:txBody>
      <dsp:txXfrm>
        <a:off x="4261061" y="594392"/>
        <a:ext cx="714791" cy="436558"/>
      </dsp:txXfrm>
    </dsp:sp>
    <dsp:sp modelId="{48A286F2-BC75-4914-B51B-DDB08FB72CB6}">
      <dsp:nvSpPr>
        <dsp:cNvPr id="0" name=""/>
        <dsp:cNvSpPr/>
      </dsp:nvSpPr>
      <dsp:spPr>
        <a:xfrm>
          <a:off x="4154734" y="464879"/>
          <a:ext cx="92744" cy="927444"/>
        </a:xfrm>
        <a:custGeom>
          <a:avLst/>
          <a:gdLst/>
          <a:ahLst/>
          <a:cxnLst/>
          <a:rect l="0" t="0" r="0" b="0"/>
          <a:pathLst>
            <a:path>
              <a:moveTo>
                <a:pt x="0" y="0"/>
              </a:moveTo>
              <a:lnTo>
                <a:pt x="0" y="927444"/>
              </a:lnTo>
              <a:lnTo>
                <a:pt x="92744" y="927444"/>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97542AA-FB37-46C3-98BA-CDCA2E4D7841}">
      <dsp:nvSpPr>
        <dsp:cNvPr id="0" name=""/>
        <dsp:cNvSpPr/>
      </dsp:nvSpPr>
      <dsp:spPr>
        <a:xfrm>
          <a:off x="4247479" y="1160463"/>
          <a:ext cx="741955" cy="463722"/>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Falla resolución conflictos</a:t>
          </a:r>
        </a:p>
      </dsp:txBody>
      <dsp:txXfrm>
        <a:off x="4261061" y="1174045"/>
        <a:ext cx="714791" cy="436558"/>
      </dsp:txXfrm>
    </dsp:sp>
    <dsp:sp modelId="{0AB01DEB-B48D-4AB7-ACF6-C7FA02D55D03}">
      <dsp:nvSpPr>
        <dsp:cNvPr id="0" name=""/>
        <dsp:cNvSpPr/>
      </dsp:nvSpPr>
      <dsp:spPr>
        <a:xfrm>
          <a:off x="4154734" y="464879"/>
          <a:ext cx="92744" cy="1507097"/>
        </a:xfrm>
        <a:custGeom>
          <a:avLst/>
          <a:gdLst/>
          <a:ahLst/>
          <a:cxnLst/>
          <a:rect l="0" t="0" r="0" b="0"/>
          <a:pathLst>
            <a:path>
              <a:moveTo>
                <a:pt x="0" y="0"/>
              </a:moveTo>
              <a:lnTo>
                <a:pt x="0" y="1507097"/>
              </a:lnTo>
              <a:lnTo>
                <a:pt x="92744" y="1507097"/>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4159DDB-C892-429A-8C04-8C960DB1C764}">
      <dsp:nvSpPr>
        <dsp:cNvPr id="0" name=""/>
        <dsp:cNvSpPr/>
      </dsp:nvSpPr>
      <dsp:spPr>
        <a:xfrm>
          <a:off x="4247479" y="1740116"/>
          <a:ext cx="741955" cy="463722"/>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Desigualdad </a:t>
          </a:r>
        </a:p>
      </dsp:txBody>
      <dsp:txXfrm>
        <a:off x="4261061" y="1753698"/>
        <a:ext cx="714791" cy="436558"/>
      </dsp:txXfrm>
    </dsp:sp>
    <dsp:sp modelId="{D99B06F4-2561-4778-82A9-14D3BB45D146}">
      <dsp:nvSpPr>
        <dsp:cNvPr id="0" name=""/>
        <dsp:cNvSpPr/>
      </dsp:nvSpPr>
      <dsp:spPr>
        <a:xfrm>
          <a:off x="4154734" y="464879"/>
          <a:ext cx="92744" cy="2086750"/>
        </a:xfrm>
        <a:custGeom>
          <a:avLst/>
          <a:gdLst/>
          <a:ahLst/>
          <a:cxnLst/>
          <a:rect l="0" t="0" r="0" b="0"/>
          <a:pathLst>
            <a:path>
              <a:moveTo>
                <a:pt x="0" y="0"/>
              </a:moveTo>
              <a:lnTo>
                <a:pt x="0" y="2086750"/>
              </a:lnTo>
              <a:lnTo>
                <a:pt x="92744" y="2086750"/>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67A9407-2EB0-498D-9A7A-A425FFB71E93}">
      <dsp:nvSpPr>
        <dsp:cNvPr id="0" name=""/>
        <dsp:cNvSpPr/>
      </dsp:nvSpPr>
      <dsp:spPr>
        <a:xfrm>
          <a:off x="4247479" y="2319769"/>
          <a:ext cx="741955" cy="463722"/>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Donetaria</a:t>
          </a:r>
        </a:p>
      </dsp:txBody>
      <dsp:txXfrm>
        <a:off x="4261061" y="2333351"/>
        <a:ext cx="714791" cy="436558"/>
      </dsp:txXfrm>
    </dsp:sp>
    <dsp:sp modelId="{4A7C1B08-5D44-4F49-AE3C-0434FB76F88B}">
      <dsp:nvSpPr>
        <dsp:cNvPr id="0" name=""/>
        <dsp:cNvSpPr/>
      </dsp:nvSpPr>
      <dsp:spPr>
        <a:xfrm>
          <a:off x="4154734" y="464879"/>
          <a:ext cx="92744" cy="2666403"/>
        </a:xfrm>
        <a:custGeom>
          <a:avLst/>
          <a:gdLst/>
          <a:ahLst/>
          <a:cxnLst/>
          <a:rect l="0" t="0" r="0" b="0"/>
          <a:pathLst>
            <a:path>
              <a:moveTo>
                <a:pt x="0" y="0"/>
              </a:moveTo>
              <a:lnTo>
                <a:pt x="0" y="2666403"/>
              </a:lnTo>
              <a:lnTo>
                <a:pt x="92744" y="2666403"/>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8436270-FC45-49B7-B6D2-0D4C6A7FEC69}">
      <dsp:nvSpPr>
        <dsp:cNvPr id="0" name=""/>
        <dsp:cNvSpPr/>
      </dsp:nvSpPr>
      <dsp:spPr>
        <a:xfrm>
          <a:off x="4247479" y="2899422"/>
          <a:ext cx="741955" cy="463722"/>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lvl="0" algn="ctr" defTabSz="355600">
            <a:lnSpc>
              <a:spcPct val="90000"/>
            </a:lnSpc>
            <a:spcBef>
              <a:spcPct val="0"/>
            </a:spcBef>
            <a:spcAft>
              <a:spcPct val="35000"/>
            </a:spcAft>
          </a:pPr>
          <a:r>
            <a:rPr lang="es-CL" sz="800" kern="1200">
              <a:latin typeface="Arial" panose="020B0604020202020204" pitchFamily="34" charset="0"/>
              <a:cs typeface="Arial" panose="020B0604020202020204" pitchFamily="34" charset="0"/>
            </a:rPr>
            <a:t>Licencia Social para operar</a:t>
          </a:r>
        </a:p>
      </dsp:txBody>
      <dsp:txXfrm>
        <a:off x="4261061" y="2913004"/>
        <a:ext cx="714791" cy="436558"/>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layout4.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layout5.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layout6.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Bla88</b:Tag>
    <b:SourceType>Book</b:SourceType>
    <b:Guid>{591AE77A-51C5-4A29-AC1E-963538BCDAEA}</b:Guid>
    <b:Title>Diccionario Latino-Español Español-Latino</b:Title>
    <b:Year>1985</b:Year>
    <b:City>Barcelona</b:City>
    <b:Publisher>Sopena</b:Publisher>
    <b:Author>
      <b:Author>
        <b:NameList>
          <b:Person>
            <b:Last>Blanquez</b:Last>
            <b:First>A.</b:First>
          </b:Person>
        </b:NameList>
      </b:Author>
      <b:BookAuthor>
        <b:NameList>
          <b:Person>
            <b:Last>Blanquez</b:Last>
            <b:First>A.</b:First>
          </b:Person>
        </b:NameList>
      </b:BookAuthor>
    </b:Author>
    <b:StandardNumber>ISBN 84-303-1029-0</b:StandardNumber>
    <b:RefOrder>80</b:RefOrder>
  </b:Source>
  <b:Source>
    <b:Tag>WCE87</b:Tag>
    <b:SourceType>Report</b:SourceType>
    <b:Guid>{6A448074-E805-4F77-8257-35C3EB9E65D9}</b:Guid>
    <b:Author>
      <b:Author>
        <b:Corporate>WCED</b:Corporate>
      </b:Author>
    </b:Author>
    <b:Title>Our Common Future, Chapter 2: Towards Sustainable Development</b:Title>
    <b:Year>1987</b:Year>
    <b:Publisher>United Nations</b:Publisher>
    <b:City>Switzerland</b:City>
    <b:RefOrder>4</b:RefOrder>
  </b:Source>
  <b:Source>
    <b:Tag>JSi96</b:Tag>
    <b:SourceType>Book</b:SourceType>
    <b:Guid>{6E85268A-61EE-421B-8EB8-50267DC88A68}</b:Guid>
    <b:Author>
      <b:Author>
        <b:NameList>
          <b:Person>
            <b:Last>Simon</b:Last>
            <b:First>J.</b:First>
          </b:Person>
        </b:NameList>
      </b:Author>
    </b:Author>
    <b:Title>The Ultimate Resource 2</b:Title>
    <b:Year>1996</b:Year>
    <b:City>Princeton</b:City>
    <b:Publisher>University Press Princeton</b:Publisher>
    <b:RefOrder>81</b:RefOrder>
  </b:Source>
  <b:Source>
    <b:Tag>Max94</b:Tag>
    <b:SourceType>Book</b:SourceType>
    <b:Guid>{F435BC20-2CE4-4E7C-9327-193AFA752D8A}</b:Guid>
    <b:Author>
      <b:Author>
        <b:NameList>
          <b:Person>
            <b:Last>Max Neef</b:Last>
            <b:First>Manfred</b:First>
          </b:Person>
        </b:NameList>
      </b:Author>
    </b:Author>
    <b:Title>Desarrollo a escala Humana: conceptos, aplicaciones y algunas reflexiones</b:Title>
    <b:Year>1994</b:Year>
    <b:City>Santiago</b:City>
    <b:Publisher>Icaria</b:Publisher>
    <b:RefOrder>82</b:RefOrder>
  </b:Source>
  <b:Source>
    <b:Tag>Phi06</b:Tag>
    <b:SourceType>BookSection</b:SourceType>
    <b:Guid>{480ADFB8-E7AE-45C9-8521-D74A28A674E2}</b:Guid>
    <b:Title>Territory, identity and spatial planning</b:Title>
    <b:Year>2006</b:Year>
    <b:Publisher>Routledge</b:Publisher>
    <b:City>Oxon</b:City>
    <b:Author>
      <b:Author>
        <b:NameList>
          <b:Person>
            <b:Last>Allmendinger</b:Last>
            <b:First>Phillip</b:First>
          </b:Person>
          <b:Person>
            <b:Last>Tewdwr-Jones</b:Last>
            <b:First>Mark</b:First>
          </b:Person>
        </b:NameList>
      </b:Author>
      <b:BookAuthor>
        <b:NameList>
          <b:Person>
            <b:Last>Allmendinge</b:Last>
            <b:First>Mark</b:First>
            <b:Middle>Tewdwr-Jones and Phillip</b:Middle>
          </b:Person>
        </b:NameList>
      </b:BookAuthor>
    </b:Author>
    <b:BookTitle>Territory, identity and spatial planning</b:BookTitle>
    <b:Pages>3-21</b:Pages>
    <b:RefOrder>83</b:RefOrder>
  </b:Source>
  <b:Source>
    <b:Tag>Spi02</b:Tag>
    <b:SourceType>BookSection</b:SourceType>
    <b:Guid>{22790334-DB00-4F4F-A5B0-1773818FC7DF}</b:Guid>
    <b:Author>
      <b:Author>
        <b:NameList>
          <b:Person>
            <b:Last>Spielmann</b:Last>
            <b:First>Karen</b:First>
          </b:Person>
        </b:NameList>
      </b:Author>
      <b:BookAuthor>
        <b:NameList>
          <b:Person>
            <b:Last>Gastó</b:Last>
            <b:First>J</b:First>
          </b:Person>
          <b:Person>
            <b:Last>Rodrigo</b:Last>
            <b:First>P.</b:First>
          </b:Person>
          <b:Person>
            <b:Last>Aránguiz.</b:Last>
            <b:First>I.</b:First>
          </b:Person>
        </b:NameList>
      </b:BookAuthor>
    </b:Author>
    <b:Title>Evolución histórica y cultural de la percepción de la naturaleza y territorio</b:Title>
    <b:BookTitle>Ordenación Territorial, Desarrollo de Predios y Comunas Rurales</b:BookTitle>
    <b:Year>2002</b:Year>
    <b:Pages>225-233</b:Pages>
    <b:City>Santiago</b:City>
    <b:Publisher>LOM Ediciones</b:Publisher>
    <b:CountryRegion>Chile</b:CountryRegion>
    <b:RefOrder>84</b:RefOrder>
  </b:Source>
  <b:Source>
    <b:Tag>Dub</b:Tag>
    <b:SourceType>BookSection</b:SourceType>
    <b:Guid>{34740E38-1C75-4B2B-9AB6-303FEA537121}</b:Guid>
    <b:Author>
      <b:Author>
        <b:NameList>
          <b:Person>
            <b:Last>Dubroeucq</b:Last>
            <b:First>Didier</b:First>
          </b:Person>
          <b:Person>
            <b:Last>Livenais</b:Last>
            <b:First>Patrick</b:First>
          </b:Person>
        </b:NameList>
      </b:Author>
    </b:Author>
    <b:Title>Cambios sociales e implicaciones ambientales en el alto valle del Choapa</b:Title>
    <b:BookTitle>Transformaciones territoriales contemporáneas de la pequeña agricultura del alto valle del Choapa</b:BookTitle>
    <b:Year>2003</b:Year>
    <b:RefOrder>85</b:RefOrder>
  </b:Source>
  <b:Source>
    <b:Tag>Din</b:Tag>
    <b:SourceType>BookSection</b:SourceType>
    <b:Guid>{124AA1FF-8B39-4AFF-91C0-C2D267968A69}</b:Guid>
    <b:Author>
      <b:Author>
        <b:NameList>
          <b:Person>
            <b:Last>Cortés</b:Last>
            <b:First>H.</b:First>
          </b:Person>
        </b:NameList>
      </b:Author>
      <b:BookAuthor>
        <b:NameList>
          <b:Person>
            <b:Last>Livenais</b:Last>
            <b:First>P.</b:First>
          </b:Person>
          <b:Person>
            <b:Last>Aranda</b:Last>
            <b:First>X.</b:First>
          </b:Person>
        </b:NameList>
      </b:BookAuthor>
    </b:Author>
    <b:Year>2003</b:Year>
    <b:BookTitle>Dinámicas de los sistemas agrarios en Chile árido: La región de Coquimbo</b:BookTitle>
    <b:Title>Evolución de la propiedad agraria en el Norte Chico (Siglos XVI-XIX)</b:Title>
    <b:Pages>34-64</b:Pages>
    <b:RefOrder>54</b:RefOrder>
  </b:Source>
  <b:Source>
    <b:Tag>Cas03</b:Tag>
    <b:SourceType>BookSection</b:SourceType>
    <b:Guid>{2B9206EA-0679-446C-83B2-8D6A915BFB73}</b:Guid>
    <b:Author>
      <b:Author>
        <b:NameList>
          <b:Person>
            <b:Last>Castillo</b:Last>
            <b:First>G.</b:First>
          </b:Person>
        </b:NameList>
      </b:Author>
      <b:BookAuthor>
        <b:NameList>
          <b:Person>
            <b:Last>Livenais</b:Last>
            <b:First>P.</b:First>
          </b:Person>
          <b:Person>
            <b:Last>Aranda</b:Last>
            <b:First>X.</b:First>
          </b:Person>
        </b:NameList>
      </b:BookAuthor>
    </b:Author>
    <b:Title>"La vuelta de los años: Reseñas y perspectivas sobre comunidades, el pastoreo y la trashumancia de la región semiarida de Chile"</b:Title>
    <b:Year>2003</b:Year>
    <b:BookTitle>Dinámicas de los sistemas agrarios en Chile árido: La Región de Coquimbo</b:BookTitle>
    <b:RefOrder>49</b:RefOrder>
  </b:Source>
  <b:Source>
    <b:Tag>Amp78</b:Tag>
    <b:SourceType>Book</b:SourceType>
    <b:Guid>{A12D1CED-B5BB-4DA7-8788-B145C6652E38}</b:Guid>
    <b:Author>
      <b:Author>
        <b:NameList>
          <b:Person>
            <b:Last>Ampuero</b:Last>
            <b:First>G.</b:First>
          </b:Person>
        </b:NameList>
      </b:Author>
    </b:Author>
    <b:Title>Cultura Diaguita</b:Title>
    <b:Year>1978</b:Year>
    <b:Publisher>Ministerio de Educación</b:Publisher>
    <b:RefOrder>50</b:RefOrder>
  </b:Source>
  <b:Source>
    <b:Tag>Cor56</b:Tag>
    <b:SourceType>Book</b:SourceType>
    <b:Guid>{097466EE-794C-4F3D-AF3D-A52A9D3C2EFF}</b:Guid>
    <b:Author>
      <b:Author>
        <b:NameList>
          <b:Person>
            <b:Last>Cornely</b:Last>
            <b:First>F.L.</b:First>
          </b:Person>
        </b:NameList>
      </b:Author>
    </b:Author>
    <b:Title>Cultura Diaguita y Cultura Molle</b:Title>
    <b:Year>1956</b:Year>
    <b:City>Santiago</b:City>
    <b:Publisher>Editorial del Pacífico</b:Publisher>
    <b:RefOrder>51</b:RefOrder>
  </b:Source>
  <b:Source>
    <b:Tag>Liv03</b:Tag>
    <b:SourceType>BookSection</b:SourceType>
    <b:Guid>{85DC70A0-218E-44B2-A0B2-DA9EDEB3FA8A}</b:Guid>
    <b:Title>Las transformaciones territoriales contemporáneas de la pequeña agricultura del alto valle del Choapa</b:Title>
    <b:Year>2003</b:Year>
    <b:Author>
      <b:Author>
        <b:NameList>
          <b:Person>
            <b:Last>Livenais</b:Last>
            <b:First>P.</b:First>
          </b:Person>
          <b:Person>
            <b:Last>Janssen</b:Last>
            <b:First>E.</b:First>
          </b:Person>
          <b:Person>
            <b:Last>Reyes</b:Last>
            <b:First>H.</b:First>
          </b:Person>
        </b:NameList>
      </b:Author>
      <b:BookAuthor>
        <b:NameList>
          <b:Person>
            <b:Last>Livenais</b:Last>
            <b:First>P.</b:First>
          </b:Person>
          <b:Person>
            <b:Last>Aranda</b:Last>
            <b:First>X.</b:First>
          </b:Person>
        </b:NameList>
      </b:BookAuthor>
    </b:Author>
    <b:BookTitle>Dinámicas de los sistemas agrarios en Chile árido: La Región de Coquimbo</b:BookTitle>
    <b:Pages>504</b:Pages>
    <b:RefOrder>86</b:RefOrder>
  </b:Source>
  <b:Source>
    <b:Tag>Tch12</b:Tag>
    <b:SourceType>JournalArticle</b:SourceType>
    <b:Guid>{4AFE9160-C03A-4DBE-BA44-A92443A7A11E}</b:Guid>
    <b:Title>Efectos sobre la salud y el medioambiente de las actividades mineras en Chile. Contaminación del Estero Pupío y Agua Potable del pueblo de Caimanes: ¿Se origina desde el tranque de Relaves mineros El Mauro?</b:Title>
    <b:Year>2012</b:Year>
    <b:Pages>199-214</b:Pages>
    <b:Author>
      <b:Author>
        <b:NameList>
          <b:Person>
            <b:Last>Tchernitchin</b:Last>
            <b:First>A.</b:First>
            <b:Middle>N.</b:Middle>
          </b:Person>
          <b:Person>
            <b:Last>Muñoz</b:Last>
            <b:First>G.</b:First>
          </b:Person>
        </b:NameList>
      </b:Author>
    </b:Author>
    <b:JournalName>Cuadernos Médico Sociales: Revista de Salud Pública del Colegio Médico de Chile</b:JournalName>
    <b:Volume>52</b:Volume>
    <b:Issue>4</b:Issue>
    <b:RefOrder>78</b:RefOrder>
  </b:Source>
  <b:Source>
    <b:Tag>And14</b:Tag>
    <b:SourceType>Report</b:SourceType>
    <b:Guid>{DB27213A-A9A2-4DD9-93B6-60AC3E1FDC1B}</b:Guid>
    <b:Title>Informe Técnico: Calidad de aguas superficiales, subterráneas y sedimentos fluviales de Cuncumén. Consolidado 2012-2014. Mesa del Agua del Río Cuncumén</b:Title>
    <b:Year>2014</b:Year>
    <b:Pages>192</b:Pages>
    <b:Author>
      <b:Author>
        <b:NameList>
          <b:Person>
            <b:Last>Andaur</b:Last>
            <b:First>V.</b:First>
          </b:Person>
        </b:NameList>
      </b:Author>
    </b:Author>
    <b:RefOrder>87</b:RefOrder>
  </b:Source>
  <b:Source>
    <b:Tag>Buj08</b:Tag>
    <b:SourceType>Book</b:SourceType>
    <b:Guid>{FF45CB51-48A6-4D93-9228-BD03422C0AB2}</b:Guid>
    <b:Author>
      <b:Author>
        <b:NameList>
          <b:Person>
            <b:Last>Bujes</b:Last>
            <b:First>J.</b:First>
          </b:Person>
        </b:NameList>
      </b:Author>
    </b:Author>
    <b:Title>Los Collas de Atacama: Identidad y Etnogenésis</b:Title>
    <b:Year>2008</b:Year>
    <b:City>Santiago</b:City>
    <b:Publisher>Universidad Academia de Himanismo Cristiano. Escuela de Antropología</b:Publisher>
    <b:Pages>105</b:Pages>
    <b:RefOrder>52</b:RefOrder>
  </b:Source>
  <b:Source>
    <b:Tag>ODE14</b:Tag>
    <b:SourceType>Report</b:SourceType>
    <b:Guid>{33D635C9-3177-485B-A3A6-92F416500A5E}</b:Guid>
    <b:Title>Región de Atacama. Información Regional </b:Title>
    <b:Year>2014</b:Year>
    <b:City>Santiago</b:City>
    <b:Publisher>ODEPA</b:Publisher>
    <b:Author>
      <b:Author>
        <b:NameList>
          <b:Person>
            <b:Last>ODEPA</b:Last>
          </b:Person>
          <b:Person>
            <b:Last>INE</b:Last>
          </b:Person>
        </b:NameList>
      </b:Author>
    </b:Author>
    <b:RefOrder>41</b:RefOrder>
  </b:Source>
  <b:Source>
    <b:Tag>Rea15</b:Tag>
    <b:SourceType>InternetSite</b:SourceType>
    <b:Guid>{2739CA68-1491-4190-9C24-9E75F21E4F6F}</b:Guid>
    <b:Title>Real Academia Española de la Lengua</b:Title>
    <b:Year>2015</b:Year>
    <b:Month>Mayo</b:Month>
    <b:Day>11</b:Day>
    <b:URL>http://www.rae.es</b:URL>
    <b:Author>
      <b:Author>
        <b:NameList>
          <b:Person>
            <b:Last>RAE</b:Last>
          </b:Person>
        </b:NameList>
      </b:Author>
    </b:Author>
    <b:RefOrder>9</b:RefOrder>
  </b:Source>
  <b:Source>
    <b:Tag>Cas13</b:Tag>
    <b:SourceType>BookSection</b:SourceType>
    <b:Guid>{DF53C123-A875-46A7-9BBD-6DC4AC0E2B30}</b:Guid>
    <b:Title>Main Feaures of Chilean Soils</b:Title>
    <b:Year>2013</b:Year>
    <b:Publisher>Springer</b:Publisher>
    <b:City>Santiago</b:City>
    <b:BookTitle>The Solis of Chile</b:BookTitle>
    <b:Pages>25-98</b:Pages>
    <b:Author>
      <b:Author>
        <b:NameList>
          <b:Person>
            <b:Last>Casanova</b:Last>
            <b:First>M.</b:First>
          </b:Person>
          <b:Person>
            <b:Last>Salazar</b:Last>
            <b:First>O.</b:First>
          </b:Person>
          <b:Person>
            <b:Last>Seguel</b:Last>
            <b:First>O.</b:First>
          </b:Person>
          <b:Person>
            <b:Last>Luzio</b:Last>
            <b:First>W.</b:First>
          </b:Person>
        </b:NameList>
      </b:Author>
      <b:BookAuthor>
        <b:NameList>
          <b:Person>
            <b:Last>Casanova</b:Last>
            <b:First>M.</b:First>
          </b:Person>
          <b:Person>
            <b:Last>Salazar</b:Last>
            <b:First>O.</b:First>
          </b:Person>
          <b:Person>
            <b:Last>Seguel</b:Last>
            <b:First>O.</b:First>
          </b:Person>
          <b:Person>
            <b:Last>Luzio</b:Last>
            <b:First>W.</b:First>
          </b:Person>
        </b:NameList>
      </b:BookAuthor>
    </b:Author>
    <b:StandardNumber>978-94-007-5948-0/2211-1255</b:StandardNumber>
    <b:RefOrder>88</b:RefOrder>
  </b:Source>
  <b:Source>
    <b:Tag>Hen04</b:Tag>
    <b:SourceType>BookSection</b:SourceType>
    <b:Guid>{4CECA141-66CE-486B-AF67-4FFEFB62880D}</b:Guid>
    <b:Author>
      <b:Author>
        <b:NameList>
          <b:Person>
            <b:Last>Adams</b:Last>
            <b:First>Carol</b:First>
          </b:Person>
          <b:Person>
            <b:Last>Frost</b:Last>
            <b:First>Geoff</b:First>
          </b:Person>
          <b:Person>
            <b:Last>Webber</b:Last>
            <b:First>Wendy</b:First>
          </b:Person>
        </b:NameList>
      </b:Author>
      <b:BookAuthor>
        <b:NameList>
          <b:Person>
            <b:Last>Henriques</b:Last>
            <b:First>Adrian</b:First>
          </b:Person>
          <b:Person>
            <b:Last>Richardson</b:Last>
            <b:First>Julie</b:First>
          </b:Person>
        </b:NameList>
      </b:BookAuthor>
    </b:Author>
    <b:Title>Chapter 2: Triple Bottom Line: A Review of the Literature</b:Title>
    <b:Year>2004</b:Year>
    <b:City>London</b:City>
    <b:Publisher>Earthscan</b:Publisher>
    <b:StandardNumber>1-84407-015-8 </b:StandardNumber>
    <b:BookTitle>The triple bottom line: does it all add up?</b:BookTitle>
    <b:RefOrder>89</b:RefOrder>
  </b:Source>
  <b:Source>
    <b:Tag>Boi99</b:Tag>
    <b:SourceType>Report</b:SourceType>
    <b:Guid>{D568613F-2A6D-442F-B230-3F2D00363BF4}</b:Guid>
    <b:Title>Conflictos ambientales: Relación enter Codelco y su entorno en el caso del transporte de ácido sulfúrico</b:Title>
    <b:Year>1999</b:Year>
    <b:Author>
      <b:Author>
        <b:NameList>
          <b:Person>
            <b:Last>Boisier</b:Last>
            <b:First>Jairo</b:First>
          </b:Person>
        </b:NameList>
      </b:Author>
    </b:Author>
    <b:RefOrder>90</b:RefOrder>
  </b:Source>
  <b:Source>
    <b:Tag>Cap96</b:Tag>
    <b:SourceType>Book</b:SourceType>
    <b:Guid>{815540FB-3BA9-4E98-9563-3D99C13652E3}</b:Guid>
    <b:Title>La trama de la vida</b:Title>
    <b:Year>1996</b:Year>
    <b:Publisher>Anagrama</b:Publisher>
    <b:City>Barcelona</b:City>
    <b:Author>
      <b:Author>
        <b:NameList>
          <b:Person>
            <b:Last>Capra</b:Last>
            <b:First>F</b:First>
          </b:Person>
        </b:NameList>
      </b:Author>
    </b:Author>
    <b:CountryRegion>España</b:CountryRegion>
    <b:Pages>359</b:Pages>
    <b:RefOrder>91</b:RefOrder>
  </b:Source>
  <b:Source>
    <b:Tag>Car32</b:Tag>
    <b:SourceType>Book</b:SourceType>
    <b:Guid>{DFBF8978-F1E9-4466-BEDB-8BC179B143F9}</b:Guid>
    <b:Author>
      <b:Author>
        <b:NameList>
          <b:Person>
            <b:Last>Carlowitz</b:Last>
            <b:First>Von,</b:First>
            <b:Middle>H.C.</b:Middle>
          </b:Person>
        </b:NameList>
      </b:Author>
    </b:Author>
    <b:Title>Economy of Silviculture: or Message and Instructions to mantain the Nature in Wild Arboriculture</b:Title>
    <b:Year>1732</b:Year>
    <b:City>Leipzig</b:City>
    <b:Publisher>Friedrich Brauns Erben</b:Publisher>
    <b:RefOrder>92</b:RefOrder>
  </b:Source>
  <b:Source>
    <b:Tag>Cla96</b:Tag>
    <b:SourceType>Book</b:SourceType>
    <b:Guid>{47917238-AA76-4EC3-B486-2967A21F112B}</b:Guid>
    <b:Author>
      <b:Author>
        <b:NameList>
          <b:Person>
            <b:Last>Clayton</b:Last>
            <b:First>A.</b:First>
          </b:Person>
          <b:Person>
            <b:Last>Radcliffe</b:Last>
            <b:First>N.</b:First>
          </b:Person>
        </b:NameList>
      </b:Author>
    </b:Author>
    <b:Title>Sustainability: a system aproach</b:Title>
    <b:Year>1996</b:Year>
    <b:City>London</b:City>
    <b:Publisher>Earthscan</b:Publisher>
    <b:RefOrder>93</b:RefOrder>
  </b:Source>
  <b:Source>
    <b:Tag>Cou15</b:Tag>
    <b:SourceType>InternetSite</b:SourceType>
    <b:Guid>{77FE9F9A-3DCC-4362-B678-A6466F71BAFB}</b:Guid>
    <b:Title>European Landscape Convention</b:Title>
    <b:Year>2015</b:Year>
    <b:Month>Junio</b:Month>
    <b:Day>05</b:Day>
    <b:URL>http://conventions.coe.int/Treaty/en/Treaties/Html/176.htm</b:URL>
    <b:Author>
      <b:Author>
        <b:NameList>
          <b:Person>
            <b:Last>COE</b:Last>
            <b:First>Council</b:First>
            <b:Middle>of Europe</b:Middle>
          </b:Person>
        </b:NameList>
      </b:Author>
    </b:Author>
    <b:RefOrder>94</b:RefOrder>
  </b:Source>
  <b:Source>
    <b:Tag>DeB92</b:Tag>
    <b:SourceType>Book</b:SourceType>
    <b:Guid>{6921A3B9-4637-4BAB-8B76-524C26F7B7B4}</b:Guid>
    <b:Author>
      <b:Author>
        <b:NameList>
          <b:Person>
            <b:Last>De Bolós</b:Last>
            <b:First>María</b:First>
          </b:Person>
        </b:NameList>
      </b:Author>
    </b:Author>
    <b:Title>Manual de ciencia del paisaje : teoría, métodos y aplicaciones.</b:Title>
    <b:Year>1992</b:Year>
    <b:City>Barcelona</b:City>
    <b:Publisher>Masson</b:Publisher>
    <b:Pages>273</b:Pages>
    <b:RefOrder>95</b:RefOrder>
  </b:Source>
  <b:Source>
    <b:Tag>Del05</b:Tag>
    <b:SourceType>Book</b:SourceType>
    <b:Guid>{30323307-D073-4090-8BEC-21B63973F362}</b:Guid>
    <b:Author>
      <b:Author>
        <b:NameList>
          <b:Person>
            <b:Last>Delaney</b:Last>
            <b:First>David</b:First>
          </b:Person>
        </b:NameList>
      </b:Author>
    </b:Author>
    <b:Title>Territiry: A short introduction</b:Title>
    <b:Year>2005</b:Year>
    <b:City>Oxford</b:City>
    <b:Publisher>Blackwell Publishing</b:Publisher>
    <b:RefOrder>15</b:RefOrder>
  </b:Source>
  <b:Source>
    <b:Tag>Dre08</b:Tag>
    <b:SourceType>Book</b:SourceType>
    <b:Guid>{CC2B8C85-B211-4A77-8E25-E391E2CB2D6E}</b:Guid>
    <b:Title>The principles of sustainability</b:Title>
    <b:Year>2008</b:Year>
    <b:Author>
      <b:Author>
        <b:NameList>
          <b:Person>
            <b:Last>Dresner</b:Last>
            <b:First>Simon</b:First>
          </b:Person>
        </b:NameList>
      </b:Author>
    </b:Author>
    <b:City>London</b:City>
    <b:Publisher>Earthscan</b:Publisher>
    <b:RefOrder>96</b:RefOrder>
  </b:Source>
  <b:Source>
    <b:Tag>Elk97</b:Tag>
    <b:SourceType>Book</b:SourceType>
    <b:Guid>{37928D26-C3DD-43F8-8809-8A15B59524F1}</b:Guid>
    <b:Author>
      <b:Author>
        <b:NameList>
          <b:Person>
            <b:Last>Elkington</b:Last>
            <b:First>John</b:First>
          </b:Person>
        </b:NameList>
      </b:Author>
    </b:Author>
    <b:Title>Canibals with forks</b:Title>
    <b:Year>1997</b:Year>
    <b:City>Oxford</b:City>
    <b:Publisher>Capstone</b:Publisher>
    <b:CountryRegion>United Kingdom</b:CountryRegion>
    <b:StandardNumber>1-900961-27-X</b:StandardNumber>
    <b:RefOrder>97</b:RefOrder>
  </b:Source>
  <b:Source>
    <b:Tag>Erl08</b:Tag>
    <b:SourceType>BookSection</b:SourceType>
    <b:Guid>{B8286996-81A4-461E-BC91-CA99CC5726F6}</b:Guid>
    <b:Title>Industria de celulosa en Chile: Un modelo de desarrollo no sustentable</b:Title>
    <b:BookTitle>Ecofilosofía</b:BookTitle>
    <b:Year>2008</b:Year>
    <b:Pages>141-179</b:Pages>
    <b:Publisher>Universidad Atlántida</b:Publisher>
    <b:Author>
      <b:Author>
        <b:NameList>
          <b:Person>
            <b:Last>Erlwein</b:Last>
            <b:First>A</b:First>
          </b:Person>
          <b:Person>
            <b:Last>Lara</b:Last>
            <b:First>A</b:First>
          </b:Person>
          <b:Person>
            <b:Last>Pradenas</b:Last>
            <b:First>A.</b:First>
          </b:Person>
        </b:NameList>
      </b:Author>
      <b:BookAuthor>
        <b:NameList>
          <b:Person>
            <b:Last>Monjeau</b:Last>
            <b:First>A</b:First>
          </b:Person>
          <b:Person>
            <b:Last>Parera</b:Last>
            <b:First>A</b:First>
          </b:Person>
          <b:Person>
            <b:Last>Lacour</b:Last>
            <b:First>E.</b:First>
          </b:Person>
        </b:NameList>
      </b:BookAuthor>
    </b:Author>
    <b:CountryRegion>Argentina-Brazil</b:CountryRegion>
    <b:RefOrder>98</b:RefOrder>
  </b:Source>
  <b:Source>
    <b:Tag>Fol01</b:Tag>
    <b:SourceType>JournalArticle</b:SourceType>
    <b:Guid>{05E304A5-038E-4FFE-A9D1-E4C0D1292DEB}</b:Guid>
    <b:Author>
      <b:Author>
        <b:NameList>
          <b:Person>
            <b:Last>Folchi</b:Last>
            <b:First>Mauricio</b:First>
          </b:Person>
        </b:NameList>
      </b:Author>
    </b:Author>
    <b:Title>Conflictos de contenido ambiental y ecologismo de los pobres: no siempre pobres, ni siempre ecologistas</b:Title>
    <b:JournalName>Ecoogía política</b:JournalName>
    <b:Year>2001</b:Year>
    <b:Pages>79-101</b:Pages>
    <b:Volume>22</b:Volume>
    <b:RefOrder>99</b:RefOrder>
  </b:Source>
  <b:Source>
    <b:Tag>Gas02</b:Tag>
    <b:SourceType>BookSection</b:SourceType>
    <b:Guid>{EC0FE07B-D100-4ECC-A52D-ED4E6395999F}</b:Guid>
    <b:Title>Ordenación territorial rural en escala comunal</b:Title>
    <b:Year>2002</b:Year>
    <b:City>Santiago</b:City>
    <b:Publisher>LOM Ediciones</b:Publisher>
    <b:Author>
      <b:Author>
        <b:NameList>
          <b:Person>
            <b:Last>Gastó</b:Last>
            <b:First>Juan</b:First>
          </b:Person>
          <b:Person>
            <b:Last>Rodrigo</b:Last>
            <b:First>P</b:First>
          </b:Person>
          <b:Person>
            <b:Last>Aránguiz</b:Last>
            <b:First>I</b:First>
          </b:Person>
          <b:Person>
            <b:Last>Urrutia</b:Last>
            <b:First>C</b:First>
          </b:Person>
        </b:NameList>
      </b:Author>
      <b:BookAuthor>
        <b:NameList>
          <b:Person>
            <b:Last>Gastó</b:Last>
            <b:First>Juan</b:First>
          </b:Person>
          <b:Person>
            <b:Last>Rodrigo</b:Last>
            <b:First>P</b:First>
          </b:Person>
          <b:Person>
            <b:Last>Aránguiz</b:Last>
            <b:First>I.</b:First>
          </b:Person>
        </b:NameList>
      </b:BookAuthor>
    </b:Author>
    <b:BookTitle>Ordenación territorial, Desarrollo de Predios y Comunas Rurales</b:BookTitle>
    <b:RefOrder>27</b:RefOrder>
  </b:Source>
  <b:Source>
    <b:Tag>Gas06</b:Tag>
    <b:SourceType>JournalArticle</b:SourceType>
    <b:Guid>{5C3675F1-9A37-41EF-B3A7-901F4ACD82BC}</b:Guid>
    <b:Author>
      <b:Author>
        <b:NameList>
          <b:Person>
            <b:Last>Gastó</b:Last>
            <b:First>Juan</b:First>
          </b:Person>
          <b:Person>
            <b:Last>Vieli</b:Last>
            <b:First>L</b:First>
          </b:Person>
          <b:Person>
            <b:Last>Vera</b:Last>
            <b:First>L</b:First>
          </b:Person>
        </b:NameList>
      </b:Author>
    </b:Author>
    <b:Title>Paisaje Cultural. De la Silva al Ager</b:Title>
    <b:Year>2006</b:Year>
    <b:JournalName>Agronomía y Forestal UC</b:JournalName>
    <b:Pages>29-33</b:Pages>
    <b:Issue>28</b:Issue>
    <b:RefOrder>100</b:RefOrder>
  </b:Source>
  <b:Source>
    <b:Tag>Gon99</b:Tag>
    <b:SourceType>Report</b:SourceType>
    <b:Guid>{B4DE333A-0AD0-4CB5-8F6C-ABFE8C1B5EB6}</b:Guid>
    <b:Title>Análisis de cinco conflictos ambientales en el sistema de Evaluación de Impacto Ambiental</b:Title>
    <b:Year>1999</b:Year>
    <b:Publisher>Memoria para optar al titulo de Ingeniero</b:Publisher>
    <b:City>Santiago</b:City>
    <b:Author>
      <b:Author>
        <b:NameList>
          <b:Person>
            <b:Last>Gonzalez</b:Last>
            <b:First>A</b:First>
          </b:Person>
        </b:NameList>
      </b:Author>
    </b:Author>
    <b:RefOrder>101</b:RefOrder>
  </b:Source>
  <b:Source>
    <b:Tag>Jea73</b:Tag>
    <b:SourceType>BookSection</b:SourceType>
    <b:Guid>{357DB75E-9AC7-4E98-8F61-42E36CBDA362}</b:Guid>
    <b:Author>
      <b:Author>
        <b:NameList>
          <b:Person>
            <b:Last>Gottmann</b:Last>
            <b:First>Jean</b:First>
          </b:Person>
        </b:NameList>
      </b:Author>
      <b:BookAuthor>
        <b:NameList>
          <b:Person>
            <b:Last>Gottmannn</b:Last>
            <b:First>Jean</b:First>
          </b:Person>
        </b:NameList>
      </b:BookAuthor>
    </b:Author>
    <b:Title>The people and their territory: The Partitioning of the World</b:Title>
    <b:BookTitle>The significance of territory</b:BookTitle>
    <b:Year>1973</b:Year>
    <b:Pages>1-15</b:Pages>
    <b:City>Virginia</b:City>
    <b:Publisher>The University Press of Virginia</b:Publisher>
    <b:RefOrder>12</b:RefOrder>
  </b:Source>
  <b:Source>
    <b:Tag>Guh97</b:Tag>
    <b:SourceType>JournalArticle</b:SourceType>
    <b:Guid>{0BB2F2BA-0CCA-4F3A-A319-1052B3FE968E}</b:Guid>
    <b:Author>
      <b:Author>
        <b:NameList>
          <b:Person>
            <b:Last>Guha</b:Last>
            <b:First>Ramachandra</b:First>
          </b:Person>
          <b:Person>
            <b:Last>Martínez Alier</b:Last>
            <b:First>Joan</b:First>
          </b:Person>
        </b:NameList>
      </b:Author>
    </b:Author>
    <b:Title>Varieties of enviromentalism</b:Title>
    <b:JournalName>Essay North and South Earth Scan</b:JournalName>
    <b:Year>1997</b:Year>
    <b:RefOrder>102</b:RefOrder>
  </b:Source>
  <b:Source>
    <b:Tag>Hai00</b:Tag>
    <b:SourceType>JournalArticle</b:SourceType>
    <b:Guid>{E2DAADD1-D1F1-49EC-9A02-5EF48AA64B2F}</b:Guid>
    <b:Author>
      <b:Author>
        <b:NameList>
          <b:Person>
            <b:Last>Haines-Young</b:Last>
            <b:First>R</b:First>
          </b:Person>
        </b:NameList>
      </b:Author>
    </b:Author>
    <b:Title>Sustainable development and sustainable landscapes: defining a new paradigm for landscape ecology</b:Title>
    <b:JournalName>Fennia</b:JournalName>
    <b:Year>2000</b:Year>
    <b:Pages>7-14</b:Pages>
    <b:Volume>1</b:Volume>
    <b:Issue>178</b:Issue>
    <b:RefOrder>103</b:RefOrder>
  </b:Source>
  <b:Source>
    <b:Tag>Hen041</b:Tag>
    <b:SourceType>BookSection</b:SourceType>
    <b:Guid>{8A9C20F8-FC56-4433-929E-72A73F8A8F11}</b:Guid>
    <b:Author>
      <b:Author>
        <b:NameList>
          <b:Person>
            <b:Last>Henriques</b:Last>
            <b:First>Adrian</b:First>
          </b:Person>
        </b:NameList>
      </b:Author>
      <b:BookAuthor>
        <b:NameList>
          <b:Person>
            <b:Last>Henriques</b:Last>
            <b:First>Adrian</b:First>
          </b:Person>
          <b:Person>
            <b:Last>Richardson</b:Last>
            <b:First>Julie</b:First>
          </b:Person>
        </b:NameList>
      </b:BookAuthor>
    </b:Author>
    <b:Title>Chapter 3: CSR Sustainability and the Tripple Bottom Line</b:Title>
    <b:BookTitle>The Triple Bottom Line: Does it All Add Up?</b:BookTitle>
    <b:Year>2004</b:Year>
    <b:Pages>26-33</b:Pages>
    <b:City>London</b:City>
    <b:Publisher>Earthscan</b:Publisher>
    <b:CountryRegion>United Kingdom</b:CountryRegion>
    <b:StandardNumber>1-84407-015-8</b:StandardNumber>
    <b:RefOrder>104</b:RefOrder>
  </b:Source>
  <b:Source>
    <b:Tag>Ing91</b:Tag>
    <b:SourceType>JournalArticle</b:SourceType>
    <b:Guid>{BA8892B2-0037-4C0D-856D-F6DE1250B85D}</b:Guid>
    <b:Author>
      <b:Author>
        <b:NameList>
          <b:Person>
            <b:Last>Inglehart</b:Last>
            <b:First>R</b:First>
          </b:Person>
        </b:NameList>
      </b:Author>
    </b:Author>
    <b:Title>El cambio cultural en las sociedades industriales avanzadas</b:Title>
    <b:Year>1991</b:Year>
    <b:City>Madrid</b:City>
    <b:JournalName>Centro de Investigaciones Sociológica</b:JournalName>
    <b:RefOrder>105</b:RefOrder>
  </b:Source>
  <b:Source>
    <b:Tag>Lóp09</b:Tag>
    <b:SourceType>BookSection</b:SourceType>
    <b:Guid>{F1218834-1259-4659-9864-337D7B17E39D}</b:Guid>
    <b:Author>
      <b:Author>
        <b:NameList>
          <b:Person>
            <b:Last>López</b:Last>
            <b:First>Eduardo</b:First>
          </b:Person>
        </b:NameList>
      </b:Author>
      <b:BookAuthor>
        <b:NameList>
          <b:Person>
            <b:Last>Ortega</b:Last>
            <b:First>Luis</b:First>
          </b:Person>
        </b:NameList>
      </b:BookAuthor>
    </b:Author>
    <b:Title>Vivir y morir un poco: El Mineral de La Higuera entre 1875-1885</b:Title>
    <b:BookTitle>Sociedad y Minería en el Norte Chico , 1840-1930</b:BookTitle>
    <b:Year>2009</b:Year>
    <b:Pages>195-222</b:Pages>
    <b:City>Santiago</b:City>
    <b:Publisher>Universidad Academia Humanismo Cristiano, Universidad de Santiago de Chile</b:Publisher>
    <b:RefOrder>56</b:RefOrder>
  </b:Source>
  <b:Source>
    <b:Tag>Lot10</b:Tag>
    <b:SourceType>BookSection</b:SourceType>
    <b:Guid>{007B6A24-F451-4434-A6D4-9A6A31E6A8B3}</b:Guid>
    <b:Title>Tailings</b:Title>
    <b:Year>2010</b:Year>
    <b:City>London</b:City>
    <b:Publisher>Springer</b:Publisher>
    <b:Author>
      <b:Author>
        <b:NameList>
          <b:Person>
            <b:Last>Lottermoser</b:Last>
            <b:First>Bernd</b:First>
          </b:Person>
        </b:NameList>
      </b:Author>
      <b:BookAuthor>
        <b:NameList>
          <b:Person>
            <b:Last>Lottermoser</b:Last>
            <b:First>Bernd</b:First>
          </b:Person>
        </b:NameList>
      </b:BookAuthor>
    </b:Author>
    <b:BookTitle>Mine Wastes</b:BookTitle>
    <b:Pages>205-242</b:Pages>
    <b:RefOrder>18</b:RefOrder>
  </b:Source>
  <b:Source>
    <b:Tag>RNa96</b:Tag>
    <b:SourceType>Book</b:SourceType>
    <b:Guid>{5304810C-EF84-4C8A-98F5-B2DF86E2523C}</b:Guid>
    <b:Author>
      <b:Author>
        <b:NameList>
          <b:Person>
            <b:Last>Nava</b:Last>
            <b:First>R</b:First>
          </b:Person>
          <b:Person>
            <b:Last>Armijo</b:Last>
            <b:First>R.</b:First>
          </b:Person>
          <b:Person>
            <b:Last>Gastó</b:Last>
            <b:First>Juan</b:First>
          </b:Person>
        </b:NameList>
      </b:Author>
    </b:Author>
    <b:Title>Ecosistemas. La Unidad de la naturaleza y el hombre</b:Title>
    <b:Year>1996</b:Year>
    <b:Publisher>Editorial Trillas</b:Publisher>
    <b:City>México</b:City>
    <b:Pages>332</b:Pages>
    <b:RefOrder>106</b:RefOrder>
  </b:Source>
  <b:Source>
    <b:Tag>Neu10</b:Tag>
    <b:SourceType>Book</b:SourceType>
    <b:Guid>{A83867BF-A25B-4DC1-8C03-F3EB793469DD}</b:Guid>
    <b:Author>
      <b:Author>
        <b:NameList>
          <b:Person>
            <b:Last>Neumayer</b:Last>
            <b:First>Eric</b:First>
          </b:Person>
        </b:NameList>
      </b:Author>
    </b:Author>
    <b:Title>Weak versus strong sustainability: exploring the limits of two opposing paradigms</b:Title>
    <b:Year>2010</b:Year>
    <b:Publisher>Edward Elgar</b:Publisher>
    <b:Pages>272</b:Pages>
    <b:RefOrder>107</b:RefOrder>
  </b:Source>
  <b:Source>
    <b:Tag>ORi88</b:Tag>
    <b:SourceType>BookSection</b:SourceType>
    <b:Guid>{5551015A-2148-4FBC-8DA7-0396BC60A99C}</b:Guid>
    <b:Author>
      <b:Author>
        <b:NameList>
          <b:Person>
            <b:Last>O' Riordan</b:Last>
            <b:First>Tim</b:First>
          </b:Person>
        </b:NameList>
      </b:Author>
      <b:Editor>
        <b:NameList>
          <b:Person>
            <b:Last>Turner</b:Last>
            <b:First>R</b:First>
            <b:Middle>Kerry</b:Middle>
          </b:Person>
        </b:NameList>
      </b:Editor>
    </b:Author>
    <b:Title>The politics of sustainability</b:Title>
    <b:BookTitle>Sustainable Environmental Management: Principles and Practices</b:BookTitle>
    <b:Year>1988</b:Year>
    <b:City>London</b:City>
    <b:Publisher>Belhaven</b:Publisher>
    <b:RefOrder>108</b:RefOrder>
  </b:Source>
  <b:Source>
    <b:Tag>Ort09</b:Tag>
    <b:SourceType>BookSection</b:SourceType>
    <b:Guid>{E2F0A413-81DB-4B33-ACBD-ADCAC6E4731C}</b:Guid>
    <b:Title>Del auge a la crisis y la decadencia. La minería del cobre entre 1875 y 1925</b:Title>
    <b:Year>2009</b:Year>
    <b:City>Santiago</b:City>
    <b:Publisher>Universidad Academia Humanismo Cristiano, Universidad de Santiago de Chile </b:Publisher>
    <b:Author>
      <b:Author>
        <b:NameList>
          <b:Person>
            <b:Last>Ortega</b:Last>
            <b:First>Luis</b:First>
          </b:Person>
        </b:NameList>
      </b:Author>
      <b:BookAuthor>
        <b:NameList>
          <b:Person>
            <b:Last>Ortega</b:Last>
            <b:First>Luis</b:First>
          </b:Person>
          <b:Person>
            <b:Last>Godoy</b:Last>
            <b:First>Milton</b:First>
          </b:Person>
          <b:Person>
            <b:Last>Venegas</b:Last>
            <b:First>Hernán</b:First>
          </b:Person>
        </b:NameList>
      </b:BookAuthor>
    </b:Author>
    <b:BookTitle>Sociedad y Minería en el Norte Chico 1840-1930</b:BookTitle>
    <b:Pages>17-66</b:Pages>
    <b:RefOrder>26</b:RefOrder>
  </b:Source>
  <b:Source>
    <b:Tag>Pad00</b:Tag>
    <b:SourceType>Book</b:SourceType>
    <b:Guid>{BA8B3373-9D21-47FB-BF7C-9E0FF5972635}</b:Guid>
    <b:Author>
      <b:Author>
        <b:NameList>
          <b:Person>
            <b:Last>Padilla</b:Last>
            <b:First>Cesar</b:First>
          </b:Person>
        </b:NameList>
      </b:Author>
    </b:Author>
    <b:Title>El pecado de la participación ciudadana. Conflictos ambientales en Chile</b:Title>
    <b:Year>2000</b:Year>
    <b:City>Santiago</b:City>
    <b:Publisher>Observatorio Latinoamericano de Conflictos Ambientales</b:Publisher>
    <b:RefOrder>109</b:RefOrder>
  </b:Source>
  <b:Source>
    <b:Tag>Pea89</b:Tag>
    <b:SourceType>Book</b:SourceType>
    <b:Guid>{ECA62C37-736F-4124-BD76-D0E689492D89}</b:Guid>
    <b:Title>Blueprint for a Green Economy</b:Title>
    <b:Year>1989</b:Year>
    <b:Publisher>Earthscan</b:Publisher>
    <b:City>London</b:City>
    <b:Author>
      <b:Author>
        <b:NameList>
          <b:Person>
            <b:Last>Pearce</b:Last>
            <b:Middle>W</b:Middle>
            <b:First>D</b:First>
          </b:Person>
          <b:Person>
            <b:Last>Markandya</b:Last>
            <b:First>A</b:First>
          </b:Person>
          <b:Person>
            <b:Last>Barbier</b:Last>
            <b:First>E</b:First>
          </b:Person>
        </b:NameList>
      </b:Author>
    </b:Author>
    <b:RefOrder>110</b:RefOrder>
  </b:Source>
  <b:Source>
    <b:Tag>Pea891</b:Tag>
    <b:SourceType>Book</b:SourceType>
    <b:Guid>{01F5CDA5-10FF-4409-B68E-97EC05FFB920}</b:Guid>
    <b:Author>
      <b:Author>
        <b:NameList>
          <b:Person>
            <b:Last>Pearce</b:Last>
            <b:First>David</b:First>
          </b:Person>
          <b:Person>
            <b:Last>Markandya</b:Last>
            <b:First>Anil</b:First>
          </b:Person>
          <b:Person>
            <b:Last>Barbier</b:Last>
            <b:First>Edward</b:First>
          </b:Person>
        </b:NameList>
      </b:Author>
    </b:Author>
    <b:Title>Blue print for a Green Economy</b:Title>
    <b:Year>1989</b:Year>
    <b:City>London</b:City>
    <b:Publisher>Earthscan</b:Publisher>
    <b:RefOrder>111</b:RefOrder>
  </b:Source>
  <b:Source>
    <b:Tag>Pis99</b:Tag>
    <b:SourceType>Report</b:SourceType>
    <b:Guid>{C1C2EDF5-88EC-43DE-9D15-85447D7BF3E8}</b:Guid>
    <b:Author>
      <b:Author>
        <b:NameList>
          <b:Person>
            <b:Last>Pisani</b:Last>
            <b:First>Pablo</b:First>
          </b:Person>
          <b:Person>
            <b:Last>Abogabir</b:Last>
            <b:First>Ximena</b:First>
          </b:Person>
          <b:Person>
            <b:Last>Pollicardo</b:Last>
            <b:First>Jesvana</b:First>
          </b:Person>
        </b:NameList>
      </b:Author>
    </b:Author>
    <b:Title>Aportes conceptuales y Metodológicos para la Resolución Colaborativa de Conflictos Ambientales en Chile</b:Title>
    <b:Year>1999</b:Year>
    <b:Pages>58</b:Pages>
    <b:Publisher>Casa de la Paz</b:Publisher>
    <b:City>Santiago</b:City>
    <b:RefOrder>112</b:RefOrder>
  </b:Source>
  <b:Source>
    <b:Tag>Raj05</b:Tag>
    <b:SourceType>Book</b:SourceType>
    <b:Guid>{22520D0A-BD0E-4C6C-81E9-0B281D94D86B}</b:Guid>
    <b:Author>
      <b:Author>
        <b:NameList>
          <b:Person>
            <b:Last>Rajaram</b:Last>
            <b:First>V</b:First>
          </b:Person>
          <b:Person>
            <b:Last>Dutta</b:Last>
            <b:First>S</b:First>
          </b:Person>
          <b:Person>
            <b:Last>Parameswaran</b:Last>
            <b:First>K.</b:First>
          </b:Person>
        </b:NameList>
      </b:Author>
    </b:Author>
    <b:Title>Sustainable Mining Practices: A Global Perspective</b:Title>
    <b:Year>2005</b:Year>
    <b:City>London</b:City>
    <b:Publisher>Taylor And Francis Group</b:Publisher>
    <b:CountryRegion>UK</b:CountryRegion>
    <b:StandardNumber>ISBN 90 5809 689 0</b:StandardNumber>
    <b:RefOrder>19</b:RefOrder>
  </b:Source>
  <b:Source>
    <b:Tag>Rod91</b:Tag>
    <b:SourceType>Book</b:SourceType>
    <b:Guid>{8DDCCCD7-5AEC-4692-AF43-1FB4830A134C}</b:Guid>
    <b:Author>
      <b:Author>
        <b:NameList>
          <b:Person>
            <b:Last>Rodríguez</b:Last>
            <b:First>Darío</b:First>
          </b:Person>
        </b:NameList>
      </b:Author>
    </b:Author>
    <b:Title>Gestión organizacional, elementos para su estudio</b:Title>
    <b:Year>1991</b:Year>
    <b:City>Santiago</b:City>
    <b:Publisher>Pontificia Universidad de Chile</b:Publisher>
    <b:RefOrder>113</b:RefOrder>
  </b:Source>
  <b:Source>
    <b:Tag>Roj03</b:Tag>
    <b:SourceType>JournalArticle</b:SourceType>
    <b:Guid>{9EC66903-ED05-4AA0-8849-484E66E5C485}</b:Guid>
    <b:Title>Conflictos Ambientales en Chile: aprendizajes y desafíos</b:Title>
    <b:Year>2003</b:Year>
    <b:Author>
      <b:Author>
        <b:NameList>
          <b:Person>
            <b:Last>Rojas</b:Last>
            <b:First>Alejandro</b:First>
          </b:Person>
          <b:Person>
            <b:Last>Sabatini</b:Last>
            <b:First>Francisco</b:First>
          </b:Person>
          <b:Person>
            <b:Last>Sepúlveda</b:Last>
            <b:First>Claudia</b:First>
          </b:Person>
        </b:NameList>
      </b:Author>
    </b:Author>
    <b:JournalName>Revista Ambiente y Desarrollo del CIPMA</b:JournalName>
    <b:Pages>22-30</b:Pages>
    <b:Volume>XIX</b:Volume>
    <b:Issue>2</b:Issue>
    <b:RefOrder>114</b:RefOrder>
  </b:Source>
  <b:Source>
    <b:Tag>Ort091</b:Tag>
    <b:SourceType>BookSection</b:SourceType>
    <b:Guid>{828CA3F7-6FD3-4602-872B-D0DB221055EB}</b:Guid>
    <b:Title>Aspectos de una minería periférica: El departamento de Chañaral y la Explotación del cobre, 1885-1910</b:Title>
    <b:Author>
      <b:BookAuthor>
        <b:NameList>
          <b:Person>
            <b:Last>Ortega</b:Last>
            <b:First>Luis</b:First>
          </b:Person>
          <b:Person>
            <b:Last>Godoy</b:Last>
            <b:First>Milton</b:First>
          </b:Person>
          <b:Person>
            <b:Last>Venegas</b:Last>
            <b:First>Hernán</b:First>
          </b:Person>
        </b:NameList>
      </b:BookAuthor>
      <b:Author>
        <b:NameList>
          <b:Person>
            <b:Last>Rubio</b:Last>
            <b:First>Pablo</b:First>
          </b:Person>
        </b:NameList>
      </b:Author>
    </b:Author>
    <b:BookTitle>Sociedad y Mineria en el Norte Chico, 1840-1930</b:BookTitle>
    <b:Year>2009</b:Year>
    <b:Pages>223-269</b:Pages>
    <b:City>Santiago</b:City>
    <b:Publisher>Universidad Academia de Humanismo Cristiano, Universidad de Santiago de Chile</b:Publisher>
    <b:RefOrder>58</b:RefOrder>
  </b:Source>
  <b:Source>
    <b:Tag>Sab97</b:Tag>
    <b:SourceType>Book</b:SourceType>
    <b:Guid>{CAB1E599-F357-46F5-B098-762350A28B29}</b:Guid>
    <b:Author>
      <b:Author>
        <b:NameList>
          <b:Person>
            <b:Last>Sabatini</b:Last>
            <b:First>F</b:First>
          </b:Person>
        </b:NameList>
      </b:Author>
    </b:Author>
    <b:Title>Conflictos ambientales: entre la globalización y la sociedad civil</b:Title>
    <b:Year>1997</b:Year>
    <b:City>Santiago, Chile</b:City>
    <b:Publisher>CIPMA</b:Publisher>
    <b:RefOrder>115</b:RefOrder>
  </b:Source>
  <b:Source>
    <b:Tag>Sac86</b:Tag>
    <b:SourceType>Book</b:SourceType>
    <b:Guid>{236478B8-F024-4E0F-A249-6D6E6118EB19}</b:Guid>
    <b:Author>
      <b:Author>
        <b:NameList>
          <b:Person>
            <b:Last>Sack</b:Last>
            <b:First>Robert</b:First>
          </b:Person>
        </b:NameList>
      </b:Author>
    </b:Author>
    <b:Title>Human Territoriality: Its Theory and History</b:Title>
    <b:Year>1986</b:Year>
    <b:RefOrder>16</b:RefOrder>
  </b:Source>
  <b:Source>
    <b:Tag>San97</b:Tag>
    <b:SourceType>Book</b:SourceType>
    <b:Guid>{D363C030-BDB6-416E-B14E-DDE88B107251}</b:Guid>
    <b:Title>Conflictos Ambientales en Chile</b:Title>
    <b:Year>1997</b:Year>
    <b:Publisher>Observatorio Latinoamericano de Conflictos Ambientales</b:Publisher>
    <b:Author>
      <b:Author>
        <b:NameList>
          <b:Person>
            <b:Last>San Martín</b:Last>
            <b:First>Pablo</b:First>
          </b:Person>
        </b:NameList>
      </b:Author>
    </b:Author>
    <b:RefOrder>116</b:RefOrder>
  </b:Source>
  <b:Source>
    <b:Tag>San98</b:Tag>
    <b:SourceType>Book</b:SourceType>
    <b:Guid>{AADC0EEE-E11D-4F99-A6A8-00AF3DE4B0EB}</b:Guid>
    <b:Title>Ciudadanía en Movimiento: Participación y conflictos ambientales</b:Title>
    <b:Year>1998</b:Year>
    <b:City>Montevideo</b:City>
    <b:Publisher>Trilce</b:Publisher>
    <b:Author>
      <b:Author>
        <b:NameList>
          <b:Person>
            <b:Last>Santandreu</b:Last>
            <b:First>Alain</b:First>
          </b:Person>
          <b:Person>
            <b:Last>Gudynas</b:Last>
            <b:First>Eduardo</b:First>
          </b:Person>
        </b:NameList>
      </b:Author>
    </b:Author>
    <b:CountryRegion>Uruguay</b:CountryRegion>
    <b:RefOrder>117</b:RefOrder>
  </b:Source>
  <b:Source>
    <b:Tag>Sel06</b:Tag>
    <b:SourceType>BookSection</b:SourceType>
    <b:Guid>{C08CFC2E-8C8C-4CED-B05F-548646EDA433}</b:Guid>
    <b:Title>Introduction</b:Title>
    <b:Year>2006</b:Year>
    <b:City>Oxon</b:City>
    <b:Publisher>Routledge</b:Publisher>
    <b:Author>
      <b:Author>
        <b:NameList>
          <b:Person>
            <b:Last>Selman</b:Last>
            <b:First>Paul</b:First>
          </b:Person>
        </b:NameList>
      </b:Author>
      <b:BookAuthor>
        <b:NameList>
          <b:Person>
            <b:Last>Selman</b:Last>
            <b:First>Paul</b:First>
          </b:Person>
        </b:NameList>
      </b:BookAuthor>
    </b:Author>
    <b:BookTitle>Planing at the Landscape Scale</b:BookTitle>
    <b:Pages>1-23</b:Pages>
    <b:RefOrder>118</b:RefOrder>
  </b:Source>
  <b:Source>
    <b:Tag>Sto12</b:Tag>
    <b:SourceType>Book</b:SourceType>
    <b:Guid>{1B742593-09ED-4D1D-828A-C57731802C8B}</b:Guid>
    <b:Author>
      <b:Author>
        <b:NameList>
          <b:Person>
            <b:Last>Storey</b:Last>
            <b:First>David</b:First>
          </b:Person>
        </b:NameList>
      </b:Author>
    </b:Author>
    <b:Title>Territories: the claiming of space</b:Title>
    <b:Year>2012</b:Year>
    <b:Pages>239</b:Pages>
    <b:City>London</b:City>
    <b:Publisher>Routledge</b:Publisher>
    <b:RefOrder>14</b:RefOrder>
  </b:Source>
  <b:Source>
    <b:Tag>Ian00</b:Tag>
    <b:SourceType>BookSection</b:SourceType>
    <b:Guid>{D722D4ED-F41F-4FFB-814A-997C21ECF7AA}</b:Guid>
    <b:Title>The ethics of sustainability</b:Title>
    <b:Year>2000</b:Year>
    <b:Publisher>Spon Press</b:Publisher>
    <b:City>London</b:City>
    <b:Author>
      <b:Author>
        <b:NameList>
          <b:Person>
            <b:Last>Thompson</b:Last>
            <b:First>Ian</b:First>
          </b:Person>
        </b:NameList>
      </b:Author>
      <b:BookAuthor>
        <b:NameList>
          <b:Person>
            <b:Last>Maggie Roe</b:Last>
            <b:First>John</b:First>
            <b:Middle>Benson</b:Middle>
          </b:Person>
        </b:NameList>
      </b:BookAuthor>
    </b:Author>
    <b:BookTitle>Landscape and Sustainability</b:BookTitle>
    <b:Pages>12-31</b:Pages>
    <b:RefOrder>119</b:RefOrder>
  </b:Source>
  <b:Source>
    <b:Tag>Ven09</b:Tag>
    <b:SourceType>BookSection</b:SourceType>
    <b:Guid>{9A1A8EF3-A9BD-4E20-84FC-1C94F449A353}</b:Guid>
    <b:Author>
      <b:Author>
        <b:NameList>
          <b:Person>
            <b:Last>Venegas</b:Last>
            <b:First>Hernán</b:First>
          </b:Person>
        </b:NameList>
      </b:Author>
      <b:BookAuthor>
        <b:NameList>
          <b:Person>
            <b:Last>Ortega</b:Last>
            <b:First>Luis</b:First>
          </b:Person>
          <b:Person>
            <b:Last>Godoy</b:Last>
            <b:First>Milton</b:First>
          </b:Person>
          <b:Person>
            <b:Last>Venegas</b:Last>
            <b:First>Hernán</b:First>
          </b:Person>
        </b:NameList>
      </b:BookAuthor>
    </b:Author>
    <b:Title>Carrizal Alto, las dificultades de una mineria tradicional</b:Title>
    <b:BookTitle>Sociedad y Minería en el Norte Chico 1840-1930</b:BookTitle>
    <b:Year>2009</b:Year>
    <b:Pages>97-124</b:Pages>
    <b:City>Santiago</b:City>
    <b:Publisher>Universidad Academia de Humanismo Cristiano, Universidad de Santiago</b:Publisher>
    <b:RefOrder>55</b:RefOrder>
  </b:Source>
  <b:Source>
    <b:Tag>MarcadorDePosición2</b:Tag>
    <b:SourceType>BookSection</b:SourceType>
    <b:Guid>{2503602D-5D0A-4CA0-8B9F-CE1C2401100F}</b:Guid>
    <b:Author>
      <b:Author>
        <b:NameList>
          <b:Person>
            <b:Last>Venegas</b:Last>
            <b:First>Valdebenito</b:First>
          </b:Person>
        </b:NameList>
      </b:Author>
      <b:BookAuthor>
        <b:NameList>
          <b:Person>
            <b:Last>Ortega</b:Last>
            <b:First>Luis</b:First>
          </b:Person>
          <b:Person>
            <b:Last>Godoy</b:Last>
            <b:First>Milton</b:First>
          </b:Person>
          <b:Person>
            <b:Last>Venegas</b:Last>
            <b:First>Hernán</b:First>
          </b:Person>
        </b:NameList>
      </b:BookAuthor>
    </b:Author>
    <b:Title>Carrizal Alto, las dificultades de una mineria tradicional</b:Title>
    <b:BookTitle>Sociedad y Minería en el Norte Chico 1840-1930</b:BookTitle>
    <b:Year>2009</b:Year>
    <b:Pages>97-124</b:Pages>
    <b:City>Santiago</b:City>
    <b:Publisher>Universidad Academia de Humanismo Cristiano, Universidad de Santiago</b:Publisher>
    <b:RefOrder>120</b:RefOrder>
  </b:Source>
  <b:Source>
    <b:Tag>Vic78</b:Tag>
    <b:SourceType>BookSection</b:SourceType>
    <b:Guid>{9870E043-30AB-4611-97D6-A0D9984E9850}</b:Guid>
    <b:Author>
      <b:Author>
        <b:NameList>
          <b:Person>
            <b:Last>Vicuña Mackenna</b:Last>
            <b:First>Benjamín</b:First>
          </b:Person>
        </b:NameList>
      </b:Author>
      <b:BookAuthor>
        <b:NameList>
          <b:Person>
            <b:Last>Vicuña Mackenna</b:Last>
            <b:First>Benjamín</b:First>
          </b:Person>
        </b:NameList>
      </b:BookAuthor>
    </b:Author>
    <b:Title>La industria de cobre entre los indígenas de Chile</b:Title>
    <b:BookTitle>El libro del Cobre y del Carbón de Piedra en Chile</b:BookTitle>
    <b:Year>1978</b:Year>
    <b:Pages>3-11</b:Pages>
    <b:City>Buenos Aires</b:City>
    <b:Publisher>Francisco de Aguirre S.A.</b:Publisher>
    <b:RefOrder>53</b:RefOrder>
  </b:Source>
  <b:Source>
    <b:Tag>Wal09</b:Tag>
    <b:SourceType>JournalArticle</b:SourceType>
    <b:Guid>{73EE48F8-9FBA-42D5-A419-B2B2918C7581}</b:Guid>
    <b:Author>
      <b:Author>
        <b:NameList>
          <b:Person>
            <b:Last>Walter</b:Last>
            <b:First>Mariana</b:First>
          </b:Person>
        </b:NameList>
      </b:Author>
    </b:Author>
    <b:Title>Conflictos ambientales, socioambientales, distributivos, de contenido ambiental...Reflecxionando sobre enfoques y definiciones</b:Title>
    <b:JournalName>Centro de investigación para la paz</b:JournalName>
    <b:Year>2009</b:Year>
    <b:Pages>1-9</b:Pages>
    <b:City>Barcelona</b:City>
    <b:RefOrder>121</b:RefOrder>
  </b:Source>
  <b:Source>
    <b:Tag>War94</b:Tag>
    <b:SourceType>BookSection</b:SourceType>
    <b:Guid>{E71C2360-9AB9-4CD0-9655-E996C40BE98C}</b:Guid>
    <b:Title>The limitations of environmental regulation in mining</b:Title>
    <b:Year>1994</b:Year>
    <b:City>Washington</b:City>
    <b:Publisher>Resource Future</b:Publisher>
    <b:Author>
      <b:Author>
        <b:NameList>
          <b:Person>
            <b:Last>Warhurst</b:Last>
            <b:First>Alyson</b:First>
          </b:Person>
        </b:NameList>
      </b:Author>
      <b:BookAuthor>
        <b:NameList>
          <b:Person>
            <b:Last>Eggert</b:Last>
            <b:First>RG</b:First>
          </b:Person>
        </b:NameList>
      </b:BookAuthor>
    </b:Author>
    <b:BookTitle>Mining and the Environment. International Perspectives on Public Policy</b:BookTitle>
    <b:Pages>133-172</b:Pages>
    <b:RefOrder>20</b:RefOrder>
  </b:Source>
  <b:Source>
    <b:Tag>Gas16</b:Tag>
    <b:SourceType>Report</b:SourceType>
    <b:Guid>{2F75BFB4-B298-4D40-95C6-1C516F11CA2B}</b:Guid>
    <b:Author>
      <b:Author>
        <b:NameList>
          <b:Person>
            <b:Last>Gastó</b:Last>
            <b:First>Juan</b:First>
          </b:Person>
          <b:Person>
            <b:Last>Gálvez</b:Last>
            <b:First>Consuelo</b:First>
          </b:Person>
          <b:Person>
            <b:Last>Subercauseaux</b:Last>
            <b:First>Diego</b:First>
          </b:Person>
          <b:Person>
            <b:Last>Fuentes</b:Last>
            <b:First>Verónica</b:First>
          </b:Person>
        </b:NameList>
      </b:Author>
    </b:Author>
    <b:Title>Informe Componente: Marco Conceptual y Territorial de la Cuenca del Huasco</b:Title>
    <b:Year>2015</b:Year>
    <b:City>Santiago</b:City>
    <b:RefOrder>3</b:RefOrder>
  </b:Source>
  <b:Source>
    <b:Tag>Lue06</b:Tag>
    <b:SourceType>Book</b:SourceType>
    <b:Guid>{DA4749C1-E058-48D4-9606-B983F66D0202}</b:Guid>
    <b:Title>Sinopsis bioclimática y vegetacional de Chile</b:Title>
    <b:Year>2006</b:Year>
    <b:Publisher>Editorial Universitaria S.A.</b:Publisher>
    <b:City>Santiago</b:City>
    <b:Author>
      <b:Author>
        <b:NameList>
          <b:Person>
            <b:Last>Luebert</b:Last>
            <b:First>Federico.</b:First>
          </b:Person>
          <b:Person>
            <b:Last>Pliscoff</b:Last>
            <b:First>Patricio.</b:First>
          </b:Person>
        </b:NameList>
      </b:Author>
    </b:Author>
    <b:CountryRegion>Chile</b:CountryRegion>
    <b:Pages>316</b:Pages>
    <b:RefOrder>33</b:RefOrder>
  </b:Source>
  <b:Source>
    <b:Tag>Ser16</b:Tag>
    <b:SourceType>InternetSite</b:SourceType>
    <b:Guid>{BD66F4BE-DD57-46AF-8C7B-EC359F6A99DA}</b:Guid>
    <b:Title>Servicio Nacional de Geologia y Minería</b:Title>
    <b:Year>2016</b:Year>
    <b:Author>
      <b:Author>
        <b:NameList>
          <b:Person>
            <b:Last>Sernageomin</b:Last>
          </b:Person>
        </b:NameList>
      </b:Author>
    </b:Author>
    <b:Month>Diciembre</b:Month>
    <b:Day>22</b:Day>
    <b:URL>http://www.sernageomin.cl/mineria-relaves.php</b:URL>
    <b:RefOrder>40</b:RefOrder>
  </b:Source>
  <b:Source>
    <b:Tag>Ser11</b:Tag>
    <b:SourceType>Report</b:SourceType>
    <b:Guid>{A927D723-EC2A-4EB7-ADD8-6AA788643CF6}</b:Guid>
    <b:Title>Atlas de Faenas Mineras: Regiones de Antofagasta y Atacama (Versión Actualizada)</b:Title>
    <b:Year>2011</b:Year>
    <b:Author>
      <b:Author>
        <b:Corporate>Sernageomin</b:Corporate>
      </b:Author>
    </b:Author>
    <b:City>Santiago</b:City>
    <b:Pages>153</b:Pages>
    <b:ShortTitle>Mapas y Estadísticas de Faenas Mineras de Chile No 7</b:ShortTitle>
    <b:RefOrder>122</b:RefOrder>
  </b:Source>
  <b:Source>
    <b:Tag>Ser111</b:Tag>
    <b:SourceType>Report</b:SourceType>
    <b:Guid>{F8E8BA37-B468-4292-AEFA-CB3958E4C0E5}</b:Guid>
    <b:Author>
      <b:Author>
        <b:Corporate>Sernageomin</b:Corporate>
      </b:Author>
    </b:Author>
    <b:Title>Atlas de Faenas Mineras, Región de Coquimbo (Versión Actualizada)</b:Title>
    <b:Year>2011</b:Year>
    <b:City>Santiago</b:City>
    <b:Pages>61</b:Pages>
    <b:ThesisType>Mapas y Estadísticas de Faenas Mineras de Chile N° 8</b:ThesisType>
    <b:RefOrder>123</b:RefOrder>
  </b:Source>
  <b:Source>
    <b:Tag>Min16</b:Tag>
    <b:SourceType>DocumentFromInternetSite</b:SourceType>
    <b:Guid>{99FF7A02-66B0-4F3F-A9BE-9733A827A857}</b:Guid>
    <b:Author>
      <b:Author>
        <b:Corporate>Ministerio de Desarrollo Social</b:Corporate>
      </b:Author>
    </b:Author>
    <b:Title>Ampliando la mirada sobre la pobreza y desigualdad: Diagnóstico Nacional y Principales resultados regionlaes</b:Title>
    <b:Year>2016</b:Year>
    <b:Publisher>Subsecretaria de Evaluación Social</b:Publisher>
    <b:City>Santiago</b:City>
    <b:ShortTitle>Encuesta de Caracterización Socioeconómica Social</b:ShortTitle>
    <b:InternetSiteTitle>Ministerio de Desarrollo Social</b:InternetSiteTitle>
    <b:Month>Octubre</b:Month>
    <b:Day>12</b:Day>
    <b:YearAccessed>2016</b:YearAccessed>
    <b:MonthAccessed>Diciembre</b:MonthAccessed>
    <b:DayAccessed>26</b:DayAccessed>
    <b:URL>http://observatorio.ministeriodesarrollosocial.gob.cl/casen-multidimensional/casen/docs/CASEN_2015_Presentacion_con_resultados_regionales_Ampliando_la_mirada_sobre_la_pobreza_yla_desigualdad.pdf</b:URL>
    <b:RefOrder>124</b:RefOrder>
  </b:Source>
  <b:Source>
    <b:Tag>Ban16</b:Tag>
    <b:SourceType>InternetSite</b:SourceType>
    <b:Guid>{2B57496C-1CAF-4DE2-8460-68F420B3B41A}</b:Guid>
    <b:Title>Estadísticas en Excel. Producto Interno Bruto Regional</b:Title>
    <b:Year>2016</b:Year>
    <b:Month>Diciembre</b:Month>
    <b:Day>29</b:Day>
    <b:URL>http://si3.bcentral.cl/estadisticas/Principal1/Excel/CCNN/regional/excel.html</b:URL>
    <b:Author>
      <b:Author>
        <b:Corporate>Banco Central de Chile</b:Corporate>
      </b:Author>
    </b:Author>
    <b:RefOrder>36</b:RefOrder>
  </b:Source>
  <b:Source>
    <b:Tag>INE07</b:Tag>
    <b:SourceType>Report</b:SourceType>
    <b:Guid>{96E480A9-92D9-466C-8853-5BB20D0BBD3F}</b:Guid>
    <b:Title>Región de Atacama </b:Title>
    <b:Year>2007</b:Year>
    <b:Author>
      <b:Author>
        <b:Corporate>INE</b:Corporate>
      </b:Author>
    </b:Author>
    <b:Publisher>INE</b:Publisher>
    <b:City>Santiago</b:City>
    <b:RefOrder>28</b:RefOrder>
  </b:Source>
  <b:Source>
    <b:Tag>INE14</b:Tag>
    <b:SourceType>Report</b:SourceType>
    <b:Guid>{3E9D7D3A-648B-4E18-8F53-62B3BA9B509E}</b:Guid>
    <b:Author>
      <b:Author>
        <b:Corporate>INE</b:Corporate>
      </b:Author>
    </b:Author>
    <b:Title>Informe Laboral. Encuestra Nacional de Empleo. Región de Atacama</b:Title>
    <b:Year>2014</b:Year>
    <b:ThesisType>Trimestre movio Octubre-Diciembre-2014</b:ThesisType>
    <b:RefOrder>38</b:RefOrder>
  </b:Source>
  <b:Source>
    <b:Tag>INE15</b:Tag>
    <b:SourceType>Report</b:SourceType>
    <b:Guid>{85A46571-5CD9-4B12-8EE8-F7AD1994FFA6}</b:Guid>
    <b:Author>
      <b:Author>
        <b:Corporate>INE Atacama</b:Corporate>
      </b:Author>
    </b:Author>
    <b:Title>Anuario Estadístico Regional 2015. Región de Atacama</b:Title>
    <b:Year>2015</b:Year>
    <b:City>Copiapó</b:City>
    <b:Pages>92</b:Pages>
    <b:RefOrder>37</b:RefOrder>
  </b:Source>
  <b:Source>
    <b:Tag>SER14</b:Tag>
    <b:SourceType>Report</b:SourceType>
    <b:Guid>{B5DB614F-072A-42B7-9D5B-D1BCF385B4E2}</b:Guid>
    <b:Author>
      <b:Author>
        <b:Corporate>SERNAGEOMIN</b:Corporate>
      </b:Author>
    </b:Author>
    <b:Title>Anuario de la Minería de Chile 2014</b:Title>
    <b:Year>2014</b:Year>
    <b:Publisher>Sernageomin</b:Publisher>
    <b:City>Santiago</b:City>
    <b:RefOrder>39</b:RefOrder>
  </b:Source>
  <b:Source>
    <b:Tag>SER141</b:Tag>
    <b:SourceType>Report</b:SourceType>
    <b:Guid>{0917337B-7AAB-4654-98C7-E6B317BFA74B}</b:Guid>
    <b:Author>
      <b:Author>
        <b:Corporate>SERNAGEOMIN</b:Corporate>
      </b:Author>
    </b:Author>
    <b:Title>Anuario de la Mineria de Chile 2014</b:Title>
    <b:Year>2014</b:Year>
    <b:Publisher>Sernageomin</b:Publisher>
    <b:City>Santiago</b:City>
    <b:Pages>245</b:Pages>
    <b:StandardNumber>0066-5096</b:StandardNumber>
    <b:RefOrder>125</b:RefOrder>
  </b:Source>
  <b:Source>
    <b:Tag>SER13</b:Tag>
    <b:SourceType>DocumentFromInternetSite</b:SourceType>
    <b:Guid>{7BB76907-0C2F-4B9E-B63E-2ED7944F9372}</b:Guid>
    <b:Author>
      <b:Author>
        <b:Corporate>SERNAGEOMIN</b:Corporate>
      </b:Author>
    </b:Author>
    <b:Title>www.sernageomin.cl</b:Title>
    <b:Year>2013</b:Year>
    <b:Month>01</b:Month>
    <b:Day>18</b:Day>
    <b:ShortTitle>Reporte REsumen Atlas Faenas Mineras</b:ShortTitle>
    <b:RefOrder>47</b:RefOrder>
  </b:Source>
  <b:Source>
    <b:Tag>INE071</b:Tag>
    <b:SourceType>Report</b:SourceType>
    <b:Guid>{530A0463-A5C5-4EC4-9D91-CF7C938953E0}</b:Guid>
    <b:Title>División Politico Administrativa y Censal 2007. Sintesis Geográfica de la Región de Coquimbo </b:Title>
    <b:Year>2007</b:Year>
    <b:Author>
      <b:Author>
        <b:Corporate>INE</b:Corporate>
      </b:Author>
    </b:Author>
    <b:City>Coquimbo</b:City>
    <b:RefOrder>42</b:RefOrder>
  </b:Source>
  <b:Source>
    <b:Tag>INE17</b:Tag>
    <b:SourceType>InternetSite</b:SourceType>
    <b:Guid>{2EF8325C-47BB-414F-A516-A4D63420A508}</b:Guid>
    <b:Title>Instituto Nacional de Estadísticas</b:Title>
    <b:Year>2017</b:Year>
    <b:Author>
      <b:Author>
        <b:Corporate>INE</b:Corporate>
      </b:Author>
    </b:Author>
    <b:Month>Enero</b:Month>
    <b:Day>05</b:Day>
    <b:URL>http://www.ine.cl</b:URL>
    <b:RefOrder>126</b:RefOrder>
  </b:Source>
  <b:Source>
    <b:Tag>INE11</b:Tag>
    <b:SourceType>InternetSite</b:SourceType>
    <b:Guid>{90739EEE-C003-4565-A689-6D00BB75A73E}</b:Guid>
    <b:Author>
      <b:Author>
        <b:Corporate>INE Coquimbo</b:Corporate>
      </b:Author>
    </b:Author>
    <b:Title>Instituto Nacional de Estadísticas Coquimbo</b:Title>
    <b:Year>2011</b:Year>
    <b:Month>01</b:Month>
    <b:Day>04</b:Day>
    <b:URL>http://www.inecoquimbo.cl/</b:URL>
    <b:YearAccessed>2017</b:YearAccessed>
    <b:MonthAccessed>Enero</b:MonthAccessed>
    <b:DayAccessed>05</b:DayAccessed>
    <b:ShortTitle>Estadísticas de Comercio Exterior</b:ShortTitle>
    <b:RefOrder>46</b:RefOrder>
  </b:Source>
  <b:Source>
    <b:Tag>Map15</b:Tag>
    <b:SourceType>InternetSite</b:SourceType>
    <b:Guid>{9FD69316-C6C1-4949-B44A-7709AE9E8508}</b:Guid>
    <b:Author>
      <b:Author>
        <b:NameList>
          <b:Person>
            <b:Last>Chile</b:Last>
            <b:First>Mapa</b:First>
            <b:Middle>de Conflictos Socioambientales en</b:Middle>
          </b:Person>
        </b:NameList>
      </b:Author>
    </b:Author>
    <b:Title>Mapa de Conflictos Socioambientales en Chile</b:Title>
    <b:InternetSiteTitle>Mapa de Conflictos Socioambientales en Chile</b:InternetSiteTitle>
    <b:Year>2015</b:Year>
    <b:URL>http://mapaconflictos.indh.cl/mapa/que_es</b:URL>
    <b:RefOrder>127</b:RefOrder>
  </b:Source>
  <b:Source>
    <b:Tag>Ata16</b:Tag>
    <b:SourceType>DocumentFromInternetSite</b:SourceType>
    <b:Guid>{FD316760-829D-4A60-84A8-A52F16DAC236}</b:Guid>
    <b:Author>
      <b:Author>
        <b:NameList>
          <b:Person>
            <b:Last>INE ATACAMA</b:Last>
          </b:Person>
        </b:NameList>
      </b:Author>
    </b:Author>
    <b:Title>Instituto Nacional de Estadísticas. Dirección Regional de Atacama</b:Title>
    <b:Year>2016</b:Year>
    <b:Month>Diciembre</b:Month>
    <b:Day>29</b:Day>
    <b:URL>http://www.ineatacama.cl/app/bancoregional/03121.htm</b:URL>
    <b:ShortTitle>Proyección de Poblacion por comunas y sexo, al 30 de junio de cada año</b:ShortTitle>
    <b:RefOrder>128</b:RefOrder>
  </b:Source>
  <b:Source>
    <b:Tag>INE171</b:Tag>
    <b:SourceType>InternetSite</b:SourceType>
    <b:Guid>{28C4385C-C89C-4FE1-A9BA-A6B9EE258FA7}</b:Guid>
    <b:Author>
      <b:Author>
        <b:NameList>
          <b:Person>
            <b:Last>INE</b:Last>
          </b:Person>
        </b:NameList>
      </b:Author>
    </b:Author>
    <b:Title>Instituto Nacional de Estadísticas</b:Title>
    <b:InternetSiteTitle>Demográficas y Vitales. Productos Estadísticos</b:InternetSiteTitle>
    <b:Year>2017</b:Year>
    <b:Month>Enero</b:Month>
    <b:Day>10</b:Day>
    <b:URL>http://www.ine.cl/canales/chile_estadistico/familias/demograficas_vitales.php</b:URL>
    <b:RefOrder>129</b:RefOrder>
  </b:Source>
  <b:Source>
    <b:Tag>Cen07</b:Tag>
    <b:SourceType>InternetSite</b:SourceType>
    <b:Guid>{8A520D6D-5BCB-44E1-B6C5-9471A103879E}</b:Guid>
    <b:Author>
      <b:Author>
        <b:NameList>
          <b:Person>
            <b:Last>Censo Agropecuario</b:Last>
          </b:Person>
        </b:NameList>
      </b:Author>
    </b:Author>
    <b:Title>Censo Agropecuario</b:Title>
    <b:Year>2007</b:Year>
    <b:URL>http://www.censoagropecuario.cl/</b:URL>
    <b:RefOrder>48</b:RefOrder>
  </b:Source>
  <b:Source>
    <b:Tag>RAE17</b:Tag>
    <b:SourceType>InternetSite</b:SourceType>
    <b:Guid>{A0DA36AE-BCBA-437F-A1C4-23E69DEB0038}</b:Guid>
    <b:Author>
      <b:Author>
        <b:Corporate>RAE</b:Corporate>
      </b:Author>
    </b:Author>
    <b:Title>Real Academia Española de la Lengua</b:Title>
    <b:InternetSiteTitle>Real Academia Española</b:InternetSiteTitle>
    <b:Year>2017</b:Year>
    <b:Month>Enero</b:Month>
    <b:Day>16</b:Day>
    <b:URL>http://dle.rae.es/?id=YpjGrNt</b:URL>
    <b:RefOrder>130</b:RefOrder>
  </b:Source>
  <b:Source>
    <b:Tag>Gas021</b:Tag>
    <b:SourceType>BookSection</b:SourceType>
    <b:Guid>{F637E264-3060-4610-85A1-0FFC19D4F91D}</b:Guid>
    <b:Author>
      <b:Author>
        <b:NameList>
          <b:Person>
            <b:Last>Gasto</b:Last>
            <b:First>Juan</b:First>
          </b:Person>
          <b:Person>
            <b:Last>Rodrigo</b:Last>
            <b:First>Patricio</b:First>
          </b:Person>
          <b:Person>
            <b:Last>Aránguiz</b:Last>
            <b:First>I</b:First>
          </b:Person>
          <b:Person>
            <b:Last>Urrutia</b:Last>
            <b:First>C</b:First>
          </b:Person>
        </b:NameList>
      </b:Author>
      <b:BookAuthor>
        <b:NameList>
          <b:Person>
            <b:Last>Gasto</b:Last>
            <b:First>J.,</b:First>
            <b:Middle>Rodrigo, P., Aranguiz, I.</b:Middle>
          </b:Person>
        </b:NameList>
      </b:BookAuthor>
    </b:Author>
    <b:Title>Ordenación territorial rural en escala comunal. Bases Conceptuales y metodología</b:Title>
    <b:BookTitle>Ordenación Territorial, Desarrollo de Predios y Comunas Rurales</b:BookTitle>
    <b:Year>2002</b:Year>
    <b:City>Santiago</b:City>
    <b:Publisher>Facultad de Agronomía e Ingenieria Forestal. Pontificia Universidad Católica de Chile. LOM Ediciones</b:Publisher>
    <b:RefOrder>11</b:RefOrder>
  </b:Source>
  <b:Source>
    <b:Tag>Raf86</b:Tag>
    <b:SourceType>DocumentFromInternetSite</b:SourceType>
    <b:Guid>{F446A0BE-5384-407B-98F0-3E07581E061D}</b:Guid>
    <b:Title>El territorio según Claude Raffestin</b:Title>
    <b:Year>1986</b:Year>
    <b:Author>
      <b:Author>
        <b:NameList>
          <b:Person>
            <b:Last>Raffestin</b:Last>
            <b:First>C.</b:First>
          </b:Person>
        </b:NameList>
      </b:Author>
    </b:Author>
    <b:InternetSiteTitle>Sitio Web de Hypergeo</b:InternetSiteTitle>
    <b:URL>http://www.hypergeo.eu/spip.php?article515</b:URL>
    <b:RefOrder>131</b:RefOrder>
  </b:Source>
  <b:Source>
    <b:Tag>Con17</b:Tag>
    <b:SourceType>InternetSite</b:SourceType>
    <b:Guid>{7DA3D183-4B9A-4265-8DA7-427EE56508D8}</b:Guid>
    <b:Year>2017</b:Year>
    <b:Author>
      <b:Author>
        <b:Corporate>Consejo Minero</b:Corporate>
      </b:Author>
    </b:Author>
    <b:Month>Febrero</b:Month>
    <b:Day>08</b:Day>
    <b:URL>http://www.consejominero.cl</b:URL>
    <b:RefOrder>6</b:RefOrder>
  </b:Source>
  <b:Source>
    <b:Tag>Soc16</b:Tag>
    <b:SourceType>Report</b:SourceType>
    <b:Guid>{0C17F408-A893-4BAF-B1E2-5CC1652050C2}</b:Guid>
    <b:Author>
      <b:Author>
        <b:Corporate>Sociedad Nacional de Minería</b:Corporate>
      </b:Author>
    </b:Author>
    <b:Title>Memoria Anual 2015/2016</b:Title>
    <b:Year>2016</b:Year>
    <b:Publisher>SONAMI</b:Publisher>
    <b:City>Santiago</b:City>
    <b:Pages>122</b:Pages>
    <b:RefOrder>25</b:RefOrder>
  </b:Source>
  <b:Source>
    <b:Tag>Com17</b:Tag>
    <b:SourceType>InternetSite</b:SourceType>
    <b:Guid>{AE2E211C-2761-43E2-98CA-AA14DC91E038}</b:Guid>
    <b:Title>Cochilco</b:Title>
    <b:Year>2017</b:Year>
    <b:Author>
      <b:Author>
        <b:Corporate>Comisión Chilena del Cobre</b:Corporate>
      </b:Author>
    </b:Author>
    <b:Month>Febrero</b:Month>
    <b:Day>08</b:Day>
    <b:URL>https://www.cochilco.cl/</b:URL>
    <b:RefOrder>7</b:RefOrder>
  </b:Source>
  <b:Source>
    <b:Tag>Emp17</b:Tag>
    <b:SourceType>InternetSite</b:SourceType>
    <b:Guid>{A8C1E92A-CFE4-4D0D-89EE-D1F945F57F75}</b:Guid>
    <b:Author>
      <b:Author>
        <b:Corporate>Empresa Nacional de Minería</b:Corporate>
      </b:Author>
    </b:Author>
    <b:Title>Enami</b:Title>
    <b:Year>2017</b:Year>
    <b:Month>Febrero</b:Month>
    <b:Day>08</b:Day>
    <b:URL>http://www.enami.cl/</b:URL>
    <b:RefOrder>8</b:RefOrder>
  </b:Source>
  <b:Source>
    <b:Tag>Min161</b:Tag>
    <b:SourceType>DocumentFromInternetSite</b:SourceType>
    <b:Guid>{13EEE989-A1FA-40AD-99F0-2E00834FFB43}</b:Guid>
    <b:Author>
      <b:Author>
        <b:NameList>
          <b:Person>
            <b:Last>Ministerio de Minería</b:Last>
            <b:First>Gobierno</b:First>
            <b:Middle>de Chile</b:Middle>
          </b:Person>
        </b:NameList>
      </b:Author>
    </b:Author>
    <b:Title>Medidas de Productividad para el Sector Minero</b:Title>
    <b:InternetSiteTitle>Servicio Nacional de Geología y Minería</b:InternetSiteTitle>
    <b:Year>2016</b:Year>
    <b:URL>http://www.sernageomin.cl</b:URL>
    <b:RefOrder>24</b:RefOrder>
  </b:Source>
  <b:Source>
    <b:Tag>Dir17</b:Tag>
    <b:SourceType>DocumentFromInternetSite</b:SourceType>
    <b:Guid>{D98A4C36-1096-4193-BB0B-255AD422177B}</b:Guid>
    <b:Author>
      <b:Author>
        <b:Corporate>DGA</b:Corporate>
      </b:Author>
    </b:Author>
    <b:Title>Dirección General de Aguas</b:Title>
    <b:InternetSiteTitle>Decretos declaración zonas de escasez vigente</b:InternetSiteTitle>
    <b:Year>2017</b:Year>
    <b:Month>Febrero</b:Month>
    <b:Day>14</b:Day>
    <b:URL>http://www.dga.cl/</b:URL>
    <b:RefOrder>132</b:RefOrder>
  </b:Source>
  <b:Source>
    <b:Tag>KNI13</b:Tag>
    <b:SourceType>Report</b:SourceType>
    <b:Guid>{8E1EF9AE-46C1-4AD7-B733-0E2FB81EDEA4}</b:Guid>
    <b:Title>Análisis integrado de gestión en cuenca del río huasco, Región de Atacama</b:Title>
    <b:Year>2013</b:Year>
    <b:Author>
      <b:Author>
        <b:NameList>
          <b:Person>
            <b:Last>KNIGHT PIÉSOLD S.A.</b:Last>
          </b:Person>
        </b:NameList>
      </b:Author>
    </b:Author>
    <b:Publisher>Ministerio de Obras Públicas, Dirección General de Aguas</b:Publisher>
    <b:City>Santiago</b:City>
    <b:ThesisType>Informe Final</b:ThesisType>
    <b:RefOrder>65</b:RefOrder>
  </b:Source>
  <b:Source>
    <b:Tag>DGA04</b:Tag>
    <b:SourceType>Report</b:SourceType>
    <b:Guid>{490FCF51-F6E6-45AF-8215-91B6FFA5B02F}</b:Guid>
    <b:Author>
      <b:Author>
        <b:NameList>
          <b:Person>
            <b:Last>DGA</b:Last>
          </b:Person>
        </b:NameList>
      </b:Author>
    </b:Author>
    <b:Title>Diagnóstico y clasificación de los cursos y cuerpos de agua según objetivos de calidad. Cuenca del Río Huasco</b:Title>
    <b:Year>2004</b:Year>
    <b:Publisher>Direción general de Aguas</b:Publisher>
    <b:City>Santiago</b:City>
    <b:RefOrder>32</b:RefOrder>
  </b:Source>
  <b:Source>
    <b:Tag>DGA041</b:Tag>
    <b:SourceType>Report</b:SourceType>
    <b:Guid>{5D8212E3-6F5A-4999-A295-C6FC019BD392}</b:Guid>
    <b:Author>
      <b:Author>
        <b:Corporate>DGA</b:Corporate>
      </b:Author>
    </b:Author>
    <b:Title>Diagnóstico y clasificación de los cursos y cuerpos de agua segun objetivos de calidad. Cuenca de río Choapa</b:Title>
    <b:Year>2004</b:Year>
    <b:City>Santiago</b:City>
    <b:Department>Dirección General de Aguas</b:Department>
    <b:Institution>Ministerio de Obras Públicas</b:Institution>
    <b:Pages>131</b:Pages>
    <b:RefOrder>74</b:RefOrder>
  </b:Source>
  <b:Source>
    <b:Tag>Are13</b:Tag>
    <b:SourceType>Book</b:SourceType>
    <b:Guid>{DEE53F6A-6192-4EEC-9262-24D0860CDB5D}</b:Guid>
    <b:Author>
      <b:Author>
        <b:NameList>
          <b:Person>
            <b:Last>Arellano</b:Last>
            <b:First>Eduardo</b:First>
          </b:Person>
          <b:Person>
            <b:Last>Gastó</b:Last>
            <b:First>Juan</b:First>
          </b:Person>
          <b:Person>
            <b:Last>Gálvez</b:Last>
            <b:First>Consuelo</b:First>
          </b:Person>
          <b:Person>
            <b:Last>Subercauseaux</b:Last>
            <b:First>Diego</b:First>
          </b:Person>
          <b:Person>
            <b:Last>Toledo</b:Last>
            <b:First>Patricio</b:First>
          </b:Person>
          <b:Person>
            <b:Last>Miranda</b:Last>
            <b:First>Marcelo</b:First>
          </b:Person>
        </b:NameList>
      </b:Author>
      <b:Editor>
        <b:NameList>
          <b:Person>
            <b:Last>Gasto</b:Last>
            <b:First>J.</b:First>
          </b:Person>
        </b:NameList>
      </b:Editor>
    </b:Author>
    <b:Title>Bases para el ordenamiento territorial integrador de la minería del hierro con el desarrollo comunal. Estudio de caso comuna de La Higuera</b:Title>
    <b:Year>2013</b:Year>
    <b:City>Santiago</b:City>
    <b:Publisher>Departamento Ecosistemas y Medioambiente, Pontificia Universidad Católica de Chile</b:Publisher>
    <b:CountryRegion>Chile</b:CountryRegion>
    <b:Pages>155</b:Pages>
    <b:RefOrder>17</b:RefOrder>
  </b:Source>
  <b:Source>
    <b:Tag>Mer17</b:Tag>
    <b:SourceType>InternetSite</b:SourceType>
    <b:Guid>{F5C8679F-1A88-4A4C-B8C6-323F65772698}</b:Guid>
    <b:Title>Merriam Webster</b:Title>
    <b:Year>2017</b:Year>
    <b:YearAccessed>2016</b:YearAccessed>
    <b:MonthAccessed>Noviembre</b:MonthAccessed>
    <b:DayAccessed>09</b:DayAccessed>
    <b:URL>https://www.merriam-webster.com/</b:URL>
    <b:RefOrder>133</b:RefOrder>
  </b:Source>
  <b:Source>
    <b:Tag>Cam17</b:Tag>
    <b:SourceType>InternetSite</b:SourceType>
    <b:Guid>{129FD51B-7958-48E1-A8A8-A1DD77BDC7C6}</b:Guid>
    <b:Title>Cambridge Dictionary</b:Title>
    <b:Year>2017</b:Year>
    <b:YearAccessed>2016</b:YearAccessed>
    <b:MonthAccessed>Noviembre</b:MonthAccessed>
    <b:DayAccessed>9</b:DayAccessed>
    <b:URL>http://dictionary.cambridge.org/</b:URL>
    <b:RefOrder>10</b:RefOrder>
  </b:Source>
  <b:Source>
    <b:Tag>LeB92</b:Tag>
    <b:SourceType>InternetSite</b:SourceType>
    <b:Guid>{97CAFD34-0AA1-4F32-AE10-EF135AE30F0C}</b:Guid>
    <b:Author>
      <b:Author>
        <b:NameList>
          <b:Person>
            <b:Last>Le Berre</b:Last>
            <b:First>Maryvonne</b:First>
          </b:Person>
        </b:NameList>
      </b:Author>
    </b:Author>
    <b:Title>Hypergeo</b:Title>
    <b:InternetSiteTitle>territorio según Maryvonne Le Berre</b:InternetSiteTitle>
    <b:Year>1992</b:Year>
    <b:YearAccessed>2016</b:YearAccessed>
    <b:MonthAccessed>Diciembre</b:MonthAccessed>
    <b:DayAccessed>06</b:DayAccessed>
    <b:URL>http://www.hypergeo.eu/spip.php?article514</b:URL>
    <b:RefOrder>13</b:RefOrder>
  </b:Source>
  <b:Source>
    <b:Tag>Har02</b:Tag>
    <b:SourceType>BookSection</b:SourceType>
    <b:Guid>{8DEA4280-7E68-4069-B17F-94CFB874EAD5}</b:Guid>
    <b:Title>Introduction to mining</b:Title>
    <b:Year>2002</b:Year>
    <b:Author>
      <b:Author>
        <b:NameList>
          <b:Person>
            <b:Last>Hartman</b:Last>
            <b:First>Howard</b:First>
          </b:Person>
          <b:Person>
            <b:Last>Mutmansky</b:Last>
            <b:First>Jan</b:First>
          </b:Person>
        </b:NameList>
      </b:Author>
      <b:BookAuthor>
        <b:NameList>
          <b:Person>
            <b:Last>Hartman</b:Last>
            <b:First>Howard</b:First>
          </b:Person>
          <b:Person>
            <b:Last>Mutmansky</b:Last>
            <b:First>Jan</b:First>
          </b:Person>
        </b:NameList>
      </b:BookAuthor>
    </b:Author>
    <b:BookTitle>Introductory Mining Engineering</b:BookTitle>
    <b:Pages>1-24</b:Pages>
    <b:Publisher>John Wiley and Sons, Inc.</b:Publisher>
    <b:CountryRegion>Canada</b:CountryRegion>
    <b:ChapterNumber>1</b:ChapterNumber>
    <b:StandardNumber>0-471-34851-1</b:StandardNumber>
    <b:Edition>Segunda</b:Edition>
    <b:RefOrder>134</b:RefOrder>
  </b:Source>
  <b:Source>
    <b:Tag>Gib11</b:Tag>
    <b:SourceType>BookSection</b:SourceType>
    <b:Guid>{E200BB42-B0E3-40FD-BE51-B070880395ED}</b:Guid>
    <b:Title>Cultural Considerations for Mining and Indigenous Communities</b:Title>
    <b:BookTitle>SME Mining Engineering Handbook</b:BookTitle>
    <b:Year>2011</b:Year>
    <b:Pages>1797-1816</b:Pages>
    <b:Author>
      <b:Author>
        <b:NameList>
          <b:Person>
            <b:Last>Gibson</b:Last>
            <b:First>Ginger</b:First>
          </b:Person>
          <b:Person>
            <b:Last>Macdonald</b:Last>
            <b:First>Alistair</b:First>
          </b:Person>
          <b:Person>
            <b:Last>O'Faircheallaigh</b:Last>
            <b:First>Ciaran</b:First>
          </b:Person>
        </b:NameList>
      </b:Author>
      <b:BookAuthor>
        <b:NameList>
          <b:Person>
            <b:Last>Dalring</b:Last>
            <b:First>Peter</b:First>
          </b:Person>
        </b:NameList>
      </b:BookAuthor>
    </b:Author>
    <b:RefOrder>21</b:RefOrder>
  </b:Source>
  <b:Source>
    <b:Tag>Min17</b:Tag>
    <b:SourceType>InternetSite</b:SourceType>
    <b:Guid>{38C8EB22-4D9F-449F-906A-CACE3B067445}</b:Guid>
    <b:Title>Ministerio de Desarrollo Social</b:Title>
    <b:Year>2017</b:Year>
    <b:InternetSiteTitle>Consulta indígena</b:InternetSiteTitle>
    <b:Month>03</b:Month>
    <b:Day>21</b:Day>
    <b:YearAccessed>2017</b:YearAccessed>
    <b:MonthAccessed>Marzo</b:MonthAccessed>
    <b:DayAccessed>21</b:DayAccessed>
    <b:URL>http://www.consultaindigenamds.gob.cl/qconvenio.html</b:URL>
    <b:RefOrder>22</b:RefOrder>
  </b:Source>
  <b:Source>
    <b:Tag>DGA042</b:Tag>
    <b:SourceType>Report</b:SourceType>
    <b:Guid>{5B672B1B-53A5-4E0F-9267-C1E15A4C3AF4}</b:Guid>
    <b:Title>Diagnóstico y clasificación de los cursos y cuerpos de agua según objetivos de calidad. Cuenca del Río Copiapó.</b:Title>
    <b:Year>2004</b:Year>
    <b:Author>
      <b:Author>
        <b:NameList>
          <b:Person>
            <b:Last>DGA</b:Last>
          </b:Person>
        </b:NameList>
      </b:Author>
    </b:Author>
    <b:Publisher>CADE IDEPE</b:Publisher>
    <b:City>Santiago</b:City>
    <b:RefOrder>29</b:RefOrder>
  </b:Source>
  <b:Source>
    <b:Tag>ARC13</b:Tag>
    <b:SourceType>Report</b:SourceType>
    <b:Guid>{C09C402B-BF06-41C7-837F-76DAF82F5B33}</b:Guid>
    <b:Author>
      <b:Author>
        <b:NameList>
          <b:Person>
            <b:Last>ARCADIS</b:Last>
          </b:Person>
        </b:NameList>
      </b:Author>
    </b:Author>
    <b:Title>Línea Base: Estudio de Impacto Ambiental Candelaria 2030 Continuidad Operacional. </b:Title>
    <b:Year>2013</b:Year>
    <b:Publisher>ARCADIS</b:Publisher>
    <b:City>Santiago</b:City>
    <b:Institution>Servicio de Evaluación de Impacto Ambiental</b:Institution>
    <b:Pages>16</b:Pages>
    <b:RefOrder>30</b:RefOrder>
  </b:Source>
  <b:Source>
    <b:Tag>Ges04</b:Tag>
    <b:SourceType>Report</b:SourceType>
    <b:Guid>{323D6596-78E1-4AE2-8248-72F0237F4160}</b:Guid>
    <b:Author>
      <b:Author>
        <b:Corporate>Gestión Ambiental Consultores S.A.</b:Corporate>
      </b:Author>
    </b:Author>
    <b:Title>Proyecto Integral de Desarrollo</b:Title>
    <b:Year>2004</b:Year>
    <b:City>Santiago</b:City>
    <b:RefOrder>76</b:RefOrder>
  </b:Source>
  <b:Source>
    <b:Tag>INE02</b:Tag>
    <b:SourceType>Report</b:SourceType>
    <b:Guid>{38E0EAE0-E08A-487E-B254-B4AA3CBFEF63}</b:Guid>
    <b:Title>Censo de población y vivienda</b:Title>
    <b:Year>2002</b:Year>
    <b:Author>
      <b:Author>
        <b:NameList>
          <b:Person>
            <b:Last>INE</b:Last>
          </b:Person>
        </b:NameList>
      </b:Author>
    </b:Author>
    <b:City>Santiago</b:City>
    <b:Institution>Instituto Nacional de Estadística</b:Institution>
    <b:RefOrder>35</b:RefOrder>
  </b:Source>
  <b:Source>
    <b:Tag>SER17</b:Tag>
    <b:SourceType>InternetSite</b:SourceType>
    <b:Guid>{02C34B17-DB42-4435-93FC-9A72036A845C}</b:Guid>
    <b:Title>Servicio Nacional de Turismo</b:Title>
    <b:Year>2017</b:Year>
    <b:Author>
      <b:Author>
        <b:NameList>
          <b:Person>
            <b:Last>SERNATUR</b:Last>
            <b:First>Servicio</b:First>
            <b:Middle>Nacional de Turismo</b:Middle>
          </b:Person>
        </b:NameList>
      </b:Author>
    </b:Author>
    <b:Month>03</b:Month>
    <b:Day>31</b:Day>
    <b:RefOrder>64</b:RefOrder>
  </b:Source>
  <b:Source>
    <b:Tag>MarcadorDePosición1</b:Tag>
    <b:SourceType>Book</b:SourceType>
    <b:Guid>{A1894479-7BE1-4B36-AE19-042988F5BE70}</b:Guid>
    <b:Author>
      <b:Author>
        <b:NameList>
          <b:Person>
            <b:Last>Arellano</b:Last>
            <b:First>Eduardo</b:First>
          </b:Person>
          <b:Person>
            <b:Last>Gastó</b:Last>
            <b:First>Juan</b:First>
          </b:Person>
          <b:Person>
            <b:Last>Gálvez</b:Last>
            <b:First>Consuelo</b:First>
          </b:Person>
          <b:Person>
            <b:Last>Subercauseaux</b:Last>
            <b:First>Diego</b:First>
          </b:Person>
          <b:Person>
            <b:Last>Toledo</b:Last>
            <b:First>Patricio</b:First>
          </b:Person>
          <b:Person>
            <b:Last>Miranda</b:Last>
            <b:First>Marcelo</b:First>
          </b:Person>
        </b:NameList>
      </b:Author>
      <b:Editor>
        <b:NameList>
          <b:Person>
            <b:Last>Gasto</b:Last>
            <b:First>J.</b:First>
          </b:Person>
        </b:NameList>
      </b:Editor>
    </b:Author>
    <b:Title>Bases para el ordenamiento territorial integrador de la naturaleza</b:Title>
    <b:Year>2013</b:Year>
    <b:City>Santiago</b:City>
    <b:Publisher>Departamento Ecosistemas y Medioambiente, Pontificia Universidad Católica de Chile</b:Publisher>
    <b:CountryRegion>Chile</b:CountryRegion>
    <b:Pages>155</b:Pages>
    <b:RefOrder>57</b:RefOrder>
  </b:Source>
  <b:Source>
    <b:Tag>CON17</b:Tag>
    <b:SourceType>InternetSite</b:SourceType>
    <b:Guid>{E9CB87A8-9CC7-406D-ACCA-716CCE1B3775}</b:Guid>
    <b:Author>
      <b:Author>
        <b:NameList>
          <b:Person>
            <b:Last>CONAF</b:Last>
          </b:Person>
        </b:NameList>
      </b:Author>
    </b:Author>
    <b:Title>Corporación Nacional Forestal</b:Title>
    <b:YearAccessed>2017</b:YearAccessed>
    <b:MonthAccessed>03</b:MonthAccessed>
    <b:DayAccessed>30</b:DayAccessed>
    <b:URL>http://www.conaf.cl</b:URL>
    <b:Year>2017</b:Year>
    <b:RefOrder>68</b:RefOrder>
  </b:Source>
  <b:Source>
    <b:Tag>Ilu17</b:Tag>
    <b:SourceType>InternetSite</b:SourceType>
    <b:Guid>{BF4F94F5-EF68-4767-AF25-84A18FA52033}</b:Guid>
    <b:Author>
      <b:Author>
        <b:NameList>
          <b:Person>
            <b:Last>Salamanca</b:Last>
            <b:First>Ilustre</b:First>
            <b:Middle>Municipalidad de</b:Middle>
          </b:Person>
        </b:NameList>
      </b:Author>
    </b:Author>
    <b:Title>Salamanca</b:Title>
    <b:Year>2017</b:Year>
    <b:URL>http://www.salamanca.cl/</b:URL>
    <b:YearAccessed>2017</b:YearAccessed>
    <b:MonthAccessed>03</b:MonthAccessed>
    <b:DayAccessed>30</b:DayAccessed>
    <b:RefOrder>77</b:RefOrder>
  </b:Source>
  <b:Source>
    <b:Tag>Ilu171</b:Tag>
    <b:SourceType>InternetSite</b:SourceType>
    <b:Guid>{A3D441E3-7334-4C7A-BBB7-C111E080DD38}</b:Guid>
    <b:Author>
      <b:Author>
        <b:NameList>
          <b:Person>
            <b:Last>Higuera</b:Last>
            <b:First>Ilustre</b:First>
            <b:Middle>Municipalidad de la</b:Middle>
          </b:Person>
        </b:NameList>
      </b:Author>
    </b:Author>
    <b:Title>Municipalidad La Higuera</b:Title>
    <b:Year>2017</b:Year>
    <b:YearAccessed>2017</b:YearAccessed>
    <b:MonthAccessed>03</b:MonthAccessed>
    <b:DayAccessed>30</b:DayAccessed>
    <b:URL>http://www.munilahiguera.cl</b:URL>
    <b:RefOrder>70</b:RefOrder>
  </b:Source>
  <b:Source>
    <b:Tag>Jai16</b:Tag>
    <b:SourceType>Report</b:SourceType>
    <b:Guid>{86E6DB4A-EA4B-4C30-B80A-F0BE8F70588C}</b:Guid>
    <b:Title>Estudio de Impacto Ambiental "Infraestructura Complementaria" Minera Los Pelambres</b:Title>
    <b:Year>2016</b:Year>
    <b:Author>
      <b:Author>
        <b:NameList>
          <b:Person>
            <b:Last>Jaime Illanes y Asociados</b:Last>
            <b:First>Consultores</b:First>
            <b:Middle>S.A.</b:Middle>
          </b:Person>
        </b:NameList>
      </b:Author>
    </b:Author>
    <b:Publisher>Jaime Illanes y Asociados Consultores S.A.</b:Publisher>
    <b:City>Santiago</b:City>
    <b:RefOrder>73</b:RefOrder>
  </b:Source>
  <b:Source>
    <b:Tag>DGA17</b:Tag>
    <b:SourceType>InternetSite</b:SourceType>
    <b:Guid>{4AEBD297-7F88-4B3B-904E-96B1BF4E46CD}</b:Guid>
    <b:Author>
      <b:Author>
        <b:NameList>
          <b:Person>
            <b:Last>DGA</b:Last>
          </b:Person>
        </b:NameList>
      </b:Author>
    </b:Author>
    <b:Title>Dirección General de Aguas</b:Title>
    <b:Year>2017</b:Year>
    <b:InternetSiteTitle>Ministerio de Obras Públicas</b:InternetSiteTitle>
    <b:YearAccessed>2017</b:YearAccessed>
    <b:MonthAccessed>03</b:MonthAccessed>
    <b:DayAccessed>30</b:DayAccessed>
    <b:URL>http://snia.dga.cl/BNAConsultas/reportes</b:URL>
    <b:RefOrder>59</b:RefOrder>
  </b:Source>
  <b:Source>
    <b:Tag>Gal06</b:Tag>
    <b:SourceType>Report</b:SourceType>
    <b:Guid>{FA5FA00F-9E2B-4001-A9B1-DC7288449AAD}</b:Guid>
    <b:Title>Expansión del límite urbano de la ciudad de Salamanca y los impactos derivados de su espacio agrícola</b:Title>
    <b:Year>2006</b:Year>
    <b:City>Santiago</b:City>
    <b:Author>
      <b:Author>
        <b:NameList>
          <b:Person>
            <b:Last>Gallardo</b:Last>
            <b:First>Jaime</b:First>
          </b:Person>
        </b:NameList>
      </b:Author>
    </b:Author>
    <b:Pages>198</b:Pages>
    <b:Department>Facultad de Arquitectura y Urbanismo</b:Department>
    <b:Institution>Escuela de Geografía</b:Institution>
    <b:RefOrder>71</b:RefOrder>
  </b:Source>
  <b:Source>
    <b:Tag>Tor08</b:Tag>
    <b:SourceType>Report</b:SourceType>
    <b:Guid>{8CB17D9A-136C-48AD-925A-F22D56C5D1F7}</b:Guid>
    <b:Author>
      <b:Author>
        <b:NameList>
          <b:Person>
            <b:Last>Torres-Murra</b:Last>
            <b:First>Juan</b:First>
          </b:Person>
        </b:NameList>
      </b:Author>
    </b:Author>
    <b:Title>Estudio Linea Base: Fauna. Quebradas Manquehua y Cárcamo</b:Title>
    <b:Year>2008</b:Year>
    <b:Publisher>M&amp;MA Ltda.</b:Publisher>
    <b:City>Santiago</b:City>
    <b:RefOrder>75</b:RefOrder>
  </b:Source>
  <b:Source>
    <b:Tag>Inf04</b:Tag>
    <b:SourceType>Report</b:SourceType>
    <b:Guid>{527770BE-FE70-4C38-A648-626732EBAB44}</b:Guid>
    <b:Author>
      <b:Author>
        <b:NameList>
          <b:Person>
            <b:Last>Infracon S.A.</b:Last>
          </b:Person>
        </b:NameList>
      </b:Author>
    </b:Author>
    <b:Title>Estudio Plan REgulador Comunal La Higuera. Informe N°3.</b:Title>
    <b:Year>2004</b:Year>
    <b:Publisher>Ilustre Municipalidad de La Higuera</b:Publisher>
    <b:City>La Higuera. Región de Coquimbo, Chile</b:City>
    <b:RefOrder>67</b:RefOrder>
  </b:Source>
  <b:Source>
    <b:Tag>ARC04</b:Tag>
    <b:SourceType>Report</b:SourceType>
    <b:Guid>{6125293E-5845-4F72-904F-A2FD6F6F5A8D}</b:Guid>
    <b:Author>
      <b:Author>
        <b:NameList>
          <b:Person>
            <b:Last>ARCADIS</b:Last>
          </b:Person>
        </b:NameList>
      </b:Author>
    </b:Author>
    <b:Title>Estudio de Impacto Ambiental: Modificaciones Proyecto Pascua Lama</b:Title>
    <b:Year>2004</b:Year>
    <b:City>Santiago</b:City>
    <b:RefOrder>66</b:RefOrder>
  </b:Source>
  <b:Source>
    <b:Tag>Spi</b:Tag>
    <b:SourceType>BookSection</b:SourceType>
    <b:Guid>{8EE6CB7D-FDE3-4852-86F3-09DE5A965A72}</b:Guid>
    <b:Title>Minerals, Wealth and Progress</b:Title>
    <b:Author>
      <b:Author>
        <b:NameList>
          <b:Person>
            <b:Last>Spitz</b:Last>
            <b:First>Karlheinz</b:First>
          </b:Person>
          <b:Person>
            <b:Last>Trudinge</b:Last>
            <b:First>John</b:First>
          </b:Person>
        </b:NameList>
      </b:Author>
      <b:BookAuthor>
        <b:NameList>
          <b:Person>
            <b:Last>Spitz</b:Last>
            <b:First>Karlheinz.,</b:First>
            <b:Middle>Trudinger, John.</b:Middle>
          </b:Person>
        </b:NameList>
      </b:BookAuthor>
    </b:Author>
    <b:BookTitle>Minind and the Environment: Form Ore to Metal</b:BookTitle>
    <b:Pages>1-67</b:Pages>
    <b:Publisher>CRC Press 2008</b:Publisher>
    <b:StandardNumber>978-0-203-89543-6</b:StandardNumber>
    <b:Year>2008</b:Year>
    <b:RefOrder>2</b:RefOrder>
  </b:Source>
  <b:Source>
    <b:Tag>rel17</b:Tag>
    <b:SourceType>InternetSite</b:SourceType>
    <b:Guid>{5CD4E92F-9F78-4B5B-8143-684ED2584D45}</b:Guid>
    <b:Title>Relaves</b:Title>
    <b:Year>2017</b:Year>
    <b:Author>
      <b:Author>
        <b:NameList>
          <b:Person>
            <b:Last>Relaves</b:Last>
          </b:Person>
        </b:NameList>
      </b:Author>
    </b:Author>
    <b:Month>Abril</b:Month>
    <b:Day>26</b:Day>
    <b:YearAccessed>2017</b:YearAccessed>
    <b:MonthAccessed>Abril</b:MonthAccessed>
    <b:DayAccessed>26</b:DayAccessed>
    <b:URL>www.relaves.org</b:URL>
    <b:RefOrder>79</b:RefOrder>
  </b:Source>
  <b:Source>
    <b:Tag>CON02</b:Tag>
    <b:SourceType>Report</b:SourceType>
    <b:Guid>{7375AD3A-B742-4F86-A821-8B5EC325FC5F}</b:Guid>
    <b:Title>Estrategia Regional y Plan de Acción de la Biodiversidad IV región Coquimbo</b:Title>
    <b:Year>2002</b:Year>
    <b:Author>
      <b:Author>
        <b:NameList>
          <b:Person>
            <b:Last>CONAMA</b:Last>
          </b:Person>
        </b:NameList>
      </b:Author>
    </b:Author>
    <b:Publisher>Gobierno de Chile</b:Publisher>
    <b:City>Santiago</b:City>
    <b:RefOrder>135</b:RefOrder>
  </b:Source>
  <b:Source>
    <b:Tag>Min162</b:Tag>
    <b:SourceType>Report</b:SourceType>
    <b:Guid>{B70BBA21-A2CA-41D7-A11B-0E9E1AFB28C4}</b:Guid>
    <b:Author>
      <b:Author>
        <b:Corporate>Ministerio de Medio Ambiente</b:Corporate>
      </b:Author>
    </b:Author>
    <b:Title>Diagnóstico y estado de tendencia de la biodiversidad: Región de Coquimbo</b:Title>
    <b:Year>2016</b:Year>
    <b:Publisher>División de Recursos Naturales y Biovinersidad. Departamento de Políticas y Planificación de la Biodiversidad </b:Publisher>
    <b:City>Santiago</b:City>
    <b:RefOrder>45</b:RefOrder>
  </b:Source>
  <b:Source>
    <b:Tag>Bör83</b:Tag>
    <b:SourceType>BookSection</b:SourceType>
    <b:Guid>{8CADC256-676B-4E0F-B07F-328064930E4B}</b:Guid>
    <b:Title>Geomorfología. Colección Geografía de Chile </b:Title>
    <b:Year>1983</b:Year>
    <b:Publisher>Instituto Geográfico Militar</b:Publisher>
    <b:Author>
      <b:Author>
        <b:NameList>
          <b:Person>
            <b:Last>Börgel</b:Last>
            <b:First>R</b:First>
          </b:Person>
        </b:NameList>
      </b:Author>
    </b:Author>
    <b:RefOrder>31</b:RefOrder>
  </b:Source>
  <b:Source>
    <b:Tag>CON09</b:Tag>
    <b:SourceType>Report</b:SourceType>
    <b:Guid>{12C8E21D-EE79-48F4-A5A1-37B8A86AF4B8}</b:Guid>
    <b:Title>Estrategia y Plan de Acción para la Cosnervación y Uso Sustentable de la Biodiversidad de Atacama 2010-2017</b:Title>
    <b:Year>2009</b:Year>
    <b:Publisher>Comite Regional de Biodiversidad  </b:Publisher>
    <b:Author>
      <b:Author>
        <b:NameList>
          <b:Person>
            <b:Last>CONAMA</b:Last>
          </b:Person>
        </b:NameList>
      </b:Author>
    </b:Author>
    <b:RefOrder>34</b:RefOrder>
  </b:Source>
  <b:Source>
    <b:Tag>Nov01</b:Tag>
    <b:SourceType>BookSection</b:SourceType>
    <b:Guid>{5689EA24-FEC6-4083-8547-23E731BD6607}</b:Guid>
    <b:Title>IV Región: El escenario Geográfico Físico</b:Title>
    <b:Year>2001</b:Year>
    <b:Publisher>Ediciones Universidad de La Serena</b:Publisher>
    <b:City>La Serena</b:City>
    <b:Author>
      <b:Author>
        <b:NameList>
          <b:Person>
            <b:Last>Novoa</b:Last>
            <b:First>J.</b:First>
          </b:Person>
          <b:Person>
            <b:Last>López</b:Last>
            <b:First>D.</b:First>
          </b:Person>
        </b:NameList>
      </b:Author>
      <b:BookAuthor>
        <b:NameList>
          <b:Person>
            <b:Last>Squeo</b:Last>
            <b:First>F.A.</b:First>
          </b:Person>
          <b:Person>
            <b:Last>Arancio</b:Last>
            <b:First>G.</b:First>
          </b:Person>
          <b:Person>
            <b:Last>Gutiérrez</b:Last>
            <b:First>J.R.</b:First>
          </b:Person>
        </b:NameList>
      </b:BookAuthor>
    </b:Author>
    <b:BookTitle>Libro rojo de la Flora Nativa y de los Sitios Prioritarios para su Conservación: Región de Coquimbo</b:BookTitle>
    <b:Pages>13-28</b:Pages>
    <b:RefOrder>43</b:RefOrder>
  </b:Source>
  <b:Source>
    <b:Tag>Com171</b:Tag>
    <b:SourceType>InternetSite</b:SourceType>
    <b:Guid>{0990FAE7-7DE0-47F5-86D1-519AF6BBB4B9}</b:Guid>
    <b:Title>Sistema Nacional de Información Ambiental</b:Title>
    <b:Year>2017</b:Year>
    <b:Author>
      <b:Author>
        <b:NameList>
          <b:Person>
            <b:Last>SINIA</b:Last>
          </b:Person>
        </b:NameList>
      </b:Author>
    </b:Author>
    <b:Month>Junio</b:Month>
    <b:Day>12</b:Day>
    <b:YearAccessed>2017</b:YearAccessed>
    <b:MonthAccessed>Junio</b:MonthAccessed>
    <b:DayAccessed>12</b:DayAccessed>
    <b:URL>www.sinia.cl</b:URL>
    <b:RefOrder>44</b:RefOrder>
  </b:Source>
  <b:Source>
    <b:Tag>MarcadorDePosición3</b:Tag>
    <b:SourceType>BookSection</b:SourceType>
    <b:Guid>{DEE07E4E-F9CA-48FB-B88F-32D3F6E19027}</b:Guid>
    <b:Title>Minerals, Wealth and Progress</b:Title>
    <b:Author>
      <b:Author>
        <b:NameList>
          <b:Person>
            <b:Last>Spitz</b:Last>
            <b:First>Karlheinz</b:First>
          </b:Person>
          <b:Person>
            <b:Last>Trudinge </b:Last>
            <b:First>John</b:First>
          </b:Person>
        </b:NameList>
      </b:Author>
      <b:BookAuthor>
        <b:NameList>
          <b:Person>
            <b:Last>Spitz</b:Last>
            <b:First>Karlheinz.,</b:First>
            <b:Middle>Trudinger, John.</b:Middle>
          </b:Person>
        </b:NameList>
      </b:BookAuthor>
    </b:Author>
    <b:BookTitle>Minind and the Environment: Form Ore to Metal</b:BookTitle>
    <b:Pages>1-67</b:Pages>
    <b:Publisher>CRC Press 2008</b:Publisher>
    <b:StandardNumber>978-0-203-89543-6</b:StandardNumber>
    <b:Year>2008</b:Year>
    <b:RefOrder>1</b:RefOrder>
  </b:Source>
  <b:Source>
    <b:Tag>Onl16</b:Tag>
    <b:SourceType>InternetSite</b:SourceType>
    <b:Guid>{D74527AC-97AD-431A-8521-EAB9B9924868}</b:Guid>
    <b:Title>www.etymonline.com</b:Title>
    <b:YearAccessed>2016</b:YearAccessed>
    <b:MonthAccessed>Octubre</b:MonthAccessed>
    <b:DayAccessed>11</b:DayAccessed>
    <b:URL>http://www.etymonline.com/</b:URL>
    <b:InternetSiteTitle>Online Etimology Dictionary</b:InternetSiteTitle>
    <b:Year>2016</b:Year>
    <b:Author>
      <b:Author>
        <b:NameList>
          <b:Person>
            <b:Last>Etymonline</b:Last>
          </b:Person>
        </b:NameList>
      </b:Author>
    </b:Author>
    <b:RefOrder>5</b:RefOrder>
  </b:Source>
  <b:Source>
    <b:Tag>SON17</b:Tag>
    <b:SourceType>InternetSite</b:SourceType>
    <b:Guid>{68D957D1-6E5E-4F49-9CA1-87D7C1A041CA}</b:Guid>
    <b:Author>
      <b:Author>
        <b:NameList>
          <b:Person>
            <b:Last>SONAMI</b:Last>
          </b:Person>
        </b:NameList>
      </b:Author>
    </b:Author>
    <b:Title>Sociedad Nacional de Minería</b:Title>
    <b:InternetSiteTitle>Mapa Minero</b:InternetSiteTitle>
    <b:Year>2017</b:Year>
    <b:Month>05</b:Month>
    <b:Day>12</b:Day>
    <b:YearAccessed>2017</b:YearAccessed>
    <b:MonthAccessed>05</b:MonthAccessed>
    <b:DayAccessed>12</b:DayAccessed>
    <b:URL>http://www.sonami.cl/site/mapaminero/</b:URL>
    <b:RefOrder>63</b:RefOrder>
  </b:Source>
  <b:Source>
    <b:Tag>SER11</b:Tag>
    <b:SourceType>Report</b:SourceType>
    <b:Guid>{65719559-ABFC-4C01-889C-7C39CB5820E7}</b:Guid>
    <b:Title>Atlas de Faenas Mineras. Región Coquimbo</b:Title>
    <b:Year>2011</b:Year>
    <b:Author>
      <b:Author>
        <b:NameList>
          <b:Person>
            <b:Last>SERNAGEOMIN</b:Last>
          </b:Person>
        </b:NameList>
      </b:Author>
    </b:Author>
    <b:Publisher>Sernageomin</b:Publisher>
    <b:City>Santiago</b:City>
    <b:RefOrder>69</b:RefOrder>
  </b:Source>
  <b:Source>
    <b:Tag>MWH11</b:Tag>
    <b:SourceType>Report</b:SourceType>
    <b:Guid>{2608CE9E-8ABF-4767-B9E2-C831FDE88BF9}</b:Guid>
    <b:Title>Estudio de Impacto Ambiental: Optimización Poryecto Minero Cerro Casale. Capitulo 5 Línea Base Ambiental</b:Title>
    <b:Year>2011</b:Year>
    <b:Author>
      <b:Author>
        <b:NameList>
          <b:Person>
            <b:Last>MWH</b:Last>
          </b:Person>
        </b:NameList>
      </b:Author>
    </b:Author>
    <b:RefOrder>61</b:RefOrder>
  </b:Source>
  <b:Source>
    <b:Tag>Luz10</b:Tag>
    <b:SourceType>Book</b:SourceType>
    <b:Guid>{EEFF16E7-D70C-427A-9ED7-A3CB9ED0D29D}</b:Guid>
    <b:Title>Suelos de Chile</b:Title>
    <b:Year>2010</b:Year>
    <b:Publisher>Universidad de Chile. Facultad de Ciencias Agronómicas</b:Publisher>
    <b:City>Santiago</b:City>
    <b:Author>
      <b:Author>
        <b:NameList>
          <b:Person>
            <b:Last>Luzio</b:Last>
            <b:First>W.</b:First>
          </b:Person>
          <b:Person>
            <b:Last>Casanova</b:Last>
            <b:First>M.</b:First>
          </b:Person>
          <b:Person>
            <b:Last>Seguel</b:Last>
            <b:First>O.</b:First>
          </b:Person>
        </b:NameList>
      </b:Author>
    </b:Author>
    <b:RefOrder>60</b:RefOrder>
  </b:Source>
  <b:Source>
    <b:Tag>Bib17</b:Tag>
    <b:SourceType>InternetSite</b:SourceType>
    <b:Guid>{5B192DD5-B662-42F2-9018-E4CE3A675343}</b:Guid>
    <b:Author>
      <b:Author>
        <b:Corporate>BCN</b:Corporate>
      </b:Author>
    </b:Author>
    <b:Title>Biblioteca del Congreso Nacional de Chile. Reportes Estadísticos Comunales 2015</b:Title>
    <b:InternetSiteTitle>Sitio web de Biblioteca del Congreso Nacional</b:InternetSiteTitle>
    <b:Year>2017</b:Year>
    <b:Month>Enero</b:Month>
    <b:Day>06</b:Day>
    <b:URL>http://reportescomunales.bcn.cl/2015/index.php/Categor%C3%ADa:Comunas</b:URL>
    <b:RefOrder>62</b:RefOrder>
  </b:Source>
  <b:Source>
    <b:Tag>SIG08</b:Tag>
    <b:SourceType>Report</b:SourceType>
    <b:Guid>{88B267B2-5B4C-4D71-B602-483688B668E5}</b:Guid>
    <b:Title>Estudio de Impacto Ambiental: Proyecto Minero Tres Valles. Compañía Minera Latinoamericana. Capitulo IV Línea Base</b:Title>
    <b:Year>2008</b:Year>
    <b:City>Santiago</b:City>
    <b:Publisher>SIGA Ingeniería y Consultoría</b:Publisher>
    <b:Author>
      <b:Author>
        <b:NameList>
          <b:Person>
            <b:Last>SIGA</b:Last>
          </b:Person>
        </b:NameList>
      </b:Author>
    </b:Author>
    <b:RefOrder>72</b:RefOrder>
  </b:Source>
  <b:Source>
    <b:Tag>SER16</b:Tag>
    <b:SourceType>DocumentFromInternetSite</b:SourceType>
    <b:Guid>{4F16458E-7A08-4FF3-AFA2-DC35A4940FB9}</b:Guid>
    <b:Author>
      <b:Author>
        <b:Corporate>SERNAGEOMIN</b:Corporate>
      </b:Author>
    </b:Author>
    <b:Title>Catastro de Depósitos de Relaves. Depósitos de Relaves Activos y No Activos 2010. Departamento de Seguridad Mienra</b:Title>
    <b:InternetSiteTitle>Sitio web de Servicio Nacional de Geología y Minería</b:InternetSiteTitle>
    <b:Year>2010</b:Year>
    <b:Month>Diciembre</b:Month>
    <b:Day>21</b:Day>
    <b:URL>http://www.sernageomin.cl/ambiental-catastro.php</b:URL>
    <b:RefOrder>23</b:RefOrder>
  </b:Source>
</b:Sources>
</file>

<file path=customXml/itemProps1.xml><?xml version="1.0" encoding="utf-8"?>
<ds:datastoreItem xmlns:ds="http://schemas.openxmlformats.org/officeDocument/2006/customXml" ds:itemID="{1241FA03-270A-4367-BF99-60DD880D07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1753</TotalTime>
  <Pages>207</Pages>
  <Words>230428</Words>
  <Characters>1267359</Characters>
  <Application>Microsoft Office Word</Application>
  <DocSecurity>0</DocSecurity>
  <Lines>10561</Lines>
  <Paragraphs>2989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1494798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 pc del Pollo</dc:creator>
  <cp:lastModifiedBy>Consuelo</cp:lastModifiedBy>
  <cp:revision>18</cp:revision>
  <cp:lastPrinted>2017-07-03T21:04:00Z</cp:lastPrinted>
  <dcterms:created xsi:type="dcterms:W3CDTF">2017-07-27T19:27:00Z</dcterms:created>
  <dcterms:modified xsi:type="dcterms:W3CDTF">2017-08-04T03:43:00Z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ser Name_1">
    <vt:lpwstr>anitaparisy@gmail.com@www.mendeley.com</vt:lpwstr>
  </property>
  <property fmtid="{D5CDD505-2E9C-101B-9397-08002B2CF9AE}" pid="4" name="Mendeley Citation Style_1">
    <vt:lpwstr>http://www.zotero.org/styles/apa</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6th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16th edition (author-date)</vt:lpwstr>
  </property>
  <property fmtid="{D5CDD505-2E9C-101B-9397-08002B2CF9AE}" pid="15" name="Mendeley Recent Style Id 5_1">
    <vt:lpwstr>http://www.zotero.org/styles/harvard1</vt:lpwstr>
  </property>
  <property fmtid="{D5CDD505-2E9C-101B-9397-08002B2CF9AE}" pid="16" name="Mendeley Recent Style Name 5_1">
    <vt:lpwstr>Harvard Reference format 1 (author-date)</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7th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